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4"/>
          <w:szCs w:val="24"/>
          <w:b w:val="1"/>
          <w:bCs w:val="1"/>
          <w:color w:val="auto"/>
        </w:rPr>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SECURITIES AND EXCHANGE COMMISSION</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304165</wp:posOffset>
            </wp:positionV>
            <wp:extent cx="725170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170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327660</wp:posOffset>
            </wp:positionV>
            <wp:extent cx="72517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170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9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CURRENT REPORT</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Pursuant to Section 13 or 15(d) of</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The Securities Exchange Act of 1934</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March 1, 2017</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304800</wp:posOffset>
            </wp:positionV>
            <wp:extent cx="72517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170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5" w:lineRule="exact"/>
        <w:rPr>
          <w:sz w:val="24"/>
          <w:szCs w:val="24"/>
          <w:color w:val="auto"/>
        </w:rPr>
      </w:pPr>
    </w:p>
    <w:p>
      <w:pPr>
        <w:jc w:val="center"/>
        <w:spacing w:after="0"/>
        <w:rPr>
          <w:sz w:val="20"/>
          <w:szCs w:val="20"/>
          <w:color w:val="auto"/>
        </w:rPr>
      </w:pPr>
      <w:r>
        <w:rPr>
          <w:rFonts w:ascii="Arial" w:cs="Arial" w:eastAsia="Arial" w:hAnsi="Arial"/>
          <w:sz w:val="38"/>
          <w:szCs w:val="38"/>
          <w:b w:val="1"/>
          <w:bCs w:val="1"/>
          <w:color w:val="auto"/>
        </w:rPr>
        <w:t>Planet Fitness, Inc.</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0" w:lineRule="exact"/>
        <w:rPr>
          <w:sz w:val="24"/>
          <w:szCs w:val="24"/>
          <w:color w:val="auto"/>
        </w:rPr>
      </w:pPr>
    </w:p>
    <w:p>
      <w:pPr>
        <w:spacing w:after="0" w:line="212" w:lineRule="exact"/>
        <w:rPr>
          <w:sz w:val="24"/>
          <w:szCs w:val="24"/>
          <w:color w:val="auto"/>
        </w:rPr>
      </w:pPr>
    </w:p>
    <w:tbl>
      <w:tblPr>
        <w:tblLayout w:type="fixed"/>
        <w:tblInd w:w="0" w:type="dxa"/>
        <w:tblCellMar>
          <w:top w:w="0" w:type="dxa"/>
          <w:left w:w="0" w:type="dxa"/>
          <w:bottom w:w="0" w:type="dxa"/>
          <w:right w:w="0" w:type="dxa"/>
        </w:tblCellMar>
      </w:tblPr>
      <w:tr>
        <w:trPr>
          <w:trHeight w:val="232"/>
        </w:trPr>
        <w:tc>
          <w:tcPr>
            <w:tcW w:w="4020" w:type="dxa"/>
            <w:vAlign w:val="bottom"/>
            <w:gridSpan w:val="2"/>
          </w:tcPr>
          <w:p>
            <w:pPr>
              <w:jc w:val="center"/>
              <w:ind w:right="140"/>
              <w:spacing w:after="0"/>
              <w:rPr>
                <w:sz w:val="20"/>
                <w:szCs w:val="20"/>
                <w:color w:val="auto"/>
              </w:rPr>
            </w:pPr>
            <w:r>
              <w:rPr>
                <w:rFonts w:ascii="Arial" w:cs="Arial" w:eastAsia="Arial" w:hAnsi="Arial"/>
                <w:sz w:val="17"/>
                <w:szCs w:val="17"/>
                <w:b w:val="1"/>
                <w:bCs w:val="1"/>
                <w:color w:val="auto"/>
                <w:w w:val="91"/>
              </w:rPr>
              <w:t>Delaware</w:t>
            </w:r>
          </w:p>
        </w:tc>
        <w:tc>
          <w:tcPr>
            <w:tcW w:w="3640" w:type="dxa"/>
            <w:vAlign w:val="bottom"/>
          </w:tcPr>
          <w:p>
            <w:pPr>
              <w:jc w:val="right"/>
              <w:ind w:right="1362"/>
              <w:spacing w:after="0"/>
              <w:rPr>
                <w:sz w:val="20"/>
                <w:szCs w:val="20"/>
                <w:color w:val="auto"/>
              </w:rPr>
            </w:pPr>
            <w:r>
              <w:rPr>
                <w:rFonts w:ascii="Arial" w:cs="Arial" w:eastAsia="Arial" w:hAnsi="Arial"/>
                <w:sz w:val="17"/>
                <w:szCs w:val="17"/>
                <w:b w:val="1"/>
                <w:bCs w:val="1"/>
                <w:color w:val="auto"/>
              </w:rPr>
              <w:t>001-37534</w:t>
            </w:r>
          </w:p>
        </w:tc>
        <w:tc>
          <w:tcPr>
            <w:tcW w:w="120" w:type="dxa"/>
            <w:vAlign w:val="bottom"/>
          </w:tcPr>
          <w:p>
            <w:pPr>
              <w:spacing w:after="0"/>
              <w:rPr>
                <w:sz w:val="20"/>
                <w:szCs w:val="20"/>
                <w:color w:val="auto"/>
              </w:rPr>
            </w:pPr>
          </w:p>
        </w:tc>
        <w:tc>
          <w:tcPr>
            <w:tcW w:w="3640" w:type="dxa"/>
            <w:vAlign w:val="bottom"/>
          </w:tcPr>
          <w:p>
            <w:pPr>
              <w:jc w:val="right"/>
              <w:ind w:right="1322"/>
              <w:spacing w:after="0"/>
              <w:rPr>
                <w:sz w:val="20"/>
                <w:szCs w:val="20"/>
                <w:color w:val="auto"/>
              </w:rPr>
            </w:pPr>
            <w:r>
              <w:rPr>
                <w:rFonts w:ascii="Arial" w:cs="Arial" w:eastAsia="Arial" w:hAnsi="Arial"/>
                <w:sz w:val="17"/>
                <w:szCs w:val="17"/>
                <w:b w:val="1"/>
                <w:bCs w:val="1"/>
                <w:color w:val="auto"/>
              </w:rPr>
              <w:t>38-3942097</w:t>
            </w:r>
          </w:p>
        </w:tc>
      </w:tr>
      <w:tr>
        <w:trPr>
          <w:trHeight w:val="179"/>
        </w:trPr>
        <w:tc>
          <w:tcPr>
            <w:tcW w:w="388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(State or other jurisdiction of incorporation)</w:t>
            </w:r>
          </w:p>
        </w:tc>
        <w:tc>
          <w:tcPr>
            <w:tcW w:w="140" w:type="dxa"/>
            <w:vAlign w:val="bottom"/>
          </w:tcPr>
          <w:p>
            <w:pPr>
              <w:spacing w:after="0"/>
              <w:rPr>
                <w:sz w:val="15"/>
                <w:szCs w:val="15"/>
                <w:color w:val="auto"/>
              </w:rPr>
            </w:pPr>
          </w:p>
        </w:tc>
        <w:tc>
          <w:tcPr>
            <w:tcW w:w="364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(Commission File Number)</w:t>
            </w:r>
          </w:p>
        </w:tc>
        <w:tc>
          <w:tcPr>
            <w:tcW w:w="120" w:type="dxa"/>
            <w:vAlign w:val="bottom"/>
          </w:tcPr>
          <w:p>
            <w:pPr>
              <w:spacing w:after="0"/>
              <w:rPr>
                <w:sz w:val="15"/>
                <w:szCs w:val="15"/>
                <w:color w:val="auto"/>
              </w:rPr>
            </w:pPr>
          </w:p>
        </w:tc>
        <w:tc>
          <w:tcPr>
            <w:tcW w:w="364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(I.R.S. Employer Identification No.)</w:t>
            </w:r>
          </w:p>
        </w:tc>
      </w:tr>
      <w:tr>
        <w:trPr>
          <w:trHeight w:val="361"/>
        </w:trPr>
        <w:tc>
          <w:tcPr>
            <w:tcW w:w="3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760" w:type="dxa"/>
            <w:vAlign w:val="bottom"/>
            <w:gridSpan w:val="2"/>
          </w:tcPr>
          <w:p>
            <w:pPr>
              <w:jc w:val="center"/>
              <w:ind w:right="380"/>
              <w:spacing w:after="0"/>
              <w:rPr>
                <w:sz w:val="20"/>
                <w:szCs w:val="20"/>
                <w:color w:val="auto"/>
              </w:rPr>
            </w:pPr>
            <w:r>
              <w:rPr>
                <w:rFonts w:ascii="Arial" w:cs="Arial" w:eastAsia="Arial" w:hAnsi="Arial"/>
                <w:sz w:val="17"/>
                <w:szCs w:val="17"/>
                <w:b w:val="1"/>
                <w:bCs w:val="1"/>
                <w:color w:val="auto"/>
                <w:w w:val="93"/>
              </w:rPr>
              <w:t>26 Fox Run Road</w:t>
            </w:r>
          </w:p>
        </w:tc>
        <w:tc>
          <w:tcPr>
            <w:tcW w:w="3640" w:type="dxa"/>
            <w:vAlign w:val="bottom"/>
          </w:tcPr>
          <w:p>
            <w:pPr>
              <w:spacing w:after="0"/>
              <w:rPr>
                <w:sz w:val="24"/>
                <w:szCs w:val="24"/>
                <w:color w:val="auto"/>
              </w:rPr>
            </w:pPr>
          </w:p>
        </w:tc>
      </w:tr>
      <w:tr>
        <w:trPr>
          <w:trHeight w:val="204"/>
        </w:trPr>
        <w:tc>
          <w:tcPr>
            <w:tcW w:w="3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760" w:type="dxa"/>
            <w:vAlign w:val="bottom"/>
            <w:gridSpan w:val="2"/>
          </w:tcPr>
          <w:p>
            <w:pPr>
              <w:jc w:val="center"/>
              <w:ind w:right="380"/>
              <w:spacing w:after="0"/>
              <w:rPr>
                <w:sz w:val="20"/>
                <w:szCs w:val="20"/>
                <w:color w:val="auto"/>
              </w:rPr>
            </w:pPr>
            <w:r>
              <w:rPr>
                <w:rFonts w:ascii="Arial" w:cs="Arial" w:eastAsia="Arial" w:hAnsi="Arial"/>
                <w:sz w:val="17"/>
                <w:szCs w:val="17"/>
                <w:b w:val="1"/>
                <w:bCs w:val="1"/>
                <w:color w:val="auto"/>
                <w:w w:val="93"/>
              </w:rPr>
              <w:t>Newington, NH 03801</w:t>
            </w:r>
          </w:p>
        </w:tc>
        <w:tc>
          <w:tcPr>
            <w:tcW w:w="3640" w:type="dxa"/>
            <w:vAlign w:val="bottom"/>
          </w:tcPr>
          <w:p>
            <w:pPr>
              <w:spacing w:after="0"/>
              <w:rPr>
                <w:sz w:val="17"/>
                <w:szCs w:val="17"/>
                <w:color w:val="auto"/>
              </w:rPr>
            </w:pPr>
          </w:p>
        </w:tc>
      </w:tr>
      <w:tr>
        <w:trPr>
          <w:trHeight w:val="143"/>
        </w:trPr>
        <w:tc>
          <w:tcPr>
            <w:tcW w:w="3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760" w:type="dxa"/>
            <w:vAlign w:val="bottom"/>
            <w:gridSpan w:val="2"/>
          </w:tcPr>
          <w:p>
            <w:pPr>
              <w:jc w:val="center"/>
              <w:ind w:right="380"/>
              <w:spacing w:after="0" w:line="143" w:lineRule="exact"/>
              <w:rPr>
                <w:sz w:val="20"/>
                <w:szCs w:val="20"/>
                <w:color w:val="auto"/>
              </w:rPr>
            </w:pPr>
            <w:r>
              <w:rPr>
                <w:rFonts w:ascii="Arial" w:cs="Arial" w:eastAsia="Arial" w:hAnsi="Arial"/>
                <w:sz w:val="14"/>
                <w:szCs w:val="14"/>
                <w:b w:val="1"/>
                <w:bCs w:val="1"/>
                <w:color w:val="auto"/>
                <w:w w:val="87"/>
              </w:rPr>
              <w:t>(Address of principal executive offices)</w:t>
            </w:r>
          </w:p>
        </w:tc>
        <w:tc>
          <w:tcPr>
            <w:tcW w:w="3640" w:type="dxa"/>
            <w:vAlign w:val="bottom"/>
          </w:tcPr>
          <w:p>
            <w:pPr>
              <w:spacing w:after="0"/>
              <w:rPr>
                <w:sz w:val="12"/>
                <w:szCs w:val="12"/>
                <w:color w:val="auto"/>
              </w:rPr>
            </w:pPr>
          </w:p>
        </w:tc>
      </w:tr>
      <w:tr>
        <w:trPr>
          <w:trHeight w:val="179"/>
        </w:trPr>
        <w:tc>
          <w:tcPr>
            <w:tcW w:w="38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7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2"/>
              </w:rPr>
              <w:t>(Zip Code)</w:t>
            </w:r>
          </w:p>
        </w:tc>
        <w:tc>
          <w:tcPr>
            <w:tcW w:w="3640" w:type="dxa"/>
            <w:vAlign w:val="bottom"/>
          </w:tcPr>
          <w:p>
            <w:pPr>
              <w:spacing w:after="0"/>
              <w:rPr>
                <w:sz w:val="15"/>
                <w:szCs w:val="15"/>
                <w:color w:val="auto"/>
              </w:rPr>
            </w:pPr>
          </w:p>
        </w:tc>
      </w:tr>
    </w:tbl>
    <w:p>
      <w:pPr>
        <w:spacing w:after="0" w:line="175"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 xml:space="preserve">Registrant’s telephone number, including area code: </w:t>
      </w:r>
      <w:r>
        <w:rPr>
          <w:rFonts w:ascii="Arial" w:cs="Arial" w:eastAsia="Arial" w:hAnsi="Arial"/>
          <w:sz w:val="17"/>
          <w:szCs w:val="17"/>
          <w:b w:val="1"/>
          <w:bCs w:val="1"/>
          <w:color w:val="auto"/>
        </w:rPr>
        <w:t>(603) 750-0001</w:t>
      </w:r>
    </w:p>
    <w:p>
      <w:pPr>
        <w:spacing w:after="0" w:line="226" w:lineRule="exact"/>
        <w:rPr>
          <w:sz w:val="24"/>
          <w:szCs w:val="24"/>
          <w:color w:val="auto"/>
        </w:rPr>
      </w:pPr>
    </w:p>
    <w:p>
      <w:pPr>
        <w:ind w:right="560"/>
        <w:spacing w:after="0" w:line="285" w:lineRule="auto"/>
        <w:rPr>
          <w:sz w:val="20"/>
          <w:szCs w:val="20"/>
          <w:color w:val="auto"/>
        </w:rPr>
      </w:pPr>
      <w:r>
        <w:rPr>
          <w:rFonts w:ascii="Arial" w:cs="Arial" w:eastAsia="Arial" w:hAnsi="Arial"/>
          <w:sz w:val="17"/>
          <w:szCs w:val="17"/>
          <w:color w:val="auto"/>
        </w:rPr>
        <w:t>Check the appropriate box below if the Form 8-K filing is intended to simultaneously satisfy the filing obligation of the registrant under any of the following provisions:</w:t>
      </w:r>
    </w:p>
    <w:p>
      <w:pPr>
        <w:spacing w:after="0" w:line="62" w:lineRule="exact"/>
        <w:rPr>
          <w:sz w:val="24"/>
          <w:szCs w:val="24"/>
          <w:color w:val="auto"/>
        </w:rPr>
      </w:pPr>
    </w:p>
    <w:p>
      <w:pPr>
        <w:ind w:left="460" w:hanging="456"/>
        <w:spacing w:after="0"/>
        <w:tabs>
          <w:tab w:leader="none" w:pos="460"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Written communications pursuant to Rule 425 under the Securities Act (17 CFR 230.425)</w:t>
      </w:r>
    </w:p>
    <w:p>
      <w:pPr>
        <w:spacing w:after="0" w:line="129" w:lineRule="exact"/>
        <w:rPr>
          <w:rFonts w:ascii="MS PGothic" w:cs="MS PGothic" w:eastAsia="MS PGothic" w:hAnsi="MS PGothic"/>
          <w:sz w:val="17"/>
          <w:szCs w:val="17"/>
          <w:color w:val="auto"/>
        </w:rPr>
      </w:pPr>
    </w:p>
    <w:p>
      <w:pPr>
        <w:ind w:left="460" w:hanging="456"/>
        <w:spacing w:after="0"/>
        <w:tabs>
          <w:tab w:leader="none" w:pos="460"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Soliciting material pursuant to Rule 14a-12 under the Exchange Act (17 CFR 240.14a-12)</w:t>
      </w:r>
    </w:p>
    <w:p>
      <w:pPr>
        <w:spacing w:after="0" w:line="129" w:lineRule="exact"/>
        <w:rPr>
          <w:rFonts w:ascii="MS PGothic" w:cs="MS PGothic" w:eastAsia="MS PGothic" w:hAnsi="MS PGothic"/>
          <w:sz w:val="17"/>
          <w:szCs w:val="17"/>
          <w:color w:val="auto"/>
        </w:rPr>
      </w:pPr>
    </w:p>
    <w:p>
      <w:pPr>
        <w:ind w:left="460" w:hanging="456"/>
        <w:spacing w:after="0"/>
        <w:tabs>
          <w:tab w:leader="none" w:pos="460"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Pre-commencement communications pursuant to Rule 14d-2(b) under the Exchange Act (17 CFR 240.14d-2(b))</w:t>
      </w:r>
    </w:p>
    <w:p>
      <w:pPr>
        <w:spacing w:after="0" w:line="129" w:lineRule="exact"/>
        <w:rPr>
          <w:rFonts w:ascii="MS PGothic" w:cs="MS PGothic" w:eastAsia="MS PGothic" w:hAnsi="MS PGothic"/>
          <w:sz w:val="17"/>
          <w:szCs w:val="17"/>
          <w:color w:val="auto"/>
        </w:rPr>
      </w:pPr>
    </w:p>
    <w:p>
      <w:pPr>
        <w:ind w:left="460" w:hanging="456"/>
        <w:spacing w:after="0"/>
        <w:tabs>
          <w:tab w:leader="none" w:pos="460"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221615</wp:posOffset>
            </wp:positionV>
            <wp:extent cx="7293610" cy="419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420"/>
          </w:cols>
          <w:pgMar w:left="240" w:top="220" w:right="239" w:bottom="1440" w:gutter="0" w:footer="0" w:header="0"/>
        </w:sectPr>
      </w:pPr>
    </w:p>
    <w:bookmarkStart w:id="1" w:name="page2"/>
    <w:bookmarkEnd w:id="1"/>
    <w:p>
      <w:pPr>
        <w:spacing w:after="0"/>
        <w:tabs>
          <w:tab w:leader="none" w:pos="1020" w:val="left"/>
        </w:tabs>
        <w:rPr>
          <w:sz w:val="20"/>
          <w:szCs w:val="20"/>
          <w:color w:val="auto"/>
        </w:rPr>
      </w:pPr>
      <w:r>
        <w:rPr>
          <w:rFonts w:ascii="Arial" w:cs="Arial" w:eastAsia="Arial" w:hAnsi="Arial"/>
          <w:sz w:val="17"/>
          <w:szCs w:val="17"/>
          <w:b w:val="1"/>
          <w:bCs w:val="1"/>
          <w:color w:val="auto"/>
        </w:rPr>
        <w:t>Item 2.02</w:t>
      </w:r>
      <w:r>
        <w:rPr>
          <w:sz w:val="20"/>
          <w:szCs w:val="20"/>
          <w:color w:val="auto"/>
        </w:rPr>
        <w:tab/>
      </w:r>
      <w:r>
        <w:rPr>
          <w:rFonts w:ascii="Arial" w:cs="Arial" w:eastAsia="Arial" w:hAnsi="Arial"/>
          <w:sz w:val="15"/>
          <w:szCs w:val="15"/>
          <w:b w:val="1"/>
          <w:bCs w:val="1"/>
          <w:color w:val="auto"/>
        </w:rPr>
        <w:t>Results of Operations and Financial Condition.</w:t>
      </w:r>
    </w:p>
    <w:p>
      <w:pPr>
        <w:spacing w:after="0" w:line="122" w:lineRule="exact"/>
        <w:rPr>
          <w:sz w:val="20"/>
          <w:szCs w:val="20"/>
          <w:color w:val="auto"/>
        </w:rPr>
      </w:pPr>
    </w:p>
    <w:p>
      <w:pPr>
        <w:ind w:right="80"/>
        <w:spacing w:after="0" w:line="318" w:lineRule="auto"/>
        <w:rPr>
          <w:sz w:val="20"/>
          <w:szCs w:val="20"/>
          <w:color w:val="auto"/>
        </w:rPr>
      </w:pPr>
      <w:r>
        <w:rPr>
          <w:rFonts w:ascii="Arial" w:cs="Arial" w:eastAsia="Arial" w:hAnsi="Arial"/>
          <w:sz w:val="16"/>
          <w:szCs w:val="16"/>
          <w:color w:val="auto"/>
        </w:rPr>
        <w:t>On March 1, 2017, Planet Fitness, Inc. (the “Company”) issued a press release announcing its financial results for the quarter and year ended December 31, 2016. A copy of this press release is being furnished as Exhibit 99.1 to this Current Report on Form 8-K and is incorporated by reference into this Item 2.02.</w:t>
      </w:r>
    </w:p>
    <w:p>
      <w:pPr>
        <w:spacing w:after="0" w:line="136" w:lineRule="exact"/>
        <w:rPr>
          <w:sz w:val="20"/>
          <w:szCs w:val="20"/>
          <w:color w:val="auto"/>
        </w:rPr>
      </w:pPr>
    </w:p>
    <w:p>
      <w:pPr>
        <w:jc w:val="both"/>
        <w:ind w:right="260"/>
        <w:spacing w:after="0" w:line="270" w:lineRule="auto"/>
        <w:rPr>
          <w:sz w:val="20"/>
          <w:szCs w:val="20"/>
          <w:color w:val="auto"/>
        </w:rPr>
      </w:pPr>
      <w:r>
        <w:rPr>
          <w:rFonts w:ascii="Arial" w:cs="Arial" w:eastAsia="Arial" w:hAnsi="Arial"/>
          <w:sz w:val="17"/>
          <w:szCs w:val="17"/>
          <w:color w:val="auto"/>
        </w:rPr>
        <w:t>In accordance with General Instruction B.2 of Form 8-K, the information in this Current Report on Form 8-K, including Exhibit 99.1, shall not be deemed “filed” for the purpose of Section 18 of the Securities Exchange Act of 1934 or otherwise subject to the liabilities of that section, nor shall it be deemed incorporated by reference in any filing under the Securities Act of 1933.</w:t>
      </w:r>
    </w:p>
    <w:p>
      <w:pPr>
        <w:spacing w:after="0" w:line="309" w:lineRule="exact"/>
        <w:rPr>
          <w:sz w:val="20"/>
          <w:szCs w:val="20"/>
          <w:color w:val="auto"/>
        </w:rPr>
      </w:pPr>
    </w:p>
    <w:p>
      <w:pPr>
        <w:spacing w:after="0"/>
        <w:tabs>
          <w:tab w:leader="none" w:pos="1020" w:val="left"/>
        </w:tabs>
        <w:rPr>
          <w:sz w:val="20"/>
          <w:szCs w:val="20"/>
          <w:color w:val="auto"/>
        </w:rPr>
      </w:pPr>
      <w:r>
        <w:rPr>
          <w:rFonts w:ascii="Arial" w:cs="Arial" w:eastAsia="Arial" w:hAnsi="Arial"/>
          <w:sz w:val="17"/>
          <w:szCs w:val="17"/>
          <w:b w:val="1"/>
          <w:bCs w:val="1"/>
          <w:color w:val="auto"/>
        </w:rPr>
        <w:t>Item 9.01</w:t>
      </w:r>
      <w:r>
        <w:rPr>
          <w:sz w:val="20"/>
          <w:szCs w:val="20"/>
          <w:color w:val="auto"/>
        </w:rPr>
        <w:tab/>
      </w:r>
      <w:r>
        <w:rPr>
          <w:rFonts w:ascii="Arial" w:cs="Arial" w:eastAsia="Arial" w:hAnsi="Arial"/>
          <w:sz w:val="15"/>
          <w:szCs w:val="15"/>
          <w:b w:val="1"/>
          <w:bCs w:val="1"/>
          <w:color w:val="auto"/>
        </w:rPr>
        <w:t>Financial Statements and Exhibits.</w:t>
      </w:r>
    </w:p>
    <w:p>
      <w:pPr>
        <w:spacing w:after="0" w:line="135" w:lineRule="exact"/>
        <w:rPr>
          <w:sz w:val="20"/>
          <w:szCs w:val="20"/>
          <w:color w:val="auto"/>
        </w:rPr>
      </w:pPr>
    </w:p>
    <w:p>
      <w:pPr>
        <w:ind w:left="460" w:hanging="456"/>
        <w:spacing w:after="0"/>
        <w:tabs>
          <w:tab w:leader="none" w:pos="460" w:val="left"/>
        </w:tabs>
        <w:numPr>
          <w:ilvl w:val="0"/>
          <w:numId w:val="2"/>
        </w:numPr>
        <w:rPr>
          <w:rFonts w:ascii="Arial" w:cs="Arial" w:eastAsia="Arial" w:hAnsi="Arial"/>
          <w:sz w:val="17"/>
          <w:szCs w:val="17"/>
          <w:color w:val="auto"/>
        </w:rPr>
      </w:pPr>
      <w:r>
        <w:rPr>
          <w:rFonts w:ascii="Arial" w:cs="Arial" w:eastAsia="Arial" w:hAnsi="Arial"/>
          <w:sz w:val="17"/>
          <w:szCs w:val="17"/>
          <w:color w:val="auto"/>
        </w:rPr>
        <w:t>Exhibits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700" w:type="dxa"/>
            <w:vAlign w:val="bottom"/>
          </w:tcPr>
          <w:p>
            <w:pPr>
              <w:spacing w:after="0"/>
              <w:rPr>
                <w:sz w:val="20"/>
                <w:szCs w:val="20"/>
                <w:color w:val="auto"/>
              </w:rPr>
            </w:pPr>
            <w:r>
              <w:rPr>
                <w:rFonts w:ascii="Arial" w:cs="Arial" w:eastAsia="Arial" w:hAnsi="Arial"/>
                <w:sz w:val="14"/>
                <w:szCs w:val="14"/>
                <w:b w:val="1"/>
                <w:bCs w:val="1"/>
                <w:color w:val="auto"/>
                <w:w w:val="92"/>
              </w:rPr>
              <w:t>Exhibit No.</w:t>
            </w:r>
          </w:p>
        </w:tc>
        <w:tc>
          <w:tcPr>
            <w:tcW w:w="10720" w:type="dxa"/>
            <w:vAlign w:val="bottom"/>
            <w:gridSpan w:val="2"/>
          </w:tcPr>
          <w:p>
            <w:pPr>
              <w:ind w:left="760"/>
              <w:spacing w:after="0"/>
              <w:rPr>
                <w:sz w:val="20"/>
                <w:szCs w:val="20"/>
                <w:color w:val="auto"/>
              </w:rPr>
            </w:pPr>
            <w:r>
              <w:rPr>
                <w:rFonts w:ascii="Arial" w:cs="Arial" w:eastAsia="Arial" w:hAnsi="Arial"/>
                <w:sz w:val="14"/>
                <w:szCs w:val="14"/>
                <w:b w:val="1"/>
                <w:bCs w:val="1"/>
                <w:color w:val="auto"/>
              </w:rPr>
              <w:t>Description</w:t>
            </w:r>
          </w:p>
        </w:tc>
        <w:tc>
          <w:tcPr>
            <w:tcW w:w="40" w:type="dxa"/>
            <w:vAlign w:val="bottom"/>
          </w:tcPr>
          <w:p>
            <w:pPr>
              <w:spacing w:after="0"/>
              <w:rPr>
                <w:sz w:val="14"/>
                <w:szCs w:val="14"/>
                <w:color w:val="auto"/>
              </w:rPr>
            </w:pPr>
          </w:p>
        </w:tc>
      </w:tr>
      <w:tr>
        <w:trPr>
          <w:trHeight w:val="26"/>
        </w:trPr>
        <w:tc>
          <w:tcPr>
            <w:tcW w:w="700" w:type="dxa"/>
            <w:vAlign w:val="bottom"/>
            <w:shd w:val="clear" w:color="auto" w:fill="000000"/>
          </w:tcPr>
          <w:p>
            <w:pPr>
              <w:spacing w:after="0"/>
              <w:rPr>
                <w:sz w:val="2"/>
                <w:szCs w:val="2"/>
                <w:color w:val="auto"/>
              </w:rPr>
            </w:pPr>
          </w:p>
        </w:tc>
        <w:tc>
          <w:tcPr>
            <w:tcW w:w="760" w:type="dxa"/>
            <w:vAlign w:val="bottom"/>
          </w:tcPr>
          <w:p>
            <w:pPr>
              <w:spacing w:after="0"/>
              <w:rPr>
                <w:sz w:val="2"/>
                <w:szCs w:val="2"/>
                <w:color w:val="auto"/>
              </w:rPr>
            </w:pPr>
          </w:p>
        </w:tc>
        <w:tc>
          <w:tcPr>
            <w:tcW w:w="996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r>
      <w:tr>
        <w:trPr>
          <w:trHeight w:val="299"/>
        </w:trPr>
        <w:tc>
          <w:tcPr>
            <w:tcW w:w="700" w:type="dxa"/>
            <w:vAlign w:val="bottom"/>
          </w:tcPr>
          <w:p>
            <w:pPr>
              <w:spacing w:after="0"/>
              <w:rPr>
                <w:sz w:val="20"/>
                <w:szCs w:val="20"/>
                <w:color w:val="auto"/>
              </w:rPr>
            </w:pPr>
            <w:r>
              <w:rPr>
                <w:rFonts w:ascii="Arial" w:cs="Arial" w:eastAsia="Arial" w:hAnsi="Arial"/>
                <w:sz w:val="17"/>
                <w:szCs w:val="17"/>
                <w:color w:val="auto"/>
              </w:rPr>
              <w:t>99.1</w:t>
            </w:r>
          </w:p>
        </w:tc>
        <w:tc>
          <w:tcPr>
            <w:tcW w:w="10720" w:type="dxa"/>
            <w:vAlign w:val="bottom"/>
            <w:gridSpan w:val="2"/>
          </w:tcPr>
          <w:p>
            <w:pPr>
              <w:ind w:left="760"/>
              <w:spacing w:after="0"/>
              <w:rPr>
                <w:sz w:val="20"/>
                <w:szCs w:val="20"/>
                <w:color w:val="auto"/>
              </w:rPr>
            </w:pPr>
            <w:r>
              <w:rPr>
                <w:rFonts w:ascii="Arial" w:cs="Arial" w:eastAsia="Arial" w:hAnsi="Arial"/>
                <w:sz w:val="17"/>
                <w:szCs w:val="17"/>
                <w:color w:val="auto"/>
              </w:rPr>
              <w:t>Press Release dated March 1, 2017</w:t>
            </w:r>
          </w:p>
        </w:tc>
        <w:tc>
          <w:tcPr>
            <w:tcW w:w="40" w:type="dxa"/>
            <w:vAlign w:val="bottom"/>
          </w:tcPr>
          <w:p>
            <w:pPr>
              <w:spacing w:after="0"/>
              <w:rPr>
                <w:sz w:val="24"/>
                <w:szCs w:val="24"/>
                <w:color w:val="auto"/>
              </w:rPr>
            </w:pPr>
          </w:p>
        </w:tc>
      </w:tr>
      <w:tr>
        <w:trPr>
          <w:trHeight w:val="578"/>
        </w:trPr>
        <w:tc>
          <w:tcPr>
            <w:tcW w:w="700" w:type="dxa"/>
            <w:vAlign w:val="bottom"/>
            <w:tcBorders>
              <w:bottom w:val="single" w:sz="8" w:color="9A9A9A"/>
            </w:tcBorders>
          </w:tcPr>
          <w:p>
            <w:pPr>
              <w:spacing w:after="0"/>
              <w:rPr>
                <w:sz w:val="24"/>
                <w:szCs w:val="24"/>
                <w:color w:val="auto"/>
              </w:rPr>
            </w:pPr>
          </w:p>
        </w:tc>
        <w:tc>
          <w:tcPr>
            <w:tcW w:w="760" w:type="dxa"/>
            <w:vAlign w:val="bottom"/>
            <w:tcBorders>
              <w:bottom w:val="single" w:sz="8" w:color="9A9A9A"/>
            </w:tcBorders>
          </w:tcPr>
          <w:p>
            <w:pPr>
              <w:spacing w:after="0"/>
              <w:rPr>
                <w:sz w:val="24"/>
                <w:szCs w:val="24"/>
                <w:color w:val="auto"/>
              </w:rPr>
            </w:pPr>
          </w:p>
        </w:tc>
        <w:tc>
          <w:tcPr>
            <w:tcW w:w="996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7249795</wp:posOffset>
            </wp:positionH>
            <wp:positionV relativeFrom="paragraph">
              <wp:posOffset>-28575</wp:posOffset>
            </wp:positionV>
            <wp:extent cx="33655" cy="419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-28575</wp:posOffset>
            </wp:positionV>
            <wp:extent cx="33655" cy="419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460"/>
          </w:cols>
          <w:pgMar w:left="240" w:top="355" w:right="199" w:bottom="1440" w:gutter="0" w:footer="0" w:header="0"/>
        </w:sectPr>
      </w:pPr>
    </w:p>
    <w:bookmarkStart w:id="2" w:name="page3"/>
    <w:bookmarkEnd w:id="2"/>
    <w:p>
      <w:pPr>
        <w:jc w:val="center"/>
        <w:spacing w:after="0"/>
        <w:rPr>
          <w:sz w:val="20"/>
          <w:szCs w:val="20"/>
          <w:color w:val="auto"/>
        </w:rPr>
      </w:pPr>
      <w:r>
        <w:rPr>
          <w:rFonts w:ascii="Arial" w:cs="Arial" w:eastAsia="Arial" w:hAnsi="Arial"/>
          <w:sz w:val="17"/>
          <w:szCs w:val="17"/>
          <w:b w:val="1"/>
          <w:bCs w:val="1"/>
          <w:color w:val="auto"/>
        </w:rPr>
        <w:t>SIGNATURE</w:t>
      </w:r>
    </w:p>
    <w:p>
      <w:pPr>
        <w:spacing w:after="0" w:line="226" w:lineRule="exact"/>
        <w:rPr>
          <w:sz w:val="20"/>
          <w:szCs w:val="20"/>
          <w:color w:val="auto"/>
        </w:rPr>
      </w:pPr>
    </w:p>
    <w:p>
      <w:pPr>
        <w:ind w:right="580"/>
        <w:spacing w:after="0" w:line="285"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hereunto duly authorized.</w:t>
      </w:r>
    </w:p>
    <w:p>
      <w:pPr>
        <w:spacing w:after="0" w:line="387" w:lineRule="exact"/>
        <w:rPr>
          <w:sz w:val="20"/>
          <w:szCs w:val="20"/>
          <w:color w:val="auto"/>
        </w:rPr>
      </w:pPr>
    </w:p>
    <w:p>
      <w:pPr>
        <w:ind w:left="6860"/>
        <w:spacing w:after="0"/>
        <w:rPr>
          <w:sz w:val="20"/>
          <w:szCs w:val="20"/>
          <w:color w:val="auto"/>
        </w:rPr>
      </w:pPr>
      <w:r>
        <w:rPr>
          <w:rFonts w:ascii="Arial" w:cs="Arial" w:eastAsia="Arial" w:hAnsi="Arial"/>
          <w:sz w:val="17"/>
          <w:szCs w:val="17"/>
          <w:b w:val="1"/>
          <w:bCs w:val="1"/>
          <w:color w:val="auto"/>
        </w:rPr>
        <w:t>PLANET FITNESS, INC.</w:t>
      </w:r>
    </w:p>
    <w:p>
      <w:pPr>
        <w:spacing w:after="0" w:line="226" w:lineRule="exact"/>
        <w:rPr>
          <w:sz w:val="20"/>
          <w:szCs w:val="20"/>
          <w:color w:val="auto"/>
        </w:rPr>
      </w:pPr>
    </w:p>
    <w:tbl>
      <w:tblPr>
        <w:tblLayout w:type="fixed"/>
        <w:tblInd w:w="6860" w:type="dxa"/>
        <w:tblCellMar>
          <w:top w:w="0" w:type="dxa"/>
          <w:left w:w="0" w:type="dxa"/>
          <w:bottom w:w="0" w:type="dxa"/>
          <w:right w:w="0" w:type="dxa"/>
        </w:tblCellMar>
      </w:tblPr>
      <w:tr>
        <w:trPr>
          <w:trHeight w:val="220"/>
        </w:trPr>
        <w:tc>
          <w:tcPr>
            <w:tcW w:w="540" w:type="dxa"/>
            <w:vAlign w:val="bottom"/>
          </w:tcPr>
          <w:p>
            <w:pPr>
              <w:spacing w:after="0"/>
              <w:rPr>
                <w:sz w:val="20"/>
                <w:szCs w:val="20"/>
                <w:color w:val="auto"/>
              </w:rPr>
            </w:pPr>
            <w:r>
              <w:rPr>
                <w:rFonts w:ascii="Arial" w:cs="Arial" w:eastAsia="Arial" w:hAnsi="Arial"/>
                <w:sz w:val="17"/>
                <w:szCs w:val="17"/>
                <w:color w:val="auto"/>
              </w:rPr>
              <w:t>By:</w:t>
            </w:r>
          </w:p>
        </w:tc>
        <w:tc>
          <w:tcPr>
            <w:tcW w:w="4020" w:type="dxa"/>
            <w:vAlign w:val="bottom"/>
            <w:tcBorders>
              <w:bottom w:val="single" w:sz="8" w:color="auto"/>
            </w:tcBorders>
          </w:tcPr>
          <w:p>
            <w:pPr>
              <w:ind w:left="60"/>
              <w:spacing w:after="0"/>
              <w:rPr>
                <w:sz w:val="20"/>
                <w:szCs w:val="20"/>
                <w:color w:val="auto"/>
              </w:rPr>
            </w:pPr>
            <w:r>
              <w:rPr>
                <w:rFonts w:ascii="Arial" w:cs="Arial" w:eastAsia="Arial" w:hAnsi="Arial"/>
                <w:sz w:val="17"/>
                <w:szCs w:val="17"/>
                <w:color w:val="auto"/>
              </w:rPr>
              <w:t>/s/ Dorvin Lively</w:t>
            </w:r>
          </w:p>
        </w:tc>
      </w:tr>
      <w:tr>
        <w:trPr>
          <w:trHeight w:val="188"/>
        </w:trPr>
        <w:tc>
          <w:tcPr>
            <w:tcW w:w="540" w:type="dxa"/>
            <w:vAlign w:val="bottom"/>
          </w:tcPr>
          <w:p>
            <w:pPr>
              <w:spacing w:after="0" w:line="189" w:lineRule="exact"/>
              <w:rPr>
                <w:sz w:val="20"/>
                <w:szCs w:val="20"/>
                <w:color w:val="auto"/>
              </w:rPr>
            </w:pPr>
            <w:r>
              <w:rPr>
                <w:rFonts w:ascii="Arial" w:cs="Arial" w:eastAsia="Arial" w:hAnsi="Arial"/>
                <w:sz w:val="17"/>
                <w:szCs w:val="17"/>
                <w:color w:val="auto"/>
              </w:rPr>
              <w:t>Name:</w:t>
            </w:r>
          </w:p>
        </w:tc>
        <w:tc>
          <w:tcPr>
            <w:tcW w:w="4020" w:type="dxa"/>
            <w:vAlign w:val="bottom"/>
          </w:tcPr>
          <w:p>
            <w:pPr>
              <w:ind w:left="60"/>
              <w:spacing w:after="0" w:line="189" w:lineRule="exact"/>
              <w:rPr>
                <w:sz w:val="20"/>
                <w:szCs w:val="20"/>
                <w:color w:val="auto"/>
              </w:rPr>
            </w:pPr>
            <w:r>
              <w:rPr>
                <w:rFonts w:ascii="Arial" w:cs="Arial" w:eastAsia="Arial" w:hAnsi="Arial"/>
                <w:sz w:val="17"/>
                <w:szCs w:val="17"/>
                <w:color w:val="auto"/>
              </w:rPr>
              <w:t>Dorvin Lively</w:t>
            </w:r>
          </w:p>
        </w:tc>
      </w:tr>
      <w:tr>
        <w:trPr>
          <w:trHeight w:val="220"/>
        </w:trPr>
        <w:tc>
          <w:tcPr>
            <w:tcW w:w="540" w:type="dxa"/>
            <w:vAlign w:val="bottom"/>
          </w:tcPr>
          <w:p>
            <w:pPr>
              <w:spacing w:after="0"/>
              <w:rPr>
                <w:sz w:val="20"/>
                <w:szCs w:val="20"/>
                <w:color w:val="auto"/>
              </w:rPr>
            </w:pPr>
            <w:r>
              <w:rPr>
                <w:rFonts w:ascii="Arial" w:cs="Arial" w:eastAsia="Arial" w:hAnsi="Arial"/>
                <w:sz w:val="17"/>
                <w:szCs w:val="17"/>
                <w:color w:val="auto"/>
              </w:rPr>
              <w:t>Title:</w:t>
            </w:r>
          </w:p>
        </w:tc>
        <w:tc>
          <w:tcPr>
            <w:tcW w:w="4020" w:type="dxa"/>
            <w:vAlign w:val="bottom"/>
          </w:tcPr>
          <w:p>
            <w:pPr>
              <w:ind w:left="60"/>
              <w:spacing w:after="0"/>
              <w:rPr>
                <w:sz w:val="20"/>
                <w:szCs w:val="20"/>
                <w:color w:val="auto"/>
              </w:rPr>
            </w:pPr>
            <w:r>
              <w:rPr>
                <w:rFonts w:ascii="Arial" w:cs="Arial" w:eastAsia="Arial" w:hAnsi="Arial"/>
                <w:sz w:val="17"/>
                <w:szCs w:val="17"/>
                <w:color w:val="auto"/>
              </w:rPr>
              <w:t>Chief Financial Officer</w:t>
            </w:r>
          </w:p>
        </w:tc>
      </w:tr>
    </w:tbl>
    <w:p>
      <w:pPr>
        <w:spacing w:after="0" w:line="1" w:lineRule="exact"/>
        <w:rPr>
          <w:sz w:val="20"/>
          <w:szCs w:val="20"/>
          <w:color w:val="auto"/>
        </w:rPr>
      </w:pPr>
    </w:p>
    <w:p>
      <w:pPr>
        <w:ind w:left="20"/>
        <w:spacing w:after="0"/>
        <w:rPr>
          <w:sz w:val="20"/>
          <w:szCs w:val="20"/>
          <w:color w:val="auto"/>
        </w:rPr>
      </w:pPr>
      <w:r>
        <w:rPr>
          <w:rFonts w:ascii="Arial" w:cs="Arial" w:eastAsia="Arial" w:hAnsi="Arial"/>
          <w:sz w:val="17"/>
          <w:szCs w:val="17"/>
          <w:color w:val="auto"/>
        </w:rPr>
        <w:t>Dated: March 1,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217805</wp:posOffset>
            </wp:positionV>
            <wp:extent cx="7293610" cy="419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7"/>
          <w:szCs w:val="17"/>
          <w:b w:val="1"/>
          <w:bCs w:val="1"/>
          <w:color w:val="auto"/>
        </w:rPr>
        <w:t>EXHIBIT INDEX</w:t>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700" w:type="dxa"/>
            <w:vAlign w:val="bottom"/>
          </w:tcPr>
          <w:p>
            <w:pPr>
              <w:spacing w:after="0"/>
              <w:rPr>
                <w:sz w:val="20"/>
                <w:szCs w:val="20"/>
                <w:color w:val="auto"/>
              </w:rPr>
            </w:pPr>
            <w:r>
              <w:rPr>
                <w:rFonts w:ascii="Arial" w:cs="Arial" w:eastAsia="Arial" w:hAnsi="Arial"/>
                <w:sz w:val="14"/>
                <w:szCs w:val="14"/>
                <w:b w:val="1"/>
                <w:bCs w:val="1"/>
                <w:color w:val="auto"/>
                <w:w w:val="92"/>
              </w:rPr>
              <w:t>Exhibit No.</w:t>
            </w:r>
          </w:p>
        </w:tc>
        <w:tc>
          <w:tcPr>
            <w:tcW w:w="10720" w:type="dxa"/>
            <w:vAlign w:val="bottom"/>
            <w:gridSpan w:val="2"/>
          </w:tcPr>
          <w:p>
            <w:pPr>
              <w:ind w:left="760"/>
              <w:spacing w:after="0"/>
              <w:rPr>
                <w:sz w:val="20"/>
                <w:szCs w:val="20"/>
                <w:color w:val="auto"/>
              </w:rPr>
            </w:pPr>
            <w:r>
              <w:rPr>
                <w:rFonts w:ascii="Arial" w:cs="Arial" w:eastAsia="Arial" w:hAnsi="Arial"/>
                <w:sz w:val="14"/>
                <w:szCs w:val="14"/>
                <w:b w:val="1"/>
                <w:bCs w:val="1"/>
                <w:color w:val="auto"/>
              </w:rPr>
              <w:t>Description</w:t>
            </w:r>
          </w:p>
        </w:tc>
      </w:tr>
      <w:tr>
        <w:trPr>
          <w:trHeight w:val="26"/>
        </w:trPr>
        <w:tc>
          <w:tcPr>
            <w:tcW w:w="700" w:type="dxa"/>
            <w:vAlign w:val="bottom"/>
            <w:shd w:val="clear" w:color="auto" w:fill="000000"/>
          </w:tcPr>
          <w:p>
            <w:pPr>
              <w:spacing w:after="0"/>
              <w:rPr>
                <w:sz w:val="2"/>
                <w:szCs w:val="2"/>
                <w:color w:val="auto"/>
              </w:rPr>
            </w:pPr>
          </w:p>
        </w:tc>
        <w:tc>
          <w:tcPr>
            <w:tcW w:w="760" w:type="dxa"/>
            <w:vAlign w:val="bottom"/>
          </w:tcPr>
          <w:p>
            <w:pPr>
              <w:spacing w:after="0"/>
              <w:rPr>
                <w:sz w:val="2"/>
                <w:szCs w:val="2"/>
                <w:color w:val="auto"/>
              </w:rPr>
            </w:pPr>
          </w:p>
        </w:tc>
        <w:tc>
          <w:tcPr>
            <w:tcW w:w="9960" w:type="dxa"/>
            <w:vAlign w:val="bottom"/>
            <w:shd w:val="clear" w:color="auto" w:fill="000000"/>
          </w:tcPr>
          <w:p>
            <w:pPr>
              <w:spacing w:after="0"/>
              <w:rPr>
                <w:sz w:val="2"/>
                <w:szCs w:val="2"/>
                <w:color w:val="auto"/>
              </w:rPr>
            </w:pPr>
          </w:p>
        </w:tc>
      </w:tr>
      <w:tr>
        <w:trPr>
          <w:trHeight w:val="299"/>
        </w:trPr>
        <w:tc>
          <w:tcPr>
            <w:tcW w:w="700" w:type="dxa"/>
            <w:vAlign w:val="bottom"/>
          </w:tcPr>
          <w:p>
            <w:pPr>
              <w:spacing w:after="0"/>
              <w:rPr>
                <w:sz w:val="20"/>
                <w:szCs w:val="20"/>
                <w:color w:val="auto"/>
              </w:rPr>
            </w:pPr>
            <w:r>
              <w:rPr>
                <w:rFonts w:ascii="Arial" w:cs="Arial" w:eastAsia="Arial" w:hAnsi="Arial"/>
                <w:sz w:val="17"/>
                <w:szCs w:val="17"/>
                <w:color w:val="auto"/>
              </w:rPr>
              <w:t>99.1</w:t>
            </w:r>
          </w:p>
        </w:tc>
        <w:tc>
          <w:tcPr>
            <w:tcW w:w="10720" w:type="dxa"/>
            <w:vAlign w:val="bottom"/>
            <w:gridSpan w:val="2"/>
          </w:tcPr>
          <w:p>
            <w:pPr>
              <w:ind w:left="760"/>
              <w:spacing w:after="0"/>
              <w:rPr>
                <w:sz w:val="20"/>
                <w:szCs w:val="20"/>
                <w:color w:val="auto"/>
              </w:rPr>
            </w:pPr>
            <w:r>
              <w:rPr>
                <w:rFonts w:ascii="Arial" w:cs="Arial" w:eastAsia="Arial" w:hAnsi="Arial"/>
                <w:sz w:val="17"/>
                <w:szCs w:val="17"/>
                <w:color w:val="auto"/>
              </w:rPr>
              <w:t>Press Release dated March 1, 2017</w:t>
            </w:r>
          </w:p>
        </w:tc>
      </w:tr>
    </w:tbl>
    <w:p>
      <w:pPr>
        <w:sectPr>
          <w:pgSz w:w="11900" w:h="16838" w:orient="portrait"/>
          <w:cols w:equalWidth="0" w:num="1">
            <w:col w:w="11420"/>
          </w:cols>
          <w:pgMar w:left="240" w:top="355" w:right="239" w:bottom="1440" w:gutter="0" w:footer="0" w:header="0"/>
        </w:sectPr>
      </w:pPr>
    </w:p>
    <w:bookmarkStart w:id="4" w:name="page5"/>
    <w:bookmarkEnd w:id="4"/>
    <w:p>
      <w:pPr>
        <w:jc w:val="right"/>
        <w:spacing w:after="0"/>
        <w:rPr>
          <w:sz w:val="20"/>
          <w:szCs w:val="20"/>
          <w:color w:val="auto"/>
        </w:rPr>
      </w:pPr>
      <w:r>
        <w:rPr>
          <w:rFonts w:ascii="Arial" w:cs="Arial" w:eastAsia="Arial" w:hAnsi="Arial"/>
          <w:sz w:val="17"/>
          <w:szCs w:val="17"/>
          <w:b w:val="1"/>
          <w:bCs w:val="1"/>
          <w:color w:val="auto"/>
        </w:rPr>
        <w:t>Exhibit 99.1</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Planet Fitness, Inc. Announces Fourth Quarter and Fiscal Year 2016 Results</w:t>
      </w:r>
    </w:p>
    <w:p>
      <w:pPr>
        <w:spacing w:after="0" w:line="35" w:lineRule="exact"/>
        <w:rPr>
          <w:sz w:val="20"/>
          <w:szCs w:val="20"/>
          <w:color w:val="auto"/>
        </w:rPr>
      </w:pPr>
    </w:p>
    <w:p>
      <w:pPr>
        <w:jc w:val="center"/>
        <w:ind w:left="260" w:right="2740"/>
        <w:spacing w:after="0" w:line="261" w:lineRule="auto"/>
        <w:rPr>
          <w:sz w:val="20"/>
          <w:szCs w:val="20"/>
          <w:color w:val="auto"/>
        </w:rPr>
      </w:pPr>
      <w:r>
        <w:rPr>
          <w:rFonts w:ascii="Arial" w:cs="Arial" w:eastAsia="Arial" w:hAnsi="Arial"/>
          <w:sz w:val="17"/>
          <w:szCs w:val="17"/>
          <w:b w:val="1"/>
          <w:bCs w:val="1"/>
          <w:color w:val="auto"/>
        </w:rPr>
        <w:t>Company Achieves 10 Years of Consecutive Quarterly Same Store Sales Growth Fourth Quarter System-Wide Same Store Sales Increased 10.6% Company Exceeds High-End of 2016 Guidance Ranges</w:t>
      </w:r>
    </w:p>
    <w:p>
      <w:pPr>
        <w:spacing w:after="0" w:line="76" w:lineRule="exact"/>
        <w:rPr>
          <w:sz w:val="20"/>
          <w:szCs w:val="20"/>
          <w:color w:val="auto"/>
        </w:rPr>
      </w:pPr>
    </w:p>
    <w:p>
      <w:pPr>
        <w:spacing w:after="0" w:line="285" w:lineRule="auto"/>
        <w:rPr>
          <w:sz w:val="20"/>
          <w:szCs w:val="20"/>
          <w:color w:val="auto"/>
        </w:rPr>
      </w:pPr>
      <w:r>
        <w:rPr>
          <w:rFonts w:ascii="Arial" w:cs="Arial" w:eastAsia="Arial" w:hAnsi="Arial"/>
          <w:sz w:val="17"/>
          <w:szCs w:val="17"/>
          <w:color w:val="auto"/>
        </w:rPr>
        <w:t>Newington, NH, March 1, 2017 – Planet Fitness, Inc. (NYSE:PLNT) today reported financial results for its fourth quarter and fiscal year ended December 31, 2016 and announces full year 2017 outlook.</w:t>
      </w:r>
    </w:p>
    <w:p>
      <w:pPr>
        <w:spacing w:after="0" w:line="49"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Fourth Quarter Fiscal 2016 Highlights</w:t>
      </w:r>
    </w:p>
    <w:p>
      <w:pPr>
        <w:spacing w:after="0" w:line="122" w:lineRule="exact"/>
        <w:rPr>
          <w:sz w:val="20"/>
          <w:szCs w:val="20"/>
          <w:color w:val="auto"/>
        </w:rPr>
      </w:pPr>
    </w:p>
    <w:p>
      <w:pPr>
        <w:ind w:left="880" w:hanging="317"/>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Total revenue increased from the prior year period by 10.0% to $116.4 million.</w:t>
      </w:r>
    </w:p>
    <w:p>
      <w:pPr>
        <w:spacing w:after="0" w:line="24" w:lineRule="exact"/>
        <w:rPr>
          <w:rFonts w:ascii="Arial" w:cs="Arial" w:eastAsia="Arial" w:hAnsi="Arial"/>
          <w:sz w:val="17"/>
          <w:szCs w:val="17"/>
          <w:color w:val="auto"/>
        </w:rPr>
      </w:pPr>
    </w:p>
    <w:p>
      <w:pPr>
        <w:ind w:left="880" w:hanging="317"/>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System-wide same store sales increased 10.6%.</w:t>
      </w:r>
    </w:p>
    <w:p>
      <w:pPr>
        <w:spacing w:after="0" w:line="12" w:lineRule="exact"/>
        <w:rPr>
          <w:rFonts w:ascii="Arial" w:cs="Arial" w:eastAsia="Arial" w:hAnsi="Arial"/>
          <w:sz w:val="17"/>
          <w:szCs w:val="17"/>
          <w:color w:val="auto"/>
        </w:rPr>
      </w:pPr>
    </w:p>
    <w:p>
      <w:pPr>
        <w:ind w:left="880" w:hanging="317"/>
        <w:spacing w:after="0"/>
        <w:tabs>
          <w:tab w:leader="none" w:pos="880" w:val="left"/>
        </w:tabs>
        <w:numPr>
          <w:ilvl w:val="0"/>
          <w:numId w:val="3"/>
        </w:numPr>
        <w:rPr>
          <w:rFonts w:ascii="Arial" w:cs="Arial" w:eastAsia="Arial" w:hAnsi="Arial"/>
          <w:sz w:val="16"/>
          <w:szCs w:val="16"/>
          <w:color w:val="auto"/>
        </w:rPr>
      </w:pPr>
      <w:r>
        <w:rPr>
          <w:rFonts w:ascii="Arial" w:cs="Arial" w:eastAsia="Arial" w:hAnsi="Arial"/>
          <w:sz w:val="16"/>
          <w:szCs w:val="16"/>
          <w:color w:val="auto"/>
        </w:rPr>
        <w:t>Net income was $21.9 million, or $0.18 per diluted share, compared to net income of $17.2 million, or $0.06 per diluted share in the prior year period.</w:t>
      </w:r>
    </w:p>
    <w:p>
      <w:pPr>
        <w:spacing w:after="0" w:line="23" w:lineRule="exact"/>
        <w:rPr>
          <w:rFonts w:ascii="Arial" w:cs="Arial" w:eastAsia="Arial" w:hAnsi="Arial"/>
          <w:sz w:val="16"/>
          <w:szCs w:val="16"/>
          <w:color w:val="auto"/>
        </w:rPr>
      </w:pPr>
    </w:p>
    <w:p>
      <w:pPr>
        <w:ind w:left="880" w:hanging="317"/>
        <w:spacing w:after="0" w:line="255" w:lineRule="auto"/>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Adjusted net income</w:t>
      </w:r>
      <w:r>
        <w:rPr>
          <w:rFonts w:ascii="Arial" w:cs="Arial" w:eastAsia="Arial" w:hAnsi="Arial"/>
          <w:sz w:val="14"/>
          <w:szCs w:val="14"/>
          <w:color w:val="auto"/>
        </w:rPr>
        <w:t>(1)</w:t>
      </w:r>
      <w:r>
        <w:rPr>
          <w:rFonts w:ascii="Arial" w:cs="Arial" w:eastAsia="Arial" w:hAnsi="Arial"/>
          <w:sz w:val="17"/>
          <w:szCs w:val="17"/>
          <w:color w:val="auto"/>
        </w:rPr>
        <w:t xml:space="preserve"> increased 15.9% to $19.7 million, or $0.20 per diluted share, compared to $17.0 million, or $0.17 per diluted share in the prior year period.</w:t>
      </w:r>
    </w:p>
    <w:p>
      <w:pPr>
        <w:ind w:left="880" w:hanging="317"/>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Adjusted EBITDA</w:t>
      </w:r>
      <w:r>
        <w:rPr>
          <w:rFonts w:ascii="Arial" w:cs="Arial" w:eastAsia="Arial" w:hAnsi="Arial"/>
          <w:sz w:val="14"/>
          <w:szCs w:val="14"/>
          <w:color w:val="auto"/>
        </w:rPr>
        <w:t>(1)</w:t>
      </w:r>
      <w:r>
        <w:rPr>
          <w:rFonts w:ascii="Arial" w:cs="Arial" w:eastAsia="Arial" w:hAnsi="Arial"/>
          <w:sz w:val="17"/>
          <w:szCs w:val="17"/>
          <w:color w:val="auto"/>
        </w:rPr>
        <w:t xml:space="preserve"> increased 17.7% to $44.1 million from $37.5 million in the prior year period.</w:t>
      </w:r>
    </w:p>
    <w:p>
      <w:pPr>
        <w:spacing w:after="0" w:line="12" w:lineRule="exact"/>
        <w:rPr>
          <w:rFonts w:ascii="Arial" w:cs="Arial" w:eastAsia="Arial" w:hAnsi="Arial"/>
          <w:sz w:val="17"/>
          <w:szCs w:val="17"/>
          <w:color w:val="auto"/>
        </w:rPr>
      </w:pPr>
    </w:p>
    <w:p>
      <w:pPr>
        <w:ind w:left="880" w:hanging="317"/>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74 new Planet Fitness stores were opened system-wide during the period, bringing system-wide total stores to 1,313 at December 31, 2016</w:t>
      </w:r>
    </w:p>
    <w:p>
      <w:pPr>
        <w:spacing w:after="0" w:line="12" w:lineRule="exact"/>
        <w:rPr>
          <w:rFonts w:ascii="Arial" w:cs="Arial" w:eastAsia="Arial" w:hAnsi="Arial"/>
          <w:sz w:val="17"/>
          <w:szCs w:val="17"/>
          <w:color w:val="auto"/>
        </w:rPr>
      </w:pPr>
    </w:p>
    <w:p>
      <w:pPr>
        <w:ind w:left="880" w:hanging="317"/>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Declared and paid a cash dividend to Class A shareholders of $2.78 per share</w:t>
      </w:r>
    </w:p>
    <w:p>
      <w:pPr>
        <w:spacing w:after="0" w:line="98"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Fiscal Year 2016 Highlights</w:t>
      </w:r>
    </w:p>
    <w:p>
      <w:pPr>
        <w:spacing w:after="0" w:line="122" w:lineRule="exact"/>
        <w:rPr>
          <w:sz w:val="20"/>
          <w:szCs w:val="20"/>
          <w:color w:val="auto"/>
        </w:rPr>
      </w:pPr>
    </w:p>
    <w:p>
      <w:pPr>
        <w:ind w:left="880" w:hanging="317"/>
        <w:spacing w:after="0"/>
        <w:tabs>
          <w:tab w:leader="none" w:pos="880" w:val="left"/>
        </w:tabs>
        <w:numPr>
          <w:ilvl w:val="1"/>
          <w:numId w:val="4"/>
        </w:numPr>
        <w:rPr>
          <w:rFonts w:ascii="Arial" w:cs="Arial" w:eastAsia="Arial" w:hAnsi="Arial"/>
          <w:sz w:val="17"/>
          <w:szCs w:val="17"/>
          <w:color w:val="auto"/>
        </w:rPr>
      </w:pPr>
      <w:r>
        <w:rPr>
          <w:rFonts w:ascii="Arial" w:cs="Arial" w:eastAsia="Arial" w:hAnsi="Arial"/>
          <w:sz w:val="17"/>
          <w:szCs w:val="17"/>
          <w:color w:val="auto"/>
        </w:rPr>
        <w:t>Total revenue increased from the prior year by 14.4% to $378.2 million.</w:t>
      </w:r>
    </w:p>
    <w:p>
      <w:pPr>
        <w:spacing w:after="0" w:line="24" w:lineRule="exact"/>
        <w:rPr>
          <w:rFonts w:ascii="Arial" w:cs="Arial" w:eastAsia="Arial" w:hAnsi="Arial"/>
          <w:sz w:val="17"/>
          <w:szCs w:val="17"/>
          <w:color w:val="auto"/>
        </w:rPr>
      </w:pPr>
    </w:p>
    <w:p>
      <w:pPr>
        <w:ind w:left="880" w:hanging="317"/>
        <w:spacing w:after="0"/>
        <w:tabs>
          <w:tab w:leader="none" w:pos="880" w:val="left"/>
        </w:tabs>
        <w:numPr>
          <w:ilvl w:val="1"/>
          <w:numId w:val="4"/>
        </w:numPr>
        <w:rPr>
          <w:rFonts w:ascii="Arial" w:cs="Arial" w:eastAsia="Arial" w:hAnsi="Arial"/>
          <w:sz w:val="17"/>
          <w:szCs w:val="17"/>
          <w:color w:val="auto"/>
        </w:rPr>
      </w:pPr>
      <w:r>
        <w:rPr>
          <w:rFonts w:ascii="Arial" w:cs="Arial" w:eastAsia="Arial" w:hAnsi="Arial"/>
          <w:sz w:val="17"/>
          <w:szCs w:val="17"/>
          <w:color w:val="auto"/>
        </w:rPr>
        <w:t>System-wide same store sales increased 8.8%.</w:t>
      </w:r>
    </w:p>
    <w:p>
      <w:pPr>
        <w:spacing w:after="0" w:line="12" w:lineRule="exact"/>
        <w:rPr>
          <w:rFonts w:ascii="Arial" w:cs="Arial" w:eastAsia="Arial" w:hAnsi="Arial"/>
          <w:sz w:val="17"/>
          <w:szCs w:val="17"/>
          <w:color w:val="auto"/>
        </w:rPr>
      </w:pPr>
    </w:p>
    <w:p>
      <w:pPr>
        <w:ind w:left="880" w:hanging="317"/>
        <w:spacing w:after="0"/>
        <w:tabs>
          <w:tab w:leader="none" w:pos="880" w:val="left"/>
        </w:tabs>
        <w:numPr>
          <w:ilvl w:val="1"/>
          <w:numId w:val="4"/>
        </w:numPr>
        <w:rPr>
          <w:rFonts w:ascii="Arial" w:cs="Arial" w:eastAsia="Arial" w:hAnsi="Arial"/>
          <w:sz w:val="16"/>
          <w:szCs w:val="16"/>
          <w:color w:val="auto"/>
        </w:rPr>
      </w:pPr>
      <w:r>
        <w:rPr>
          <w:rFonts w:ascii="Arial" w:cs="Arial" w:eastAsia="Arial" w:hAnsi="Arial"/>
          <w:sz w:val="16"/>
          <w:szCs w:val="16"/>
          <w:color w:val="auto"/>
        </w:rPr>
        <w:t>Net income was $71.2 million, or $0.50 per diluted share, compared to net income of $38.1 million, or $0.11 per diluted share in the prior year.</w:t>
      </w:r>
    </w:p>
    <w:p>
      <w:pPr>
        <w:spacing w:after="0" w:line="23" w:lineRule="exact"/>
        <w:rPr>
          <w:rFonts w:ascii="Arial" w:cs="Arial" w:eastAsia="Arial" w:hAnsi="Arial"/>
          <w:sz w:val="16"/>
          <w:szCs w:val="16"/>
          <w:color w:val="auto"/>
        </w:rPr>
      </w:pPr>
    </w:p>
    <w:p>
      <w:pPr>
        <w:ind w:left="880" w:hanging="317"/>
        <w:spacing w:after="0" w:line="255" w:lineRule="auto"/>
        <w:tabs>
          <w:tab w:leader="none" w:pos="880" w:val="left"/>
        </w:tabs>
        <w:numPr>
          <w:ilvl w:val="1"/>
          <w:numId w:val="4"/>
        </w:numPr>
        <w:rPr>
          <w:rFonts w:ascii="Arial" w:cs="Arial" w:eastAsia="Arial" w:hAnsi="Arial"/>
          <w:sz w:val="17"/>
          <w:szCs w:val="17"/>
          <w:color w:val="auto"/>
        </w:rPr>
      </w:pPr>
      <w:r>
        <w:rPr>
          <w:rFonts w:ascii="Arial" w:cs="Arial" w:eastAsia="Arial" w:hAnsi="Arial"/>
          <w:sz w:val="17"/>
          <w:szCs w:val="17"/>
          <w:color w:val="auto"/>
        </w:rPr>
        <w:t>Adjusted net income</w:t>
      </w:r>
      <w:r>
        <w:rPr>
          <w:rFonts w:ascii="Arial" w:cs="Arial" w:eastAsia="Arial" w:hAnsi="Arial"/>
          <w:sz w:val="14"/>
          <w:szCs w:val="14"/>
          <w:color w:val="auto"/>
        </w:rPr>
        <w:t>(1)</w:t>
      </w:r>
      <w:r>
        <w:rPr>
          <w:rFonts w:ascii="Arial" w:cs="Arial" w:eastAsia="Arial" w:hAnsi="Arial"/>
          <w:sz w:val="17"/>
          <w:szCs w:val="17"/>
          <w:color w:val="auto"/>
        </w:rPr>
        <w:t xml:space="preserve"> increased 26.9% to $67.6 million, or $0.69 per diluted share, compared to $53.2 million, or $0.54 per diluted share in the prior year.</w:t>
      </w:r>
    </w:p>
    <w:p>
      <w:pPr>
        <w:ind w:left="880" w:hanging="317"/>
        <w:spacing w:after="0"/>
        <w:tabs>
          <w:tab w:leader="none" w:pos="880" w:val="left"/>
        </w:tabs>
        <w:numPr>
          <w:ilvl w:val="1"/>
          <w:numId w:val="4"/>
        </w:numPr>
        <w:rPr>
          <w:rFonts w:ascii="Arial" w:cs="Arial" w:eastAsia="Arial" w:hAnsi="Arial"/>
          <w:sz w:val="17"/>
          <w:szCs w:val="17"/>
          <w:color w:val="auto"/>
        </w:rPr>
      </w:pPr>
      <w:r>
        <w:rPr>
          <w:rFonts w:ascii="Arial" w:cs="Arial" w:eastAsia="Arial" w:hAnsi="Arial"/>
          <w:sz w:val="17"/>
          <w:szCs w:val="17"/>
          <w:color w:val="auto"/>
        </w:rPr>
        <w:t>Adjusted EBITDA</w:t>
      </w:r>
      <w:r>
        <w:rPr>
          <w:rFonts w:ascii="Arial" w:cs="Arial" w:eastAsia="Arial" w:hAnsi="Arial"/>
          <w:sz w:val="14"/>
          <w:szCs w:val="14"/>
          <w:color w:val="auto"/>
        </w:rPr>
        <w:t>(1)</w:t>
      </w:r>
      <w:r>
        <w:rPr>
          <w:rFonts w:ascii="Arial" w:cs="Arial" w:eastAsia="Arial" w:hAnsi="Arial"/>
          <w:sz w:val="17"/>
          <w:szCs w:val="17"/>
          <w:color w:val="auto"/>
        </w:rPr>
        <w:t xml:space="preserve"> increased 22.0% to $150.6 million from $123.5 million in the prior year.</w:t>
      </w:r>
    </w:p>
    <w:p>
      <w:pPr>
        <w:spacing w:after="0" w:line="12" w:lineRule="exact"/>
        <w:rPr>
          <w:rFonts w:ascii="Arial" w:cs="Arial" w:eastAsia="Arial" w:hAnsi="Arial"/>
          <w:sz w:val="17"/>
          <w:szCs w:val="17"/>
          <w:color w:val="auto"/>
        </w:rPr>
      </w:pPr>
    </w:p>
    <w:p>
      <w:pPr>
        <w:ind w:left="880" w:hanging="317"/>
        <w:spacing w:after="0"/>
        <w:tabs>
          <w:tab w:leader="none" w:pos="880" w:val="left"/>
        </w:tabs>
        <w:numPr>
          <w:ilvl w:val="1"/>
          <w:numId w:val="4"/>
        </w:numPr>
        <w:rPr>
          <w:rFonts w:ascii="Arial" w:cs="Arial" w:eastAsia="Arial" w:hAnsi="Arial"/>
          <w:sz w:val="17"/>
          <w:szCs w:val="17"/>
          <w:color w:val="auto"/>
        </w:rPr>
      </w:pPr>
      <w:r>
        <w:rPr>
          <w:rFonts w:ascii="Arial" w:cs="Arial" w:eastAsia="Arial" w:hAnsi="Arial"/>
          <w:sz w:val="17"/>
          <w:szCs w:val="17"/>
          <w:color w:val="auto"/>
        </w:rPr>
        <w:t>195 new Planet Fitness stores were opened system-wide during the year, bringing system-wide total stores to 1,313 at December 31, 2016.</w:t>
      </w:r>
    </w:p>
    <w:p>
      <w:pPr>
        <w:spacing w:after="0" w:line="103" w:lineRule="exact"/>
        <w:rPr>
          <w:rFonts w:ascii="Arial" w:cs="Arial" w:eastAsia="Arial" w:hAnsi="Arial"/>
          <w:sz w:val="17"/>
          <w:szCs w:val="17"/>
          <w:color w:val="auto"/>
        </w:rPr>
      </w:pPr>
    </w:p>
    <w:p>
      <w:pPr>
        <w:ind w:firstLine="4"/>
        <w:spacing w:after="0" w:line="285" w:lineRule="auto"/>
        <w:tabs>
          <w:tab w:leader="none" w:pos="275" w:val="left"/>
        </w:tabs>
        <w:numPr>
          <w:ilvl w:val="0"/>
          <w:numId w:val="4"/>
        </w:numPr>
        <w:rPr>
          <w:rFonts w:ascii="Arial" w:cs="Arial" w:eastAsia="Arial" w:hAnsi="Arial"/>
          <w:sz w:val="17"/>
          <w:szCs w:val="17"/>
          <w:color w:val="auto"/>
        </w:rPr>
      </w:pPr>
      <w:r>
        <w:rPr>
          <w:rFonts w:ascii="Arial" w:cs="Arial" w:eastAsia="Arial" w:hAnsi="Arial"/>
          <w:sz w:val="17"/>
          <w:szCs w:val="17"/>
          <w:color w:val="auto"/>
        </w:rPr>
        <w:t>Adjusted net income and adjusted EBITDA are non-GAAP measures. For reconciliations of Adjusted EBITDA and Adjusted net income to U.S. GAAP (“GAAP”) net income see “Non-GAAP Financial Measures” accompanying this release.</w:t>
      </w:r>
    </w:p>
    <w:p>
      <w:pPr>
        <w:spacing w:after="0" w:line="55" w:lineRule="exact"/>
        <w:rPr>
          <w:sz w:val="20"/>
          <w:szCs w:val="20"/>
          <w:color w:val="auto"/>
        </w:rPr>
      </w:pPr>
    </w:p>
    <w:p>
      <w:pPr>
        <w:jc w:val="both"/>
        <w:spacing w:after="0" w:line="259" w:lineRule="auto"/>
        <w:rPr>
          <w:sz w:val="20"/>
          <w:szCs w:val="20"/>
          <w:color w:val="auto"/>
        </w:rPr>
      </w:pPr>
      <w:r>
        <w:rPr>
          <w:rFonts w:ascii="Arial" w:cs="Arial" w:eastAsia="Arial" w:hAnsi="Arial"/>
          <w:sz w:val="17"/>
          <w:szCs w:val="17"/>
          <w:color w:val="auto"/>
        </w:rPr>
        <w:t>Christopher Rondeau, Chief Executive Officer, commented, “it was another terrific year for Planet Fitness. We increased system-wide same store sales high-single digits, grew adjusted net income 27% and returned $271 million to shareholders through a special one-time dividend. The foundation of our success starts with our affordable, non-intimidating fitness offering. Our welcoming in-store experience featuring industry leading cardio and strength equipment is resonating with an increasing number of consumers as we expand brand awareness through our growing national and local advertising spend combined with our powerful franchise base that continues to bring our brand to new communities. We ended the year with over 1.6 million additional members in 2016, many of whom had never belonged to a gym before, and the new year is off to a strong start. I’m incredibly proud of everything we have accomplished, especially how we’ve enriched so many members’ lives and delivered strong returns for our franchisees and shareholders. We are excited to build on our current momentum in 2017 and over the long-term.”</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Operating Results for the Fourth Quarter Ended December 31, 2016</w:t>
      </w:r>
    </w:p>
    <w:p>
      <w:pPr>
        <w:spacing w:after="0" w:line="122" w:lineRule="exact"/>
        <w:rPr>
          <w:sz w:val="20"/>
          <w:szCs w:val="20"/>
          <w:color w:val="auto"/>
        </w:rPr>
      </w:pPr>
    </w:p>
    <w:p>
      <w:pPr>
        <w:spacing w:after="0"/>
        <w:rPr>
          <w:sz w:val="20"/>
          <w:szCs w:val="20"/>
          <w:color w:val="auto"/>
        </w:rPr>
      </w:pPr>
      <w:r>
        <w:rPr>
          <w:rFonts w:ascii="Arial" w:cs="Arial" w:eastAsia="Arial" w:hAnsi="Arial"/>
          <w:sz w:val="17"/>
          <w:szCs w:val="17"/>
          <w:color w:val="auto"/>
        </w:rPr>
        <w:t>For the fourth quarter of 2016, total revenue increased $10.6 million or 10.0% to $116.4 million from $105.8 million in the prior year period. By segment:</w:t>
      </w:r>
    </w:p>
    <w:p>
      <w:pPr>
        <w:spacing w:after="0" w:line="116" w:lineRule="exact"/>
        <w:rPr>
          <w:sz w:val="20"/>
          <w:szCs w:val="20"/>
          <w:color w:val="auto"/>
        </w:rPr>
      </w:pPr>
    </w:p>
    <w:p>
      <w:pPr>
        <w:ind w:left="880" w:hanging="317"/>
        <w:spacing w:after="0" w:line="262" w:lineRule="auto"/>
        <w:tabs>
          <w:tab w:leader="none" w:pos="880" w:val="left"/>
        </w:tabs>
        <w:numPr>
          <w:ilvl w:val="0"/>
          <w:numId w:val="5"/>
        </w:numPr>
        <w:rPr>
          <w:rFonts w:ascii="Arial" w:cs="Arial" w:eastAsia="Arial" w:hAnsi="Arial"/>
          <w:sz w:val="17"/>
          <w:szCs w:val="17"/>
          <w:color w:val="auto"/>
        </w:rPr>
      </w:pPr>
      <w:r>
        <w:rPr>
          <w:rFonts w:ascii="Arial" w:cs="Arial" w:eastAsia="Arial" w:hAnsi="Arial"/>
          <w:sz w:val="17"/>
          <w:szCs w:val="17"/>
          <w:color w:val="auto"/>
        </w:rPr>
        <w:t>Franchise segment revenue, which includes commission income, increased $7.5 million or 30.2% to $32.1 million from $24.7 million in the prior year period;</w:t>
      </w:r>
    </w:p>
    <w:p>
      <w:pPr>
        <w:spacing w:after="0" w:line="1" w:lineRule="exact"/>
        <w:rPr>
          <w:rFonts w:ascii="Arial" w:cs="Arial" w:eastAsia="Arial" w:hAnsi="Arial"/>
          <w:sz w:val="17"/>
          <w:szCs w:val="17"/>
          <w:color w:val="auto"/>
        </w:rPr>
      </w:pPr>
    </w:p>
    <w:p>
      <w:pPr>
        <w:ind w:left="880" w:hanging="317"/>
        <w:spacing w:after="0"/>
        <w:tabs>
          <w:tab w:leader="none" w:pos="880" w:val="left"/>
        </w:tabs>
        <w:numPr>
          <w:ilvl w:val="0"/>
          <w:numId w:val="5"/>
        </w:numPr>
        <w:rPr>
          <w:rFonts w:ascii="Arial" w:cs="Arial" w:eastAsia="Arial" w:hAnsi="Arial"/>
          <w:sz w:val="17"/>
          <w:szCs w:val="17"/>
          <w:color w:val="auto"/>
        </w:rPr>
      </w:pPr>
      <w:r>
        <w:rPr>
          <w:rFonts w:ascii="Arial" w:cs="Arial" w:eastAsia="Arial" w:hAnsi="Arial"/>
          <w:sz w:val="17"/>
          <w:szCs w:val="17"/>
          <w:color w:val="auto"/>
        </w:rPr>
        <w:t>Corporate-owned stores segment revenue increased $1.2 million or 5.1% to $26.0 million from $24.7 million in the prior year period; and</w:t>
      </w:r>
    </w:p>
    <w:p>
      <w:pPr>
        <w:spacing w:after="0" w:line="12" w:lineRule="exact"/>
        <w:rPr>
          <w:rFonts w:ascii="Arial" w:cs="Arial" w:eastAsia="Arial" w:hAnsi="Arial"/>
          <w:sz w:val="17"/>
          <w:szCs w:val="17"/>
          <w:color w:val="auto"/>
        </w:rPr>
      </w:pPr>
    </w:p>
    <w:p>
      <w:pPr>
        <w:ind w:left="880" w:hanging="317"/>
        <w:spacing w:after="0"/>
        <w:tabs>
          <w:tab w:leader="none" w:pos="880" w:val="left"/>
        </w:tabs>
        <w:numPr>
          <w:ilvl w:val="0"/>
          <w:numId w:val="5"/>
        </w:numPr>
        <w:rPr>
          <w:rFonts w:ascii="Arial" w:cs="Arial" w:eastAsia="Arial" w:hAnsi="Arial"/>
          <w:sz w:val="17"/>
          <w:szCs w:val="17"/>
          <w:color w:val="auto"/>
        </w:rPr>
      </w:pPr>
      <w:r>
        <w:rPr>
          <w:rFonts w:ascii="Arial" w:cs="Arial" w:eastAsia="Arial" w:hAnsi="Arial"/>
          <w:sz w:val="17"/>
          <w:szCs w:val="17"/>
          <w:color w:val="auto"/>
        </w:rPr>
        <w:t>Equipment segment revenue increased $1.9 million or 3.3% to $58.3 million from $56.5 million.</w:t>
      </w:r>
    </w:p>
    <w:p>
      <w:pPr>
        <w:spacing w:after="0" w:line="104" w:lineRule="exact"/>
        <w:rPr>
          <w:sz w:val="20"/>
          <w:szCs w:val="20"/>
          <w:color w:val="auto"/>
        </w:rPr>
      </w:pPr>
    </w:p>
    <w:p>
      <w:pPr>
        <w:spacing w:after="0" w:line="285" w:lineRule="auto"/>
        <w:rPr>
          <w:sz w:val="20"/>
          <w:szCs w:val="20"/>
          <w:color w:val="auto"/>
        </w:rPr>
      </w:pPr>
      <w:r>
        <w:rPr>
          <w:rFonts w:ascii="Arial" w:cs="Arial" w:eastAsia="Arial" w:hAnsi="Arial"/>
          <w:sz w:val="17"/>
          <w:szCs w:val="17"/>
          <w:color w:val="auto"/>
        </w:rPr>
        <w:t>System-wide same store sales increased 10.6%. By segment, franchisee-owned same store sales increased 11.0% and corporate-owned same store sales increased 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30480</wp:posOffset>
            </wp:positionV>
            <wp:extent cx="7293610"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420"/>
          </w:cols>
          <w:pgMar w:left="240" w:top="342" w:right="239" w:bottom="1440" w:gutter="0" w:footer="0" w:header="0"/>
        </w:sectPr>
      </w:pPr>
    </w:p>
    <w:bookmarkStart w:id="5" w:name="page6"/>
    <w:bookmarkEnd w:id="5"/>
    <w:p>
      <w:pPr>
        <w:jc w:val="both"/>
        <w:spacing w:after="0" w:line="262" w:lineRule="auto"/>
        <w:rPr>
          <w:sz w:val="20"/>
          <w:szCs w:val="20"/>
          <w:color w:val="auto"/>
        </w:rPr>
      </w:pPr>
      <w:r>
        <w:rPr>
          <w:rFonts w:ascii="Arial" w:cs="Arial" w:eastAsia="Arial" w:hAnsi="Arial"/>
          <w:sz w:val="17"/>
          <w:szCs w:val="17"/>
          <w:color w:val="auto"/>
        </w:rPr>
        <w:t>For the fourth quarter of fiscal 2016, net income was $21.9 million, or $0.18 per diluted share, compared to net income of $17.2 million, or $0.06 per diluted share in the prior year period. Adjusted net income (see “Non-GAAP Financial Measures”) increased 15.9% to $19.7 million, or $0.20 per diluted share, from $17.0 million, or $0.17 per diluted share, in the prior year period. Adjusted net income has been adjusted to reflect a normalized federal income tax rate of 39.5% for the current year period and 39.4% for the comparable prior year period and excludes certain non-cash and other items that we do not consider in the evaluation of ongoing operational performance (see “Non-GAAP Financial Measures”).</w:t>
      </w:r>
    </w:p>
    <w:p>
      <w:pPr>
        <w:spacing w:after="0" w:line="180"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Adjusted EBITDA, which is defined as net income before interest, taxes, depreciation and amortization, adjusted for the impact of certain non-cash and other items that we do not consider in the evaluation of ongoing operational performance (see “Non-GAAP Financial Measures”), increased 17.7% to $44.1 million from $37.5 million in the prior year period.</w:t>
      </w:r>
    </w:p>
    <w:p>
      <w:pPr>
        <w:spacing w:after="0" w:line="68" w:lineRule="exact"/>
        <w:rPr>
          <w:sz w:val="20"/>
          <w:szCs w:val="20"/>
          <w:color w:val="auto"/>
        </w:rPr>
      </w:pPr>
    </w:p>
    <w:p>
      <w:pPr>
        <w:jc w:val="both"/>
        <w:spacing w:after="0" w:line="285" w:lineRule="auto"/>
        <w:rPr>
          <w:sz w:val="20"/>
          <w:szCs w:val="20"/>
          <w:color w:val="auto"/>
        </w:rPr>
      </w:pPr>
      <w:r>
        <w:rPr>
          <w:rFonts w:ascii="Arial" w:cs="Arial" w:eastAsia="Arial" w:hAnsi="Arial"/>
          <w:sz w:val="17"/>
          <w:szCs w:val="17"/>
          <w:color w:val="auto"/>
        </w:rPr>
        <w:t>Segment EBITDA represents our Total Segment EBITDA broken down by the Company’s reportable segments. Total Segment EBITDA is equal to EBITDA, which is defined as net income before interest, taxes, depreciation and amortization (see “Non-GAAP Financial Measures”).</w:t>
      </w:r>
    </w:p>
    <w:p>
      <w:pPr>
        <w:spacing w:after="0" w:line="55" w:lineRule="exact"/>
        <w:rPr>
          <w:sz w:val="20"/>
          <w:szCs w:val="20"/>
          <w:color w:val="auto"/>
        </w:rPr>
      </w:pPr>
    </w:p>
    <w:p>
      <w:pPr>
        <w:ind w:left="880" w:hanging="317"/>
        <w:spacing w:after="0" w:line="262" w:lineRule="auto"/>
        <w:tabs>
          <w:tab w:leader="none" w:pos="880" w:val="left"/>
        </w:tabs>
        <w:numPr>
          <w:ilvl w:val="0"/>
          <w:numId w:val="6"/>
        </w:numPr>
        <w:rPr>
          <w:rFonts w:ascii="Arial" w:cs="Arial" w:eastAsia="Arial" w:hAnsi="Arial"/>
          <w:sz w:val="17"/>
          <w:szCs w:val="17"/>
          <w:color w:val="auto"/>
        </w:rPr>
      </w:pPr>
      <w:r>
        <w:rPr>
          <w:rFonts w:ascii="Arial" w:cs="Arial" w:eastAsia="Arial" w:hAnsi="Arial"/>
          <w:sz w:val="17"/>
          <w:szCs w:val="17"/>
          <w:color w:val="auto"/>
        </w:rPr>
        <w:t>Franchise segment EBITDA increased $6.7 million or 34.8% to $25.9 million driven by royalties from new stores opened since December 31, 2015 as well as higher same store sales;</w:t>
      </w:r>
    </w:p>
    <w:p>
      <w:pPr>
        <w:spacing w:after="0" w:line="1" w:lineRule="exact"/>
        <w:rPr>
          <w:rFonts w:ascii="Arial" w:cs="Arial" w:eastAsia="Arial" w:hAnsi="Arial"/>
          <w:sz w:val="17"/>
          <w:szCs w:val="17"/>
          <w:color w:val="auto"/>
        </w:rPr>
      </w:pPr>
    </w:p>
    <w:p>
      <w:pPr>
        <w:ind w:left="880" w:hanging="317"/>
        <w:spacing w:after="0"/>
        <w:tabs>
          <w:tab w:leader="none" w:pos="880" w:val="left"/>
        </w:tabs>
        <w:numPr>
          <w:ilvl w:val="0"/>
          <w:numId w:val="6"/>
        </w:numPr>
        <w:rPr>
          <w:rFonts w:ascii="Arial" w:cs="Arial" w:eastAsia="Arial" w:hAnsi="Arial"/>
          <w:sz w:val="17"/>
          <w:szCs w:val="17"/>
          <w:color w:val="auto"/>
        </w:rPr>
      </w:pPr>
      <w:r>
        <w:rPr>
          <w:rFonts w:ascii="Arial" w:cs="Arial" w:eastAsia="Arial" w:hAnsi="Arial"/>
          <w:sz w:val="17"/>
          <w:szCs w:val="17"/>
          <w:color w:val="auto"/>
        </w:rPr>
        <w:t>Corporate-owned stores segment EBITDA increased $0.9 million or 8.8% to $10.6 million driven by higher same store sales; and</w:t>
      </w:r>
    </w:p>
    <w:p>
      <w:pPr>
        <w:spacing w:after="0" w:line="12" w:lineRule="exact"/>
        <w:rPr>
          <w:rFonts w:ascii="Arial" w:cs="Arial" w:eastAsia="Arial" w:hAnsi="Arial"/>
          <w:sz w:val="17"/>
          <w:szCs w:val="17"/>
          <w:color w:val="auto"/>
        </w:rPr>
      </w:pPr>
    </w:p>
    <w:p>
      <w:pPr>
        <w:ind w:left="880" w:hanging="317"/>
        <w:spacing w:after="0"/>
        <w:tabs>
          <w:tab w:leader="none" w:pos="880" w:val="left"/>
        </w:tabs>
        <w:numPr>
          <w:ilvl w:val="0"/>
          <w:numId w:val="6"/>
        </w:numPr>
        <w:rPr>
          <w:rFonts w:ascii="Arial" w:cs="Arial" w:eastAsia="Arial" w:hAnsi="Arial"/>
          <w:sz w:val="17"/>
          <w:szCs w:val="17"/>
          <w:color w:val="auto"/>
        </w:rPr>
      </w:pPr>
      <w:r>
        <w:rPr>
          <w:rFonts w:ascii="Arial" w:cs="Arial" w:eastAsia="Arial" w:hAnsi="Arial"/>
          <w:sz w:val="17"/>
          <w:szCs w:val="17"/>
          <w:color w:val="auto"/>
        </w:rPr>
        <w:t>Equipment segment EBITDA increased $2.1 million or 16.0% to $15.1 million driven primarily by higher equipment sales.</w:t>
      </w: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Operating Results for the Fiscal Year Ended December 31, 2016</w:t>
      </w:r>
    </w:p>
    <w:p>
      <w:pPr>
        <w:spacing w:after="0" w:line="122" w:lineRule="exact"/>
        <w:rPr>
          <w:sz w:val="20"/>
          <w:szCs w:val="20"/>
          <w:color w:val="auto"/>
        </w:rPr>
      </w:pPr>
    </w:p>
    <w:p>
      <w:pPr>
        <w:spacing w:after="0"/>
        <w:rPr>
          <w:sz w:val="20"/>
          <w:szCs w:val="20"/>
          <w:color w:val="auto"/>
        </w:rPr>
      </w:pPr>
      <w:r>
        <w:rPr>
          <w:rFonts w:ascii="Arial" w:cs="Arial" w:eastAsia="Arial" w:hAnsi="Arial"/>
          <w:sz w:val="16"/>
          <w:szCs w:val="16"/>
          <w:color w:val="auto"/>
        </w:rPr>
        <w:t>For the fiscal year ended December 31, 2016, total revenue increased $47.7 million or 14.4% to $378.2 million from $330.5 million in the prior year. By segment:</w:t>
      </w:r>
    </w:p>
    <w:p>
      <w:pPr>
        <w:spacing w:after="0" w:line="128" w:lineRule="exact"/>
        <w:rPr>
          <w:sz w:val="20"/>
          <w:szCs w:val="20"/>
          <w:color w:val="auto"/>
        </w:rPr>
      </w:pPr>
    </w:p>
    <w:p>
      <w:pPr>
        <w:ind w:left="880" w:hanging="317"/>
        <w:spacing w:after="0" w:line="262" w:lineRule="auto"/>
        <w:tabs>
          <w:tab w:leader="none" w:pos="880" w:val="left"/>
        </w:tabs>
        <w:numPr>
          <w:ilvl w:val="0"/>
          <w:numId w:val="7"/>
        </w:numPr>
        <w:rPr>
          <w:rFonts w:ascii="Arial" w:cs="Arial" w:eastAsia="Arial" w:hAnsi="Arial"/>
          <w:sz w:val="17"/>
          <w:szCs w:val="17"/>
          <w:color w:val="auto"/>
        </w:rPr>
      </w:pPr>
      <w:r>
        <w:rPr>
          <w:rFonts w:ascii="Arial" w:cs="Arial" w:eastAsia="Arial" w:hAnsi="Arial"/>
          <w:sz w:val="17"/>
          <w:szCs w:val="17"/>
          <w:color w:val="auto"/>
        </w:rPr>
        <w:t>Franchise segment revenue, which includes commission income, increased $28.4 million or 32.2% to $116.5 million from $88.1 million in the prior year;</w:t>
      </w:r>
    </w:p>
    <w:p>
      <w:pPr>
        <w:spacing w:after="0" w:line="1" w:lineRule="exact"/>
        <w:rPr>
          <w:rFonts w:ascii="Arial" w:cs="Arial" w:eastAsia="Arial" w:hAnsi="Arial"/>
          <w:sz w:val="17"/>
          <w:szCs w:val="17"/>
          <w:color w:val="auto"/>
        </w:rPr>
      </w:pPr>
    </w:p>
    <w:p>
      <w:pPr>
        <w:ind w:left="880" w:hanging="317"/>
        <w:spacing w:after="0"/>
        <w:tabs>
          <w:tab w:leader="none" w:pos="880" w:val="left"/>
        </w:tabs>
        <w:numPr>
          <w:ilvl w:val="0"/>
          <w:numId w:val="7"/>
        </w:numPr>
        <w:rPr>
          <w:rFonts w:ascii="Arial" w:cs="Arial" w:eastAsia="Arial" w:hAnsi="Arial"/>
          <w:sz w:val="17"/>
          <w:szCs w:val="17"/>
          <w:color w:val="auto"/>
        </w:rPr>
      </w:pPr>
      <w:r>
        <w:rPr>
          <w:rFonts w:ascii="Arial" w:cs="Arial" w:eastAsia="Arial" w:hAnsi="Arial"/>
          <w:sz w:val="17"/>
          <w:szCs w:val="17"/>
          <w:color w:val="auto"/>
        </w:rPr>
        <w:t>Corporate-owned stores segment revenue increased $6.3 million or 6.4% to $104.7 million from $98.4 million in the prior year; and</w:t>
      </w:r>
    </w:p>
    <w:p>
      <w:pPr>
        <w:spacing w:after="0" w:line="12" w:lineRule="exact"/>
        <w:rPr>
          <w:rFonts w:ascii="Arial" w:cs="Arial" w:eastAsia="Arial" w:hAnsi="Arial"/>
          <w:sz w:val="17"/>
          <w:szCs w:val="17"/>
          <w:color w:val="auto"/>
        </w:rPr>
      </w:pPr>
    </w:p>
    <w:p>
      <w:pPr>
        <w:ind w:left="880" w:hanging="317"/>
        <w:spacing w:after="0"/>
        <w:tabs>
          <w:tab w:leader="none" w:pos="880" w:val="left"/>
        </w:tabs>
        <w:numPr>
          <w:ilvl w:val="0"/>
          <w:numId w:val="7"/>
        </w:numPr>
        <w:rPr>
          <w:rFonts w:ascii="Arial" w:cs="Arial" w:eastAsia="Arial" w:hAnsi="Arial"/>
          <w:sz w:val="17"/>
          <w:szCs w:val="17"/>
          <w:color w:val="auto"/>
        </w:rPr>
      </w:pPr>
      <w:r>
        <w:rPr>
          <w:rFonts w:ascii="Arial" w:cs="Arial" w:eastAsia="Arial" w:hAnsi="Arial"/>
          <w:sz w:val="17"/>
          <w:szCs w:val="17"/>
          <w:color w:val="auto"/>
        </w:rPr>
        <w:t>Equipment segment revenue increased $13.0 million or 9.0% to $157.0 million from $144.1 million in the prior year.</w:t>
      </w:r>
    </w:p>
    <w:p>
      <w:pPr>
        <w:spacing w:after="0" w:line="104" w:lineRule="exact"/>
        <w:rPr>
          <w:sz w:val="20"/>
          <w:szCs w:val="20"/>
          <w:color w:val="auto"/>
        </w:rPr>
      </w:pPr>
    </w:p>
    <w:p>
      <w:pPr>
        <w:jc w:val="both"/>
        <w:spacing w:after="0" w:line="285" w:lineRule="auto"/>
        <w:rPr>
          <w:sz w:val="20"/>
          <w:szCs w:val="20"/>
          <w:color w:val="auto"/>
        </w:rPr>
      </w:pPr>
      <w:r>
        <w:rPr>
          <w:rFonts w:ascii="Arial" w:cs="Arial" w:eastAsia="Arial" w:hAnsi="Arial"/>
          <w:sz w:val="17"/>
          <w:szCs w:val="17"/>
          <w:color w:val="auto"/>
        </w:rPr>
        <w:t>System-wide same store sales increased 8.8% from the prior year. By segment, franchisee-owned same store sales increased 9.0% and corporate-owned same store sales increased 4.9% from the prior year.</w:t>
      </w:r>
    </w:p>
    <w:p>
      <w:pPr>
        <w:spacing w:after="0" w:line="55" w:lineRule="exact"/>
        <w:rPr>
          <w:sz w:val="20"/>
          <w:szCs w:val="20"/>
          <w:color w:val="auto"/>
        </w:rPr>
      </w:pPr>
    </w:p>
    <w:p>
      <w:pPr>
        <w:jc w:val="both"/>
        <w:spacing w:after="0" w:line="262" w:lineRule="auto"/>
        <w:rPr>
          <w:sz w:val="20"/>
          <w:szCs w:val="20"/>
          <w:color w:val="auto"/>
        </w:rPr>
      </w:pPr>
      <w:r>
        <w:rPr>
          <w:rFonts w:ascii="Arial" w:cs="Arial" w:eastAsia="Arial" w:hAnsi="Arial"/>
          <w:sz w:val="17"/>
          <w:szCs w:val="17"/>
          <w:color w:val="auto"/>
        </w:rPr>
        <w:t>Net income increased to $71.2 million, or $0.50 per diluted share, from $38.1 million, or $0.11 per diluted share in the prior year. Adjusted net income (see “Non-GAAP Financial Measures”) increased 26.9% to $67.6 million, or $0.69 per diluted share, from $53.2 million, or $0.54 per diluted share, in the prior year. Adjusted net income has been adjusted to reflect a normalized federal income tax rate of 39.5% for the current year period and 39.4% for the comparable prior year period and excludes certain non-cash and other items that we do not consider in the evaluation of ongoing operational performance (see “Non-GAAP Financial Measures”).</w:t>
      </w:r>
    </w:p>
    <w:p>
      <w:pPr>
        <w:spacing w:after="0" w:line="76" w:lineRule="exact"/>
        <w:rPr>
          <w:sz w:val="20"/>
          <w:szCs w:val="20"/>
          <w:color w:val="auto"/>
        </w:rPr>
      </w:pPr>
    </w:p>
    <w:p>
      <w:pPr>
        <w:spacing w:after="0"/>
        <w:rPr>
          <w:sz w:val="20"/>
          <w:szCs w:val="20"/>
          <w:color w:val="auto"/>
        </w:rPr>
      </w:pPr>
      <w:r>
        <w:rPr>
          <w:rFonts w:ascii="Arial" w:cs="Arial" w:eastAsia="Arial" w:hAnsi="Arial"/>
          <w:sz w:val="16"/>
          <w:szCs w:val="16"/>
          <w:color w:val="auto"/>
        </w:rPr>
        <w:t>Adjusted EBITDA (see “Non-GAAP Financial Measures”) increased $27.1 million or 22.0% to $150.6 million in fiscal 2016 from $123.5 million in the prior year.</w:t>
      </w:r>
    </w:p>
    <w:p>
      <w:pPr>
        <w:spacing w:after="0" w:line="128" w:lineRule="exact"/>
        <w:rPr>
          <w:sz w:val="20"/>
          <w:szCs w:val="20"/>
          <w:color w:val="auto"/>
        </w:rPr>
      </w:pPr>
    </w:p>
    <w:p>
      <w:pPr>
        <w:jc w:val="both"/>
        <w:spacing w:after="0" w:line="285" w:lineRule="auto"/>
        <w:rPr>
          <w:sz w:val="20"/>
          <w:szCs w:val="20"/>
          <w:color w:val="auto"/>
        </w:rPr>
      </w:pPr>
      <w:r>
        <w:rPr>
          <w:rFonts w:ascii="Arial" w:cs="Arial" w:eastAsia="Arial" w:hAnsi="Arial"/>
          <w:sz w:val="17"/>
          <w:szCs w:val="17"/>
          <w:color w:val="auto"/>
        </w:rPr>
        <w:t>Segment EBITDA represents our Total Segment EBITDA broken down by the Company’s reportable segments. Total Segment EBITDA is equal to EBITDA, which is defined as net income before interest, taxes, depreciation and amortization (see “Non-GAAP Financial Measures”).</w:t>
      </w:r>
    </w:p>
    <w:p>
      <w:pPr>
        <w:spacing w:after="0" w:line="55" w:lineRule="exact"/>
        <w:rPr>
          <w:sz w:val="20"/>
          <w:szCs w:val="20"/>
          <w:color w:val="auto"/>
        </w:rPr>
      </w:pPr>
    </w:p>
    <w:p>
      <w:pPr>
        <w:ind w:left="880" w:hanging="317"/>
        <w:spacing w:after="0"/>
        <w:tabs>
          <w:tab w:leader="none" w:pos="880" w:val="left"/>
        </w:tabs>
        <w:numPr>
          <w:ilvl w:val="0"/>
          <w:numId w:val="8"/>
        </w:numPr>
        <w:rPr>
          <w:rFonts w:ascii="Arial" w:cs="Arial" w:eastAsia="Arial" w:hAnsi="Arial"/>
          <w:sz w:val="17"/>
          <w:szCs w:val="17"/>
          <w:color w:val="auto"/>
        </w:rPr>
      </w:pPr>
      <w:r>
        <w:rPr>
          <w:rFonts w:ascii="Arial" w:cs="Arial" w:eastAsia="Arial" w:hAnsi="Arial"/>
          <w:sz w:val="17"/>
          <w:szCs w:val="17"/>
          <w:color w:val="auto"/>
        </w:rPr>
        <w:t>Franchise segment EBITDA increased $31.2 million or 47.3% to $97.3 million;</w:t>
      </w:r>
    </w:p>
    <w:p>
      <w:pPr>
        <w:spacing w:after="0" w:line="24" w:lineRule="exact"/>
        <w:rPr>
          <w:rFonts w:ascii="Arial" w:cs="Arial" w:eastAsia="Arial" w:hAnsi="Arial"/>
          <w:sz w:val="17"/>
          <w:szCs w:val="17"/>
          <w:color w:val="auto"/>
        </w:rPr>
      </w:pPr>
    </w:p>
    <w:p>
      <w:pPr>
        <w:ind w:left="880" w:hanging="317"/>
        <w:spacing w:after="0"/>
        <w:tabs>
          <w:tab w:leader="none" w:pos="880" w:val="left"/>
        </w:tabs>
        <w:numPr>
          <w:ilvl w:val="0"/>
          <w:numId w:val="8"/>
        </w:numPr>
        <w:rPr>
          <w:rFonts w:ascii="Arial" w:cs="Arial" w:eastAsia="Arial" w:hAnsi="Arial"/>
          <w:sz w:val="17"/>
          <w:szCs w:val="17"/>
          <w:color w:val="auto"/>
        </w:rPr>
      </w:pPr>
      <w:r>
        <w:rPr>
          <w:rFonts w:ascii="Arial" w:cs="Arial" w:eastAsia="Arial" w:hAnsi="Arial"/>
          <w:sz w:val="17"/>
          <w:szCs w:val="17"/>
          <w:color w:val="auto"/>
        </w:rPr>
        <w:t>Corporate-owned stores segment EBITDA increased $4.8 million or 13.2% to $40.8 million; and</w:t>
      </w:r>
    </w:p>
    <w:p>
      <w:pPr>
        <w:spacing w:after="0" w:line="12" w:lineRule="exact"/>
        <w:rPr>
          <w:rFonts w:ascii="Arial" w:cs="Arial" w:eastAsia="Arial" w:hAnsi="Arial"/>
          <w:sz w:val="17"/>
          <w:szCs w:val="17"/>
          <w:color w:val="auto"/>
        </w:rPr>
      </w:pPr>
    </w:p>
    <w:p>
      <w:pPr>
        <w:ind w:left="880" w:hanging="317"/>
        <w:spacing w:after="0"/>
        <w:tabs>
          <w:tab w:leader="none" w:pos="880" w:val="left"/>
        </w:tabs>
        <w:numPr>
          <w:ilvl w:val="0"/>
          <w:numId w:val="8"/>
        </w:numPr>
        <w:rPr>
          <w:rFonts w:ascii="Arial" w:cs="Arial" w:eastAsia="Arial" w:hAnsi="Arial"/>
          <w:sz w:val="17"/>
          <w:szCs w:val="17"/>
          <w:color w:val="auto"/>
        </w:rPr>
      </w:pPr>
      <w:r>
        <w:rPr>
          <w:rFonts w:ascii="Arial" w:cs="Arial" w:eastAsia="Arial" w:hAnsi="Arial"/>
          <w:sz w:val="17"/>
          <w:szCs w:val="17"/>
          <w:color w:val="auto"/>
        </w:rPr>
        <w:t>Equipment segment EBITDA increased $4.5 million or 14.1% to $36.4 million.</w:t>
      </w:r>
    </w:p>
    <w:p>
      <w:pPr>
        <w:spacing w:after="0" w:line="98"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2017 Outlook</w:t>
      </w:r>
    </w:p>
    <w:p>
      <w:pPr>
        <w:spacing w:after="0" w:line="122" w:lineRule="exact"/>
        <w:rPr>
          <w:sz w:val="20"/>
          <w:szCs w:val="20"/>
          <w:color w:val="auto"/>
        </w:rPr>
      </w:pPr>
    </w:p>
    <w:p>
      <w:pPr>
        <w:spacing w:after="0"/>
        <w:rPr>
          <w:sz w:val="20"/>
          <w:szCs w:val="20"/>
          <w:color w:val="auto"/>
        </w:rPr>
      </w:pPr>
      <w:r>
        <w:rPr>
          <w:rFonts w:ascii="Arial" w:cs="Arial" w:eastAsia="Arial" w:hAnsi="Arial"/>
          <w:sz w:val="17"/>
          <w:szCs w:val="17"/>
          <w:color w:val="auto"/>
        </w:rPr>
        <w:t>For the year ending December 31, 2017, the Company expects:</w:t>
      </w:r>
    </w:p>
    <w:p>
      <w:pPr>
        <w:spacing w:after="0" w:line="324" w:lineRule="exact"/>
        <w:rPr>
          <w:sz w:val="20"/>
          <w:szCs w:val="20"/>
          <w:color w:val="auto"/>
        </w:rPr>
      </w:pPr>
    </w:p>
    <w:p>
      <w:pPr>
        <w:ind w:left="880" w:hanging="317"/>
        <w:spacing w:after="0"/>
        <w:tabs>
          <w:tab w:leader="none" w:pos="880" w:val="left"/>
        </w:tabs>
        <w:numPr>
          <w:ilvl w:val="0"/>
          <w:numId w:val="9"/>
        </w:numPr>
        <w:rPr>
          <w:rFonts w:ascii="Arial" w:cs="Arial" w:eastAsia="Arial" w:hAnsi="Arial"/>
          <w:sz w:val="17"/>
          <w:szCs w:val="17"/>
          <w:color w:val="auto"/>
        </w:rPr>
      </w:pPr>
      <w:r>
        <w:rPr>
          <w:rFonts w:ascii="Arial" w:cs="Arial" w:eastAsia="Arial" w:hAnsi="Arial"/>
          <w:sz w:val="17"/>
          <w:szCs w:val="17"/>
          <w:color w:val="auto"/>
        </w:rPr>
        <w:t>Total revenue between $405 million and $415 million;</w:t>
      </w:r>
    </w:p>
    <w:p>
      <w:pPr>
        <w:spacing w:after="0" w:line="24" w:lineRule="exact"/>
        <w:rPr>
          <w:rFonts w:ascii="Arial" w:cs="Arial" w:eastAsia="Arial" w:hAnsi="Arial"/>
          <w:sz w:val="17"/>
          <w:szCs w:val="17"/>
          <w:color w:val="auto"/>
        </w:rPr>
      </w:pPr>
    </w:p>
    <w:p>
      <w:pPr>
        <w:ind w:left="880" w:hanging="317"/>
        <w:spacing w:after="0"/>
        <w:tabs>
          <w:tab w:leader="none" w:pos="8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System-wide same store sales growth in the 6% to 8% range; and</w:t>
      </w:r>
    </w:p>
    <w:p>
      <w:pPr>
        <w:spacing w:after="0" w:line="12" w:lineRule="exact"/>
        <w:rPr>
          <w:rFonts w:ascii="Arial" w:cs="Arial" w:eastAsia="Arial" w:hAnsi="Arial"/>
          <w:sz w:val="17"/>
          <w:szCs w:val="17"/>
          <w:color w:val="auto"/>
        </w:rPr>
      </w:pPr>
    </w:p>
    <w:p>
      <w:pPr>
        <w:ind w:left="880" w:hanging="317"/>
        <w:spacing w:after="0"/>
        <w:tabs>
          <w:tab w:leader="none" w:pos="880" w:val="left"/>
        </w:tabs>
        <w:numPr>
          <w:ilvl w:val="0"/>
          <w:numId w:val="9"/>
        </w:numPr>
        <w:rPr>
          <w:rFonts w:ascii="Arial" w:cs="Arial" w:eastAsia="Arial" w:hAnsi="Arial"/>
          <w:sz w:val="17"/>
          <w:szCs w:val="17"/>
          <w:color w:val="auto"/>
        </w:rPr>
      </w:pPr>
      <w:r>
        <w:rPr>
          <w:rFonts w:ascii="Arial" w:cs="Arial" w:eastAsia="Arial" w:hAnsi="Arial"/>
          <w:sz w:val="17"/>
          <w:szCs w:val="17"/>
          <w:color w:val="auto"/>
        </w:rPr>
        <w:t>Adjusted net income of $71 million to $74 million, or $0.72 to $0.75 per diluted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259080</wp:posOffset>
            </wp:positionV>
            <wp:extent cx="7293610" cy="419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420"/>
          </w:cols>
          <w:pgMar w:left="240" w:top="452" w:right="239" w:bottom="1440" w:gutter="0" w:footer="0" w:header="0"/>
        </w:sectPr>
      </w:pPr>
    </w:p>
    <w:bookmarkStart w:id="6" w:name="page7"/>
    <w:bookmarkEnd w:id="6"/>
    <w:p>
      <w:pPr>
        <w:spacing w:after="0"/>
        <w:rPr>
          <w:sz w:val="20"/>
          <w:szCs w:val="20"/>
          <w:color w:val="auto"/>
        </w:rPr>
      </w:pPr>
      <w:r>
        <w:rPr>
          <w:rFonts w:ascii="Arial" w:cs="Arial" w:eastAsia="Arial" w:hAnsi="Arial"/>
          <w:sz w:val="17"/>
          <w:szCs w:val="17"/>
          <w:b w:val="1"/>
          <w:bCs w:val="1"/>
          <w:u w:val="single" w:color="auto"/>
          <w:color w:val="auto"/>
        </w:rPr>
        <w:t>Presentation of Financial Measures</w:t>
      </w:r>
    </w:p>
    <w:p>
      <w:pPr>
        <w:spacing w:after="0" w:line="122" w:lineRule="exact"/>
        <w:rPr>
          <w:sz w:val="20"/>
          <w:szCs w:val="20"/>
          <w:color w:val="auto"/>
        </w:rPr>
      </w:pPr>
    </w:p>
    <w:p>
      <w:pPr>
        <w:jc w:val="both"/>
        <w:spacing w:after="0" w:line="279" w:lineRule="auto"/>
        <w:rPr>
          <w:sz w:val="20"/>
          <w:szCs w:val="20"/>
          <w:color w:val="auto"/>
        </w:rPr>
      </w:pPr>
      <w:r>
        <w:rPr>
          <w:rFonts w:ascii="Arial" w:cs="Arial" w:eastAsia="Arial" w:hAnsi="Arial"/>
          <w:sz w:val="16"/>
          <w:szCs w:val="16"/>
          <w:color w:val="auto"/>
        </w:rPr>
        <w:t>Planet Fitness, Inc. (the “Company”) was formed in March 2015 for the purpose of facilitating the initial public offering (the “IPO”) and related recapitalization transactions that occurred in August 2015, and in order to carry on the business of Pla-Fit Holdings, LLC (“Pla-Fit Holdings”) and its subsidiaries.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portion of Pla-Fit Holdings not owned by the Company. The financial results in periods prior to the IPO and related recapitalization transactions are of Pla-Fit Holdings, as the predecessor to the Company for accounting and reporting purposes. Accordingly, these historical results do not purport to reflect what the results of operations of the Company or Pla-Fit Holdings would have been had the IPO and related recapitalization transactions occurred prior to August 2015.</w:t>
      </w:r>
    </w:p>
    <w:p>
      <w:pPr>
        <w:spacing w:after="0" w:line="166" w:lineRule="exact"/>
        <w:rPr>
          <w:sz w:val="20"/>
          <w:szCs w:val="20"/>
          <w:color w:val="auto"/>
        </w:rPr>
      </w:pPr>
    </w:p>
    <w:p>
      <w:pPr>
        <w:jc w:val="both"/>
        <w:spacing w:after="0" w:line="277" w:lineRule="auto"/>
        <w:rPr>
          <w:sz w:val="20"/>
          <w:szCs w:val="20"/>
          <w:color w:val="auto"/>
        </w:rPr>
      </w:pPr>
      <w:r>
        <w:rPr>
          <w:rFonts w:ascii="Arial" w:cs="Arial" w:eastAsia="Arial" w:hAnsi="Arial"/>
          <w:sz w:val="16"/>
          <w:szCs w:val="16"/>
          <w:color w:val="auto"/>
        </w:rPr>
        <w:t>The financial information presented in this release includes non-GAAP financial measures such as EBITDA, Segment EBITDA, Adjusted EBITDA, Adjusted net income and Adjusted net income per share, diluted to provide measures that we believe are useful to investors in evaluating the Company’s performance. These non-GAAP financial measures are supplemental measures of the Company’s performance that are neither required by, nor presented in accordance with GAAP. These financial measures should not be considered as substitutes for GAAP financial measures such as net income or any other performance measures derived in accordance with, GAAP. In addition, in the future, the Company may incur expenses or charges such as those added back to calculate Adjusted EBITDA, Adjusted net income and Adjusted net income per share, diluted. The Company’s presentation of Adjusted EBITDA, Adjusted net income and Adjusted net income per share, diluted should not be construed as an inference that the Company’s future results will be unaffected by similar amounts or other unusual or nonrecurring items. See the tables at the end of this press release for a reconciliation of EBITDA, Adjusted EBITDA, Total Segment EBITDA, Adjusted net income, and Adjusted net income per share, diluted, to their most directly comparable GAAP financial measure.</w:t>
      </w:r>
    </w:p>
    <w:p>
      <w:pPr>
        <w:spacing w:after="0" w:line="168" w:lineRule="exact"/>
        <w:rPr>
          <w:sz w:val="20"/>
          <w:szCs w:val="20"/>
          <w:color w:val="auto"/>
        </w:rPr>
      </w:pPr>
    </w:p>
    <w:p>
      <w:pPr>
        <w:jc w:val="both"/>
        <w:spacing w:after="0" w:line="261" w:lineRule="auto"/>
        <w:rPr>
          <w:sz w:val="20"/>
          <w:szCs w:val="20"/>
          <w:color w:val="auto"/>
        </w:rPr>
      </w:pPr>
      <w:r>
        <w:rPr>
          <w:rFonts w:ascii="Arial" w:cs="Arial" w:eastAsia="Arial" w:hAnsi="Arial"/>
          <w:sz w:val="17"/>
          <w:szCs w:val="17"/>
          <w:color w:val="auto"/>
        </w:rPr>
        <w:t>The non-GAAP financial measures used in our full-year outlook will differ from net income and net income per share, diluted, determined in accordance with GAAP in ways similar to those described in the reconciliations at the end of this press release. We do not provide guidance for net income or net income per share, diluted, determined in accordance with GAAP or a reconciliation of guidance for Adjusted net income and Adjusted net income per share, diluted, to the most directly comparable GAAP measure because we are not able to predict with reasonable certainty the amount or nature of all items that will be included in our net income and net income per share, diluted, for the year ended December 31, 2017. These items are uncertain, depend on many factors and could have a material impact on our net income and net income per share, diluted, for the year ended December 31, 2017.</w:t>
      </w:r>
    </w:p>
    <w:p>
      <w:pPr>
        <w:spacing w:after="0" w:line="278"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Investor Conference Call</w:t>
      </w:r>
    </w:p>
    <w:p>
      <w:pPr>
        <w:spacing w:after="0" w:line="122" w:lineRule="exact"/>
        <w:rPr>
          <w:sz w:val="20"/>
          <w:szCs w:val="20"/>
          <w:color w:val="auto"/>
        </w:rPr>
      </w:pPr>
    </w:p>
    <w:p>
      <w:pPr>
        <w:jc w:val="both"/>
        <w:spacing w:after="0" w:line="285" w:lineRule="auto"/>
        <w:rPr>
          <w:sz w:val="20"/>
          <w:szCs w:val="20"/>
          <w:color w:val="auto"/>
        </w:rPr>
      </w:pPr>
      <w:r>
        <w:rPr>
          <w:rFonts w:ascii="Arial" w:cs="Arial" w:eastAsia="Arial" w:hAnsi="Arial"/>
          <w:sz w:val="17"/>
          <w:szCs w:val="17"/>
          <w:color w:val="auto"/>
        </w:rPr>
        <w:t xml:space="preserve">The Company will hold a conference call at 4:30 pm (ET) on March 1, 2017 to discuss the news announced in this press release. A live webcast of the conference call will be accessible at </w:t>
      </w:r>
      <w:r>
        <w:rPr>
          <w:rFonts w:ascii="Arial" w:cs="Arial" w:eastAsia="Arial" w:hAnsi="Arial"/>
          <w:sz w:val="17"/>
          <w:szCs w:val="17"/>
          <w:u w:val="single" w:color="auto"/>
          <w:color w:val="auto"/>
        </w:rPr>
        <w:t>www.planetfitness.com</w:t>
      </w:r>
      <w:r>
        <w:rPr>
          <w:rFonts w:ascii="Arial" w:cs="Arial" w:eastAsia="Arial" w:hAnsi="Arial"/>
          <w:sz w:val="17"/>
          <w:szCs w:val="17"/>
          <w:color w:val="auto"/>
        </w:rPr>
        <w:t xml:space="preserve"> via the “Investor Relations” link. The webcast will be archived on the website for one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162560</wp:posOffset>
            </wp:positionV>
            <wp:extent cx="7293610"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420"/>
          </w:cols>
          <w:pgMar w:left="240" w:top="654" w:right="239" w:bottom="1440" w:gutter="0" w:footer="0" w:header="0"/>
        </w:sectPr>
      </w:pPr>
    </w:p>
    <w:bookmarkStart w:id="7" w:name="page8"/>
    <w:bookmarkEnd w:id="7"/>
    <w:p>
      <w:pPr>
        <w:spacing w:after="0"/>
        <w:rPr>
          <w:sz w:val="20"/>
          <w:szCs w:val="20"/>
          <w:color w:val="auto"/>
        </w:rPr>
      </w:pPr>
      <w:r>
        <w:rPr>
          <w:rFonts w:ascii="Arial" w:cs="Arial" w:eastAsia="Arial" w:hAnsi="Arial"/>
          <w:sz w:val="17"/>
          <w:szCs w:val="17"/>
          <w:b w:val="1"/>
          <w:bCs w:val="1"/>
          <w:u w:val="single" w:color="auto"/>
          <w:color w:val="auto"/>
        </w:rPr>
        <w:t>About Planet Fitness</w:t>
      </w:r>
    </w:p>
    <w:p>
      <w:pPr>
        <w:spacing w:after="0" w:line="122" w:lineRule="exact"/>
        <w:rPr>
          <w:sz w:val="20"/>
          <w:szCs w:val="20"/>
          <w:color w:val="auto"/>
        </w:rPr>
      </w:pPr>
    </w:p>
    <w:p>
      <w:pPr>
        <w:jc w:val="both"/>
        <w:spacing w:after="0" w:line="262" w:lineRule="auto"/>
        <w:rPr>
          <w:sz w:val="20"/>
          <w:szCs w:val="20"/>
          <w:color w:val="auto"/>
        </w:rPr>
      </w:pPr>
      <w:r>
        <w:rPr>
          <w:rFonts w:ascii="Arial" w:cs="Arial" w:eastAsia="Arial" w:hAnsi="Arial"/>
          <w:sz w:val="17"/>
          <w:szCs w:val="17"/>
          <w:color w:val="auto"/>
        </w:rPr>
        <w:t>Founded in 1992 in Dover, N.H., Planet Fitness is one of the largest and fastest-growing franchisors and operators of fitness centers in the United States by number of members and locations. As of December 31, 2016, Planet Fitness had approximately 8.9 million members and more than 1,300 stores in 48 states, the District of Columbia, Puerto Rico, Canada and the Dominican Republic. The Company's mission is to enhance people's lives by providing a high-quality fitness experience in a welcoming, non-intimidating environment, which we call the Judgement Free Zone®. More than 95% of Planet Fitness stores are owned and operated by independent business men and women.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Investor Contact:</w:t>
      </w:r>
    </w:p>
    <w:p>
      <w:pPr>
        <w:spacing w:after="0" w:line="96" w:lineRule="exact"/>
        <w:rPr>
          <w:sz w:val="20"/>
          <w:szCs w:val="20"/>
          <w:color w:val="auto"/>
        </w:rPr>
      </w:pPr>
    </w:p>
    <w:p>
      <w:pPr>
        <w:spacing w:after="0"/>
        <w:rPr>
          <w:sz w:val="20"/>
          <w:szCs w:val="20"/>
          <w:color w:val="auto"/>
        </w:rPr>
      </w:pPr>
      <w:r>
        <w:rPr>
          <w:rFonts w:ascii="Arial" w:cs="Arial" w:eastAsia="Arial" w:hAnsi="Arial"/>
          <w:sz w:val="17"/>
          <w:szCs w:val="17"/>
          <w:color w:val="auto"/>
        </w:rPr>
        <w:t>Brendon Frey, ICR</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brendon.frey@icrinc.com</w:t>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203-682-8200</w:t>
      </w: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Media Contacts:</w:t>
      </w:r>
    </w:p>
    <w:p>
      <w:pPr>
        <w:spacing w:after="0" w:line="122" w:lineRule="exact"/>
        <w:rPr>
          <w:sz w:val="20"/>
          <w:szCs w:val="20"/>
          <w:color w:val="auto"/>
        </w:rPr>
      </w:pPr>
    </w:p>
    <w:p>
      <w:pPr>
        <w:spacing w:after="0"/>
        <w:rPr>
          <w:sz w:val="20"/>
          <w:szCs w:val="20"/>
          <w:color w:val="auto"/>
        </w:rPr>
      </w:pPr>
      <w:r>
        <w:rPr>
          <w:rFonts w:ascii="Arial" w:cs="Arial" w:eastAsia="Arial" w:hAnsi="Arial"/>
          <w:sz w:val="17"/>
          <w:szCs w:val="17"/>
          <w:color w:val="auto"/>
        </w:rPr>
        <w:t>McCall Gosselin, Planet Fitness</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mccall.gosselin@pfhq.com</w:t>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603-957-4650</w:t>
      </w:r>
    </w:p>
    <w:p>
      <w:pPr>
        <w:spacing w:after="0" w:line="208" w:lineRule="exact"/>
        <w:rPr>
          <w:sz w:val="20"/>
          <w:szCs w:val="20"/>
          <w:color w:val="auto"/>
        </w:rPr>
      </w:pPr>
    </w:p>
    <w:p>
      <w:pPr>
        <w:spacing w:after="0"/>
        <w:rPr>
          <w:sz w:val="20"/>
          <w:szCs w:val="20"/>
          <w:color w:val="auto"/>
        </w:rPr>
      </w:pPr>
      <w:r>
        <w:rPr>
          <w:rFonts w:ascii="Arial" w:cs="Arial" w:eastAsia="Arial" w:hAnsi="Arial"/>
          <w:sz w:val="17"/>
          <w:szCs w:val="17"/>
          <w:color w:val="auto"/>
        </w:rPr>
        <w:t>Julia Young, ICR</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julia.young@icrinc.com</w:t>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646-277-1280</w:t>
      </w:r>
    </w:p>
    <w:p>
      <w:pPr>
        <w:spacing w:after="0" w:line="306"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Forward-Looking Statements</w:t>
      </w:r>
    </w:p>
    <w:p>
      <w:pPr>
        <w:spacing w:after="0" w:line="122" w:lineRule="exact"/>
        <w:rPr>
          <w:sz w:val="20"/>
          <w:szCs w:val="20"/>
          <w:color w:val="auto"/>
        </w:rPr>
      </w:pPr>
    </w:p>
    <w:p>
      <w:pPr>
        <w:jc w:val="both"/>
        <w:spacing w:after="0" w:line="275" w:lineRule="auto"/>
        <w:rPr>
          <w:sz w:val="20"/>
          <w:szCs w:val="20"/>
          <w:color w:val="auto"/>
        </w:rPr>
      </w:pPr>
      <w:r>
        <w:rPr>
          <w:rFonts w:ascii="Arial" w:cs="Arial" w:eastAsia="Arial" w:hAnsi="Arial"/>
          <w:sz w:val="16"/>
          <w:szCs w:val="16"/>
          <w:color w:val="auto"/>
        </w:rPr>
        <w:t>This press release contains certain statements, approximations, estimates and projections with respect to our anticipated future performance, especially those under the heading “2017 Outlook,” (“forward-looking statements”). Forward-looking statements are neither historical facts nor assurances of future performance. Instead, they are based only on the Company’s current beliefs, expectations and assumptions regarding the future of the business, future plans and strategies, projections, anticipated events and trends, the economy and other future conditions. Because forward-looking statements relate to the future, they are subject to inherent uncertainties, risks and changes in circumstances that are difficult to predict and many of which are outside of the Company’s control. Actual results and financial condition may differ materially from those indicated in the forward-looking statements. Important factors that could cause our actual results to differ materially include risks and uncertainties associated with competition in the fitness industry, the Company’s and franchisees’ ability to attract and retain new members, changes in consumer demand, changes in equipment costs, the Company’s ability to expand into new markets, operating costs for the Company and franchisees generally, availability and cost of capital for franchisees, acquisition activity, developments and changes in laws and regulations, our substantial indebtedness, our corporate structure and tax receivable agreements, general economic conditions and the other factors described in the Company’s annual report on Form 10-K for the year ended December 31, 2015, and the Company’s other filings with the Securities and Exchange Commission. Except as required by law, neither the Company nor any of its affiliates or representatives undertake any obligation to provide additional information or to correct or update any information set forth in this release, whether as a result of new information, future developments or otherwise.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185420</wp:posOffset>
            </wp:positionV>
            <wp:extent cx="7293610" cy="419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420"/>
          </w:cols>
          <w:pgMar w:left="240" w:top="654"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7"/>
          <w:szCs w:val="17"/>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Consolidated Statements of Operations</w:t>
      </w:r>
    </w:p>
    <w:p>
      <w:pPr>
        <w:spacing w:after="0" w:line="12" w:lineRule="exact"/>
        <w:rPr>
          <w:sz w:val="20"/>
          <w:szCs w:val="20"/>
          <w:color w:val="auto"/>
        </w:rPr>
      </w:pPr>
    </w:p>
    <w:p>
      <w:pPr>
        <w:ind w:left="820"/>
        <w:spacing w:after="0"/>
        <w:rPr>
          <w:sz w:val="20"/>
          <w:szCs w:val="20"/>
          <w:color w:val="auto"/>
        </w:rPr>
      </w:pPr>
      <w:r>
        <w:rPr>
          <w:rFonts w:ascii="Arial" w:cs="Arial" w:eastAsia="Arial" w:hAnsi="Arial"/>
          <w:sz w:val="17"/>
          <w:szCs w:val="17"/>
          <w:b w:val="1"/>
          <w:bCs w:val="1"/>
          <w:color w:val="auto"/>
        </w:rPr>
        <w:t>(Unaudited)</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3920" w:type="dxa"/>
            <w:vAlign w:val="bottom"/>
          </w:tcPr>
          <w:p>
            <w:pPr>
              <w:spacing w:after="0"/>
              <w:rPr>
                <w:sz w:val="19"/>
                <w:szCs w:val="19"/>
                <w:color w:val="auto"/>
              </w:rPr>
            </w:pPr>
          </w:p>
        </w:tc>
        <w:tc>
          <w:tcPr>
            <w:tcW w:w="3720" w:type="dxa"/>
            <w:vAlign w:val="bottom"/>
            <w:gridSpan w:val="6"/>
          </w:tcPr>
          <w:p>
            <w:pPr>
              <w:ind w:left="40"/>
              <w:spacing w:after="0"/>
              <w:rPr>
                <w:sz w:val="20"/>
                <w:szCs w:val="20"/>
                <w:color w:val="auto"/>
              </w:rPr>
            </w:pPr>
            <w:r>
              <w:rPr>
                <w:rFonts w:ascii="Arial" w:cs="Arial" w:eastAsia="Arial" w:hAnsi="Arial"/>
                <w:sz w:val="17"/>
                <w:szCs w:val="17"/>
                <w:color w:val="auto"/>
                <w:w w:val="94"/>
              </w:rPr>
              <w:t>(Amounts in thousands, except per share amounts)</w:t>
            </w:r>
          </w:p>
        </w:tc>
        <w:tc>
          <w:tcPr>
            <w:tcW w:w="8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37"/>
        </w:trPr>
        <w:tc>
          <w:tcPr>
            <w:tcW w:w="392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2880" w:type="dxa"/>
            <w:vAlign w:val="bottom"/>
            <w:gridSpan w:val="7"/>
          </w:tcPr>
          <w:p>
            <w:pPr>
              <w:spacing w:after="0"/>
              <w:rPr>
                <w:sz w:val="20"/>
                <w:szCs w:val="20"/>
                <w:color w:val="auto"/>
              </w:rPr>
            </w:pPr>
            <w:r>
              <w:rPr>
                <w:rFonts w:ascii="Arial" w:cs="Arial" w:eastAsia="Arial" w:hAnsi="Arial"/>
                <w:sz w:val="17"/>
                <w:szCs w:val="17"/>
                <w:b w:val="1"/>
                <w:bCs w:val="1"/>
                <w:color w:val="auto"/>
                <w:w w:val="98"/>
              </w:rPr>
              <w:t>For the quarter ended December 31,</w:t>
            </w:r>
          </w:p>
        </w:tc>
        <w:tc>
          <w:tcPr>
            <w:tcW w:w="100" w:type="dxa"/>
            <w:vAlign w:val="bottom"/>
          </w:tcPr>
          <w:p>
            <w:pPr>
              <w:spacing w:after="0"/>
              <w:rPr>
                <w:sz w:val="24"/>
                <w:szCs w:val="24"/>
                <w:color w:val="auto"/>
              </w:rPr>
            </w:pPr>
          </w:p>
        </w:tc>
        <w:tc>
          <w:tcPr>
            <w:tcW w:w="2640" w:type="dxa"/>
            <w:vAlign w:val="bottom"/>
            <w:gridSpan w:val="7"/>
          </w:tcPr>
          <w:p>
            <w:pPr>
              <w:jc w:val="right"/>
              <w:ind w:right="140"/>
              <w:spacing w:after="0"/>
              <w:rPr>
                <w:sz w:val="20"/>
                <w:szCs w:val="20"/>
                <w:color w:val="auto"/>
              </w:rPr>
            </w:pPr>
            <w:r>
              <w:rPr>
                <w:rFonts w:ascii="Arial" w:cs="Arial" w:eastAsia="Arial" w:hAnsi="Arial"/>
                <w:sz w:val="17"/>
                <w:szCs w:val="17"/>
                <w:b w:val="1"/>
                <w:bCs w:val="1"/>
                <w:color w:val="auto"/>
                <w:w w:val="92"/>
              </w:rPr>
              <w:t>For the year ended December 31,</w:t>
            </w:r>
          </w:p>
        </w:tc>
        <w:tc>
          <w:tcPr>
            <w:tcW w:w="0" w:type="dxa"/>
            <w:vAlign w:val="bottom"/>
          </w:tcPr>
          <w:p>
            <w:pPr>
              <w:spacing w:after="0"/>
              <w:rPr>
                <w:sz w:val="1"/>
                <w:szCs w:val="1"/>
                <w:color w:val="auto"/>
              </w:rPr>
            </w:pPr>
          </w:p>
        </w:tc>
      </w:tr>
      <w:tr>
        <w:trPr>
          <w:trHeight w:val="214"/>
        </w:trPr>
        <w:tc>
          <w:tcPr>
            <w:tcW w:w="392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413"/>
              <w:spacing w:after="0"/>
              <w:rPr>
                <w:sz w:val="20"/>
                <w:szCs w:val="20"/>
                <w:color w:val="auto"/>
              </w:rPr>
            </w:pPr>
            <w:r>
              <w:rPr>
                <w:rFonts w:ascii="Arial" w:cs="Arial" w:eastAsia="Arial" w:hAnsi="Arial"/>
                <w:sz w:val="17"/>
                <w:szCs w:val="17"/>
                <w:b w:val="1"/>
                <w:bCs w:val="1"/>
                <w:color w:val="auto"/>
              </w:rPr>
              <w:t>2016</w:t>
            </w:r>
          </w:p>
        </w:tc>
        <w:tc>
          <w:tcPr>
            <w:tcW w:w="16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rPr>
              <w:t>2015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ind w:right="293"/>
              <w:spacing w:after="0"/>
              <w:rPr>
                <w:sz w:val="20"/>
                <w:szCs w:val="20"/>
                <w:color w:val="auto"/>
              </w:rPr>
            </w:pPr>
            <w:r>
              <w:rPr>
                <w:rFonts w:ascii="Arial" w:cs="Arial" w:eastAsia="Arial" w:hAnsi="Arial"/>
                <w:sz w:val="17"/>
                <w:szCs w:val="17"/>
                <w:b w:val="1"/>
                <w:bCs w:val="1"/>
                <w:color w:val="auto"/>
              </w:rPr>
              <w:t>2016</w:t>
            </w:r>
          </w:p>
        </w:tc>
        <w:tc>
          <w:tcPr>
            <w:tcW w:w="16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ind w:right="333"/>
              <w:spacing w:after="0"/>
              <w:rPr>
                <w:sz w:val="20"/>
                <w:szCs w:val="20"/>
                <w:color w:val="auto"/>
              </w:rPr>
            </w:pPr>
            <w:r>
              <w:rPr>
                <w:rFonts w:ascii="Arial" w:cs="Arial" w:eastAsia="Arial" w:hAnsi="Arial"/>
                <w:sz w:val="17"/>
                <w:szCs w:val="17"/>
                <w:b w:val="1"/>
                <w:bCs w:val="1"/>
                <w:color w:val="auto"/>
              </w:rPr>
              <w:t>2015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3920" w:type="dxa"/>
            <w:vAlign w:val="bottom"/>
          </w:tcPr>
          <w:p>
            <w:pPr>
              <w:spacing w:after="0"/>
              <w:rPr>
                <w:sz w:val="20"/>
                <w:szCs w:val="20"/>
                <w:color w:val="auto"/>
              </w:rPr>
            </w:pPr>
            <w:r>
              <w:rPr>
                <w:rFonts w:ascii="Arial" w:cs="Arial" w:eastAsia="Arial" w:hAnsi="Arial"/>
                <w:sz w:val="17"/>
                <w:szCs w:val="17"/>
                <w:color w:val="auto"/>
              </w:rPr>
              <w:t>Revenue:</w:t>
            </w:r>
          </w:p>
        </w:tc>
        <w:tc>
          <w:tcPr>
            <w:tcW w:w="18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3920" w:type="dxa"/>
            <w:vAlign w:val="bottom"/>
            <w:shd w:val="clear" w:color="auto" w:fill="CFF0FC"/>
          </w:tcPr>
          <w:p>
            <w:pPr>
              <w:ind w:left="120"/>
              <w:spacing w:after="0"/>
              <w:rPr>
                <w:sz w:val="20"/>
                <w:szCs w:val="20"/>
                <w:color w:val="auto"/>
              </w:rPr>
            </w:pPr>
            <w:r>
              <w:rPr>
                <w:rFonts w:ascii="Arial" w:cs="Arial" w:eastAsia="Arial" w:hAnsi="Arial"/>
                <w:sz w:val="17"/>
                <w:szCs w:val="17"/>
                <w:color w:val="auto"/>
              </w:rPr>
              <w:t>Franchise</w:t>
            </w:r>
          </w:p>
        </w:tc>
        <w:tc>
          <w:tcPr>
            <w:tcW w:w="2160" w:type="dxa"/>
            <w:vAlign w:val="bottom"/>
            <w:gridSpan w:val="2"/>
            <w:shd w:val="clear" w:color="auto" w:fill="CFF0FC"/>
          </w:tcPr>
          <w:p>
            <w:pPr>
              <w:ind w:left="1880"/>
              <w:spacing w:after="0"/>
              <w:rPr>
                <w:sz w:val="20"/>
                <w:szCs w:val="20"/>
                <w:color w:val="auto"/>
              </w:rPr>
            </w:pPr>
            <w:r>
              <w:rPr>
                <w:rFonts w:ascii="Arial" w:cs="Arial" w:eastAsia="Arial" w:hAnsi="Arial"/>
                <w:sz w:val="17"/>
                <w:szCs w:val="17"/>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27,332</w:t>
            </w:r>
          </w:p>
        </w:tc>
        <w:tc>
          <w:tcPr>
            <w:tcW w:w="160" w:type="dxa"/>
            <w:vAlign w:val="bottom"/>
            <w:shd w:val="clear" w:color="auto" w:fill="CFF0FC"/>
          </w:tcPr>
          <w:p>
            <w:pPr>
              <w:spacing w:after="0"/>
              <w:rPr>
                <w:sz w:val="19"/>
                <w:szCs w:val="19"/>
                <w:color w:val="auto"/>
              </w:rPr>
            </w:pPr>
          </w:p>
        </w:tc>
        <w:tc>
          <w:tcPr>
            <w:tcW w:w="340" w:type="dxa"/>
            <w:vAlign w:val="bottom"/>
            <w:gridSpan w:val="2"/>
            <w:shd w:val="clear" w:color="auto" w:fill="CFF0FC"/>
          </w:tcPr>
          <w:p>
            <w:pPr>
              <w:jc w:val="right"/>
              <w:ind w:right="160"/>
              <w:spacing w:after="0"/>
              <w:rPr>
                <w:sz w:val="20"/>
                <w:szCs w:val="20"/>
                <w:color w:val="auto"/>
              </w:rPr>
            </w:pPr>
            <w:r>
              <w:rPr>
                <w:rFonts w:ascii="Arial" w:cs="Arial" w:eastAsia="Arial" w:hAnsi="Arial"/>
                <w:sz w:val="17"/>
                <w:szCs w:val="17"/>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19,956</w:t>
            </w:r>
          </w:p>
        </w:tc>
        <w:tc>
          <w:tcPr>
            <w:tcW w:w="160" w:type="dxa"/>
            <w:vAlign w:val="bottom"/>
            <w:shd w:val="clear" w:color="auto" w:fill="CFF0FC"/>
          </w:tcPr>
          <w:p>
            <w:pPr>
              <w:spacing w:after="0"/>
              <w:rPr>
                <w:sz w:val="19"/>
                <w:szCs w:val="19"/>
                <w:color w:val="auto"/>
              </w:rPr>
            </w:pPr>
          </w:p>
        </w:tc>
        <w:tc>
          <w:tcPr>
            <w:tcW w:w="340" w:type="dxa"/>
            <w:vAlign w:val="bottom"/>
            <w:gridSpan w:val="2"/>
            <w:shd w:val="clear" w:color="auto" w:fill="CFF0FC"/>
          </w:tcPr>
          <w:p>
            <w:pPr>
              <w:jc w:val="right"/>
              <w:ind w:right="53"/>
              <w:spacing w:after="0"/>
              <w:rPr>
                <w:sz w:val="20"/>
                <w:szCs w:val="20"/>
                <w:color w:val="auto"/>
              </w:rPr>
            </w:pPr>
            <w:r>
              <w:rPr>
                <w:rFonts w:ascii="Arial" w:cs="Arial" w:eastAsia="Arial" w:hAnsi="Arial"/>
                <w:sz w:val="17"/>
                <w:szCs w:val="17"/>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97,374</w:t>
            </w:r>
          </w:p>
        </w:tc>
        <w:tc>
          <w:tcPr>
            <w:tcW w:w="160" w:type="dxa"/>
            <w:vAlign w:val="bottom"/>
            <w:shd w:val="clear" w:color="auto" w:fill="CFF0FC"/>
          </w:tcPr>
          <w:p>
            <w:pPr>
              <w:spacing w:after="0"/>
              <w:rPr>
                <w:sz w:val="19"/>
                <w:szCs w:val="19"/>
                <w:color w:val="auto"/>
              </w:rPr>
            </w:pPr>
          </w:p>
        </w:tc>
        <w:tc>
          <w:tcPr>
            <w:tcW w:w="3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71,762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tcPr>
          <w:p>
            <w:pPr>
              <w:ind w:left="120"/>
              <w:spacing w:after="0"/>
              <w:rPr>
                <w:sz w:val="20"/>
                <w:szCs w:val="20"/>
                <w:color w:val="auto"/>
              </w:rPr>
            </w:pPr>
            <w:r>
              <w:rPr>
                <w:rFonts w:ascii="Arial" w:cs="Arial" w:eastAsia="Arial" w:hAnsi="Arial"/>
                <w:sz w:val="17"/>
                <w:szCs w:val="17"/>
                <w:color w:val="auto"/>
              </w:rPr>
              <w:t>Commission income</w:t>
            </w:r>
          </w:p>
        </w:tc>
        <w:tc>
          <w:tcPr>
            <w:tcW w:w="18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4,776</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4,699</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19,114</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7"/>
                <w:szCs w:val="17"/>
                <w:color w:val="auto"/>
              </w:rPr>
              <w:t>16,323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shd w:val="clear" w:color="auto" w:fill="CFF0FC"/>
          </w:tcPr>
          <w:p>
            <w:pPr>
              <w:ind w:left="120"/>
              <w:spacing w:after="0"/>
              <w:rPr>
                <w:sz w:val="20"/>
                <w:szCs w:val="20"/>
                <w:color w:val="auto"/>
              </w:rPr>
            </w:pPr>
            <w:r>
              <w:rPr>
                <w:rFonts w:ascii="Arial" w:cs="Arial" w:eastAsia="Arial" w:hAnsi="Arial"/>
                <w:sz w:val="17"/>
                <w:szCs w:val="17"/>
                <w:color w:val="auto"/>
              </w:rPr>
              <w:t>Corporate-owned stores</w:t>
            </w:r>
          </w:p>
        </w:tc>
        <w:tc>
          <w:tcPr>
            <w:tcW w:w="18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25,965</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24,716</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104,721</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98,390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tcBorders>
              <w:bottom w:val="single" w:sz="8" w:color="CFF0FC"/>
            </w:tcBorders>
          </w:tcPr>
          <w:p>
            <w:pPr>
              <w:ind w:left="120"/>
              <w:spacing w:after="0"/>
              <w:rPr>
                <w:sz w:val="20"/>
                <w:szCs w:val="20"/>
                <w:color w:val="auto"/>
              </w:rPr>
            </w:pPr>
            <w:r>
              <w:rPr>
                <w:rFonts w:ascii="Arial" w:cs="Arial" w:eastAsia="Arial" w:hAnsi="Arial"/>
                <w:sz w:val="17"/>
                <w:szCs w:val="17"/>
                <w:color w:val="auto"/>
              </w:rPr>
              <w:t>Equipment</w:t>
            </w:r>
          </w:p>
        </w:tc>
        <w:tc>
          <w:tcPr>
            <w:tcW w:w="188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58,346</w:t>
            </w:r>
          </w:p>
        </w:tc>
        <w:tc>
          <w:tcPr>
            <w:tcW w:w="16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56,474</w:t>
            </w:r>
          </w:p>
        </w:tc>
        <w:tc>
          <w:tcPr>
            <w:tcW w:w="16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157,032</w:t>
            </w:r>
          </w:p>
        </w:tc>
        <w:tc>
          <w:tcPr>
            <w:tcW w:w="16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144,062</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3920" w:type="dxa"/>
            <w:vAlign w:val="bottom"/>
            <w:shd w:val="clear" w:color="auto" w:fill="CFF0FC"/>
          </w:tcPr>
          <w:p>
            <w:pPr>
              <w:ind w:left="360"/>
              <w:spacing w:after="0"/>
              <w:rPr>
                <w:sz w:val="20"/>
                <w:szCs w:val="20"/>
                <w:color w:val="auto"/>
              </w:rPr>
            </w:pPr>
            <w:r>
              <w:rPr>
                <w:rFonts w:ascii="Arial" w:cs="Arial" w:eastAsia="Arial" w:hAnsi="Arial"/>
                <w:sz w:val="17"/>
                <w:szCs w:val="17"/>
                <w:color w:val="auto"/>
              </w:rPr>
              <w:t>Total revenue</w:t>
            </w:r>
          </w:p>
        </w:tc>
        <w:tc>
          <w:tcPr>
            <w:tcW w:w="1880" w:type="dxa"/>
            <w:vAlign w:val="bottom"/>
            <w:shd w:val="clear" w:color="auto" w:fill="CFF0FC"/>
          </w:tcPr>
          <w:p>
            <w:pPr>
              <w:spacing w:after="0"/>
              <w:rPr>
                <w:sz w:val="18"/>
                <w:szCs w:val="18"/>
                <w:color w:val="auto"/>
              </w:rPr>
            </w:pPr>
          </w:p>
        </w:tc>
        <w:tc>
          <w:tcPr>
            <w:tcW w:w="280" w:type="dxa"/>
            <w:vAlign w:val="bottom"/>
            <w:tcBorders>
              <w:bottom w:val="single" w:sz="8" w:color="auto"/>
            </w:tcBorders>
            <w:shd w:val="clear" w:color="auto" w:fill="CFF0FC"/>
          </w:tcPr>
          <w:p>
            <w:pPr>
              <w:spacing w:after="0"/>
              <w:rPr>
                <w:sz w:val="18"/>
                <w:szCs w:val="18"/>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116,419</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105,845</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378,241</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330,537</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3920" w:type="dxa"/>
            <w:vAlign w:val="bottom"/>
          </w:tcPr>
          <w:p>
            <w:pPr>
              <w:spacing w:after="0"/>
              <w:rPr>
                <w:sz w:val="20"/>
                <w:szCs w:val="20"/>
                <w:color w:val="auto"/>
              </w:rPr>
            </w:pPr>
            <w:r>
              <w:rPr>
                <w:rFonts w:ascii="Arial" w:cs="Arial" w:eastAsia="Arial" w:hAnsi="Arial"/>
                <w:sz w:val="17"/>
                <w:szCs w:val="17"/>
                <w:color w:val="auto"/>
              </w:rPr>
              <w:t>Operating costs and expenses:</w:t>
            </w:r>
          </w:p>
        </w:tc>
        <w:tc>
          <w:tcPr>
            <w:tcW w:w="18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3920" w:type="dxa"/>
            <w:vAlign w:val="bottom"/>
            <w:shd w:val="clear" w:color="auto" w:fill="CFF0FC"/>
          </w:tcPr>
          <w:p>
            <w:pPr>
              <w:ind w:left="120"/>
              <w:spacing w:after="0"/>
              <w:rPr>
                <w:sz w:val="20"/>
                <w:szCs w:val="20"/>
                <w:color w:val="auto"/>
              </w:rPr>
            </w:pPr>
            <w:r>
              <w:rPr>
                <w:rFonts w:ascii="Arial" w:cs="Arial" w:eastAsia="Arial" w:hAnsi="Arial"/>
                <w:sz w:val="17"/>
                <w:szCs w:val="17"/>
                <w:color w:val="auto"/>
              </w:rPr>
              <w:t>Cost of revenue</w:t>
            </w:r>
          </w:p>
        </w:tc>
        <w:tc>
          <w:tcPr>
            <w:tcW w:w="18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44,952</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43,388</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122,317</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113,492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tcPr>
          <w:p>
            <w:pPr>
              <w:ind w:left="120"/>
              <w:spacing w:after="0"/>
              <w:rPr>
                <w:sz w:val="20"/>
                <w:szCs w:val="20"/>
                <w:color w:val="auto"/>
              </w:rPr>
            </w:pPr>
            <w:r>
              <w:rPr>
                <w:rFonts w:ascii="Arial" w:cs="Arial" w:eastAsia="Arial" w:hAnsi="Arial"/>
                <w:sz w:val="17"/>
                <w:szCs w:val="17"/>
                <w:color w:val="auto"/>
              </w:rPr>
              <w:t>Store operations</w:t>
            </w:r>
          </w:p>
        </w:tc>
        <w:tc>
          <w:tcPr>
            <w:tcW w:w="18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14,448</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14,131</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60,121</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7"/>
                <w:szCs w:val="17"/>
                <w:color w:val="auto"/>
              </w:rPr>
              <w:t>57,485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shd w:val="clear" w:color="auto" w:fill="CFF0FC"/>
          </w:tcPr>
          <w:p>
            <w:pPr>
              <w:ind w:left="120"/>
              <w:spacing w:after="0"/>
              <w:rPr>
                <w:sz w:val="20"/>
                <w:szCs w:val="20"/>
                <w:color w:val="auto"/>
              </w:rPr>
            </w:pPr>
            <w:r>
              <w:rPr>
                <w:rFonts w:ascii="Arial" w:cs="Arial" w:eastAsia="Arial" w:hAnsi="Arial"/>
                <w:sz w:val="17"/>
                <w:szCs w:val="17"/>
                <w:color w:val="auto"/>
              </w:rPr>
              <w:t>Selling, general and administrative</w:t>
            </w:r>
          </w:p>
        </w:tc>
        <w:tc>
          <w:tcPr>
            <w:tcW w:w="18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13,539</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11,732</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50,008</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55,573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tcPr>
          <w:p>
            <w:pPr>
              <w:ind w:left="120"/>
              <w:spacing w:after="0"/>
              <w:rPr>
                <w:sz w:val="20"/>
                <w:szCs w:val="20"/>
                <w:color w:val="auto"/>
              </w:rPr>
            </w:pPr>
            <w:r>
              <w:rPr>
                <w:rFonts w:ascii="Arial" w:cs="Arial" w:eastAsia="Arial" w:hAnsi="Arial"/>
                <w:sz w:val="17"/>
                <w:szCs w:val="17"/>
                <w:color w:val="auto"/>
              </w:rPr>
              <w:t>Depreciation and amortization</w:t>
            </w:r>
          </w:p>
        </w:tc>
        <w:tc>
          <w:tcPr>
            <w:tcW w:w="18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8,375</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7,998</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31,502</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7"/>
                <w:szCs w:val="17"/>
                <w:color w:val="auto"/>
              </w:rPr>
              <w:t>32,158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shd w:val="clear" w:color="auto" w:fill="CFF0FC"/>
          </w:tcPr>
          <w:p>
            <w:pPr>
              <w:ind w:left="120"/>
              <w:spacing w:after="0"/>
              <w:rPr>
                <w:sz w:val="20"/>
                <w:szCs w:val="20"/>
                <w:color w:val="auto"/>
              </w:rPr>
            </w:pPr>
            <w:r>
              <w:rPr>
                <w:rFonts w:ascii="Arial" w:cs="Arial" w:eastAsia="Arial" w:hAnsi="Arial"/>
                <w:sz w:val="17"/>
                <w:szCs w:val="17"/>
                <w:color w:val="auto"/>
              </w:rPr>
              <w:t>Other gain</w:t>
            </w:r>
          </w:p>
        </w:tc>
        <w:tc>
          <w:tcPr>
            <w:tcW w:w="18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(963)</w:t>
            </w: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(197)</w:t>
            </w: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(1,369)</w:t>
            </w: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(273)</w:t>
            </w:r>
          </w:p>
        </w:tc>
        <w:tc>
          <w:tcPr>
            <w:tcW w:w="0" w:type="dxa"/>
            <w:vAlign w:val="bottom"/>
          </w:tcPr>
          <w:p>
            <w:pPr>
              <w:spacing w:after="0"/>
              <w:rPr>
                <w:sz w:val="1"/>
                <w:szCs w:val="1"/>
                <w:color w:val="auto"/>
              </w:rPr>
            </w:pPr>
          </w:p>
        </w:tc>
      </w:tr>
      <w:tr>
        <w:trPr>
          <w:trHeight w:val="214"/>
        </w:trPr>
        <w:tc>
          <w:tcPr>
            <w:tcW w:w="3920" w:type="dxa"/>
            <w:vAlign w:val="bottom"/>
            <w:tcBorders>
              <w:bottom w:val="single" w:sz="8" w:color="CFF0FC"/>
            </w:tcBorders>
          </w:tcPr>
          <w:p>
            <w:pPr>
              <w:ind w:left="360"/>
              <w:spacing w:after="0"/>
              <w:rPr>
                <w:sz w:val="20"/>
                <w:szCs w:val="20"/>
                <w:color w:val="auto"/>
              </w:rPr>
            </w:pPr>
            <w:r>
              <w:rPr>
                <w:rFonts w:ascii="Arial" w:cs="Arial" w:eastAsia="Arial" w:hAnsi="Arial"/>
                <w:sz w:val="17"/>
                <w:szCs w:val="17"/>
                <w:color w:val="auto"/>
              </w:rPr>
              <w:t>Total operating costs and expenses</w:t>
            </w:r>
          </w:p>
        </w:tc>
        <w:tc>
          <w:tcPr>
            <w:tcW w:w="1880" w:type="dxa"/>
            <w:vAlign w:val="bottom"/>
            <w:tcBorders>
              <w:bottom w:val="single" w:sz="8" w:color="CFF0F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80,351</w:t>
            </w:r>
          </w:p>
        </w:tc>
        <w:tc>
          <w:tcPr>
            <w:tcW w:w="160" w:type="dxa"/>
            <w:vAlign w:val="bottom"/>
            <w:tcBorders>
              <w:bottom w:val="single" w:sz="8" w:color="CFF0FC"/>
            </w:tcBorders>
          </w:tcPr>
          <w:p>
            <w:pPr>
              <w:spacing w:after="0"/>
              <w:rPr>
                <w:sz w:val="18"/>
                <w:szCs w:val="18"/>
                <w:color w:val="auto"/>
              </w:rPr>
            </w:pPr>
          </w:p>
        </w:tc>
        <w:tc>
          <w:tcPr>
            <w:tcW w:w="100" w:type="dxa"/>
            <w:vAlign w:val="bottom"/>
            <w:tcBorders>
              <w:bottom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77,052</w:t>
            </w:r>
          </w:p>
        </w:tc>
        <w:tc>
          <w:tcPr>
            <w:tcW w:w="160" w:type="dxa"/>
            <w:vAlign w:val="bottom"/>
            <w:tcBorders>
              <w:bottom w:val="single" w:sz="8" w:color="CFF0FC"/>
            </w:tcBorders>
          </w:tcPr>
          <w:p>
            <w:pPr>
              <w:spacing w:after="0"/>
              <w:rPr>
                <w:sz w:val="18"/>
                <w:szCs w:val="18"/>
                <w:color w:val="auto"/>
              </w:rPr>
            </w:pPr>
          </w:p>
        </w:tc>
        <w:tc>
          <w:tcPr>
            <w:tcW w:w="100" w:type="dxa"/>
            <w:vAlign w:val="bottom"/>
            <w:tcBorders>
              <w:bottom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262,579</w:t>
            </w:r>
          </w:p>
        </w:tc>
        <w:tc>
          <w:tcPr>
            <w:tcW w:w="160" w:type="dxa"/>
            <w:vAlign w:val="bottom"/>
            <w:tcBorders>
              <w:bottom w:val="single" w:sz="8" w:color="CFF0FC"/>
            </w:tcBorders>
          </w:tcPr>
          <w:p>
            <w:pPr>
              <w:spacing w:after="0"/>
              <w:rPr>
                <w:sz w:val="18"/>
                <w:szCs w:val="18"/>
                <w:color w:val="auto"/>
              </w:rPr>
            </w:pPr>
          </w:p>
        </w:tc>
        <w:tc>
          <w:tcPr>
            <w:tcW w:w="100" w:type="dxa"/>
            <w:vAlign w:val="bottom"/>
            <w:tcBorders>
              <w:bottom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258,435</w:t>
            </w:r>
          </w:p>
        </w:tc>
        <w:tc>
          <w:tcPr>
            <w:tcW w:w="100" w:type="dxa"/>
            <w:vAlign w:val="bottom"/>
            <w:tcBorders>
              <w:bottom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3920" w:type="dxa"/>
            <w:vAlign w:val="bottom"/>
            <w:shd w:val="clear" w:color="auto" w:fill="CFF0FC"/>
          </w:tcPr>
          <w:p>
            <w:pPr>
              <w:ind w:left="360"/>
              <w:spacing w:after="0"/>
              <w:rPr>
                <w:sz w:val="20"/>
                <w:szCs w:val="20"/>
                <w:color w:val="auto"/>
              </w:rPr>
            </w:pPr>
            <w:r>
              <w:rPr>
                <w:rFonts w:ascii="Arial" w:cs="Arial" w:eastAsia="Arial" w:hAnsi="Arial"/>
                <w:sz w:val="17"/>
                <w:szCs w:val="17"/>
                <w:color w:val="auto"/>
              </w:rPr>
              <w:t>Income from operations</w:t>
            </w:r>
          </w:p>
        </w:tc>
        <w:tc>
          <w:tcPr>
            <w:tcW w:w="1880" w:type="dxa"/>
            <w:vAlign w:val="bottom"/>
            <w:shd w:val="clear" w:color="auto" w:fill="CFF0FC"/>
          </w:tcPr>
          <w:p>
            <w:pPr>
              <w:spacing w:after="0"/>
              <w:rPr>
                <w:sz w:val="18"/>
                <w:szCs w:val="18"/>
                <w:color w:val="auto"/>
              </w:rPr>
            </w:pPr>
          </w:p>
        </w:tc>
        <w:tc>
          <w:tcPr>
            <w:tcW w:w="280" w:type="dxa"/>
            <w:vAlign w:val="bottom"/>
            <w:tcBorders>
              <w:bottom w:val="single" w:sz="8" w:color="auto"/>
            </w:tcBorders>
            <w:shd w:val="clear" w:color="auto" w:fill="CFF0FC"/>
          </w:tcPr>
          <w:p>
            <w:pPr>
              <w:spacing w:after="0"/>
              <w:rPr>
                <w:sz w:val="18"/>
                <w:szCs w:val="18"/>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36,068</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28,793</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115,662</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72,102</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3920" w:type="dxa"/>
            <w:vAlign w:val="bottom"/>
          </w:tcPr>
          <w:p>
            <w:pPr>
              <w:spacing w:after="0"/>
              <w:rPr>
                <w:sz w:val="20"/>
                <w:szCs w:val="20"/>
                <w:color w:val="auto"/>
              </w:rPr>
            </w:pPr>
            <w:r>
              <w:rPr>
                <w:rFonts w:ascii="Arial" w:cs="Arial" w:eastAsia="Arial" w:hAnsi="Arial"/>
                <w:sz w:val="17"/>
                <w:szCs w:val="17"/>
                <w:color w:val="auto"/>
              </w:rPr>
              <w:t>Other expense, net:</w:t>
            </w:r>
          </w:p>
        </w:tc>
        <w:tc>
          <w:tcPr>
            <w:tcW w:w="18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3920" w:type="dxa"/>
            <w:vAlign w:val="bottom"/>
            <w:shd w:val="clear" w:color="auto" w:fill="CFF0FC"/>
          </w:tcPr>
          <w:p>
            <w:pPr>
              <w:ind w:left="120"/>
              <w:spacing w:after="0"/>
              <w:rPr>
                <w:sz w:val="20"/>
                <w:szCs w:val="20"/>
                <w:color w:val="auto"/>
              </w:rPr>
            </w:pPr>
            <w:r>
              <w:rPr>
                <w:rFonts w:ascii="Arial" w:cs="Arial" w:eastAsia="Arial" w:hAnsi="Arial"/>
                <w:sz w:val="17"/>
                <w:szCs w:val="17"/>
                <w:color w:val="auto"/>
              </w:rPr>
              <w:t>Interest expense, net</w:t>
            </w:r>
          </w:p>
        </w:tc>
        <w:tc>
          <w:tcPr>
            <w:tcW w:w="18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(8,306)</w:t>
            </w: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(6,678)</w:t>
            </w: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(27,125)</w:t>
            </w: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(24,549)</w:t>
            </w:r>
          </w:p>
        </w:tc>
        <w:tc>
          <w:tcPr>
            <w:tcW w:w="0" w:type="dxa"/>
            <w:vAlign w:val="bottom"/>
          </w:tcPr>
          <w:p>
            <w:pPr>
              <w:spacing w:after="0"/>
              <w:rPr>
                <w:sz w:val="1"/>
                <w:szCs w:val="1"/>
                <w:color w:val="auto"/>
              </w:rPr>
            </w:pPr>
          </w:p>
        </w:tc>
      </w:tr>
      <w:tr>
        <w:trPr>
          <w:trHeight w:val="221"/>
        </w:trPr>
        <w:tc>
          <w:tcPr>
            <w:tcW w:w="3920" w:type="dxa"/>
            <w:vAlign w:val="bottom"/>
          </w:tcPr>
          <w:p>
            <w:pPr>
              <w:ind w:left="120"/>
              <w:spacing w:after="0"/>
              <w:rPr>
                <w:sz w:val="20"/>
                <w:szCs w:val="20"/>
                <w:color w:val="auto"/>
              </w:rPr>
            </w:pPr>
            <w:r>
              <w:rPr>
                <w:rFonts w:ascii="Arial" w:cs="Arial" w:eastAsia="Arial" w:hAnsi="Arial"/>
                <w:sz w:val="17"/>
                <w:szCs w:val="17"/>
                <w:color w:val="auto"/>
              </w:rPr>
              <w:t>Other income (expense)</w:t>
            </w:r>
          </w:p>
        </w:tc>
        <w:tc>
          <w:tcPr>
            <w:tcW w:w="18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1,343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2,352</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1,371</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7"/>
                <w:szCs w:val="17"/>
                <w:color w:val="auto"/>
              </w:rPr>
              <w:t>(275)</w:t>
            </w:r>
          </w:p>
        </w:tc>
        <w:tc>
          <w:tcPr>
            <w:tcW w:w="0" w:type="dxa"/>
            <w:vAlign w:val="bottom"/>
          </w:tcPr>
          <w:p>
            <w:pPr>
              <w:spacing w:after="0"/>
              <w:rPr>
                <w:sz w:val="1"/>
                <w:szCs w:val="1"/>
                <w:color w:val="auto"/>
              </w:rPr>
            </w:pPr>
          </w:p>
        </w:tc>
      </w:tr>
      <w:tr>
        <w:trPr>
          <w:trHeight w:val="20"/>
        </w:trPr>
        <w:tc>
          <w:tcPr>
            <w:tcW w:w="3920" w:type="dxa"/>
            <w:vAlign w:val="bottom"/>
            <w:vMerge w:val="restart"/>
            <w:shd w:val="clear" w:color="auto" w:fill="CFF0FC"/>
          </w:tcPr>
          <w:p>
            <w:pPr>
              <w:ind w:left="360"/>
              <w:spacing w:after="0"/>
              <w:rPr>
                <w:sz w:val="20"/>
                <w:szCs w:val="20"/>
                <w:color w:val="auto"/>
              </w:rPr>
            </w:pPr>
            <w:r>
              <w:rPr>
                <w:rFonts w:ascii="Arial" w:cs="Arial" w:eastAsia="Arial" w:hAnsi="Arial"/>
                <w:sz w:val="17"/>
                <w:szCs w:val="17"/>
                <w:color w:val="auto"/>
              </w:rPr>
              <w:t>Total other expense, net</w:t>
            </w:r>
          </w:p>
        </w:tc>
        <w:tc>
          <w:tcPr>
            <w:tcW w:w="1880" w:type="dxa"/>
            <w:vAlign w:val="bottom"/>
            <w:shd w:val="clear" w:color="auto" w:fill="CFF0F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3920" w:type="dxa"/>
            <w:vAlign w:val="bottom"/>
            <w:vMerge w:val="continue"/>
            <w:shd w:val="clear" w:color="auto" w:fill="CFF0FC"/>
          </w:tcPr>
          <w:p>
            <w:pPr>
              <w:spacing w:after="0"/>
              <w:rPr>
                <w:sz w:val="18"/>
                <w:szCs w:val="18"/>
                <w:color w:val="auto"/>
              </w:rPr>
            </w:pPr>
          </w:p>
        </w:tc>
        <w:tc>
          <w:tcPr>
            <w:tcW w:w="188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22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(6,963)</w:t>
            </w:r>
          </w:p>
        </w:tc>
        <w:tc>
          <w:tcPr>
            <w:tcW w:w="1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4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(4,326)</w:t>
            </w:r>
          </w:p>
        </w:tc>
        <w:tc>
          <w:tcPr>
            <w:tcW w:w="1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4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(25,754)</w:t>
            </w:r>
          </w:p>
        </w:tc>
        <w:tc>
          <w:tcPr>
            <w:tcW w:w="1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(24,824)</w:t>
            </w:r>
          </w:p>
        </w:tc>
        <w:tc>
          <w:tcPr>
            <w:tcW w:w="0" w:type="dxa"/>
            <w:vAlign w:val="bottom"/>
          </w:tcPr>
          <w:p>
            <w:pPr>
              <w:spacing w:after="0"/>
              <w:rPr>
                <w:sz w:val="1"/>
                <w:szCs w:val="1"/>
                <w:color w:val="auto"/>
              </w:rPr>
            </w:pPr>
          </w:p>
        </w:tc>
      </w:tr>
      <w:tr>
        <w:trPr>
          <w:trHeight w:val="214"/>
        </w:trPr>
        <w:tc>
          <w:tcPr>
            <w:tcW w:w="3920" w:type="dxa"/>
            <w:vAlign w:val="bottom"/>
          </w:tcPr>
          <w:p>
            <w:pPr>
              <w:ind w:left="360"/>
              <w:spacing w:after="0"/>
              <w:rPr>
                <w:sz w:val="20"/>
                <w:szCs w:val="20"/>
                <w:color w:val="auto"/>
              </w:rPr>
            </w:pPr>
            <w:r>
              <w:rPr>
                <w:rFonts w:ascii="Arial" w:cs="Arial" w:eastAsia="Arial" w:hAnsi="Arial"/>
                <w:sz w:val="17"/>
                <w:szCs w:val="17"/>
                <w:color w:val="auto"/>
              </w:rPr>
              <w:t>Income before income taxes</w:t>
            </w:r>
          </w:p>
        </w:tc>
        <w:tc>
          <w:tcPr>
            <w:tcW w:w="18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29,105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24,467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89,908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47,278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3920" w:type="dxa"/>
            <w:vAlign w:val="bottom"/>
            <w:shd w:val="clear" w:color="auto" w:fill="CFF0FC"/>
          </w:tcPr>
          <w:p>
            <w:pPr>
              <w:spacing w:after="0"/>
              <w:rPr>
                <w:sz w:val="20"/>
                <w:szCs w:val="20"/>
                <w:color w:val="auto"/>
              </w:rPr>
            </w:pPr>
            <w:r>
              <w:rPr>
                <w:rFonts w:ascii="Arial" w:cs="Arial" w:eastAsia="Arial" w:hAnsi="Arial"/>
                <w:sz w:val="17"/>
                <w:szCs w:val="17"/>
                <w:color w:val="auto"/>
              </w:rPr>
              <w:t>Provision for income taxes</w:t>
            </w:r>
          </w:p>
        </w:tc>
        <w:tc>
          <w:tcPr>
            <w:tcW w:w="188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7,157</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7,227</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18,661</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9,148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3920" w:type="dxa"/>
            <w:vAlign w:val="bottom"/>
          </w:tcPr>
          <w:p>
            <w:pPr>
              <w:ind w:left="360"/>
              <w:spacing w:after="0"/>
              <w:rPr>
                <w:sz w:val="20"/>
                <w:szCs w:val="20"/>
                <w:color w:val="auto"/>
              </w:rPr>
            </w:pPr>
            <w:r>
              <w:rPr>
                <w:rFonts w:ascii="Arial" w:cs="Arial" w:eastAsia="Arial" w:hAnsi="Arial"/>
                <w:sz w:val="17"/>
                <w:szCs w:val="17"/>
                <w:color w:val="auto"/>
              </w:rPr>
              <w:t>Net income</w:t>
            </w:r>
          </w:p>
        </w:tc>
        <w:tc>
          <w:tcPr>
            <w:tcW w:w="18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21,948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17,240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71,247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7"/>
                <w:szCs w:val="17"/>
                <w:color w:val="auto"/>
              </w:rPr>
              <w:t>38,130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3920" w:type="dxa"/>
            <w:vAlign w:val="bottom"/>
            <w:shd w:val="clear" w:color="auto" w:fill="CFF0FC"/>
          </w:tcPr>
          <w:p>
            <w:pPr>
              <w:spacing w:after="0"/>
              <w:rPr>
                <w:sz w:val="20"/>
                <w:szCs w:val="20"/>
                <w:color w:val="auto"/>
              </w:rPr>
            </w:pPr>
            <w:r>
              <w:rPr>
                <w:rFonts w:ascii="Arial" w:cs="Arial" w:eastAsia="Arial" w:hAnsi="Arial"/>
                <w:sz w:val="17"/>
                <w:szCs w:val="17"/>
                <w:color w:val="auto"/>
                <w:w w:val="93"/>
              </w:rPr>
              <w:t>Less net income attributable to non-controlling interests</w:t>
            </w:r>
          </w:p>
        </w:tc>
        <w:tc>
          <w:tcPr>
            <w:tcW w:w="188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11,373</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14,755</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49,747</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19,612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54"/>
        </w:trPr>
        <w:tc>
          <w:tcPr>
            <w:tcW w:w="3920" w:type="dxa"/>
            <w:vAlign w:val="bottom"/>
          </w:tcPr>
          <w:p>
            <w:pPr>
              <w:ind w:left="360"/>
              <w:spacing w:after="0"/>
              <w:rPr>
                <w:sz w:val="20"/>
                <w:szCs w:val="20"/>
                <w:color w:val="auto"/>
              </w:rPr>
            </w:pPr>
            <w:r>
              <w:rPr>
                <w:rFonts w:ascii="Arial" w:cs="Arial" w:eastAsia="Arial" w:hAnsi="Arial"/>
                <w:sz w:val="17"/>
                <w:szCs w:val="17"/>
                <w:color w:val="auto"/>
              </w:rPr>
              <w:t>Net income attributable to Planet Fitness, Inc.</w:t>
            </w:r>
          </w:p>
        </w:tc>
        <w:tc>
          <w:tcPr>
            <w:tcW w:w="2160" w:type="dxa"/>
            <w:vAlign w:val="bottom"/>
            <w:gridSpan w:val="2"/>
          </w:tcPr>
          <w:p>
            <w:pPr>
              <w:ind w:left="1880"/>
              <w:spacing w:after="0"/>
              <w:rPr>
                <w:sz w:val="20"/>
                <w:szCs w:val="20"/>
                <w:color w:val="auto"/>
              </w:rPr>
            </w:pPr>
            <w:r>
              <w:rPr>
                <w:rFonts w:ascii="Arial" w:cs="Arial" w:eastAsia="Arial" w:hAnsi="Arial"/>
                <w:sz w:val="17"/>
                <w:szCs w:val="17"/>
                <w:color w:val="auto"/>
              </w:rPr>
              <w:t>$</w:t>
            </w:r>
          </w:p>
        </w:tc>
        <w:tc>
          <w:tcPr>
            <w:tcW w:w="1060" w:type="dxa"/>
            <w:vAlign w:val="bottom"/>
          </w:tcPr>
          <w:p>
            <w:pPr>
              <w:jc w:val="right"/>
              <w:spacing w:after="0"/>
              <w:rPr>
                <w:sz w:val="20"/>
                <w:szCs w:val="20"/>
                <w:color w:val="auto"/>
              </w:rPr>
            </w:pPr>
            <w:r>
              <w:rPr>
                <w:rFonts w:ascii="Arial" w:cs="Arial" w:eastAsia="Arial" w:hAnsi="Arial"/>
                <w:sz w:val="17"/>
                <w:szCs w:val="17"/>
                <w:color w:val="auto"/>
              </w:rPr>
              <w:t>10,575</w:t>
            </w:r>
          </w:p>
        </w:tc>
        <w:tc>
          <w:tcPr>
            <w:tcW w:w="160" w:type="dxa"/>
            <w:vAlign w:val="bottom"/>
          </w:tcPr>
          <w:p>
            <w:pPr>
              <w:spacing w:after="0"/>
              <w:rPr>
                <w:sz w:val="22"/>
                <w:szCs w:val="22"/>
                <w:color w:val="auto"/>
              </w:rPr>
            </w:pPr>
          </w:p>
        </w:tc>
        <w:tc>
          <w:tcPr>
            <w:tcW w:w="3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80" w:type="dxa"/>
            <w:vAlign w:val="bottom"/>
          </w:tcPr>
          <w:p>
            <w:pPr>
              <w:jc w:val="right"/>
              <w:spacing w:after="0"/>
              <w:rPr>
                <w:sz w:val="20"/>
                <w:szCs w:val="20"/>
                <w:color w:val="auto"/>
              </w:rPr>
            </w:pPr>
            <w:r>
              <w:rPr>
                <w:rFonts w:ascii="Arial" w:cs="Arial" w:eastAsia="Arial" w:hAnsi="Arial"/>
                <w:sz w:val="17"/>
                <w:szCs w:val="17"/>
                <w:color w:val="auto"/>
              </w:rPr>
              <w:t>2,485</w:t>
            </w:r>
          </w:p>
        </w:tc>
        <w:tc>
          <w:tcPr>
            <w:tcW w:w="160" w:type="dxa"/>
            <w:vAlign w:val="bottom"/>
          </w:tcPr>
          <w:p>
            <w:pPr>
              <w:spacing w:after="0"/>
              <w:rPr>
                <w:sz w:val="22"/>
                <w:szCs w:val="22"/>
                <w:color w:val="auto"/>
              </w:rPr>
            </w:pPr>
          </w:p>
        </w:tc>
        <w:tc>
          <w:tcPr>
            <w:tcW w:w="340" w:type="dxa"/>
            <w:vAlign w:val="bottom"/>
            <w:gridSpan w:val="2"/>
          </w:tcPr>
          <w:p>
            <w:pPr>
              <w:jc w:val="right"/>
              <w:ind w:right="53"/>
              <w:spacing w:after="0"/>
              <w:rPr>
                <w:sz w:val="20"/>
                <w:szCs w:val="20"/>
                <w:color w:val="auto"/>
              </w:rPr>
            </w:pPr>
            <w:r>
              <w:rPr>
                <w:rFonts w:ascii="Arial" w:cs="Arial" w:eastAsia="Arial" w:hAnsi="Arial"/>
                <w:sz w:val="17"/>
                <w:szCs w:val="17"/>
                <w:color w:val="auto"/>
              </w:rPr>
              <w:t>$</w:t>
            </w:r>
          </w:p>
        </w:tc>
        <w:tc>
          <w:tcPr>
            <w:tcW w:w="880" w:type="dxa"/>
            <w:vAlign w:val="bottom"/>
          </w:tcPr>
          <w:p>
            <w:pPr>
              <w:jc w:val="right"/>
              <w:spacing w:after="0"/>
              <w:rPr>
                <w:sz w:val="20"/>
                <w:szCs w:val="20"/>
                <w:color w:val="auto"/>
              </w:rPr>
            </w:pPr>
            <w:r>
              <w:rPr>
                <w:rFonts w:ascii="Arial" w:cs="Arial" w:eastAsia="Arial" w:hAnsi="Arial"/>
                <w:sz w:val="17"/>
                <w:szCs w:val="17"/>
                <w:color w:val="auto"/>
              </w:rPr>
              <w:t>21,500</w:t>
            </w:r>
          </w:p>
        </w:tc>
        <w:tc>
          <w:tcPr>
            <w:tcW w:w="160" w:type="dxa"/>
            <w:vAlign w:val="bottom"/>
          </w:tcPr>
          <w:p>
            <w:pPr>
              <w:spacing w:after="0"/>
              <w:rPr>
                <w:sz w:val="22"/>
                <w:szCs w:val="22"/>
                <w:color w:val="auto"/>
              </w:rPr>
            </w:pPr>
          </w:p>
        </w:tc>
        <w:tc>
          <w:tcPr>
            <w:tcW w:w="3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920" w:type="dxa"/>
            <w:vAlign w:val="bottom"/>
          </w:tcPr>
          <w:p>
            <w:pPr>
              <w:jc w:val="right"/>
              <w:spacing w:after="0"/>
              <w:rPr>
                <w:sz w:val="20"/>
                <w:szCs w:val="20"/>
                <w:color w:val="auto"/>
              </w:rPr>
            </w:pPr>
            <w:r>
              <w:rPr>
                <w:rFonts w:ascii="Arial" w:cs="Arial" w:eastAsia="Arial" w:hAnsi="Arial"/>
                <w:sz w:val="17"/>
                <w:szCs w:val="17"/>
                <w:color w:val="auto"/>
              </w:rPr>
              <w:t>18,518</w:t>
            </w: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0"/>
        </w:trPr>
        <w:tc>
          <w:tcPr>
            <w:tcW w:w="3920" w:type="dxa"/>
            <w:vAlign w:val="bottom"/>
            <w:tcBorders>
              <w:top w:val="single" w:sz="8" w:color="CFF0FC"/>
            </w:tcBorders>
            <w:shd w:val="clear" w:color="auto" w:fill="CFF0FC"/>
          </w:tcPr>
          <w:p>
            <w:pPr>
              <w:spacing w:after="0"/>
              <w:rPr>
                <w:sz w:val="17"/>
                <w:szCs w:val="17"/>
                <w:color w:val="auto"/>
              </w:rPr>
            </w:pPr>
          </w:p>
        </w:tc>
        <w:tc>
          <w:tcPr>
            <w:tcW w:w="1880" w:type="dxa"/>
            <w:vAlign w:val="bottom"/>
            <w:tcBorders>
              <w:top w:val="single" w:sz="8" w:color="CFF0FC"/>
            </w:tcBorders>
            <w:shd w:val="clear" w:color="auto" w:fill="CFF0FC"/>
          </w:tcPr>
          <w:p>
            <w:pPr>
              <w:spacing w:after="0"/>
              <w:rPr>
                <w:sz w:val="17"/>
                <w:szCs w:val="17"/>
                <w:color w:val="auto"/>
              </w:rPr>
            </w:pPr>
          </w:p>
        </w:tc>
        <w:tc>
          <w:tcPr>
            <w:tcW w:w="280" w:type="dxa"/>
            <w:vAlign w:val="bottom"/>
            <w:tcBorders>
              <w:top w:val="single" w:sz="8" w:color="auto"/>
            </w:tcBorders>
            <w:shd w:val="clear" w:color="auto" w:fill="CFF0FC"/>
          </w:tcPr>
          <w:p>
            <w:pPr>
              <w:spacing w:after="0"/>
              <w:rPr>
                <w:sz w:val="17"/>
                <w:szCs w:val="17"/>
                <w:color w:val="auto"/>
              </w:rPr>
            </w:pPr>
          </w:p>
        </w:tc>
        <w:tc>
          <w:tcPr>
            <w:tcW w:w="1060" w:type="dxa"/>
            <w:vAlign w:val="bottom"/>
            <w:tcBorders>
              <w:top w:val="single" w:sz="8" w:color="auto"/>
            </w:tcBorders>
            <w:shd w:val="clear" w:color="auto" w:fill="CFF0FC"/>
          </w:tcPr>
          <w:p>
            <w:pPr>
              <w:spacing w:after="0"/>
              <w:rPr>
                <w:sz w:val="17"/>
                <w:szCs w:val="17"/>
                <w:color w:val="auto"/>
              </w:rPr>
            </w:pPr>
          </w:p>
        </w:tc>
        <w:tc>
          <w:tcPr>
            <w:tcW w:w="160" w:type="dxa"/>
            <w:vAlign w:val="bottom"/>
            <w:tcBorders>
              <w:top w:val="single" w:sz="8" w:color="CFF0FC"/>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240" w:type="dxa"/>
            <w:vAlign w:val="bottom"/>
            <w:tcBorders>
              <w:top w:val="single" w:sz="8" w:color="auto"/>
            </w:tcBorders>
            <w:shd w:val="clear" w:color="auto" w:fill="CFF0FC"/>
          </w:tcPr>
          <w:p>
            <w:pPr>
              <w:spacing w:after="0"/>
              <w:rPr>
                <w:sz w:val="17"/>
                <w:szCs w:val="17"/>
                <w:color w:val="auto"/>
              </w:rPr>
            </w:pPr>
          </w:p>
        </w:tc>
        <w:tc>
          <w:tcPr>
            <w:tcW w:w="880" w:type="dxa"/>
            <w:vAlign w:val="bottom"/>
            <w:tcBorders>
              <w:top w:val="single" w:sz="8" w:color="auto"/>
            </w:tcBorders>
            <w:shd w:val="clear" w:color="auto" w:fill="CFF0FC"/>
          </w:tcPr>
          <w:p>
            <w:pPr>
              <w:spacing w:after="0"/>
              <w:rPr>
                <w:sz w:val="17"/>
                <w:szCs w:val="17"/>
                <w:color w:val="auto"/>
              </w:rPr>
            </w:pPr>
          </w:p>
        </w:tc>
        <w:tc>
          <w:tcPr>
            <w:tcW w:w="160" w:type="dxa"/>
            <w:vAlign w:val="bottom"/>
            <w:tcBorders>
              <w:top w:val="single" w:sz="8" w:color="CFF0FC"/>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240" w:type="dxa"/>
            <w:vAlign w:val="bottom"/>
            <w:tcBorders>
              <w:top w:val="single" w:sz="8" w:color="auto"/>
            </w:tcBorders>
            <w:shd w:val="clear" w:color="auto" w:fill="CFF0FC"/>
          </w:tcPr>
          <w:p>
            <w:pPr>
              <w:spacing w:after="0"/>
              <w:rPr>
                <w:sz w:val="17"/>
                <w:szCs w:val="17"/>
                <w:color w:val="auto"/>
              </w:rPr>
            </w:pPr>
          </w:p>
        </w:tc>
        <w:tc>
          <w:tcPr>
            <w:tcW w:w="880" w:type="dxa"/>
            <w:vAlign w:val="bottom"/>
            <w:tcBorders>
              <w:top w:val="single" w:sz="8" w:color="auto"/>
            </w:tcBorders>
            <w:shd w:val="clear" w:color="auto" w:fill="CFF0FC"/>
          </w:tcPr>
          <w:p>
            <w:pPr>
              <w:spacing w:after="0"/>
              <w:rPr>
                <w:sz w:val="17"/>
                <w:szCs w:val="17"/>
                <w:color w:val="auto"/>
              </w:rPr>
            </w:pPr>
          </w:p>
        </w:tc>
        <w:tc>
          <w:tcPr>
            <w:tcW w:w="160" w:type="dxa"/>
            <w:vAlign w:val="bottom"/>
            <w:tcBorders>
              <w:top w:val="single" w:sz="8" w:color="CFF0FC"/>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240" w:type="dxa"/>
            <w:vAlign w:val="bottom"/>
            <w:tcBorders>
              <w:top w:val="single" w:sz="8" w:color="auto"/>
            </w:tcBorders>
            <w:shd w:val="clear" w:color="auto" w:fill="CFF0FC"/>
          </w:tcPr>
          <w:p>
            <w:pPr>
              <w:spacing w:after="0"/>
              <w:rPr>
                <w:sz w:val="17"/>
                <w:szCs w:val="17"/>
                <w:color w:val="auto"/>
              </w:rPr>
            </w:pPr>
          </w:p>
        </w:tc>
        <w:tc>
          <w:tcPr>
            <w:tcW w:w="920" w:type="dxa"/>
            <w:vAlign w:val="bottom"/>
            <w:tcBorders>
              <w:top w:val="single" w:sz="8" w:color="auto"/>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3920" w:type="dxa"/>
            <w:vAlign w:val="bottom"/>
          </w:tcPr>
          <w:p>
            <w:pPr>
              <w:spacing w:after="0"/>
              <w:rPr>
                <w:sz w:val="20"/>
                <w:szCs w:val="20"/>
                <w:color w:val="auto"/>
              </w:rPr>
            </w:pPr>
            <w:r>
              <w:rPr>
                <w:rFonts w:ascii="Arial" w:cs="Arial" w:eastAsia="Arial" w:hAnsi="Arial"/>
                <w:sz w:val="17"/>
                <w:szCs w:val="17"/>
                <w:color w:val="auto"/>
              </w:rPr>
              <w:t>Net income per share of Class A common stock</w:t>
            </w:r>
            <w:r>
              <w:rPr>
                <w:rFonts w:ascii="Arial" w:cs="Arial" w:eastAsia="Arial" w:hAnsi="Arial"/>
                <w:sz w:val="14"/>
                <w:szCs w:val="14"/>
                <w:color w:val="auto"/>
              </w:rPr>
              <w:t>(1)</w:t>
            </w:r>
            <w:r>
              <w:rPr>
                <w:rFonts w:ascii="Arial" w:cs="Arial" w:eastAsia="Arial" w:hAnsi="Arial"/>
                <w:sz w:val="17"/>
                <w:szCs w:val="17"/>
                <w:color w:val="auto"/>
              </w:rPr>
              <w:t>:</w:t>
            </w:r>
          </w:p>
        </w:tc>
        <w:tc>
          <w:tcPr>
            <w:tcW w:w="18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shd w:val="clear" w:color="auto" w:fill="CFF0FC"/>
          </w:tcPr>
          <w:p>
            <w:pPr>
              <w:ind w:left="360"/>
              <w:spacing w:after="0"/>
              <w:rPr>
                <w:sz w:val="20"/>
                <w:szCs w:val="20"/>
                <w:color w:val="auto"/>
              </w:rPr>
            </w:pPr>
            <w:r>
              <w:rPr>
                <w:rFonts w:ascii="Arial" w:cs="Arial" w:eastAsia="Arial" w:hAnsi="Arial"/>
                <w:sz w:val="17"/>
                <w:szCs w:val="17"/>
                <w:color w:val="auto"/>
              </w:rPr>
              <w:t>Basic</w:t>
            </w:r>
          </w:p>
        </w:tc>
        <w:tc>
          <w:tcPr>
            <w:tcW w:w="2160" w:type="dxa"/>
            <w:vAlign w:val="bottom"/>
            <w:gridSpan w:val="2"/>
            <w:shd w:val="clear" w:color="auto" w:fill="CFF0FC"/>
          </w:tcPr>
          <w:p>
            <w:pPr>
              <w:ind w:left="1880"/>
              <w:spacing w:after="0"/>
              <w:rPr>
                <w:sz w:val="20"/>
                <w:szCs w:val="20"/>
                <w:color w:val="auto"/>
              </w:rPr>
            </w:pPr>
            <w:r>
              <w:rPr>
                <w:rFonts w:ascii="Arial" w:cs="Arial" w:eastAsia="Arial" w:hAnsi="Arial"/>
                <w:sz w:val="17"/>
                <w:szCs w:val="17"/>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0.19</w:t>
            </w:r>
          </w:p>
        </w:tc>
        <w:tc>
          <w:tcPr>
            <w:tcW w:w="160" w:type="dxa"/>
            <w:vAlign w:val="bottom"/>
            <w:shd w:val="clear" w:color="auto" w:fill="CFF0FC"/>
          </w:tcPr>
          <w:p>
            <w:pPr>
              <w:spacing w:after="0"/>
              <w:rPr>
                <w:sz w:val="19"/>
                <w:szCs w:val="19"/>
                <w:color w:val="auto"/>
              </w:rPr>
            </w:pPr>
          </w:p>
        </w:tc>
        <w:tc>
          <w:tcPr>
            <w:tcW w:w="340" w:type="dxa"/>
            <w:vAlign w:val="bottom"/>
            <w:gridSpan w:val="2"/>
            <w:shd w:val="clear" w:color="auto" w:fill="CFF0FC"/>
          </w:tcPr>
          <w:p>
            <w:pPr>
              <w:jc w:val="right"/>
              <w:ind w:right="160"/>
              <w:spacing w:after="0"/>
              <w:rPr>
                <w:sz w:val="20"/>
                <w:szCs w:val="20"/>
                <w:color w:val="auto"/>
              </w:rPr>
            </w:pPr>
            <w:r>
              <w:rPr>
                <w:rFonts w:ascii="Arial" w:cs="Arial" w:eastAsia="Arial" w:hAnsi="Arial"/>
                <w:sz w:val="17"/>
                <w:szCs w:val="17"/>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0.06</w:t>
            </w:r>
          </w:p>
        </w:tc>
        <w:tc>
          <w:tcPr>
            <w:tcW w:w="160" w:type="dxa"/>
            <w:vAlign w:val="bottom"/>
            <w:shd w:val="clear" w:color="auto" w:fill="CFF0FC"/>
          </w:tcPr>
          <w:p>
            <w:pPr>
              <w:spacing w:after="0"/>
              <w:rPr>
                <w:sz w:val="19"/>
                <w:szCs w:val="19"/>
                <w:color w:val="auto"/>
              </w:rPr>
            </w:pPr>
          </w:p>
        </w:tc>
        <w:tc>
          <w:tcPr>
            <w:tcW w:w="340" w:type="dxa"/>
            <w:vAlign w:val="bottom"/>
            <w:gridSpan w:val="2"/>
            <w:shd w:val="clear" w:color="auto" w:fill="CFF0FC"/>
          </w:tcPr>
          <w:p>
            <w:pPr>
              <w:jc w:val="right"/>
              <w:ind w:right="53"/>
              <w:spacing w:after="0"/>
              <w:rPr>
                <w:sz w:val="20"/>
                <w:szCs w:val="20"/>
                <w:color w:val="auto"/>
              </w:rPr>
            </w:pPr>
            <w:r>
              <w:rPr>
                <w:rFonts w:ascii="Arial" w:cs="Arial" w:eastAsia="Arial" w:hAnsi="Arial"/>
                <w:sz w:val="17"/>
                <w:szCs w:val="17"/>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0.50</w:t>
            </w:r>
          </w:p>
        </w:tc>
        <w:tc>
          <w:tcPr>
            <w:tcW w:w="160" w:type="dxa"/>
            <w:vAlign w:val="bottom"/>
            <w:shd w:val="clear" w:color="auto" w:fill="CFF0FC"/>
          </w:tcPr>
          <w:p>
            <w:pPr>
              <w:spacing w:after="0"/>
              <w:rPr>
                <w:sz w:val="19"/>
                <w:szCs w:val="19"/>
                <w:color w:val="auto"/>
              </w:rPr>
            </w:pPr>
          </w:p>
        </w:tc>
        <w:tc>
          <w:tcPr>
            <w:tcW w:w="3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0.11</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tcPr>
          <w:p>
            <w:pPr>
              <w:ind w:left="360"/>
              <w:spacing w:after="0"/>
              <w:rPr>
                <w:sz w:val="20"/>
                <w:szCs w:val="20"/>
                <w:color w:val="auto"/>
              </w:rPr>
            </w:pPr>
            <w:r>
              <w:rPr>
                <w:rFonts w:ascii="Arial" w:cs="Arial" w:eastAsia="Arial" w:hAnsi="Arial"/>
                <w:sz w:val="17"/>
                <w:szCs w:val="17"/>
                <w:color w:val="auto"/>
              </w:rPr>
              <w:t>Diluted</w:t>
            </w:r>
          </w:p>
        </w:tc>
        <w:tc>
          <w:tcPr>
            <w:tcW w:w="2160" w:type="dxa"/>
            <w:vAlign w:val="bottom"/>
            <w:gridSpan w:val="2"/>
          </w:tcPr>
          <w:p>
            <w:pPr>
              <w:ind w:left="1880"/>
              <w:spacing w:after="0"/>
              <w:rPr>
                <w:sz w:val="20"/>
                <w:szCs w:val="20"/>
                <w:color w:val="auto"/>
              </w:rPr>
            </w:pPr>
            <w:r>
              <w:rPr>
                <w:rFonts w:ascii="Arial" w:cs="Arial" w:eastAsia="Arial" w:hAnsi="Arial"/>
                <w:sz w:val="17"/>
                <w:szCs w:val="17"/>
                <w:color w:val="auto"/>
              </w:rPr>
              <w:t>$</w:t>
            </w:r>
          </w:p>
        </w:tc>
        <w:tc>
          <w:tcPr>
            <w:tcW w:w="1060" w:type="dxa"/>
            <w:vAlign w:val="bottom"/>
          </w:tcPr>
          <w:p>
            <w:pPr>
              <w:jc w:val="right"/>
              <w:spacing w:after="0"/>
              <w:rPr>
                <w:sz w:val="20"/>
                <w:szCs w:val="20"/>
                <w:color w:val="auto"/>
              </w:rPr>
            </w:pPr>
            <w:r>
              <w:rPr>
                <w:rFonts w:ascii="Arial" w:cs="Arial" w:eastAsia="Arial" w:hAnsi="Arial"/>
                <w:sz w:val="17"/>
                <w:szCs w:val="17"/>
                <w:color w:val="auto"/>
              </w:rPr>
              <w:t>0.18</w:t>
            </w:r>
          </w:p>
        </w:tc>
        <w:tc>
          <w:tcPr>
            <w:tcW w:w="160" w:type="dxa"/>
            <w:vAlign w:val="bottom"/>
          </w:tcPr>
          <w:p>
            <w:pPr>
              <w:spacing w:after="0"/>
              <w:rPr>
                <w:sz w:val="19"/>
                <w:szCs w:val="19"/>
                <w:color w:val="auto"/>
              </w:rPr>
            </w:pPr>
          </w:p>
        </w:tc>
        <w:tc>
          <w:tcPr>
            <w:tcW w:w="3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80" w:type="dxa"/>
            <w:vAlign w:val="bottom"/>
          </w:tcPr>
          <w:p>
            <w:pPr>
              <w:jc w:val="right"/>
              <w:spacing w:after="0"/>
              <w:rPr>
                <w:sz w:val="20"/>
                <w:szCs w:val="20"/>
                <w:color w:val="auto"/>
              </w:rPr>
            </w:pPr>
            <w:r>
              <w:rPr>
                <w:rFonts w:ascii="Arial" w:cs="Arial" w:eastAsia="Arial" w:hAnsi="Arial"/>
                <w:sz w:val="17"/>
                <w:szCs w:val="17"/>
                <w:color w:val="auto"/>
              </w:rPr>
              <w:t>0.06</w:t>
            </w:r>
          </w:p>
        </w:tc>
        <w:tc>
          <w:tcPr>
            <w:tcW w:w="160" w:type="dxa"/>
            <w:vAlign w:val="bottom"/>
          </w:tcPr>
          <w:p>
            <w:pPr>
              <w:spacing w:after="0"/>
              <w:rPr>
                <w:sz w:val="19"/>
                <w:szCs w:val="19"/>
                <w:color w:val="auto"/>
              </w:rPr>
            </w:pPr>
          </w:p>
        </w:tc>
        <w:tc>
          <w:tcPr>
            <w:tcW w:w="340" w:type="dxa"/>
            <w:vAlign w:val="bottom"/>
            <w:gridSpan w:val="2"/>
          </w:tcPr>
          <w:p>
            <w:pPr>
              <w:jc w:val="right"/>
              <w:ind w:right="53"/>
              <w:spacing w:after="0"/>
              <w:rPr>
                <w:sz w:val="20"/>
                <w:szCs w:val="20"/>
                <w:color w:val="auto"/>
              </w:rPr>
            </w:pPr>
            <w:r>
              <w:rPr>
                <w:rFonts w:ascii="Arial" w:cs="Arial" w:eastAsia="Arial" w:hAnsi="Arial"/>
                <w:sz w:val="17"/>
                <w:szCs w:val="17"/>
                <w:color w:val="auto"/>
              </w:rPr>
              <w:t>$</w:t>
            </w:r>
          </w:p>
        </w:tc>
        <w:tc>
          <w:tcPr>
            <w:tcW w:w="880" w:type="dxa"/>
            <w:vAlign w:val="bottom"/>
          </w:tcPr>
          <w:p>
            <w:pPr>
              <w:jc w:val="right"/>
              <w:spacing w:after="0"/>
              <w:rPr>
                <w:sz w:val="20"/>
                <w:szCs w:val="20"/>
                <w:color w:val="auto"/>
              </w:rPr>
            </w:pPr>
            <w:r>
              <w:rPr>
                <w:rFonts w:ascii="Arial" w:cs="Arial" w:eastAsia="Arial" w:hAnsi="Arial"/>
                <w:sz w:val="17"/>
                <w:szCs w:val="17"/>
                <w:color w:val="auto"/>
              </w:rPr>
              <w:t>0.50</w:t>
            </w:r>
          </w:p>
        </w:tc>
        <w:tc>
          <w:tcPr>
            <w:tcW w:w="160" w:type="dxa"/>
            <w:vAlign w:val="bottom"/>
          </w:tcPr>
          <w:p>
            <w:pPr>
              <w:spacing w:after="0"/>
              <w:rPr>
                <w:sz w:val="19"/>
                <w:szCs w:val="19"/>
                <w:color w:val="auto"/>
              </w:rPr>
            </w:pPr>
          </w:p>
        </w:tc>
        <w:tc>
          <w:tcPr>
            <w:tcW w:w="3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920" w:type="dxa"/>
            <w:vAlign w:val="bottom"/>
          </w:tcPr>
          <w:p>
            <w:pPr>
              <w:jc w:val="right"/>
              <w:spacing w:after="0"/>
              <w:rPr>
                <w:sz w:val="20"/>
                <w:szCs w:val="20"/>
                <w:color w:val="auto"/>
              </w:rPr>
            </w:pPr>
            <w:r>
              <w:rPr>
                <w:rFonts w:ascii="Arial" w:cs="Arial" w:eastAsia="Arial" w:hAnsi="Arial"/>
                <w:sz w:val="17"/>
                <w:szCs w:val="17"/>
                <w:color w:val="auto"/>
              </w:rPr>
              <w:t>0.11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6080" w:type="dxa"/>
            <w:vAlign w:val="bottom"/>
            <w:gridSpan w:val="3"/>
            <w:shd w:val="clear" w:color="auto" w:fill="CFF0FC"/>
          </w:tcPr>
          <w:p>
            <w:pPr>
              <w:spacing w:after="0"/>
              <w:rPr>
                <w:sz w:val="20"/>
                <w:szCs w:val="20"/>
                <w:color w:val="auto"/>
              </w:rPr>
            </w:pPr>
            <w:r>
              <w:rPr>
                <w:rFonts w:ascii="Arial" w:cs="Arial" w:eastAsia="Arial" w:hAnsi="Arial"/>
                <w:sz w:val="17"/>
                <w:szCs w:val="17"/>
                <w:color w:val="auto"/>
              </w:rPr>
              <w:t>Weighted-average shares of Class A common stock outstanding</w:t>
            </w:r>
            <w:r>
              <w:rPr>
                <w:rFonts w:ascii="Arial" w:cs="Arial" w:eastAsia="Arial" w:hAnsi="Arial"/>
                <w:sz w:val="14"/>
                <w:szCs w:val="14"/>
                <w:color w:val="auto"/>
              </w:rPr>
              <w:t>(1)</w:t>
            </w:r>
            <w:r>
              <w:rPr>
                <w:rFonts w:ascii="Arial" w:cs="Arial" w:eastAsia="Arial" w:hAnsi="Arial"/>
                <w:sz w:val="17"/>
                <w:szCs w:val="17"/>
                <w:color w:val="auto"/>
              </w:rPr>
              <w:t>:</w:t>
            </w:r>
          </w:p>
        </w:tc>
        <w:tc>
          <w:tcPr>
            <w:tcW w:w="10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tcPr>
          <w:p>
            <w:pPr>
              <w:ind w:left="360"/>
              <w:spacing w:after="0"/>
              <w:rPr>
                <w:sz w:val="20"/>
                <w:szCs w:val="20"/>
                <w:color w:val="auto"/>
              </w:rPr>
            </w:pPr>
            <w:r>
              <w:rPr>
                <w:rFonts w:ascii="Arial" w:cs="Arial" w:eastAsia="Arial" w:hAnsi="Arial"/>
                <w:sz w:val="17"/>
                <w:szCs w:val="17"/>
                <w:color w:val="auto"/>
              </w:rPr>
              <w:t>Basic</w:t>
            </w:r>
          </w:p>
        </w:tc>
        <w:tc>
          <w:tcPr>
            <w:tcW w:w="18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54,933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36,244</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43,300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7"/>
                <w:szCs w:val="17"/>
                <w:color w:val="auto"/>
              </w:rPr>
              <w:t>36,244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20" w:type="dxa"/>
            <w:vAlign w:val="bottom"/>
            <w:shd w:val="clear" w:color="auto" w:fill="CFF0FC"/>
          </w:tcPr>
          <w:p>
            <w:pPr>
              <w:ind w:left="360"/>
              <w:spacing w:after="0"/>
              <w:rPr>
                <w:sz w:val="20"/>
                <w:szCs w:val="20"/>
                <w:color w:val="auto"/>
              </w:rPr>
            </w:pPr>
            <w:r>
              <w:rPr>
                <w:rFonts w:ascii="Arial" w:cs="Arial" w:eastAsia="Arial" w:hAnsi="Arial"/>
                <w:sz w:val="17"/>
                <w:szCs w:val="17"/>
                <w:color w:val="auto"/>
              </w:rPr>
              <w:t>Diluted</w:t>
            </w:r>
          </w:p>
        </w:tc>
        <w:tc>
          <w:tcPr>
            <w:tcW w:w="18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98,598</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36,244</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43,305</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36,244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bl>
    <w:p>
      <w:pPr>
        <w:spacing w:after="0" w:line="195" w:lineRule="exact"/>
        <w:rPr>
          <w:sz w:val="20"/>
          <w:szCs w:val="20"/>
          <w:color w:val="auto"/>
        </w:rPr>
      </w:pPr>
    </w:p>
    <w:p>
      <w:pPr>
        <w:jc w:val="both"/>
        <w:ind w:left="440" w:right="900" w:hanging="436"/>
        <w:spacing w:after="0" w:line="355" w:lineRule="auto"/>
        <w:tabs>
          <w:tab w:leader="none" w:pos="440" w:val="left"/>
        </w:tabs>
        <w:numPr>
          <w:ilvl w:val="0"/>
          <w:numId w:val="10"/>
        </w:numPr>
        <w:rPr>
          <w:rFonts w:ascii="Arial" w:cs="Arial" w:eastAsia="Arial" w:hAnsi="Arial"/>
          <w:sz w:val="15"/>
          <w:szCs w:val="15"/>
          <w:color w:val="auto"/>
        </w:rPr>
      </w:pPr>
      <w:r>
        <w:rPr>
          <w:rFonts w:ascii="Arial" w:cs="Arial" w:eastAsia="Arial" w:hAnsi="Arial"/>
          <w:sz w:val="15"/>
          <w:szCs w:val="15"/>
          <w:color w:val="auto"/>
        </w:rPr>
        <w:t>For the year ended December 31, 2015, represents earnings per share of Class A common stock and weighted-average shares of Class A common stock outstanding for the period from August 6, 2015 through December 31, 2015, the period following the recapitalization transactions and IPO.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396875</wp:posOffset>
            </wp:positionV>
            <wp:extent cx="7293610" cy="419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9" w:name="page10"/>
    <w:bookmarkEnd w:id="9"/>
    <w:p>
      <w:pPr>
        <w:jc w:val="center"/>
        <w:ind w:right="100"/>
        <w:spacing w:after="0"/>
        <w:rPr>
          <w:sz w:val="20"/>
          <w:szCs w:val="20"/>
          <w:color w:val="auto"/>
        </w:rPr>
      </w:pPr>
      <w:r>
        <w:rPr>
          <w:rFonts w:ascii="Arial" w:cs="Arial" w:eastAsia="Arial" w:hAnsi="Arial"/>
          <w:sz w:val="17"/>
          <w:szCs w:val="17"/>
          <w:b w:val="1"/>
          <w:bCs w:val="1"/>
          <w:color w:val="auto"/>
        </w:rPr>
        <w:t>Planet Fitness, Inc. and subsidiaries</w:t>
      </w:r>
    </w:p>
    <w:p>
      <w:pPr>
        <w:spacing w:after="0" w:line="31"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Consolidated Balance Sheets</w:t>
      </w:r>
    </w:p>
    <w:p>
      <w:pPr>
        <w:spacing w:after="0" w:line="12" w:lineRule="exact"/>
        <w:rPr>
          <w:sz w:val="20"/>
          <w:szCs w:val="20"/>
          <w:color w:val="auto"/>
        </w:rPr>
      </w:pPr>
    </w:p>
    <w:p>
      <w:pPr>
        <w:ind w:left="820"/>
        <w:spacing w:after="0"/>
        <w:rPr>
          <w:sz w:val="20"/>
          <w:szCs w:val="20"/>
          <w:color w:val="auto"/>
        </w:rPr>
      </w:pPr>
      <w:r>
        <w:rPr>
          <w:rFonts w:ascii="Arial" w:cs="Arial" w:eastAsia="Arial" w:hAnsi="Arial"/>
          <w:sz w:val="17"/>
          <w:szCs w:val="17"/>
          <w:b w:val="1"/>
          <w:bCs w:val="1"/>
          <w:color w:val="auto"/>
        </w:rPr>
        <w:t>(Unaudited)</w:t>
      </w:r>
    </w:p>
    <w:p>
      <w:pPr>
        <w:spacing w:after="0" w:line="12"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(Amounts in thousands, except per share amounts)</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694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20" w:type="dxa"/>
            <w:vAlign w:val="bottom"/>
            <w:gridSpan w:val="2"/>
          </w:tcPr>
          <w:p>
            <w:pPr>
              <w:jc w:val="right"/>
              <w:ind w:right="580"/>
              <w:spacing w:after="0"/>
              <w:rPr>
                <w:sz w:val="20"/>
                <w:szCs w:val="20"/>
                <w:color w:val="auto"/>
              </w:rPr>
            </w:pPr>
            <w:r>
              <w:rPr>
                <w:rFonts w:ascii="Arial" w:cs="Arial" w:eastAsia="Arial" w:hAnsi="Arial"/>
                <w:sz w:val="16"/>
                <w:szCs w:val="16"/>
                <w:b w:val="1"/>
                <w:bCs w:val="1"/>
                <w:color w:val="auto"/>
                <w:w w:val="97"/>
              </w:rPr>
              <w:t>December 31,</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center"/>
              <w:ind w:left="2"/>
              <w:spacing w:after="0"/>
              <w:rPr>
                <w:sz w:val="20"/>
                <w:szCs w:val="20"/>
                <w:color w:val="auto"/>
              </w:rPr>
            </w:pPr>
            <w:r>
              <w:rPr>
                <w:rFonts w:ascii="Arial" w:cs="Arial" w:eastAsia="Arial" w:hAnsi="Arial"/>
                <w:sz w:val="16"/>
                <w:szCs w:val="16"/>
                <w:b w:val="1"/>
                <w:bCs w:val="1"/>
                <w:color w:val="auto"/>
                <w:w w:val="86"/>
              </w:rPr>
              <w:t>December 31,</w:t>
            </w:r>
          </w:p>
        </w:tc>
        <w:tc>
          <w:tcPr>
            <w:tcW w:w="0" w:type="dxa"/>
            <w:vAlign w:val="bottom"/>
          </w:tcPr>
          <w:p>
            <w:pPr>
              <w:spacing w:after="0"/>
              <w:rPr>
                <w:sz w:val="1"/>
                <w:szCs w:val="1"/>
                <w:color w:val="auto"/>
              </w:rPr>
            </w:pPr>
          </w:p>
        </w:tc>
      </w:tr>
      <w:tr>
        <w:trPr>
          <w:trHeight w:val="204"/>
        </w:trPr>
        <w:tc>
          <w:tcPr>
            <w:tcW w:w="6940" w:type="dxa"/>
            <w:vAlign w:val="bottom"/>
            <w:tcBorders>
              <w:bottom w:val="single" w:sz="8" w:color="CFF0FC"/>
            </w:tcBorders>
          </w:tcPr>
          <w:p>
            <w:pPr>
              <w:spacing w:after="0"/>
              <w:rPr>
                <w:sz w:val="20"/>
                <w:szCs w:val="20"/>
                <w:color w:val="auto"/>
              </w:rPr>
            </w:pPr>
            <w:r>
              <w:rPr>
                <w:rFonts w:ascii="Arial" w:cs="Arial" w:eastAsia="Arial" w:hAnsi="Arial"/>
                <w:sz w:val="16"/>
                <w:szCs w:val="16"/>
                <w:b w:val="1"/>
                <w:bCs w:val="1"/>
                <w:color w:val="auto"/>
              </w:rPr>
              <w:t>Assets</w:t>
            </w:r>
          </w:p>
        </w:tc>
        <w:tc>
          <w:tcPr>
            <w:tcW w:w="1240" w:type="dxa"/>
            <w:vAlign w:val="bottom"/>
            <w:tcBorders>
              <w:bottom w:val="single" w:sz="8" w:color="CFF0FC"/>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440" w:type="dxa"/>
            <w:vAlign w:val="bottom"/>
            <w:tcBorders>
              <w:top w:val="single" w:sz="8" w:color="auto"/>
              <w:bottom w:val="single" w:sz="8" w:color="auto"/>
            </w:tcBorders>
          </w:tcPr>
          <w:p>
            <w:pPr>
              <w:jc w:val="right"/>
              <w:ind w:right="602"/>
              <w:spacing w:after="0"/>
              <w:rPr>
                <w:sz w:val="20"/>
                <w:szCs w:val="20"/>
                <w:color w:val="auto"/>
              </w:rPr>
            </w:pPr>
            <w:r>
              <w:rPr>
                <w:rFonts w:ascii="Arial" w:cs="Arial" w:eastAsia="Arial" w:hAnsi="Arial"/>
                <w:sz w:val="16"/>
                <w:szCs w:val="16"/>
                <w:b w:val="1"/>
                <w:bCs w:val="1"/>
                <w:color w:val="auto"/>
              </w:rPr>
              <w:t>2016</w:t>
            </w:r>
          </w:p>
        </w:tc>
        <w:tc>
          <w:tcPr>
            <w:tcW w:w="180" w:type="dxa"/>
            <w:vAlign w:val="bottom"/>
            <w:tcBorders>
              <w:bottom w:val="single" w:sz="8" w:color="CFF0FC"/>
            </w:tcBorders>
          </w:tcPr>
          <w:p>
            <w:pPr>
              <w:spacing w:after="0"/>
              <w:rPr>
                <w:sz w:val="17"/>
                <w:szCs w:val="17"/>
                <w:color w:val="auto"/>
              </w:rPr>
            </w:pPr>
          </w:p>
        </w:tc>
        <w:tc>
          <w:tcPr>
            <w:tcW w:w="120" w:type="dxa"/>
            <w:vAlign w:val="bottom"/>
            <w:tcBorders>
              <w:bottom w:val="single" w:sz="8" w:color="CFF0FC"/>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080" w:type="dxa"/>
            <w:vAlign w:val="bottom"/>
            <w:tcBorders>
              <w:top w:val="single" w:sz="8" w:color="auto"/>
              <w:bottom w:val="single" w:sz="8" w:color="auto"/>
            </w:tcBorders>
          </w:tcPr>
          <w:p>
            <w:pPr>
              <w:jc w:val="right"/>
              <w:ind w:right="242"/>
              <w:spacing w:after="0"/>
              <w:rPr>
                <w:sz w:val="20"/>
                <w:szCs w:val="20"/>
                <w:color w:val="auto"/>
              </w:rPr>
            </w:pPr>
            <w:r>
              <w:rPr>
                <w:rFonts w:ascii="Arial" w:cs="Arial" w:eastAsia="Arial" w:hAnsi="Arial"/>
                <w:sz w:val="16"/>
                <w:szCs w:val="16"/>
                <w:b w:val="1"/>
                <w:bCs w:val="1"/>
                <w:color w:val="auto"/>
              </w:rPr>
              <w:t>2015</w:t>
            </w:r>
          </w:p>
        </w:tc>
        <w:tc>
          <w:tcPr>
            <w:tcW w:w="60" w:type="dxa"/>
            <w:vAlign w:val="bottom"/>
            <w:tcBorders>
              <w:top w:val="single" w:sz="8" w:color="auto"/>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940" w:type="dxa"/>
            <w:vAlign w:val="bottom"/>
            <w:shd w:val="clear" w:color="auto" w:fill="CFF0FC"/>
          </w:tcPr>
          <w:p>
            <w:pPr>
              <w:spacing w:after="0"/>
              <w:rPr>
                <w:sz w:val="20"/>
                <w:szCs w:val="20"/>
                <w:color w:val="auto"/>
              </w:rPr>
            </w:pPr>
            <w:r>
              <w:rPr>
                <w:rFonts w:ascii="Arial" w:cs="Arial" w:eastAsia="Arial" w:hAnsi="Arial"/>
                <w:sz w:val="16"/>
                <w:szCs w:val="16"/>
                <w:color w:val="auto"/>
              </w:rPr>
              <w:t>Current assets:</w:t>
            </w:r>
          </w:p>
        </w:tc>
        <w:tc>
          <w:tcPr>
            <w:tcW w:w="1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08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40" w:type="dxa"/>
            <w:vAlign w:val="bottom"/>
          </w:tcPr>
          <w:p>
            <w:pPr>
              <w:ind w:left="120"/>
              <w:spacing w:after="0"/>
              <w:rPr>
                <w:sz w:val="20"/>
                <w:szCs w:val="20"/>
                <w:color w:val="auto"/>
              </w:rPr>
            </w:pPr>
            <w:r>
              <w:rPr>
                <w:rFonts w:ascii="Arial" w:cs="Arial" w:eastAsia="Arial" w:hAnsi="Arial"/>
                <w:sz w:val="16"/>
                <w:szCs w:val="16"/>
                <w:color w:val="auto"/>
              </w:rPr>
              <w:t>Cash and cash equivalents</w:t>
            </w:r>
          </w:p>
        </w:tc>
        <w:tc>
          <w:tcPr>
            <w:tcW w:w="1480" w:type="dxa"/>
            <w:vAlign w:val="bottom"/>
            <w:gridSpan w:val="2"/>
          </w:tcPr>
          <w:p>
            <w:pPr>
              <w:jc w:val="right"/>
              <w:ind w:right="88"/>
              <w:spacing w:after="0"/>
              <w:rPr>
                <w:sz w:val="20"/>
                <w:szCs w:val="20"/>
                <w:color w:val="auto"/>
              </w:rPr>
            </w:pPr>
            <w:r>
              <w:rPr>
                <w:rFonts w:ascii="Arial" w:cs="Arial" w:eastAsia="Arial" w:hAnsi="Arial"/>
                <w:sz w:val="16"/>
                <w:szCs w:val="16"/>
                <w:color w:val="auto"/>
              </w:rPr>
              <w:t>$</w:t>
            </w:r>
          </w:p>
        </w:tc>
        <w:tc>
          <w:tcPr>
            <w:tcW w:w="1440" w:type="dxa"/>
            <w:vAlign w:val="bottom"/>
          </w:tcPr>
          <w:p>
            <w:pPr>
              <w:jc w:val="right"/>
              <w:spacing w:after="0"/>
              <w:rPr>
                <w:sz w:val="20"/>
                <w:szCs w:val="20"/>
                <w:color w:val="auto"/>
              </w:rPr>
            </w:pPr>
            <w:r>
              <w:rPr>
                <w:rFonts w:ascii="Arial" w:cs="Arial" w:eastAsia="Arial" w:hAnsi="Arial"/>
                <w:sz w:val="16"/>
                <w:szCs w:val="16"/>
                <w:color w:val="auto"/>
              </w:rPr>
              <w:t>40,393</w:t>
            </w:r>
          </w:p>
        </w:tc>
        <w:tc>
          <w:tcPr>
            <w:tcW w:w="180" w:type="dxa"/>
            <w:vAlign w:val="bottom"/>
          </w:tcPr>
          <w:p>
            <w:pPr>
              <w:spacing w:after="0"/>
              <w:rPr>
                <w:sz w:val="17"/>
                <w:szCs w:val="17"/>
                <w:color w:val="auto"/>
              </w:rPr>
            </w:pPr>
          </w:p>
        </w:tc>
        <w:tc>
          <w:tcPr>
            <w:tcW w:w="340" w:type="dxa"/>
            <w:vAlign w:val="bottom"/>
            <w:gridSpan w:val="2"/>
          </w:tcPr>
          <w:p>
            <w:pPr>
              <w:jc w:val="right"/>
              <w:ind w:right="68"/>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31</w:t>
            </w:r>
          </w:p>
        </w:tc>
        <w:tc>
          <w:tcPr>
            <w:tcW w:w="0" w:type="dxa"/>
            <w:vAlign w:val="bottom"/>
          </w:tcPr>
          <w:p>
            <w:pPr>
              <w:spacing w:after="0"/>
              <w:rPr>
                <w:sz w:val="1"/>
                <w:szCs w:val="1"/>
                <w:color w:val="auto"/>
              </w:rPr>
            </w:pPr>
          </w:p>
        </w:tc>
      </w:tr>
      <w:tr>
        <w:trPr>
          <w:trHeight w:val="20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Accounts receivable, net of allowance for bad debts of $687 and $629</w:t>
            </w:r>
          </w:p>
        </w:tc>
        <w:tc>
          <w:tcPr>
            <w:tcW w:w="1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08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40" w:type="dxa"/>
            <w:vAlign w:val="bottom"/>
            <w:shd w:val="clear" w:color="auto" w:fill="CFF0FC"/>
          </w:tcPr>
          <w:p>
            <w:pPr>
              <w:ind w:left="240"/>
              <w:spacing w:after="0"/>
              <w:rPr>
                <w:sz w:val="20"/>
                <w:szCs w:val="20"/>
                <w:color w:val="auto"/>
              </w:rPr>
            </w:pPr>
            <w:r>
              <w:rPr>
                <w:rFonts w:ascii="Arial" w:cs="Arial" w:eastAsia="Arial" w:hAnsi="Arial"/>
                <w:sz w:val="16"/>
                <w:szCs w:val="16"/>
                <w:color w:val="auto"/>
              </w:rPr>
              <w:t>at December 31, 2016 and December 31, 2015, respectively</w:t>
            </w:r>
          </w:p>
        </w:tc>
        <w:tc>
          <w:tcPr>
            <w:tcW w:w="1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26,873</w:t>
            </w:r>
          </w:p>
        </w:tc>
        <w:tc>
          <w:tcPr>
            <w:tcW w:w="18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205"/>
        </w:trPr>
        <w:tc>
          <w:tcPr>
            <w:tcW w:w="6940" w:type="dxa"/>
            <w:vAlign w:val="bottom"/>
          </w:tcPr>
          <w:p>
            <w:pPr>
              <w:ind w:left="120"/>
              <w:spacing w:after="0"/>
              <w:rPr>
                <w:sz w:val="20"/>
                <w:szCs w:val="20"/>
                <w:color w:val="auto"/>
              </w:rPr>
            </w:pPr>
            <w:r>
              <w:rPr>
                <w:rFonts w:ascii="Arial" w:cs="Arial" w:eastAsia="Arial" w:hAnsi="Arial"/>
                <w:sz w:val="16"/>
                <w:szCs w:val="16"/>
                <w:color w:val="auto"/>
              </w:rPr>
              <w:t>Due from related parties</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2,864</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Inventory</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1,802</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205"/>
        </w:trPr>
        <w:tc>
          <w:tcPr>
            <w:tcW w:w="6940" w:type="dxa"/>
            <w:vAlign w:val="bottom"/>
          </w:tcPr>
          <w:p>
            <w:pPr>
              <w:ind w:left="120"/>
              <w:spacing w:after="0"/>
              <w:rPr>
                <w:sz w:val="20"/>
                <w:szCs w:val="20"/>
                <w:color w:val="auto"/>
              </w:rPr>
            </w:pPr>
            <w:r>
              <w:rPr>
                <w:rFonts w:ascii="Arial" w:cs="Arial" w:eastAsia="Arial" w:hAnsi="Arial"/>
                <w:sz w:val="16"/>
                <w:szCs w:val="16"/>
                <w:color w:val="auto"/>
              </w:rPr>
              <w:t>Restricted assets – NAF</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3,074</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Prepaid expenses</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3,591</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05"/>
        </w:trPr>
        <w:tc>
          <w:tcPr>
            <w:tcW w:w="6940" w:type="dxa"/>
            <w:vAlign w:val="bottom"/>
          </w:tcPr>
          <w:p>
            <w:pPr>
              <w:ind w:left="120"/>
              <w:spacing w:after="0"/>
              <w:rPr>
                <w:sz w:val="20"/>
                <w:szCs w:val="20"/>
                <w:color w:val="auto"/>
              </w:rPr>
            </w:pPr>
            <w:r>
              <w:rPr>
                <w:rFonts w:ascii="Arial" w:cs="Arial" w:eastAsia="Arial" w:hAnsi="Arial"/>
                <w:sz w:val="16"/>
                <w:szCs w:val="16"/>
                <w:color w:val="auto"/>
              </w:rPr>
              <w:t>Other receivables</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7,935</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Income tax receivable</w:t>
            </w:r>
          </w:p>
        </w:tc>
        <w:tc>
          <w:tcPr>
            <w:tcW w:w="124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4,693</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14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198"/>
        </w:trPr>
        <w:tc>
          <w:tcPr>
            <w:tcW w:w="6940" w:type="dxa"/>
            <w:vAlign w:val="bottom"/>
          </w:tcPr>
          <w:p>
            <w:pPr>
              <w:ind w:left="480"/>
              <w:spacing w:after="0"/>
              <w:rPr>
                <w:sz w:val="20"/>
                <w:szCs w:val="20"/>
                <w:color w:val="auto"/>
              </w:rPr>
            </w:pPr>
            <w:r>
              <w:rPr>
                <w:rFonts w:ascii="Arial" w:cs="Arial" w:eastAsia="Arial" w:hAnsi="Arial"/>
                <w:sz w:val="16"/>
                <w:szCs w:val="16"/>
                <w:color w:val="auto"/>
              </w:rPr>
              <w:t>Total current assets</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91,225</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72</w:t>
            </w: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spacing w:after="0"/>
              <w:rPr>
                <w:sz w:val="20"/>
                <w:szCs w:val="20"/>
                <w:color w:val="auto"/>
              </w:rPr>
            </w:pPr>
            <w:r>
              <w:rPr>
                <w:rFonts w:ascii="Arial" w:cs="Arial" w:eastAsia="Arial" w:hAnsi="Arial"/>
                <w:sz w:val="16"/>
                <w:szCs w:val="16"/>
                <w:color w:val="auto"/>
              </w:rPr>
              <w:t>Property and equipment, net</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61,238</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56</w:t>
            </w:r>
          </w:p>
        </w:tc>
        <w:tc>
          <w:tcPr>
            <w:tcW w:w="0" w:type="dxa"/>
            <w:vAlign w:val="bottom"/>
          </w:tcPr>
          <w:p>
            <w:pPr>
              <w:spacing w:after="0"/>
              <w:rPr>
                <w:sz w:val="1"/>
                <w:szCs w:val="1"/>
                <w:color w:val="auto"/>
              </w:rPr>
            </w:pPr>
          </w:p>
        </w:tc>
      </w:tr>
      <w:tr>
        <w:trPr>
          <w:trHeight w:val="205"/>
        </w:trPr>
        <w:tc>
          <w:tcPr>
            <w:tcW w:w="6940" w:type="dxa"/>
            <w:vAlign w:val="bottom"/>
          </w:tcPr>
          <w:p>
            <w:pPr>
              <w:spacing w:after="0"/>
              <w:rPr>
                <w:sz w:val="20"/>
                <w:szCs w:val="20"/>
                <w:color w:val="auto"/>
              </w:rPr>
            </w:pPr>
            <w:r>
              <w:rPr>
                <w:rFonts w:ascii="Arial" w:cs="Arial" w:eastAsia="Arial" w:hAnsi="Arial"/>
                <w:sz w:val="16"/>
                <w:szCs w:val="16"/>
                <w:color w:val="auto"/>
              </w:rPr>
              <w:t>Intangible assets, net</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253,862</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273</w:t>
            </w: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spacing w:after="0"/>
              <w:rPr>
                <w:sz w:val="20"/>
                <w:szCs w:val="20"/>
                <w:color w:val="auto"/>
              </w:rPr>
            </w:pPr>
            <w:r>
              <w:rPr>
                <w:rFonts w:ascii="Arial" w:cs="Arial" w:eastAsia="Arial" w:hAnsi="Arial"/>
                <w:sz w:val="16"/>
                <w:szCs w:val="16"/>
                <w:color w:val="auto"/>
              </w:rPr>
              <w:t>Goodwill</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176,981</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176</w:t>
            </w:r>
          </w:p>
        </w:tc>
        <w:tc>
          <w:tcPr>
            <w:tcW w:w="0" w:type="dxa"/>
            <w:vAlign w:val="bottom"/>
          </w:tcPr>
          <w:p>
            <w:pPr>
              <w:spacing w:after="0"/>
              <w:rPr>
                <w:sz w:val="1"/>
                <w:szCs w:val="1"/>
                <w:color w:val="auto"/>
              </w:rPr>
            </w:pPr>
          </w:p>
        </w:tc>
      </w:tr>
      <w:tr>
        <w:trPr>
          <w:trHeight w:val="205"/>
        </w:trPr>
        <w:tc>
          <w:tcPr>
            <w:tcW w:w="6940" w:type="dxa"/>
            <w:vAlign w:val="bottom"/>
          </w:tcPr>
          <w:p>
            <w:pPr>
              <w:spacing w:after="0"/>
              <w:rPr>
                <w:sz w:val="20"/>
                <w:szCs w:val="20"/>
                <w:color w:val="auto"/>
              </w:rPr>
            </w:pPr>
            <w:r>
              <w:rPr>
                <w:rFonts w:ascii="Arial" w:cs="Arial" w:eastAsia="Arial" w:hAnsi="Arial"/>
                <w:sz w:val="16"/>
                <w:szCs w:val="16"/>
                <w:color w:val="auto"/>
              </w:rPr>
              <w:t>Deferred income taxes</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410,407</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117</w:t>
            </w: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spacing w:after="0"/>
              <w:rPr>
                <w:sz w:val="20"/>
                <w:szCs w:val="20"/>
                <w:color w:val="auto"/>
              </w:rPr>
            </w:pPr>
            <w:r>
              <w:rPr>
                <w:rFonts w:ascii="Arial" w:cs="Arial" w:eastAsia="Arial" w:hAnsi="Arial"/>
                <w:sz w:val="16"/>
                <w:szCs w:val="16"/>
                <w:color w:val="auto"/>
              </w:rPr>
              <w:t>Other assets, net</w:t>
            </w:r>
          </w:p>
        </w:tc>
        <w:tc>
          <w:tcPr>
            <w:tcW w:w="124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7,729</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14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238"/>
        </w:trPr>
        <w:tc>
          <w:tcPr>
            <w:tcW w:w="6940" w:type="dxa"/>
            <w:vAlign w:val="bottom"/>
          </w:tcPr>
          <w:p>
            <w:pPr>
              <w:ind w:left="480"/>
              <w:spacing w:after="0"/>
              <w:rPr>
                <w:sz w:val="20"/>
                <w:szCs w:val="20"/>
                <w:color w:val="auto"/>
              </w:rPr>
            </w:pPr>
            <w:r>
              <w:rPr>
                <w:rFonts w:ascii="Arial" w:cs="Arial" w:eastAsia="Arial" w:hAnsi="Arial"/>
                <w:sz w:val="16"/>
                <w:szCs w:val="16"/>
                <w:color w:val="auto"/>
              </w:rPr>
              <w:t>Total assets</w:t>
            </w:r>
          </w:p>
        </w:tc>
        <w:tc>
          <w:tcPr>
            <w:tcW w:w="1480" w:type="dxa"/>
            <w:vAlign w:val="bottom"/>
            <w:gridSpan w:val="2"/>
          </w:tcPr>
          <w:p>
            <w:pPr>
              <w:jc w:val="right"/>
              <w:ind w:right="88"/>
              <w:spacing w:after="0"/>
              <w:rPr>
                <w:sz w:val="20"/>
                <w:szCs w:val="20"/>
                <w:color w:val="auto"/>
              </w:rPr>
            </w:pPr>
            <w:r>
              <w:rPr>
                <w:rFonts w:ascii="Arial" w:cs="Arial" w:eastAsia="Arial" w:hAnsi="Arial"/>
                <w:sz w:val="16"/>
                <w:szCs w:val="16"/>
                <w:color w:val="auto"/>
              </w:rPr>
              <w:t>$</w:t>
            </w:r>
          </w:p>
        </w:tc>
        <w:tc>
          <w:tcPr>
            <w:tcW w:w="1440" w:type="dxa"/>
            <w:vAlign w:val="bottom"/>
          </w:tcPr>
          <w:p>
            <w:pPr>
              <w:jc w:val="right"/>
              <w:spacing w:after="0"/>
              <w:rPr>
                <w:sz w:val="20"/>
                <w:szCs w:val="20"/>
                <w:color w:val="auto"/>
              </w:rPr>
            </w:pPr>
            <w:r>
              <w:rPr>
                <w:rFonts w:ascii="Arial" w:cs="Arial" w:eastAsia="Arial" w:hAnsi="Arial"/>
                <w:sz w:val="16"/>
                <w:szCs w:val="16"/>
                <w:color w:val="auto"/>
              </w:rPr>
              <w:t>1,001,442</w:t>
            </w:r>
          </w:p>
        </w:tc>
        <w:tc>
          <w:tcPr>
            <w:tcW w:w="180" w:type="dxa"/>
            <w:vAlign w:val="bottom"/>
          </w:tcPr>
          <w:p>
            <w:pPr>
              <w:spacing w:after="0"/>
              <w:rPr>
                <w:sz w:val="20"/>
                <w:szCs w:val="20"/>
                <w:color w:val="auto"/>
              </w:rPr>
            </w:pPr>
          </w:p>
        </w:tc>
        <w:tc>
          <w:tcPr>
            <w:tcW w:w="340" w:type="dxa"/>
            <w:vAlign w:val="bottom"/>
            <w:gridSpan w:val="2"/>
          </w:tcPr>
          <w:p>
            <w:pPr>
              <w:jc w:val="right"/>
              <w:ind w:right="68"/>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699</w:t>
            </w:r>
          </w:p>
        </w:tc>
        <w:tc>
          <w:tcPr>
            <w:tcW w:w="0" w:type="dxa"/>
            <w:vAlign w:val="bottom"/>
          </w:tcPr>
          <w:p>
            <w:pPr>
              <w:spacing w:after="0"/>
              <w:rPr>
                <w:sz w:val="1"/>
                <w:szCs w:val="1"/>
                <w:color w:val="auto"/>
              </w:rPr>
            </w:pPr>
          </w:p>
        </w:tc>
      </w:tr>
      <w:tr>
        <w:trPr>
          <w:trHeight w:val="190"/>
        </w:trPr>
        <w:tc>
          <w:tcPr>
            <w:tcW w:w="69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b w:val="1"/>
                <w:bCs w:val="1"/>
                <w:color w:val="auto"/>
              </w:rPr>
              <w:t>Liabilities and Equity</w:t>
            </w:r>
          </w:p>
        </w:tc>
        <w:tc>
          <w:tcPr>
            <w:tcW w:w="1240" w:type="dxa"/>
            <w:vAlign w:val="bottom"/>
            <w:tcBorders>
              <w:top w:val="single" w:sz="8" w:color="CFF0FC"/>
            </w:tcBorders>
            <w:shd w:val="clear" w:color="auto" w:fill="CFF0FC"/>
          </w:tcPr>
          <w:p>
            <w:pPr>
              <w:spacing w:after="0"/>
              <w:rPr>
                <w:sz w:val="16"/>
                <w:szCs w:val="16"/>
                <w:color w:val="auto"/>
              </w:rPr>
            </w:pPr>
          </w:p>
        </w:tc>
        <w:tc>
          <w:tcPr>
            <w:tcW w:w="240" w:type="dxa"/>
            <w:vAlign w:val="bottom"/>
            <w:tcBorders>
              <w:top w:val="single" w:sz="8" w:color="auto"/>
            </w:tcBorders>
            <w:shd w:val="clear" w:color="auto" w:fill="CFF0FC"/>
          </w:tcPr>
          <w:p>
            <w:pPr>
              <w:spacing w:after="0"/>
              <w:rPr>
                <w:sz w:val="16"/>
                <w:szCs w:val="16"/>
                <w:color w:val="auto"/>
              </w:rPr>
            </w:pPr>
          </w:p>
        </w:tc>
        <w:tc>
          <w:tcPr>
            <w:tcW w:w="1440" w:type="dxa"/>
            <w:vAlign w:val="bottom"/>
            <w:tcBorders>
              <w:top w:val="single" w:sz="8" w:color="auto"/>
            </w:tcBorders>
            <w:shd w:val="clear" w:color="auto" w:fill="CFF0FC"/>
          </w:tcPr>
          <w:p>
            <w:pPr>
              <w:spacing w:after="0"/>
              <w:rPr>
                <w:sz w:val="16"/>
                <w:szCs w:val="16"/>
                <w:color w:val="auto"/>
              </w:rPr>
            </w:pPr>
          </w:p>
        </w:tc>
        <w:tc>
          <w:tcPr>
            <w:tcW w:w="180" w:type="dxa"/>
            <w:vAlign w:val="bottom"/>
            <w:tcBorders>
              <w:top w:val="single" w:sz="8" w:color="CFF0FC"/>
            </w:tcBorders>
            <w:shd w:val="clear" w:color="auto" w:fill="CFF0FC"/>
          </w:tcPr>
          <w:p>
            <w:pPr>
              <w:spacing w:after="0"/>
              <w:rPr>
                <w:sz w:val="16"/>
                <w:szCs w:val="16"/>
                <w:color w:val="auto"/>
              </w:rPr>
            </w:pPr>
          </w:p>
        </w:tc>
        <w:tc>
          <w:tcPr>
            <w:tcW w:w="120" w:type="dxa"/>
            <w:vAlign w:val="bottom"/>
            <w:tcBorders>
              <w:top w:val="single" w:sz="8" w:color="CFF0FC"/>
            </w:tcBorders>
            <w:shd w:val="clear" w:color="auto" w:fill="CFF0FC"/>
          </w:tcPr>
          <w:p>
            <w:pPr>
              <w:spacing w:after="0"/>
              <w:rPr>
                <w:sz w:val="16"/>
                <w:szCs w:val="16"/>
                <w:color w:val="auto"/>
              </w:rPr>
            </w:pPr>
          </w:p>
        </w:tc>
        <w:tc>
          <w:tcPr>
            <w:tcW w:w="220" w:type="dxa"/>
            <w:vAlign w:val="bottom"/>
            <w:tcBorders>
              <w:top w:val="single" w:sz="8" w:color="auto"/>
            </w:tcBorders>
            <w:shd w:val="clear" w:color="auto" w:fill="CFF0FC"/>
          </w:tcPr>
          <w:p>
            <w:pPr>
              <w:spacing w:after="0"/>
              <w:rPr>
                <w:sz w:val="16"/>
                <w:szCs w:val="16"/>
                <w:color w:val="auto"/>
              </w:rPr>
            </w:pPr>
          </w:p>
        </w:tc>
        <w:tc>
          <w:tcPr>
            <w:tcW w:w="1080" w:type="dxa"/>
            <w:vAlign w:val="bottom"/>
            <w:tcBorders>
              <w:top w:val="single" w:sz="8" w:color="auto"/>
            </w:tcBorders>
            <w:shd w:val="clear" w:color="auto" w:fill="CFF0FC"/>
          </w:tcPr>
          <w:p>
            <w:pPr>
              <w:spacing w:after="0"/>
              <w:rPr>
                <w:sz w:val="16"/>
                <w:szCs w:val="16"/>
                <w:color w:val="auto"/>
              </w:rPr>
            </w:pPr>
          </w:p>
        </w:tc>
        <w:tc>
          <w:tcPr>
            <w:tcW w:w="60" w:type="dxa"/>
            <w:vAlign w:val="bottom"/>
            <w:tcBorders>
              <w:top w:val="single" w:sz="8" w:color="auto"/>
            </w:tcBorders>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6940" w:type="dxa"/>
            <w:vAlign w:val="bottom"/>
          </w:tcPr>
          <w:p>
            <w:pPr>
              <w:spacing w:after="0"/>
              <w:rPr>
                <w:sz w:val="20"/>
                <w:szCs w:val="20"/>
                <w:color w:val="auto"/>
              </w:rPr>
            </w:pPr>
            <w:r>
              <w:rPr>
                <w:rFonts w:ascii="Arial" w:cs="Arial" w:eastAsia="Arial" w:hAnsi="Arial"/>
                <w:sz w:val="16"/>
                <w:szCs w:val="16"/>
                <w:color w:val="auto"/>
              </w:rPr>
              <w:t>Current liabilities:</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Current maturities of long-term debt</w:t>
            </w:r>
          </w:p>
        </w:tc>
        <w:tc>
          <w:tcPr>
            <w:tcW w:w="1480" w:type="dxa"/>
            <w:vAlign w:val="bottom"/>
            <w:gridSpan w:val="2"/>
            <w:shd w:val="clear" w:color="auto" w:fill="CFF0FC"/>
          </w:tcPr>
          <w:p>
            <w:pPr>
              <w:jc w:val="right"/>
              <w:ind w:right="88"/>
              <w:spacing w:after="0"/>
              <w:rPr>
                <w:sz w:val="20"/>
                <w:szCs w:val="20"/>
                <w:color w:val="auto"/>
              </w:rPr>
            </w:pPr>
            <w:r>
              <w:rPr>
                <w:rFonts w:ascii="Arial" w:cs="Arial" w:eastAsia="Arial" w:hAnsi="Arial"/>
                <w:sz w:val="16"/>
                <w:szCs w:val="16"/>
                <w:color w:val="auto"/>
              </w:rPr>
              <w:t>$</w:t>
            </w: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7,185</w:t>
            </w:r>
          </w:p>
        </w:tc>
        <w:tc>
          <w:tcPr>
            <w:tcW w:w="180" w:type="dxa"/>
            <w:vAlign w:val="bottom"/>
            <w:shd w:val="clear" w:color="auto" w:fill="CFF0FC"/>
          </w:tcPr>
          <w:p>
            <w:pPr>
              <w:spacing w:after="0"/>
              <w:rPr>
                <w:sz w:val="18"/>
                <w:szCs w:val="18"/>
                <w:color w:val="auto"/>
              </w:rPr>
            </w:pPr>
          </w:p>
        </w:tc>
        <w:tc>
          <w:tcPr>
            <w:tcW w:w="340" w:type="dxa"/>
            <w:vAlign w:val="bottom"/>
            <w:gridSpan w:val="2"/>
            <w:shd w:val="clear" w:color="auto" w:fill="CFF0FC"/>
          </w:tcPr>
          <w:p>
            <w:pPr>
              <w:jc w:val="right"/>
              <w:ind w:right="68"/>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05"/>
        </w:trPr>
        <w:tc>
          <w:tcPr>
            <w:tcW w:w="6940" w:type="dxa"/>
            <w:vAlign w:val="bottom"/>
          </w:tcPr>
          <w:p>
            <w:pPr>
              <w:ind w:left="120"/>
              <w:spacing w:after="0"/>
              <w:rPr>
                <w:sz w:val="20"/>
                <w:szCs w:val="20"/>
                <w:color w:val="auto"/>
              </w:rPr>
            </w:pPr>
            <w:r>
              <w:rPr>
                <w:rFonts w:ascii="Arial" w:cs="Arial" w:eastAsia="Arial" w:hAnsi="Arial"/>
                <w:sz w:val="16"/>
                <w:szCs w:val="16"/>
                <w:color w:val="auto"/>
              </w:rPr>
              <w:t>Accounts payable</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28,507</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23</w:t>
            </w: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Accrued expenses</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19,190</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13</w:t>
            </w:r>
          </w:p>
        </w:tc>
        <w:tc>
          <w:tcPr>
            <w:tcW w:w="0" w:type="dxa"/>
            <w:vAlign w:val="bottom"/>
          </w:tcPr>
          <w:p>
            <w:pPr>
              <w:spacing w:after="0"/>
              <w:rPr>
                <w:sz w:val="1"/>
                <w:szCs w:val="1"/>
                <w:color w:val="auto"/>
              </w:rPr>
            </w:pPr>
          </w:p>
        </w:tc>
      </w:tr>
      <w:tr>
        <w:trPr>
          <w:trHeight w:val="205"/>
        </w:trPr>
        <w:tc>
          <w:tcPr>
            <w:tcW w:w="6940" w:type="dxa"/>
            <w:vAlign w:val="bottom"/>
          </w:tcPr>
          <w:p>
            <w:pPr>
              <w:ind w:left="120"/>
              <w:spacing w:after="0"/>
              <w:rPr>
                <w:sz w:val="20"/>
                <w:szCs w:val="20"/>
                <w:color w:val="auto"/>
              </w:rPr>
            </w:pPr>
            <w:r>
              <w:rPr>
                <w:rFonts w:ascii="Arial" w:cs="Arial" w:eastAsia="Arial" w:hAnsi="Arial"/>
                <w:sz w:val="16"/>
                <w:szCs w:val="16"/>
                <w:color w:val="auto"/>
              </w:rPr>
              <w:t>Equipment deposits</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2,170</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Deferred revenue, current</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17,780</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205"/>
        </w:trPr>
        <w:tc>
          <w:tcPr>
            <w:tcW w:w="6940" w:type="dxa"/>
            <w:vAlign w:val="bottom"/>
          </w:tcPr>
          <w:p>
            <w:pPr>
              <w:ind w:left="120"/>
              <w:spacing w:after="0"/>
              <w:rPr>
                <w:sz w:val="20"/>
                <w:szCs w:val="20"/>
                <w:color w:val="auto"/>
              </w:rPr>
            </w:pPr>
            <w:r>
              <w:rPr>
                <w:rFonts w:ascii="Arial" w:cs="Arial" w:eastAsia="Arial" w:hAnsi="Arial"/>
                <w:sz w:val="16"/>
                <w:szCs w:val="16"/>
                <w:color w:val="auto"/>
              </w:rPr>
              <w:t>Payable to related parties pursuant to tax benefit arrangements, current</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8,072</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Other current liabilities</w:t>
            </w:r>
          </w:p>
        </w:tc>
        <w:tc>
          <w:tcPr>
            <w:tcW w:w="124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369</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spacing w:after="0"/>
              <w:rPr>
                <w:sz w:val="18"/>
                <w:szCs w:val="18"/>
                <w:color w:val="auto"/>
              </w:rPr>
            </w:pPr>
          </w:p>
        </w:tc>
        <w:tc>
          <w:tcPr>
            <w:tcW w:w="60" w:type="dxa"/>
            <w:vAlign w:val="bottom"/>
            <w:tcBorders>
              <w:bottom w:val="single" w:sz="8" w:color="auto"/>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6940" w:type="dxa"/>
            <w:vAlign w:val="bottom"/>
            <w:tcBorders>
              <w:bottom w:val="single" w:sz="8" w:color="CFF0FC"/>
            </w:tcBorders>
          </w:tcPr>
          <w:p>
            <w:pPr>
              <w:ind w:left="480"/>
              <w:spacing w:after="0"/>
              <w:rPr>
                <w:sz w:val="20"/>
                <w:szCs w:val="20"/>
                <w:color w:val="auto"/>
              </w:rPr>
            </w:pPr>
            <w:r>
              <w:rPr>
                <w:rFonts w:ascii="Arial" w:cs="Arial" w:eastAsia="Arial" w:hAnsi="Arial"/>
                <w:sz w:val="16"/>
                <w:szCs w:val="16"/>
                <w:color w:val="auto"/>
              </w:rPr>
              <w:t>Total current liabilities</w:t>
            </w:r>
          </w:p>
        </w:tc>
        <w:tc>
          <w:tcPr>
            <w:tcW w:w="124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83,273</w:t>
            </w:r>
          </w:p>
        </w:tc>
        <w:tc>
          <w:tcPr>
            <w:tcW w:w="180" w:type="dxa"/>
            <w:vAlign w:val="bottom"/>
            <w:tcBorders>
              <w:bottom w:val="single" w:sz="8" w:color="CFF0FC"/>
            </w:tcBorders>
          </w:tcPr>
          <w:p>
            <w:pPr>
              <w:spacing w:after="0"/>
              <w:rPr>
                <w:sz w:val="17"/>
                <w:szCs w:val="17"/>
                <w:color w:val="auto"/>
              </w:rPr>
            </w:pPr>
          </w:p>
        </w:tc>
        <w:tc>
          <w:tcPr>
            <w:tcW w:w="120" w:type="dxa"/>
            <w:vAlign w:val="bottom"/>
            <w:tcBorders>
              <w:bottom w:val="single" w:sz="8" w:color="CFF0FC"/>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66</w:t>
            </w:r>
          </w:p>
        </w:tc>
        <w:tc>
          <w:tcPr>
            <w:tcW w:w="0" w:type="dxa"/>
            <w:vAlign w:val="bottom"/>
          </w:tcPr>
          <w:p>
            <w:pPr>
              <w:spacing w:after="0"/>
              <w:rPr>
                <w:sz w:val="1"/>
                <w:szCs w:val="1"/>
                <w:color w:val="auto"/>
              </w:rPr>
            </w:pPr>
          </w:p>
        </w:tc>
      </w:tr>
      <w:tr>
        <w:trPr>
          <w:trHeight w:val="204"/>
        </w:trPr>
        <w:tc>
          <w:tcPr>
            <w:tcW w:w="6940" w:type="dxa"/>
            <w:vAlign w:val="bottom"/>
            <w:shd w:val="clear" w:color="auto" w:fill="CFF0FC"/>
          </w:tcPr>
          <w:p>
            <w:pPr>
              <w:spacing w:after="0"/>
              <w:rPr>
                <w:sz w:val="20"/>
                <w:szCs w:val="20"/>
                <w:color w:val="auto"/>
              </w:rPr>
            </w:pPr>
            <w:r>
              <w:rPr>
                <w:rFonts w:ascii="Arial" w:cs="Arial" w:eastAsia="Arial" w:hAnsi="Arial"/>
                <w:sz w:val="16"/>
                <w:szCs w:val="16"/>
                <w:color w:val="auto"/>
              </w:rPr>
              <w:t>Long-term debt, net of current maturities</w:t>
            </w:r>
          </w:p>
        </w:tc>
        <w:tc>
          <w:tcPr>
            <w:tcW w:w="1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702,003</w:t>
            </w:r>
          </w:p>
        </w:tc>
        <w:tc>
          <w:tcPr>
            <w:tcW w:w="18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479</w:t>
            </w:r>
          </w:p>
        </w:tc>
        <w:tc>
          <w:tcPr>
            <w:tcW w:w="0" w:type="dxa"/>
            <w:vAlign w:val="bottom"/>
          </w:tcPr>
          <w:p>
            <w:pPr>
              <w:spacing w:after="0"/>
              <w:rPr>
                <w:sz w:val="1"/>
                <w:szCs w:val="1"/>
                <w:color w:val="auto"/>
              </w:rPr>
            </w:pPr>
          </w:p>
        </w:tc>
      </w:tr>
      <w:tr>
        <w:trPr>
          <w:trHeight w:val="205"/>
        </w:trPr>
        <w:tc>
          <w:tcPr>
            <w:tcW w:w="6940" w:type="dxa"/>
            <w:vAlign w:val="bottom"/>
          </w:tcPr>
          <w:p>
            <w:pPr>
              <w:spacing w:after="0"/>
              <w:rPr>
                <w:sz w:val="20"/>
                <w:szCs w:val="20"/>
                <w:color w:val="auto"/>
              </w:rPr>
            </w:pPr>
            <w:r>
              <w:rPr>
                <w:rFonts w:ascii="Arial" w:cs="Arial" w:eastAsia="Arial" w:hAnsi="Arial"/>
                <w:sz w:val="16"/>
                <w:szCs w:val="16"/>
                <w:color w:val="auto"/>
              </w:rPr>
              <w:t>Deferred rent, net of current portion</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5,108</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spacing w:after="0"/>
              <w:rPr>
                <w:sz w:val="20"/>
                <w:szCs w:val="20"/>
                <w:color w:val="auto"/>
              </w:rPr>
            </w:pPr>
            <w:r>
              <w:rPr>
                <w:rFonts w:ascii="Arial" w:cs="Arial" w:eastAsia="Arial" w:hAnsi="Arial"/>
                <w:sz w:val="16"/>
                <w:szCs w:val="16"/>
                <w:color w:val="auto"/>
              </w:rPr>
              <w:t>Deferred revenue, net of current portion</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8,351</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12</w:t>
            </w:r>
          </w:p>
        </w:tc>
        <w:tc>
          <w:tcPr>
            <w:tcW w:w="0" w:type="dxa"/>
            <w:vAlign w:val="bottom"/>
          </w:tcPr>
          <w:p>
            <w:pPr>
              <w:spacing w:after="0"/>
              <w:rPr>
                <w:sz w:val="1"/>
                <w:szCs w:val="1"/>
                <w:color w:val="auto"/>
              </w:rPr>
            </w:pPr>
          </w:p>
        </w:tc>
      </w:tr>
      <w:tr>
        <w:trPr>
          <w:trHeight w:val="205"/>
        </w:trPr>
        <w:tc>
          <w:tcPr>
            <w:tcW w:w="6940" w:type="dxa"/>
            <w:vAlign w:val="bottom"/>
          </w:tcPr>
          <w:p>
            <w:pPr>
              <w:spacing w:after="0"/>
              <w:rPr>
                <w:sz w:val="20"/>
                <w:szCs w:val="20"/>
                <w:color w:val="auto"/>
              </w:rPr>
            </w:pPr>
            <w:r>
              <w:rPr>
                <w:rFonts w:ascii="Arial" w:cs="Arial" w:eastAsia="Arial" w:hAnsi="Arial"/>
                <w:sz w:val="16"/>
                <w:szCs w:val="16"/>
                <w:color w:val="auto"/>
              </w:rPr>
              <w:t>Deferred tax liabilities</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1,238</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spacing w:after="0"/>
              <w:rPr>
                <w:sz w:val="20"/>
                <w:szCs w:val="20"/>
                <w:color w:val="auto"/>
              </w:rPr>
            </w:pPr>
            <w:r>
              <w:rPr>
                <w:rFonts w:ascii="Arial" w:cs="Arial" w:eastAsia="Arial" w:hAnsi="Arial"/>
                <w:sz w:val="16"/>
                <w:szCs w:val="16"/>
                <w:color w:val="auto"/>
              </w:rPr>
              <w:t>Payable to related parties pursuant to tax benefit arrangements, net of current portion</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410,999</w:t>
            </w: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137</w:t>
            </w:r>
          </w:p>
        </w:tc>
        <w:tc>
          <w:tcPr>
            <w:tcW w:w="0" w:type="dxa"/>
            <w:vAlign w:val="bottom"/>
          </w:tcPr>
          <w:p>
            <w:pPr>
              <w:spacing w:after="0"/>
              <w:rPr>
                <w:sz w:val="1"/>
                <w:szCs w:val="1"/>
                <w:color w:val="auto"/>
              </w:rPr>
            </w:pPr>
          </w:p>
        </w:tc>
      </w:tr>
      <w:tr>
        <w:trPr>
          <w:trHeight w:val="205"/>
        </w:trPr>
        <w:tc>
          <w:tcPr>
            <w:tcW w:w="694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Other liabilities</w:t>
            </w:r>
          </w:p>
        </w:tc>
        <w:tc>
          <w:tcPr>
            <w:tcW w:w="124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5,225</w:t>
            </w:r>
          </w:p>
        </w:tc>
        <w:tc>
          <w:tcPr>
            <w:tcW w:w="180" w:type="dxa"/>
            <w:vAlign w:val="bottom"/>
            <w:tcBorders>
              <w:bottom w:val="single" w:sz="8" w:color="CFF0FC"/>
            </w:tcBorders>
          </w:tcPr>
          <w:p>
            <w:pPr>
              <w:spacing w:after="0"/>
              <w:rPr>
                <w:sz w:val="17"/>
                <w:szCs w:val="17"/>
                <w:color w:val="auto"/>
              </w:rPr>
            </w:pPr>
          </w:p>
        </w:tc>
        <w:tc>
          <w:tcPr>
            <w:tcW w:w="120" w:type="dxa"/>
            <w:vAlign w:val="bottom"/>
            <w:tcBorders>
              <w:bottom w:val="single" w:sz="8" w:color="CFF0FC"/>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6940" w:type="dxa"/>
            <w:vAlign w:val="bottom"/>
            <w:shd w:val="clear" w:color="auto" w:fill="CFF0FC"/>
          </w:tcPr>
          <w:p>
            <w:pPr>
              <w:ind w:left="480"/>
              <w:spacing w:after="0"/>
              <w:rPr>
                <w:sz w:val="20"/>
                <w:szCs w:val="20"/>
                <w:color w:val="auto"/>
              </w:rPr>
            </w:pPr>
            <w:r>
              <w:rPr>
                <w:rFonts w:ascii="Arial" w:cs="Arial" w:eastAsia="Arial" w:hAnsi="Arial"/>
                <w:sz w:val="16"/>
                <w:szCs w:val="16"/>
                <w:color w:val="auto"/>
              </w:rPr>
              <w:t>Total noncurrent liabilities</w:t>
            </w:r>
          </w:p>
        </w:tc>
        <w:tc>
          <w:tcPr>
            <w:tcW w:w="1240" w:type="dxa"/>
            <w:vAlign w:val="bottom"/>
            <w:shd w:val="clear" w:color="auto" w:fill="CFF0FC"/>
          </w:tcPr>
          <w:p>
            <w:pPr>
              <w:spacing w:after="0"/>
              <w:rPr>
                <w:sz w:val="17"/>
                <w:szCs w:val="17"/>
                <w:color w:val="auto"/>
              </w:rPr>
            </w:pPr>
          </w:p>
        </w:tc>
        <w:tc>
          <w:tcPr>
            <w:tcW w:w="240" w:type="dxa"/>
            <w:vAlign w:val="bottom"/>
            <w:tcBorders>
              <w:bottom w:val="single" w:sz="8" w:color="auto"/>
            </w:tcBorders>
            <w:shd w:val="clear" w:color="auto" w:fill="CFF0FC"/>
          </w:tcPr>
          <w:p>
            <w:pPr>
              <w:spacing w:after="0"/>
              <w:rPr>
                <w:sz w:val="17"/>
                <w:szCs w:val="17"/>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1,132,924</w:t>
            </w:r>
          </w:p>
        </w:tc>
        <w:tc>
          <w:tcPr>
            <w:tcW w:w="18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20" w:type="dxa"/>
            <w:vAlign w:val="bottom"/>
            <w:tcBorders>
              <w:bottom w:val="single" w:sz="8" w:color="auto"/>
            </w:tcBorders>
            <w:shd w:val="clear" w:color="auto" w:fill="CFF0FC"/>
          </w:tcPr>
          <w:p>
            <w:pPr>
              <w:spacing w:after="0"/>
              <w:rPr>
                <w:sz w:val="17"/>
                <w:szCs w:val="17"/>
                <w:color w:val="auto"/>
              </w:rPr>
            </w:pPr>
          </w:p>
        </w:tc>
        <w:tc>
          <w:tcPr>
            <w:tcW w:w="114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6"/>
                <w:szCs w:val="16"/>
                <w:color w:val="auto"/>
              </w:rPr>
              <w:t>634</w:t>
            </w:r>
          </w:p>
        </w:tc>
        <w:tc>
          <w:tcPr>
            <w:tcW w:w="0" w:type="dxa"/>
            <w:vAlign w:val="bottom"/>
          </w:tcPr>
          <w:p>
            <w:pPr>
              <w:spacing w:after="0"/>
              <w:rPr>
                <w:sz w:val="1"/>
                <w:szCs w:val="1"/>
                <w:color w:val="auto"/>
              </w:rPr>
            </w:pPr>
          </w:p>
        </w:tc>
      </w:tr>
      <w:tr>
        <w:trPr>
          <w:trHeight w:val="198"/>
        </w:trPr>
        <w:tc>
          <w:tcPr>
            <w:tcW w:w="6940" w:type="dxa"/>
            <w:vAlign w:val="bottom"/>
          </w:tcPr>
          <w:p>
            <w:pPr>
              <w:spacing w:after="0"/>
              <w:rPr>
                <w:sz w:val="20"/>
                <w:szCs w:val="20"/>
                <w:color w:val="auto"/>
              </w:rPr>
            </w:pPr>
            <w:r>
              <w:rPr>
                <w:rFonts w:ascii="Arial" w:cs="Arial" w:eastAsia="Arial" w:hAnsi="Arial"/>
                <w:sz w:val="16"/>
                <w:szCs w:val="16"/>
                <w:color w:val="auto"/>
              </w:rPr>
              <w:t>Stockholders' equity:</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Class A common stock, $.0001 par value - 300,000 shares authorized, 61,314 and 36,598</w:t>
            </w:r>
          </w:p>
        </w:tc>
        <w:tc>
          <w:tcPr>
            <w:tcW w:w="1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08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6940" w:type="dxa"/>
            <w:vAlign w:val="bottom"/>
            <w:shd w:val="clear" w:color="auto" w:fill="CFF0FC"/>
          </w:tcPr>
          <w:p>
            <w:pPr>
              <w:ind w:left="240"/>
              <w:spacing w:after="0"/>
              <w:rPr>
                <w:sz w:val="20"/>
                <w:szCs w:val="20"/>
                <w:color w:val="auto"/>
              </w:rPr>
            </w:pPr>
            <w:r>
              <w:rPr>
                <w:rFonts w:ascii="Arial" w:cs="Arial" w:eastAsia="Arial" w:hAnsi="Arial"/>
                <w:sz w:val="16"/>
                <w:szCs w:val="16"/>
                <w:color w:val="auto"/>
              </w:rPr>
              <w:t>shares issued and outstanding as of December 31, 2016 and 2015, respectively</w:t>
            </w:r>
          </w:p>
        </w:tc>
        <w:tc>
          <w:tcPr>
            <w:tcW w:w="1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w:t>
            </w:r>
          </w:p>
        </w:tc>
        <w:tc>
          <w:tcPr>
            <w:tcW w:w="18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08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6940" w:type="dxa"/>
            <w:vAlign w:val="bottom"/>
          </w:tcPr>
          <w:p>
            <w:pPr>
              <w:ind w:left="120"/>
              <w:spacing w:after="0"/>
              <w:rPr>
                <w:sz w:val="20"/>
                <w:szCs w:val="20"/>
                <w:color w:val="auto"/>
              </w:rPr>
            </w:pPr>
            <w:r>
              <w:rPr>
                <w:rFonts w:ascii="Arial" w:cs="Arial" w:eastAsia="Arial" w:hAnsi="Arial"/>
                <w:sz w:val="16"/>
                <w:szCs w:val="16"/>
                <w:color w:val="auto"/>
              </w:rPr>
              <w:t>Class B common stock, $.0001 par value - 100,000 shares authorized, 37,185 and 62,112</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6940" w:type="dxa"/>
            <w:vAlign w:val="bottom"/>
          </w:tcPr>
          <w:p>
            <w:pPr>
              <w:ind w:left="240"/>
              <w:spacing w:after="0"/>
              <w:rPr>
                <w:sz w:val="20"/>
                <w:szCs w:val="20"/>
                <w:color w:val="auto"/>
              </w:rPr>
            </w:pPr>
            <w:r>
              <w:rPr>
                <w:rFonts w:ascii="Arial" w:cs="Arial" w:eastAsia="Arial" w:hAnsi="Arial"/>
                <w:sz w:val="16"/>
                <w:szCs w:val="16"/>
                <w:color w:val="auto"/>
              </w:rPr>
              <w:t>shares issued and outstanding as of December 31, 2016 and 2015, respectively</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4</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Accumulated other comprehensive loss</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62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(1,174)</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05"/>
        </w:trPr>
        <w:tc>
          <w:tcPr>
            <w:tcW w:w="6940" w:type="dxa"/>
            <w:vAlign w:val="bottom"/>
          </w:tcPr>
          <w:p>
            <w:pPr>
              <w:ind w:left="120"/>
              <w:spacing w:after="0"/>
              <w:rPr>
                <w:sz w:val="20"/>
                <w:szCs w:val="20"/>
                <w:color w:val="auto"/>
              </w:rPr>
            </w:pPr>
            <w:r>
              <w:rPr>
                <w:rFonts w:ascii="Arial" w:cs="Arial" w:eastAsia="Arial" w:hAnsi="Arial"/>
                <w:sz w:val="16"/>
                <w:szCs w:val="16"/>
                <w:color w:val="auto"/>
              </w:rPr>
              <w:t>Additional paid in capital</w:t>
            </w: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34,467</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Accumulated deficit</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62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(164,062)</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20"/>
        </w:trPr>
        <w:tc>
          <w:tcPr>
            <w:tcW w:w="6940" w:type="dxa"/>
            <w:vAlign w:val="bottom"/>
            <w:vMerge w:val="restart"/>
          </w:tcPr>
          <w:p>
            <w:pPr>
              <w:ind w:left="480"/>
              <w:spacing w:after="0"/>
              <w:rPr>
                <w:sz w:val="20"/>
                <w:szCs w:val="20"/>
                <w:color w:val="auto"/>
              </w:rPr>
            </w:pPr>
            <w:r>
              <w:rPr>
                <w:rFonts w:ascii="Arial" w:cs="Arial" w:eastAsia="Arial" w:hAnsi="Arial"/>
                <w:sz w:val="16"/>
                <w:szCs w:val="16"/>
                <w:color w:val="auto"/>
              </w:rPr>
              <w:t>Total stockholders' deficit attributable to Planet Fitness, Inc.</w:t>
            </w:r>
          </w:p>
        </w:tc>
        <w:tc>
          <w:tcPr>
            <w:tcW w:w="12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6940" w:type="dxa"/>
            <w:vAlign w:val="bottom"/>
            <w:vMerge w:val="continue"/>
          </w:tcPr>
          <w:p>
            <w:pPr>
              <w:spacing w:after="0"/>
              <w:rPr>
                <w:sz w:val="17"/>
                <w:szCs w:val="17"/>
                <w:color w:val="auto"/>
              </w:rPr>
            </w:pP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20" w:type="dxa"/>
            <w:vAlign w:val="bottom"/>
            <w:gridSpan w:val="2"/>
          </w:tcPr>
          <w:p>
            <w:pPr>
              <w:jc w:val="right"/>
              <w:ind w:right="140"/>
              <w:spacing w:after="0"/>
              <w:rPr>
                <w:sz w:val="20"/>
                <w:szCs w:val="20"/>
                <w:color w:val="auto"/>
              </w:rPr>
            </w:pPr>
            <w:r>
              <w:rPr>
                <w:rFonts w:ascii="Arial" w:cs="Arial" w:eastAsia="Arial" w:hAnsi="Arial"/>
                <w:sz w:val="16"/>
                <w:szCs w:val="16"/>
                <w:color w:val="auto"/>
              </w:rPr>
              <w:t>(130,759)</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11"/>
        </w:trPr>
        <w:tc>
          <w:tcPr>
            <w:tcW w:w="69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Non-controlling interests</w:t>
            </w:r>
          </w:p>
        </w:tc>
        <w:tc>
          <w:tcPr>
            <w:tcW w:w="1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62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(83,996)</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20"/>
        </w:trPr>
        <w:tc>
          <w:tcPr>
            <w:tcW w:w="6940" w:type="dxa"/>
            <w:vAlign w:val="bottom"/>
            <w:vMerge w:val="restart"/>
          </w:tcPr>
          <w:p>
            <w:pPr>
              <w:ind w:left="480"/>
              <w:spacing w:after="0"/>
              <w:rPr>
                <w:sz w:val="20"/>
                <w:szCs w:val="20"/>
                <w:color w:val="auto"/>
              </w:rPr>
            </w:pPr>
            <w:r>
              <w:rPr>
                <w:rFonts w:ascii="Arial" w:cs="Arial" w:eastAsia="Arial" w:hAnsi="Arial"/>
                <w:sz w:val="16"/>
                <w:szCs w:val="16"/>
                <w:color w:val="auto"/>
              </w:rPr>
              <w:t>Total stockholders' deficit</w:t>
            </w:r>
          </w:p>
        </w:tc>
        <w:tc>
          <w:tcPr>
            <w:tcW w:w="12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6940" w:type="dxa"/>
            <w:vAlign w:val="bottom"/>
            <w:vMerge w:val="continue"/>
          </w:tcPr>
          <w:p>
            <w:pPr>
              <w:spacing w:after="0"/>
              <w:rPr>
                <w:sz w:val="17"/>
                <w:szCs w:val="17"/>
                <w:color w:val="auto"/>
              </w:rPr>
            </w:pPr>
          </w:p>
        </w:tc>
        <w:tc>
          <w:tcPr>
            <w:tcW w:w="1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20" w:type="dxa"/>
            <w:vAlign w:val="bottom"/>
            <w:gridSpan w:val="2"/>
          </w:tcPr>
          <w:p>
            <w:pPr>
              <w:jc w:val="right"/>
              <w:ind w:right="140"/>
              <w:spacing w:after="0"/>
              <w:rPr>
                <w:sz w:val="20"/>
                <w:szCs w:val="20"/>
                <w:color w:val="auto"/>
              </w:rPr>
            </w:pPr>
            <w:r>
              <w:rPr>
                <w:rFonts w:ascii="Arial" w:cs="Arial" w:eastAsia="Arial" w:hAnsi="Arial"/>
                <w:sz w:val="16"/>
                <w:szCs w:val="16"/>
                <w:color w:val="auto"/>
              </w:rPr>
              <w:t>(214,755)</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01"/>
        </w:trPr>
        <w:tc>
          <w:tcPr>
            <w:tcW w:w="6940" w:type="dxa"/>
            <w:vAlign w:val="bottom"/>
            <w:tcBorders>
              <w:top w:val="single" w:sz="8" w:color="CFF0FC"/>
              <w:bottom w:val="single" w:sz="8" w:color="CFF0FC"/>
            </w:tcBorders>
            <w:shd w:val="clear" w:color="auto" w:fill="CFF0FC"/>
          </w:tcPr>
          <w:p>
            <w:pPr>
              <w:ind w:left="480"/>
              <w:spacing w:after="0"/>
              <w:rPr>
                <w:sz w:val="20"/>
                <w:szCs w:val="20"/>
                <w:color w:val="auto"/>
              </w:rPr>
            </w:pPr>
            <w:r>
              <w:rPr>
                <w:rFonts w:ascii="Arial" w:cs="Arial" w:eastAsia="Arial" w:hAnsi="Arial"/>
                <w:sz w:val="16"/>
                <w:szCs w:val="16"/>
                <w:color w:val="auto"/>
              </w:rPr>
              <w:t>Total liabilities and stockholders' deficit</w:t>
            </w:r>
          </w:p>
        </w:tc>
        <w:tc>
          <w:tcPr>
            <w:tcW w:w="1240" w:type="dxa"/>
            <w:vAlign w:val="bottom"/>
            <w:tcBorders>
              <w:top w:val="single" w:sz="8" w:color="CFF0FC"/>
              <w:bottom w:val="single" w:sz="8" w:color="CFF0FC"/>
            </w:tcBorders>
            <w:shd w:val="clear" w:color="auto" w:fill="CFF0FC"/>
          </w:tcPr>
          <w:p>
            <w:pPr>
              <w:spacing w:after="0"/>
              <w:rPr>
                <w:sz w:val="17"/>
                <w:szCs w:val="17"/>
                <w:color w:val="auto"/>
              </w:rPr>
            </w:pPr>
          </w:p>
        </w:tc>
        <w:tc>
          <w:tcPr>
            <w:tcW w:w="240" w:type="dxa"/>
            <w:vAlign w:val="bottom"/>
            <w:tcBorders>
              <w:top w:val="single" w:sz="8" w:color="auto"/>
              <w:bottom w:val="single" w:sz="8" w:color="auto"/>
            </w:tcBorders>
            <w:shd w:val="clear" w:color="auto" w:fill="CFF0FC"/>
          </w:tcPr>
          <w:p>
            <w:pPr>
              <w:jc w:val="right"/>
              <w:ind w:right="88"/>
              <w:spacing w:after="0"/>
              <w:rPr>
                <w:sz w:val="20"/>
                <w:szCs w:val="20"/>
                <w:color w:val="auto"/>
              </w:rPr>
            </w:pPr>
            <w:r>
              <w:rPr>
                <w:rFonts w:ascii="Arial" w:cs="Arial" w:eastAsia="Arial" w:hAnsi="Arial"/>
                <w:sz w:val="14"/>
                <w:szCs w:val="14"/>
                <w:color w:val="auto"/>
                <w:w w:val="76"/>
              </w:rPr>
              <w:t>$</w:t>
            </w:r>
          </w:p>
        </w:tc>
        <w:tc>
          <w:tcPr>
            <w:tcW w:w="14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1,001,442</w:t>
            </w:r>
          </w:p>
        </w:tc>
        <w:tc>
          <w:tcPr>
            <w:tcW w:w="180" w:type="dxa"/>
            <w:vAlign w:val="bottom"/>
            <w:tcBorders>
              <w:top w:val="single" w:sz="8" w:color="CFF0FC"/>
              <w:bottom w:val="single" w:sz="8" w:color="CFF0FC"/>
            </w:tcBorders>
            <w:shd w:val="clear" w:color="auto" w:fill="CFF0FC"/>
          </w:tcPr>
          <w:p>
            <w:pPr>
              <w:spacing w:after="0"/>
              <w:rPr>
                <w:sz w:val="17"/>
                <w:szCs w:val="17"/>
                <w:color w:val="auto"/>
              </w:rPr>
            </w:pPr>
          </w:p>
        </w:tc>
        <w:tc>
          <w:tcPr>
            <w:tcW w:w="120" w:type="dxa"/>
            <w:vAlign w:val="bottom"/>
            <w:tcBorders>
              <w:top w:val="single" w:sz="8" w:color="CFF0FC"/>
              <w:bottom w:val="single" w:sz="8" w:color="CFF0FC"/>
            </w:tcBorders>
            <w:shd w:val="clear" w:color="auto" w:fill="CFF0FC"/>
          </w:tcPr>
          <w:p>
            <w:pPr>
              <w:spacing w:after="0"/>
              <w:rPr>
                <w:sz w:val="17"/>
                <w:szCs w:val="17"/>
                <w:color w:val="auto"/>
              </w:rPr>
            </w:pPr>
          </w:p>
        </w:tc>
        <w:tc>
          <w:tcPr>
            <w:tcW w:w="220" w:type="dxa"/>
            <w:vAlign w:val="bottom"/>
            <w:tcBorders>
              <w:top w:val="single" w:sz="8" w:color="auto"/>
              <w:bottom w:val="single" w:sz="8" w:color="auto"/>
            </w:tcBorders>
            <w:shd w:val="clear" w:color="auto" w:fill="CFF0FC"/>
          </w:tcPr>
          <w:p>
            <w:pPr>
              <w:jc w:val="right"/>
              <w:ind w:right="68"/>
              <w:spacing w:after="0"/>
              <w:rPr>
                <w:sz w:val="20"/>
                <w:szCs w:val="20"/>
                <w:color w:val="auto"/>
              </w:rPr>
            </w:pPr>
            <w:r>
              <w:rPr>
                <w:rFonts w:ascii="Arial" w:cs="Arial" w:eastAsia="Arial" w:hAnsi="Arial"/>
                <w:sz w:val="14"/>
                <w:szCs w:val="14"/>
                <w:color w:val="auto"/>
                <w:w w:val="76"/>
              </w:rPr>
              <w:t>$</w:t>
            </w:r>
          </w:p>
        </w:tc>
        <w:tc>
          <w:tcPr>
            <w:tcW w:w="114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Arial" w:cs="Arial" w:eastAsia="Arial" w:hAnsi="Arial"/>
                <w:sz w:val="16"/>
                <w:szCs w:val="16"/>
                <w:color w:val="auto"/>
              </w:rPr>
              <w:t>699</w:t>
            </w:r>
          </w:p>
        </w:tc>
        <w:tc>
          <w:tcPr>
            <w:tcW w:w="0" w:type="dxa"/>
            <w:vAlign w:val="bottom"/>
          </w:tcPr>
          <w:p>
            <w:pPr>
              <w:spacing w:after="0"/>
              <w:rPr>
                <w:sz w:val="1"/>
                <w:szCs w:val="1"/>
                <w:color w:val="auto"/>
              </w:rPr>
            </w:pPr>
          </w:p>
        </w:tc>
      </w:tr>
      <w:tr>
        <w:trPr>
          <w:trHeight w:val="20"/>
        </w:trPr>
        <w:tc>
          <w:tcPr>
            <w:tcW w:w="69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6940" w:type="dxa"/>
            <w:vAlign w:val="bottom"/>
            <w:tcBorders>
              <w:bottom w:val="single" w:sz="8" w:color="9A9A9A"/>
            </w:tcBorders>
          </w:tcPr>
          <w:p>
            <w:pPr>
              <w:spacing w:after="0"/>
              <w:rPr>
                <w:sz w:val="21"/>
                <w:szCs w:val="21"/>
                <w:color w:val="auto"/>
              </w:rPr>
            </w:pPr>
          </w:p>
        </w:tc>
        <w:tc>
          <w:tcPr>
            <w:tcW w:w="1240" w:type="dxa"/>
            <w:vAlign w:val="bottom"/>
            <w:tcBorders>
              <w:bottom w:val="single" w:sz="8" w:color="9A9A9A"/>
            </w:tcBorders>
          </w:tcPr>
          <w:p>
            <w:pPr>
              <w:spacing w:after="0"/>
              <w:rPr>
                <w:sz w:val="21"/>
                <w:szCs w:val="21"/>
                <w:color w:val="auto"/>
              </w:rPr>
            </w:pPr>
          </w:p>
        </w:tc>
        <w:tc>
          <w:tcPr>
            <w:tcW w:w="240" w:type="dxa"/>
            <w:vAlign w:val="bottom"/>
            <w:tcBorders>
              <w:bottom w:val="single" w:sz="8" w:color="9A9A9A"/>
            </w:tcBorders>
          </w:tcPr>
          <w:p>
            <w:pPr>
              <w:spacing w:after="0"/>
              <w:rPr>
                <w:sz w:val="21"/>
                <w:szCs w:val="21"/>
                <w:color w:val="auto"/>
              </w:rPr>
            </w:pPr>
          </w:p>
        </w:tc>
        <w:tc>
          <w:tcPr>
            <w:tcW w:w="1440" w:type="dxa"/>
            <w:vAlign w:val="bottom"/>
            <w:tcBorders>
              <w:bottom w:val="single" w:sz="8" w:color="9A9A9A"/>
            </w:tcBorders>
          </w:tcPr>
          <w:p>
            <w:pPr>
              <w:spacing w:after="0"/>
              <w:rPr>
                <w:sz w:val="21"/>
                <w:szCs w:val="21"/>
                <w:color w:val="auto"/>
              </w:rPr>
            </w:pPr>
          </w:p>
        </w:tc>
        <w:tc>
          <w:tcPr>
            <w:tcW w:w="180" w:type="dxa"/>
            <w:vAlign w:val="bottom"/>
            <w:tcBorders>
              <w:bottom w:val="single" w:sz="8" w:color="9A9A9A"/>
            </w:tcBorders>
          </w:tcPr>
          <w:p>
            <w:pPr>
              <w:spacing w:after="0"/>
              <w:rPr>
                <w:sz w:val="21"/>
                <w:szCs w:val="21"/>
                <w:color w:val="auto"/>
              </w:rPr>
            </w:pPr>
          </w:p>
        </w:tc>
        <w:tc>
          <w:tcPr>
            <w:tcW w:w="120" w:type="dxa"/>
            <w:vAlign w:val="bottom"/>
            <w:tcBorders>
              <w:bottom w:val="single" w:sz="8" w:color="9A9A9A"/>
            </w:tcBorders>
          </w:tcPr>
          <w:p>
            <w:pPr>
              <w:spacing w:after="0"/>
              <w:rPr>
                <w:sz w:val="21"/>
                <w:szCs w:val="21"/>
                <w:color w:val="auto"/>
              </w:rPr>
            </w:pPr>
          </w:p>
        </w:tc>
        <w:tc>
          <w:tcPr>
            <w:tcW w:w="220" w:type="dxa"/>
            <w:vAlign w:val="bottom"/>
            <w:tcBorders>
              <w:bottom w:val="single" w:sz="8" w:color="9A9A9A"/>
            </w:tcBorders>
          </w:tcPr>
          <w:p>
            <w:pPr>
              <w:spacing w:after="0"/>
              <w:rPr>
                <w:sz w:val="21"/>
                <w:szCs w:val="21"/>
                <w:color w:val="auto"/>
              </w:rPr>
            </w:pPr>
          </w:p>
        </w:tc>
        <w:tc>
          <w:tcPr>
            <w:tcW w:w="1080" w:type="dxa"/>
            <w:vAlign w:val="bottom"/>
            <w:tcBorders>
              <w:bottom w:val="single" w:sz="8" w:color="9A9A9A"/>
            </w:tcBorders>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7249795</wp:posOffset>
            </wp:positionH>
            <wp:positionV relativeFrom="paragraph">
              <wp:posOffset>-28575</wp:posOffset>
            </wp:positionV>
            <wp:extent cx="33655" cy="419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-28575</wp:posOffset>
            </wp:positionV>
            <wp:extent cx="33655" cy="419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520"/>
          </w:cols>
          <w:pgMar w:left="240" w:top="121" w:right="139" w:bottom="1440" w:gutter="0" w:footer="0" w:header="0"/>
        </w:sectPr>
      </w:pPr>
    </w:p>
    <w:bookmarkStart w:id="10" w:name="page11"/>
    <w:bookmarkEnd w:id="10"/>
    <w:p>
      <w:pPr>
        <w:jc w:val="center"/>
        <w:ind w:right="40"/>
        <w:spacing w:after="0"/>
        <w:rPr>
          <w:sz w:val="20"/>
          <w:szCs w:val="20"/>
          <w:color w:val="auto"/>
        </w:rPr>
      </w:pPr>
      <w:r>
        <w:rPr>
          <w:rFonts w:ascii="Arial" w:cs="Arial" w:eastAsia="Arial" w:hAnsi="Arial"/>
          <w:sz w:val="17"/>
          <w:szCs w:val="17"/>
          <w:b w:val="1"/>
          <w:bCs w:val="1"/>
          <w:color w:val="auto"/>
        </w:rPr>
        <w:t>Planet Fitness, Inc. and subsidiaries</w:t>
      </w:r>
    </w:p>
    <w:p>
      <w:pPr>
        <w:spacing w:after="0" w:line="31"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Consolidated Statements of Cash Flows</w:t>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(Unaudited)</w:t>
      </w:r>
    </w:p>
    <w:p>
      <w:pPr>
        <w:spacing w:after="0" w:line="12"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(Amounts in thousands)</w:t>
      </w:r>
    </w:p>
    <w:p>
      <w:pPr>
        <w:spacing w:after="0" w:line="12" w:lineRule="exact"/>
        <w:rPr>
          <w:sz w:val="20"/>
          <w:szCs w:val="20"/>
          <w:color w:val="auto"/>
        </w:rPr>
      </w:pPr>
    </w:p>
    <w:p>
      <w:pPr>
        <w:ind w:left="9200"/>
        <w:spacing w:after="0"/>
        <w:rPr>
          <w:sz w:val="20"/>
          <w:szCs w:val="20"/>
          <w:color w:val="auto"/>
        </w:rPr>
      </w:pPr>
      <w:r>
        <w:rPr>
          <w:rFonts w:ascii="Arial" w:cs="Arial" w:eastAsia="Arial" w:hAnsi="Arial"/>
          <w:sz w:val="16"/>
          <w:szCs w:val="16"/>
          <w:b w:val="1"/>
          <w:bCs w:val="1"/>
          <w:color w:val="auto"/>
        </w:rPr>
        <w:t>Year ended December 31,</w:t>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6880" w:type="dxa"/>
            <w:vAlign w:val="bottom"/>
            <w:tcBorders>
              <w:bottom w:val="single" w:sz="8" w:color="CFF0FC"/>
            </w:tcBorders>
          </w:tcPr>
          <w:p>
            <w:pPr>
              <w:spacing w:after="0"/>
              <w:rPr>
                <w:sz w:val="14"/>
                <w:szCs w:val="14"/>
                <w:color w:val="auto"/>
              </w:rPr>
            </w:pPr>
          </w:p>
        </w:tc>
        <w:tc>
          <w:tcPr>
            <w:tcW w:w="1860" w:type="dxa"/>
            <w:vAlign w:val="bottom"/>
            <w:tcBorders>
              <w:bottom w:val="single" w:sz="8" w:color="CFF0FC"/>
            </w:tcBorders>
          </w:tcPr>
          <w:p>
            <w:pPr>
              <w:spacing w:after="0"/>
              <w:rPr>
                <w:sz w:val="14"/>
                <w:szCs w:val="14"/>
                <w:color w:val="auto"/>
              </w:rPr>
            </w:pPr>
          </w:p>
        </w:tc>
        <w:tc>
          <w:tcPr>
            <w:tcW w:w="800" w:type="dxa"/>
            <w:vAlign w:val="bottom"/>
            <w:tcBorders>
              <w:top w:val="single" w:sz="8" w:color="auto"/>
              <w:bottom w:val="single" w:sz="8" w:color="auto"/>
            </w:tcBorders>
          </w:tcPr>
          <w:p>
            <w:pPr>
              <w:jc w:val="right"/>
              <w:spacing w:after="0" w:line="168" w:lineRule="exact"/>
              <w:rPr>
                <w:sz w:val="20"/>
                <w:szCs w:val="20"/>
                <w:color w:val="auto"/>
              </w:rPr>
            </w:pPr>
            <w:r>
              <w:rPr>
                <w:rFonts w:ascii="Arial" w:cs="Arial" w:eastAsia="Arial" w:hAnsi="Arial"/>
                <w:sz w:val="15"/>
                <w:szCs w:val="15"/>
                <w:b w:val="1"/>
                <w:bCs w:val="1"/>
                <w:color w:val="auto"/>
              </w:rPr>
              <w:t>2016</w:t>
            </w:r>
          </w:p>
        </w:tc>
        <w:tc>
          <w:tcPr>
            <w:tcW w:w="440" w:type="dxa"/>
            <w:vAlign w:val="bottom"/>
            <w:tcBorders>
              <w:top w:val="single" w:sz="8" w:color="auto"/>
              <w:bottom w:val="single" w:sz="8" w:color="auto"/>
            </w:tcBorders>
          </w:tcPr>
          <w:p>
            <w:pPr>
              <w:spacing w:after="0"/>
              <w:rPr>
                <w:sz w:val="14"/>
                <w:szCs w:val="14"/>
                <w:color w:val="auto"/>
              </w:rPr>
            </w:pPr>
          </w:p>
        </w:tc>
        <w:tc>
          <w:tcPr>
            <w:tcW w:w="100" w:type="dxa"/>
            <w:vAlign w:val="bottom"/>
            <w:tcBorders>
              <w:top w:val="single" w:sz="8" w:color="auto"/>
              <w:bottom w:val="single" w:sz="8" w:color="CFF0FC"/>
            </w:tcBorders>
          </w:tcPr>
          <w:p>
            <w:pPr>
              <w:spacing w:after="0"/>
              <w:rPr>
                <w:sz w:val="14"/>
                <w:szCs w:val="14"/>
                <w:color w:val="auto"/>
              </w:rPr>
            </w:pPr>
          </w:p>
        </w:tc>
        <w:tc>
          <w:tcPr>
            <w:tcW w:w="40" w:type="dxa"/>
            <w:vAlign w:val="bottom"/>
            <w:tcBorders>
              <w:top w:val="single" w:sz="8" w:color="auto"/>
              <w:bottom w:val="single" w:sz="8" w:color="CFF0FC"/>
            </w:tcBorders>
          </w:tcPr>
          <w:p>
            <w:pPr>
              <w:spacing w:after="0"/>
              <w:rPr>
                <w:sz w:val="14"/>
                <w:szCs w:val="14"/>
                <w:color w:val="auto"/>
              </w:rPr>
            </w:pPr>
          </w:p>
        </w:tc>
        <w:tc>
          <w:tcPr>
            <w:tcW w:w="280" w:type="dxa"/>
            <w:vAlign w:val="bottom"/>
            <w:tcBorders>
              <w:top w:val="single" w:sz="8" w:color="auto"/>
              <w:bottom w:val="single" w:sz="8" w:color="auto"/>
            </w:tcBorders>
          </w:tcPr>
          <w:p>
            <w:pPr>
              <w:spacing w:after="0"/>
              <w:rPr>
                <w:sz w:val="14"/>
                <w:szCs w:val="14"/>
                <w:color w:val="auto"/>
              </w:rPr>
            </w:pPr>
          </w:p>
        </w:tc>
        <w:tc>
          <w:tcPr>
            <w:tcW w:w="940" w:type="dxa"/>
            <w:vAlign w:val="bottom"/>
            <w:tcBorders>
              <w:top w:val="single" w:sz="8" w:color="auto"/>
              <w:bottom w:val="single" w:sz="8" w:color="auto"/>
            </w:tcBorders>
          </w:tcPr>
          <w:p>
            <w:pPr>
              <w:jc w:val="right"/>
              <w:ind w:right="386"/>
              <w:spacing w:after="0" w:line="168" w:lineRule="exact"/>
              <w:rPr>
                <w:sz w:val="20"/>
                <w:szCs w:val="20"/>
                <w:color w:val="auto"/>
              </w:rPr>
            </w:pPr>
            <w:r>
              <w:rPr>
                <w:rFonts w:ascii="Arial" w:cs="Arial" w:eastAsia="Arial" w:hAnsi="Arial"/>
                <w:sz w:val="15"/>
                <w:szCs w:val="15"/>
                <w:b w:val="1"/>
                <w:bCs w:val="1"/>
                <w:color w:val="auto"/>
              </w:rPr>
              <w:t>2015</w:t>
            </w:r>
          </w:p>
        </w:tc>
        <w:tc>
          <w:tcPr>
            <w:tcW w:w="80" w:type="dxa"/>
            <w:vAlign w:val="bottom"/>
            <w:tcBorders>
              <w:bottom w:val="single" w:sz="8" w:color="CFF0FC"/>
            </w:tcBorders>
          </w:tcPr>
          <w:p>
            <w:pPr>
              <w:spacing w:after="0"/>
              <w:rPr>
                <w:sz w:val="14"/>
                <w:szCs w:val="14"/>
                <w:color w:val="auto"/>
              </w:rPr>
            </w:pPr>
          </w:p>
        </w:tc>
      </w:tr>
      <w:tr>
        <w:trPr>
          <w:trHeight w:val="188"/>
        </w:trPr>
        <w:tc>
          <w:tcPr>
            <w:tcW w:w="6880" w:type="dxa"/>
            <w:vAlign w:val="bottom"/>
            <w:shd w:val="clear" w:color="auto" w:fill="CFF0FC"/>
          </w:tcPr>
          <w:p>
            <w:pPr>
              <w:spacing w:after="0"/>
              <w:rPr>
                <w:sz w:val="20"/>
                <w:szCs w:val="20"/>
                <w:color w:val="auto"/>
              </w:rPr>
            </w:pPr>
            <w:r>
              <w:rPr>
                <w:rFonts w:ascii="Arial" w:cs="Arial" w:eastAsia="Arial" w:hAnsi="Arial"/>
                <w:sz w:val="15"/>
                <w:szCs w:val="15"/>
                <w:color w:val="auto"/>
              </w:rPr>
              <w:t>Cash flows from operating activities:</w:t>
            </w:r>
          </w:p>
        </w:tc>
        <w:tc>
          <w:tcPr>
            <w:tcW w:w="1860" w:type="dxa"/>
            <w:vAlign w:val="bottom"/>
            <w:shd w:val="clear" w:color="auto" w:fill="CFF0FC"/>
          </w:tcPr>
          <w:p>
            <w:pPr>
              <w:spacing w:after="0"/>
              <w:rPr>
                <w:sz w:val="16"/>
                <w:szCs w:val="16"/>
                <w:color w:val="auto"/>
              </w:rPr>
            </w:pPr>
          </w:p>
        </w:tc>
        <w:tc>
          <w:tcPr>
            <w:tcW w:w="800" w:type="dxa"/>
            <w:vAlign w:val="bottom"/>
            <w:shd w:val="clear" w:color="auto" w:fill="CFF0FC"/>
          </w:tcPr>
          <w:p>
            <w:pPr>
              <w:spacing w:after="0"/>
              <w:rPr>
                <w:sz w:val="16"/>
                <w:szCs w:val="16"/>
                <w:color w:val="auto"/>
              </w:rPr>
            </w:pPr>
          </w:p>
        </w:tc>
        <w:tc>
          <w:tcPr>
            <w:tcW w:w="4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40" w:type="dxa"/>
            <w:vAlign w:val="bottom"/>
            <w:shd w:val="clear" w:color="auto" w:fill="CFF0FC"/>
          </w:tcPr>
          <w:p>
            <w:pPr>
              <w:spacing w:after="0"/>
              <w:rPr>
                <w:sz w:val="16"/>
                <w:szCs w:val="16"/>
                <w:color w:val="auto"/>
              </w:rPr>
            </w:pPr>
          </w:p>
        </w:tc>
        <w:tc>
          <w:tcPr>
            <w:tcW w:w="280" w:type="dxa"/>
            <w:vAlign w:val="bottom"/>
            <w:shd w:val="clear" w:color="auto" w:fill="CFF0FC"/>
          </w:tcPr>
          <w:p>
            <w:pPr>
              <w:spacing w:after="0"/>
              <w:rPr>
                <w:sz w:val="16"/>
                <w:szCs w:val="16"/>
                <w:color w:val="auto"/>
              </w:rPr>
            </w:pPr>
          </w:p>
        </w:tc>
        <w:tc>
          <w:tcPr>
            <w:tcW w:w="94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r>
      <w:tr>
        <w:trPr>
          <w:trHeight w:val="208"/>
        </w:trPr>
        <w:tc>
          <w:tcPr>
            <w:tcW w:w="6880" w:type="dxa"/>
            <w:vAlign w:val="bottom"/>
          </w:tcPr>
          <w:p>
            <w:pPr>
              <w:ind w:left="120"/>
              <w:spacing w:after="0"/>
              <w:rPr>
                <w:sz w:val="20"/>
                <w:szCs w:val="20"/>
                <w:color w:val="auto"/>
              </w:rPr>
            </w:pPr>
            <w:r>
              <w:rPr>
                <w:rFonts w:ascii="Arial" w:cs="Arial" w:eastAsia="Arial" w:hAnsi="Arial"/>
                <w:sz w:val="15"/>
                <w:szCs w:val="15"/>
                <w:color w:val="auto"/>
              </w:rPr>
              <w:t>Net income</w:t>
            </w:r>
          </w:p>
        </w:tc>
        <w:tc>
          <w:tcPr>
            <w:tcW w:w="2660" w:type="dxa"/>
            <w:vAlign w:val="bottom"/>
            <w:gridSpan w:val="2"/>
          </w:tcPr>
          <w:p>
            <w:pPr>
              <w:jc w:val="right"/>
              <w:ind w:right="646"/>
              <w:spacing w:after="0"/>
              <w:rPr>
                <w:sz w:val="20"/>
                <w:szCs w:val="20"/>
                <w:color w:val="auto"/>
              </w:rPr>
            </w:pPr>
            <w:r>
              <w:rPr>
                <w:rFonts w:ascii="Arial" w:cs="Arial" w:eastAsia="Arial" w:hAnsi="Arial"/>
                <w:sz w:val="15"/>
                <w:szCs w:val="15"/>
                <w:color w:val="auto"/>
              </w:rPr>
              <w:t>$</w:t>
            </w:r>
          </w:p>
        </w:tc>
        <w:tc>
          <w:tcPr>
            <w:tcW w:w="440" w:type="dxa"/>
            <w:vAlign w:val="bottom"/>
          </w:tcPr>
          <w:p>
            <w:pPr>
              <w:jc w:val="right"/>
              <w:spacing w:after="0"/>
              <w:rPr>
                <w:sz w:val="20"/>
                <w:szCs w:val="20"/>
                <w:color w:val="auto"/>
              </w:rPr>
            </w:pPr>
            <w:r>
              <w:rPr>
                <w:rFonts w:ascii="Arial" w:cs="Arial" w:eastAsia="Arial" w:hAnsi="Arial"/>
                <w:sz w:val="15"/>
                <w:szCs w:val="15"/>
                <w:color w:val="auto"/>
                <w:w w:val="87"/>
              </w:rPr>
              <w:t>71,247</w:t>
            </w:r>
          </w:p>
        </w:tc>
        <w:tc>
          <w:tcPr>
            <w:tcW w:w="100" w:type="dxa"/>
            <w:vAlign w:val="bottom"/>
          </w:tcPr>
          <w:p>
            <w:pPr>
              <w:spacing w:after="0"/>
              <w:rPr>
                <w:sz w:val="18"/>
                <w:szCs w:val="18"/>
                <w:color w:val="auto"/>
              </w:rPr>
            </w:pPr>
          </w:p>
        </w:tc>
        <w:tc>
          <w:tcPr>
            <w:tcW w:w="320" w:type="dxa"/>
            <w:vAlign w:val="bottom"/>
            <w:gridSpan w:val="2"/>
          </w:tcPr>
          <w:p>
            <w:pPr>
              <w:jc w:val="right"/>
              <w:ind w:right="200"/>
              <w:spacing w:after="0"/>
              <w:rPr>
                <w:sz w:val="20"/>
                <w:szCs w:val="20"/>
                <w:color w:val="auto"/>
              </w:rPr>
            </w:pPr>
            <w:r>
              <w:rPr>
                <w:rFonts w:ascii="Arial" w:cs="Arial" w:eastAsia="Arial" w:hAnsi="Arial"/>
                <w:sz w:val="15"/>
                <w:szCs w:val="15"/>
                <w:color w:val="auto"/>
              </w:rPr>
              <w:t>$</w:t>
            </w:r>
          </w:p>
        </w:tc>
        <w:tc>
          <w:tcPr>
            <w:tcW w:w="940" w:type="dxa"/>
            <w:vAlign w:val="bottom"/>
          </w:tcPr>
          <w:p>
            <w:pPr>
              <w:jc w:val="right"/>
              <w:spacing w:after="0"/>
              <w:rPr>
                <w:sz w:val="20"/>
                <w:szCs w:val="20"/>
                <w:color w:val="auto"/>
              </w:rPr>
            </w:pPr>
            <w:r>
              <w:rPr>
                <w:rFonts w:ascii="Arial" w:cs="Arial" w:eastAsia="Arial" w:hAnsi="Arial"/>
                <w:sz w:val="15"/>
                <w:szCs w:val="15"/>
                <w:color w:val="auto"/>
              </w:rPr>
              <w:t>38,130</w:t>
            </w:r>
          </w:p>
        </w:tc>
        <w:tc>
          <w:tcPr>
            <w:tcW w:w="80" w:type="dxa"/>
            <w:vAlign w:val="bottom"/>
          </w:tcPr>
          <w:p>
            <w:pPr>
              <w:spacing w:after="0"/>
              <w:rPr>
                <w:sz w:val="18"/>
                <w:szCs w:val="18"/>
                <w:color w:val="auto"/>
              </w:rPr>
            </w:pPr>
          </w:p>
        </w:tc>
      </w:tr>
      <w:tr>
        <w:trPr>
          <w:trHeight w:val="208"/>
        </w:trPr>
        <w:tc>
          <w:tcPr>
            <w:tcW w:w="6880" w:type="dxa"/>
            <w:vAlign w:val="bottom"/>
            <w:shd w:val="clear" w:color="auto" w:fill="CFF0FC"/>
          </w:tcPr>
          <w:p>
            <w:pPr>
              <w:ind w:left="240"/>
              <w:spacing w:after="0"/>
              <w:rPr>
                <w:sz w:val="20"/>
                <w:szCs w:val="20"/>
                <w:color w:val="auto"/>
              </w:rPr>
            </w:pPr>
            <w:r>
              <w:rPr>
                <w:rFonts w:ascii="Arial" w:cs="Arial" w:eastAsia="Arial" w:hAnsi="Arial"/>
                <w:sz w:val="15"/>
                <w:szCs w:val="15"/>
                <w:color w:val="auto"/>
              </w:rPr>
              <w:t>Adjustments to reconcile net income to net cash provided by operating activities:</w:t>
            </w:r>
          </w:p>
        </w:tc>
        <w:tc>
          <w:tcPr>
            <w:tcW w:w="186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r>
      <w:tr>
        <w:trPr>
          <w:trHeight w:val="208"/>
        </w:trPr>
        <w:tc>
          <w:tcPr>
            <w:tcW w:w="6880" w:type="dxa"/>
            <w:vAlign w:val="bottom"/>
          </w:tcPr>
          <w:p>
            <w:pPr>
              <w:ind w:left="360"/>
              <w:spacing w:after="0"/>
              <w:rPr>
                <w:sz w:val="20"/>
                <w:szCs w:val="20"/>
                <w:color w:val="auto"/>
              </w:rPr>
            </w:pPr>
            <w:r>
              <w:rPr>
                <w:rFonts w:ascii="Arial" w:cs="Arial" w:eastAsia="Arial" w:hAnsi="Arial"/>
                <w:sz w:val="15"/>
                <w:szCs w:val="15"/>
                <w:color w:val="auto"/>
              </w:rPr>
              <w:t>Depreciation and amortization</w:t>
            </w:r>
          </w:p>
        </w:tc>
        <w:tc>
          <w:tcPr>
            <w:tcW w:w="18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5"/>
                <w:szCs w:val="15"/>
                <w:color w:val="auto"/>
                <w:w w:val="87"/>
              </w:rPr>
              <w:t>31,502</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32,158</w:t>
            </w:r>
          </w:p>
        </w:tc>
        <w:tc>
          <w:tcPr>
            <w:tcW w:w="80" w:type="dxa"/>
            <w:vAlign w:val="bottom"/>
          </w:tcPr>
          <w:p>
            <w:pPr>
              <w:spacing w:after="0"/>
              <w:rPr>
                <w:sz w:val="18"/>
                <w:szCs w:val="18"/>
                <w:color w:val="auto"/>
              </w:rPr>
            </w:pPr>
          </w:p>
        </w:tc>
      </w:tr>
      <w:tr>
        <w:trPr>
          <w:trHeight w:val="208"/>
        </w:trPr>
        <w:tc>
          <w:tcPr>
            <w:tcW w:w="6880" w:type="dxa"/>
            <w:vAlign w:val="bottom"/>
            <w:shd w:val="clear" w:color="auto" w:fill="CFF0FC"/>
          </w:tcPr>
          <w:p>
            <w:pPr>
              <w:ind w:left="360"/>
              <w:spacing w:after="0"/>
              <w:rPr>
                <w:sz w:val="20"/>
                <w:szCs w:val="20"/>
                <w:color w:val="auto"/>
              </w:rPr>
            </w:pPr>
            <w:r>
              <w:rPr>
                <w:rFonts w:ascii="Arial" w:cs="Arial" w:eastAsia="Arial" w:hAnsi="Arial"/>
                <w:sz w:val="15"/>
                <w:szCs w:val="15"/>
                <w:color w:val="auto"/>
              </w:rPr>
              <w:t>Amortization of deferred financing costs</w:t>
            </w:r>
          </w:p>
        </w:tc>
        <w:tc>
          <w:tcPr>
            <w:tcW w:w="186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1,544</w:t>
            </w:r>
          </w:p>
        </w:tc>
        <w:tc>
          <w:tcPr>
            <w:tcW w:w="1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1,596</w:t>
            </w:r>
          </w:p>
        </w:tc>
        <w:tc>
          <w:tcPr>
            <w:tcW w:w="80" w:type="dxa"/>
            <w:vAlign w:val="bottom"/>
            <w:shd w:val="clear" w:color="auto" w:fill="CFF0FC"/>
          </w:tcPr>
          <w:p>
            <w:pPr>
              <w:spacing w:after="0"/>
              <w:rPr>
                <w:sz w:val="18"/>
                <w:szCs w:val="18"/>
                <w:color w:val="auto"/>
              </w:rPr>
            </w:pPr>
          </w:p>
        </w:tc>
      </w:tr>
      <w:tr>
        <w:trPr>
          <w:trHeight w:val="208"/>
        </w:trPr>
        <w:tc>
          <w:tcPr>
            <w:tcW w:w="6880" w:type="dxa"/>
            <w:vAlign w:val="bottom"/>
          </w:tcPr>
          <w:p>
            <w:pPr>
              <w:ind w:left="360"/>
              <w:spacing w:after="0"/>
              <w:rPr>
                <w:sz w:val="20"/>
                <w:szCs w:val="20"/>
                <w:color w:val="auto"/>
              </w:rPr>
            </w:pPr>
            <w:r>
              <w:rPr>
                <w:rFonts w:ascii="Arial" w:cs="Arial" w:eastAsia="Arial" w:hAnsi="Arial"/>
                <w:sz w:val="15"/>
                <w:szCs w:val="15"/>
                <w:color w:val="auto"/>
              </w:rPr>
              <w:t>Amortization of favorable leases and asset retirement obligations</w:t>
            </w:r>
          </w:p>
        </w:tc>
        <w:tc>
          <w:tcPr>
            <w:tcW w:w="18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5"/>
                <w:szCs w:val="15"/>
                <w:color w:val="auto"/>
              </w:rPr>
              <w:t>392</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478</w:t>
            </w:r>
          </w:p>
        </w:tc>
        <w:tc>
          <w:tcPr>
            <w:tcW w:w="80" w:type="dxa"/>
            <w:vAlign w:val="bottom"/>
          </w:tcPr>
          <w:p>
            <w:pPr>
              <w:spacing w:after="0"/>
              <w:rPr>
                <w:sz w:val="18"/>
                <w:szCs w:val="18"/>
                <w:color w:val="auto"/>
              </w:rPr>
            </w:pPr>
          </w:p>
        </w:tc>
      </w:tr>
      <w:tr>
        <w:trPr>
          <w:trHeight w:val="208"/>
        </w:trPr>
        <w:tc>
          <w:tcPr>
            <w:tcW w:w="6880" w:type="dxa"/>
            <w:vAlign w:val="bottom"/>
            <w:shd w:val="clear" w:color="auto" w:fill="CFF0FC"/>
          </w:tcPr>
          <w:p>
            <w:pPr>
              <w:ind w:left="360"/>
              <w:spacing w:after="0"/>
              <w:rPr>
                <w:sz w:val="20"/>
                <w:szCs w:val="20"/>
                <w:color w:val="auto"/>
              </w:rPr>
            </w:pPr>
            <w:r>
              <w:rPr>
                <w:rFonts w:ascii="Arial" w:cs="Arial" w:eastAsia="Arial" w:hAnsi="Arial"/>
                <w:sz w:val="15"/>
                <w:szCs w:val="15"/>
                <w:color w:val="auto"/>
              </w:rPr>
              <w:t>Amortization of interest rate caps</w:t>
            </w:r>
          </w:p>
        </w:tc>
        <w:tc>
          <w:tcPr>
            <w:tcW w:w="186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797</w:t>
            </w:r>
          </w:p>
        </w:tc>
        <w:tc>
          <w:tcPr>
            <w:tcW w:w="1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28</w:t>
            </w:r>
          </w:p>
        </w:tc>
        <w:tc>
          <w:tcPr>
            <w:tcW w:w="80" w:type="dxa"/>
            <w:vAlign w:val="bottom"/>
            <w:shd w:val="clear" w:color="auto" w:fill="CFF0FC"/>
          </w:tcPr>
          <w:p>
            <w:pPr>
              <w:spacing w:after="0"/>
              <w:rPr>
                <w:sz w:val="18"/>
                <w:szCs w:val="18"/>
                <w:color w:val="auto"/>
              </w:rPr>
            </w:pPr>
          </w:p>
        </w:tc>
      </w:tr>
      <w:tr>
        <w:trPr>
          <w:trHeight w:val="208"/>
        </w:trPr>
        <w:tc>
          <w:tcPr>
            <w:tcW w:w="6880" w:type="dxa"/>
            <w:vAlign w:val="bottom"/>
          </w:tcPr>
          <w:p>
            <w:pPr>
              <w:ind w:left="360"/>
              <w:spacing w:after="0"/>
              <w:rPr>
                <w:sz w:val="20"/>
                <w:szCs w:val="20"/>
                <w:color w:val="auto"/>
              </w:rPr>
            </w:pPr>
            <w:r>
              <w:rPr>
                <w:rFonts w:ascii="Arial" w:cs="Arial" w:eastAsia="Arial" w:hAnsi="Arial"/>
                <w:sz w:val="15"/>
                <w:szCs w:val="15"/>
                <w:color w:val="auto"/>
              </w:rPr>
              <w:t>Deferred tax expense</w:t>
            </w:r>
          </w:p>
        </w:tc>
        <w:tc>
          <w:tcPr>
            <w:tcW w:w="18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5"/>
                <w:szCs w:val="15"/>
                <w:color w:val="auto"/>
                <w:w w:val="87"/>
              </w:rPr>
              <w:t>15,606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6,135</w:t>
            </w:r>
          </w:p>
        </w:tc>
        <w:tc>
          <w:tcPr>
            <w:tcW w:w="80" w:type="dxa"/>
            <w:vAlign w:val="bottom"/>
          </w:tcPr>
          <w:p>
            <w:pPr>
              <w:spacing w:after="0"/>
              <w:rPr>
                <w:sz w:val="18"/>
                <w:szCs w:val="18"/>
                <w:color w:val="auto"/>
              </w:rPr>
            </w:pPr>
          </w:p>
        </w:tc>
      </w:tr>
      <w:tr>
        <w:trPr>
          <w:trHeight w:val="208"/>
        </w:trPr>
        <w:tc>
          <w:tcPr>
            <w:tcW w:w="6880" w:type="dxa"/>
            <w:vAlign w:val="bottom"/>
            <w:shd w:val="clear" w:color="auto" w:fill="CFF0FC"/>
          </w:tcPr>
          <w:p>
            <w:pPr>
              <w:ind w:left="360"/>
              <w:spacing w:after="0"/>
              <w:rPr>
                <w:sz w:val="20"/>
                <w:szCs w:val="20"/>
                <w:color w:val="auto"/>
              </w:rPr>
            </w:pPr>
            <w:r>
              <w:rPr>
                <w:rFonts w:ascii="Arial" w:cs="Arial" w:eastAsia="Arial" w:hAnsi="Arial"/>
                <w:sz w:val="16"/>
                <w:szCs w:val="16"/>
                <w:color w:val="auto"/>
              </w:rPr>
              <w:t>Loss (gain) on re-measurement of tax benefit arrangement</w:t>
            </w:r>
          </w:p>
        </w:tc>
        <w:tc>
          <w:tcPr>
            <w:tcW w:w="186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72</w:t>
            </w:r>
          </w:p>
        </w:tc>
        <w:tc>
          <w:tcPr>
            <w:tcW w:w="1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20" w:type="dxa"/>
            <w:vAlign w:val="bottom"/>
            <w:gridSpan w:val="2"/>
            <w:shd w:val="clear" w:color="auto" w:fill="CFF0FC"/>
          </w:tcPr>
          <w:p>
            <w:pPr>
              <w:jc w:val="right"/>
              <w:ind w:right="20"/>
              <w:spacing w:after="0"/>
              <w:rPr>
                <w:sz w:val="20"/>
                <w:szCs w:val="20"/>
                <w:color w:val="auto"/>
              </w:rPr>
            </w:pPr>
            <w:r>
              <w:rPr>
                <w:rFonts w:ascii="Arial" w:cs="Arial" w:eastAsia="Arial" w:hAnsi="Arial"/>
                <w:sz w:val="15"/>
                <w:szCs w:val="15"/>
                <w:color w:val="auto"/>
              </w:rPr>
              <w:t>(2,549)</w:t>
            </w:r>
          </w:p>
        </w:tc>
      </w:tr>
      <w:tr>
        <w:trPr>
          <w:trHeight w:val="208"/>
        </w:trPr>
        <w:tc>
          <w:tcPr>
            <w:tcW w:w="6880" w:type="dxa"/>
            <w:vAlign w:val="bottom"/>
          </w:tcPr>
          <w:p>
            <w:pPr>
              <w:ind w:left="360"/>
              <w:spacing w:after="0"/>
              <w:rPr>
                <w:sz w:val="20"/>
                <w:szCs w:val="20"/>
                <w:color w:val="auto"/>
              </w:rPr>
            </w:pPr>
            <w:r>
              <w:rPr>
                <w:rFonts w:ascii="Arial" w:cs="Arial" w:eastAsia="Arial" w:hAnsi="Arial"/>
                <w:sz w:val="15"/>
                <w:szCs w:val="15"/>
                <w:color w:val="auto"/>
              </w:rPr>
              <w:t>Provision for bad debts</w:t>
            </w:r>
          </w:p>
        </w:tc>
        <w:tc>
          <w:tcPr>
            <w:tcW w:w="18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5"/>
                <w:szCs w:val="15"/>
                <w:color w:val="auto"/>
              </w:rPr>
              <w:t>59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667</w:t>
            </w:r>
          </w:p>
        </w:tc>
        <w:tc>
          <w:tcPr>
            <w:tcW w:w="80" w:type="dxa"/>
            <w:vAlign w:val="bottom"/>
          </w:tcPr>
          <w:p>
            <w:pPr>
              <w:spacing w:after="0"/>
              <w:rPr>
                <w:sz w:val="18"/>
                <w:szCs w:val="18"/>
                <w:color w:val="auto"/>
              </w:rPr>
            </w:pPr>
          </w:p>
        </w:tc>
      </w:tr>
      <w:tr>
        <w:trPr>
          <w:trHeight w:val="208"/>
        </w:trPr>
        <w:tc>
          <w:tcPr>
            <w:tcW w:w="6880" w:type="dxa"/>
            <w:vAlign w:val="bottom"/>
            <w:shd w:val="clear" w:color="auto" w:fill="CFF0FC"/>
          </w:tcPr>
          <w:p>
            <w:pPr>
              <w:ind w:left="360"/>
              <w:spacing w:after="0"/>
              <w:rPr>
                <w:sz w:val="20"/>
                <w:szCs w:val="20"/>
                <w:color w:val="auto"/>
              </w:rPr>
            </w:pPr>
            <w:r>
              <w:rPr>
                <w:rFonts w:ascii="Arial" w:cs="Arial" w:eastAsia="Arial" w:hAnsi="Arial"/>
                <w:sz w:val="15"/>
                <w:szCs w:val="15"/>
                <w:color w:val="auto"/>
              </w:rPr>
              <w:t>Gain on disposal of property and equipment</w:t>
            </w:r>
          </w:p>
        </w:tc>
        <w:tc>
          <w:tcPr>
            <w:tcW w:w="186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540" w:type="dxa"/>
            <w:vAlign w:val="bottom"/>
            <w:gridSpan w:val="2"/>
            <w:shd w:val="clear" w:color="auto" w:fill="CFF0FC"/>
          </w:tcPr>
          <w:p>
            <w:pPr>
              <w:jc w:val="right"/>
              <w:ind w:right="40"/>
              <w:spacing w:after="0"/>
              <w:rPr>
                <w:sz w:val="20"/>
                <w:szCs w:val="20"/>
                <w:color w:val="auto"/>
              </w:rPr>
            </w:pPr>
            <w:r>
              <w:rPr>
                <w:rFonts w:ascii="Arial" w:cs="Arial" w:eastAsia="Arial" w:hAnsi="Arial"/>
                <w:sz w:val="15"/>
                <w:szCs w:val="15"/>
                <w:color w:val="auto"/>
              </w:rPr>
              <w:t>(514)</w:t>
            </w:r>
          </w:p>
        </w:tc>
        <w:tc>
          <w:tcPr>
            <w:tcW w:w="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20" w:type="dxa"/>
            <w:vAlign w:val="bottom"/>
            <w:gridSpan w:val="2"/>
            <w:shd w:val="clear" w:color="auto" w:fill="CFF0FC"/>
          </w:tcPr>
          <w:p>
            <w:pPr>
              <w:jc w:val="right"/>
              <w:ind w:right="20"/>
              <w:spacing w:after="0"/>
              <w:rPr>
                <w:sz w:val="20"/>
                <w:szCs w:val="20"/>
                <w:color w:val="auto"/>
              </w:rPr>
            </w:pPr>
            <w:r>
              <w:rPr>
                <w:rFonts w:ascii="Arial" w:cs="Arial" w:eastAsia="Arial" w:hAnsi="Arial"/>
                <w:sz w:val="15"/>
                <w:szCs w:val="15"/>
                <w:color w:val="auto"/>
              </w:rPr>
              <w:t>(273)</w:t>
            </w:r>
          </w:p>
        </w:tc>
      </w:tr>
      <w:tr>
        <w:trPr>
          <w:trHeight w:val="208"/>
        </w:trPr>
        <w:tc>
          <w:tcPr>
            <w:tcW w:w="6880" w:type="dxa"/>
            <w:vAlign w:val="bottom"/>
          </w:tcPr>
          <w:p>
            <w:pPr>
              <w:ind w:left="360"/>
              <w:spacing w:after="0"/>
              <w:rPr>
                <w:sz w:val="20"/>
                <w:szCs w:val="20"/>
                <w:color w:val="auto"/>
              </w:rPr>
            </w:pPr>
            <w:r>
              <w:rPr>
                <w:rFonts w:ascii="Arial" w:cs="Arial" w:eastAsia="Arial" w:hAnsi="Arial"/>
                <w:sz w:val="15"/>
                <w:szCs w:val="15"/>
                <w:color w:val="auto"/>
              </w:rPr>
              <w:t>Loss on extinguishment of debt</w:t>
            </w:r>
          </w:p>
        </w:tc>
        <w:tc>
          <w:tcPr>
            <w:tcW w:w="18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5"/>
                <w:szCs w:val="15"/>
                <w:color w:val="auto"/>
              </w:rPr>
              <w:t>606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w:t>
            </w:r>
          </w:p>
        </w:tc>
        <w:tc>
          <w:tcPr>
            <w:tcW w:w="80" w:type="dxa"/>
            <w:vAlign w:val="bottom"/>
          </w:tcPr>
          <w:p>
            <w:pPr>
              <w:spacing w:after="0"/>
              <w:rPr>
                <w:sz w:val="18"/>
                <w:szCs w:val="18"/>
                <w:color w:val="auto"/>
              </w:rPr>
            </w:pPr>
          </w:p>
        </w:tc>
      </w:tr>
      <w:tr>
        <w:trPr>
          <w:trHeight w:val="208"/>
        </w:trPr>
        <w:tc>
          <w:tcPr>
            <w:tcW w:w="6880" w:type="dxa"/>
            <w:vAlign w:val="bottom"/>
            <w:shd w:val="clear" w:color="auto" w:fill="CFF0FC"/>
          </w:tcPr>
          <w:p>
            <w:pPr>
              <w:ind w:left="360"/>
              <w:spacing w:after="0"/>
              <w:rPr>
                <w:sz w:val="20"/>
                <w:szCs w:val="20"/>
                <w:color w:val="auto"/>
              </w:rPr>
            </w:pPr>
            <w:r>
              <w:rPr>
                <w:rFonts w:ascii="Arial" w:cs="Arial" w:eastAsia="Arial" w:hAnsi="Arial"/>
                <w:sz w:val="15"/>
                <w:szCs w:val="15"/>
                <w:color w:val="auto"/>
              </w:rPr>
              <w:t>Third party debt refinancing expense</w:t>
            </w:r>
          </w:p>
        </w:tc>
        <w:tc>
          <w:tcPr>
            <w:tcW w:w="186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3,001</w:t>
            </w:r>
          </w:p>
        </w:tc>
        <w:tc>
          <w:tcPr>
            <w:tcW w:w="1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80" w:type="dxa"/>
            <w:vAlign w:val="bottom"/>
            <w:shd w:val="clear" w:color="auto" w:fill="CFF0FC"/>
          </w:tcPr>
          <w:p>
            <w:pPr>
              <w:spacing w:after="0"/>
              <w:rPr>
                <w:sz w:val="18"/>
                <w:szCs w:val="18"/>
                <w:color w:val="auto"/>
              </w:rPr>
            </w:pPr>
          </w:p>
        </w:tc>
      </w:tr>
      <w:tr>
        <w:trPr>
          <w:trHeight w:val="208"/>
        </w:trPr>
        <w:tc>
          <w:tcPr>
            <w:tcW w:w="6880" w:type="dxa"/>
            <w:vAlign w:val="bottom"/>
          </w:tcPr>
          <w:p>
            <w:pPr>
              <w:ind w:left="360"/>
              <w:spacing w:after="0"/>
              <w:rPr>
                <w:sz w:val="20"/>
                <w:szCs w:val="20"/>
                <w:color w:val="auto"/>
              </w:rPr>
            </w:pPr>
            <w:r>
              <w:rPr>
                <w:rFonts w:ascii="Arial" w:cs="Arial" w:eastAsia="Arial" w:hAnsi="Arial"/>
                <w:sz w:val="15"/>
                <w:szCs w:val="15"/>
                <w:color w:val="auto"/>
              </w:rPr>
              <w:t>Equity-based compensation</w:t>
            </w:r>
          </w:p>
        </w:tc>
        <w:tc>
          <w:tcPr>
            <w:tcW w:w="18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5"/>
                <w:szCs w:val="15"/>
                <w:color w:val="auto"/>
              </w:rPr>
              <w:t>1,728</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4,877</w:t>
            </w:r>
          </w:p>
        </w:tc>
        <w:tc>
          <w:tcPr>
            <w:tcW w:w="80" w:type="dxa"/>
            <w:vAlign w:val="bottom"/>
          </w:tcPr>
          <w:p>
            <w:pPr>
              <w:spacing w:after="0"/>
              <w:rPr>
                <w:sz w:val="18"/>
                <w:szCs w:val="18"/>
                <w:color w:val="auto"/>
              </w:rPr>
            </w:pPr>
          </w:p>
        </w:tc>
      </w:tr>
      <w:tr>
        <w:trPr>
          <w:trHeight w:val="208"/>
        </w:trPr>
        <w:tc>
          <w:tcPr>
            <w:tcW w:w="6880" w:type="dxa"/>
            <w:vAlign w:val="bottom"/>
            <w:shd w:val="clear" w:color="auto" w:fill="CFF0FC"/>
          </w:tcPr>
          <w:p>
            <w:pPr>
              <w:ind w:left="360"/>
              <w:spacing w:after="0"/>
              <w:rPr>
                <w:sz w:val="20"/>
                <w:szCs w:val="20"/>
                <w:color w:val="auto"/>
              </w:rPr>
            </w:pPr>
            <w:r>
              <w:rPr>
                <w:rFonts w:ascii="Arial" w:cs="Arial" w:eastAsia="Arial" w:hAnsi="Arial"/>
                <w:sz w:val="15"/>
                <w:szCs w:val="15"/>
                <w:color w:val="auto"/>
              </w:rPr>
              <w:t>Changes in operating assets and liabilities:</w:t>
            </w:r>
          </w:p>
        </w:tc>
        <w:tc>
          <w:tcPr>
            <w:tcW w:w="186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r>
    </w:tbl>
    <w:p>
      <w:pPr>
        <w:spacing w:after="0" w:line="3" w:lineRule="exact"/>
        <w:rPr>
          <w:sz w:val="20"/>
          <w:szCs w:val="20"/>
          <w:color w:val="auto"/>
        </w:rPr>
      </w:pPr>
    </w:p>
    <w:p>
      <w:pPr>
        <w:sectPr>
          <w:pgSz w:w="11900" w:h="16838" w:orient="portrait"/>
          <w:cols w:equalWidth="0" w:num="1">
            <w:col w:w="11460"/>
          </w:cols>
          <w:pgMar w:left="240" w:top="121" w:right="199" w:bottom="1440" w:gutter="0" w:footer="0" w:header="0"/>
        </w:sectPr>
      </w:pPr>
    </w:p>
    <w:p>
      <w:pPr>
        <w:spacing w:after="0" w:line="36" w:lineRule="exact"/>
        <w:rPr>
          <w:sz w:val="20"/>
          <w:szCs w:val="20"/>
          <w:color w:val="auto"/>
        </w:rPr>
      </w:pPr>
    </w:p>
    <w:p>
      <w:pPr>
        <w:ind w:left="480"/>
        <w:spacing w:after="0"/>
        <w:rPr>
          <w:sz w:val="20"/>
          <w:szCs w:val="20"/>
          <w:color w:val="auto"/>
        </w:rPr>
      </w:pPr>
      <w:r>
        <w:rPr>
          <w:rFonts w:ascii="Arial" w:cs="Arial" w:eastAsia="Arial" w:hAnsi="Arial"/>
          <w:sz w:val="15"/>
          <w:szCs w:val="15"/>
          <w:color w:val="auto"/>
        </w:rPr>
        <w:t>Accounts receivable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-1270</wp:posOffset>
            </wp:positionV>
            <wp:extent cx="7251700" cy="132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1700" cy="132080"/>
                    </a:xfrm>
                    <a:prstGeom prst="rect">
                      <a:avLst/>
                    </a:prstGeom>
                    <a:noFill/>
                  </pic:spPr>
                </pic:pic>
              </a:graphicData>
            </a:graphic>
          </wp:anchor>
        </w:drawing>
      </w:r>
    </w:p>
    <w:p>
      <w:pPr>
        <w:spacing w:after="0" w:line="15" w:lineRule="exact"/>
        <w:rPr>
          <w:sz w:val="20"/>
          <w:szCs w:val="20"/>
          <w:color w:val="auto"/>
        </w:rPr>
      </w:pPr>
    </w:p>
    <w:p>
      <w:pPr>
        <w:ind w:left="480"/>
        <w:spacing w:after="0"/>
        <w:rPr>
          <w:sz w:val="20"/>
          <w:szCs w:val="20"/>
          <w:color w:val="auto"/>
        </w:rPr>
      </w:pPr>
      <w:r>
        <w:rPr>
          <w:rFonts w:ascii="Arial" w:cs="Arial" w:eastAsia="Arial" w:hAnsi="Arial"/>
          <w:sz w:val="15"/>
          <w:szCs w:val="15"/>
          <w:color w:val="auto"/>
        </w:rPr>
        <w:t>Notes receivable and due from related parties</w:t>
      </w:r>
    </w:p>
    <w:p>
      <w:pPr>
        <w:spacing w:after="0" w:line="35" w:lineRule="exact"/>
        <w:rPr>
          <w:sz w:val="20"/>
          <w:szCs w:val="20"/>
          <w:color w:val="auto"/>
        </w:rPr>
      </w:pPr>
    </w:p>
    <w:p>
      <w:pPr>
        <w:ind w:left="480"/>
        <w:spacing w:after="0"/>
        <w:rPr>
          <w:sz w:val="20"/>
          <w:szCs w:val="20"/>
          <w:color w:val="auto"/>
        </w:rPr>
      </w:pPr>
      <w:r>
        <w:rPr>
          <w:rFonts w:ascii="Arial" w:cs="Arial" w:eastAsia="Arial" w:hAnsi="Arial"/>
          <w:sz w:val="15"/>
          <w:szCs w:val="15"/>
          <w:color w:val="auto"/>
        </w:rPr>
        <w:t>Inventory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-1270</wp:posOffset>
            </wp:positionV>
            <wp:extent cx="7251700" cy="132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1700" cy="132080"/>
                    </a:xfrm>
                    <a:prstGeom prst="rect">
                      <a:avLst/>
                    </a:prstGeom>
                    <a:noFill/>
                  </pic:spPr>
                </pic:pic>
              </a:graphicData>
            </a:graphic>
          </wp:anchor>
        </w:drawing>
      </w:r>
    </w:p>
    <w:p>
      <w:pPr>
        <w:spacing w:after="0" w:line="15" w:lineRule="exact"/>
        <w:rPr>
          <w:sz w:val="20"/>
          <w:szCs w:val="20"/>
          <w:color w:val="auto"/>
        </w:rPr>
      </w:pPr>
    </w:p>
    <w:p>
      <w:pPr>
        <w:ind w:left="480"/>
        <w:spacing w:after="0"/>
        <w:rPr>
          <w:sz w:val="20"/>
          <w:szCs w:val="20"/>
          <w:color w:val="auto"/>
        </w:rPr>
      </w:pPr>
      <w:r>
        <w:rPr>
          <w:rFonts w:ascii="Arial" w:cs="Arial" w:eastAsia="Arial" w:hAnsi="Arial"/>
          <w:sz w:val="15"/>
          <w:szCs w:val="15"/>
          <w:color w:val="auto"/>
        </w:rPr>
        <w:t>Other assets and other current assets</w:t>
      </w:r>
    </w:p>
    <w:p>
      <w:pPr>
        <w:spacing w:after="0" w:line="35" w:lineRule="exact"/>
        <w:rPr>
          <w:sz w:val="20"/>
          <w:szCs w:val="20"/>
          <w:color w:val="auto"/>
        </w:rPr>
      </w:pPr>
    </w:p>
    <w:p>
      <w:pPr>
        <w:ind w:left="480"/>
        <w:spacing w:after="0"/>
        <w:rPr>
          <w:sz w:val="20"/>
          <w:szCs w:val="20"/>
          <w:color w:val="auto"/>
        </w:rPr>
      </w:pPr>
      <w:r>
        <w:rPr>
          <w:rFonts w:ascii="Arial" w:cs="Arial" w:eastAsia="Arial" w:hAnsi="Arial"/>
          <w:sz w:val="15"/>
          <w:szCs w:val="15"/>
          <w:color w:val="auto"/>
        </w:rPr>
        <w:t>Accounts payable and accrued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-1270</wp:posOffset>
            </wp:positionV>
            <wp:extent cx="7251700" cy="132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1700" cy="132080"/>
                    </a:xfrm>
                    <a:prstGeom prst="rect">
                      <a:avLst/>
                    </a:prstGeom>
                    <a:noFill/>
                  </pic:spPr>
                </pic:pic>
              </a:graphicData>
            </a:graphic>
          </wp:anchor>
        </w:drawing>
      </w:r>
    </w:p>
    <w:p>
      <w:pPr>
        <w:spacing w:after="0" w:line="15" w:lineRule="exact"/>
        <w:rPr>
          <w:sz w:val="20"/>
          <w:szCs w:val="20"/>
          <w:color w:val="auto"/>
        </w:rPr>
      </w:pPr>
    </w:p>
    <w:p>
      <w:pPr>
        <w:ind w:left="480"/>
        <w:spacing w:after="0"/>
        <w:rPr>
          <w:sz w:val="20"/>
          <w:szCs w:val="20"/>
          <w:color w:val="auto"/>
        </w:rPr>
      </w:pPr>
      <w:r>
        <w:rPr>
          <w:rFonts w:ascii="Arial" w:cs="Arial" w:eastAsia="Arial" w:hAnsi="Arial"/>
          <w:sz w:val="15"/>
          <w:szCs w:val="15"/>
          <w:color w:val="auto"/>
        </w:rPr>
        <w:t>Other liabilities and other current liabilities</w:t>
      </w:r>
    </w:p>
    <w:p>
      <w:pPr>
        <w:spacing w:after="0" w:line="35" w:lineRule="exact"/>
        <w:rPr>
          <w:sz w:val="20"/>
          <w:szCs w:val="20"/>
          <w:color w:val="auto"/>
        </w:rPr>
      </w:pPr>
    </w:p>
    <w:p>
      <w:pPr>
        <w:ind w:left="480"/>
        <w:spacing w:after="0"/>
        <w:rPr>
          <w:sz w:val="20"/>
          <w:szCs w:val="20"/>
          <w:color w:val="auto"/>
        </w:rPr>
      </w:pPr>
      <w:r>
        <w:rPr>
          <w:rFonts w:ascii="Arial" w:cs="Arial" w:eastAsia="Arial" w:hAnsi="Arial"/>
          <w:sz w:val="15"/>
          <w:szCs w:val="15"/>
          <w:color w:val="auto"/>
        </w:rPr>
        <w:t>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-1270</wp:posOffset>
            </wp:positionV>
            <wp:extent cx="7251700" cy="132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1700" cy="132080"/>
                    </a:xfrm>
                    <a:prstGeom prst="rect">
                      <a:avLst/>
                    </a:prstGeom>
                    <a:noFill/>
                  </pic:spPr>
                </pic:pic>
              </a:graphicData>
            </a:graphic>
          </wp:anchor>
        </w:drawing>
      </w:r>
    </w:p>
    <w:p>
      <w:pPr>
        <w:spacing w:after="0" w:line="15" w:lineRule="exact"/>
        <w:rPr>
          <w:sz w:val="20"/>
          <w:szCs w:val="20"/>
          <w:color w:val="auto"/>
        </w:rPr>
      </w:pPr>
    </w:p>
    <w:p>
      <w:pPr>
        <w:ind w:left="480"/>
        <w:spacing w:after="0"/>
        <w:rPr>
          <w:sz w:val="20"/>
          <w:szCs w:val="20"/>
          <w:color w:val="auto"/>
        </w:rPr>
      </w:pPr>
      <w:r>
        <w:rPr>
          <w:rFonts w:ascii="Arial" w:cs="Arial" w:eastAsia="Arial" w:hAnsi="Arial"/>
          <w:sz w:val="13"/>
          <w:szCs w:val="13"/>
          <w:color w:val="auto"/>
        </w:rPr>
        <w:t>Payable to related parties pursuant to tax benefit arrangements</w:t>
      </w:r>
    </w:p>
    <w:p>
      <w:pPr>
        <w:spacing w:after="0" w:line="58" w:lineRule="exact"/>
        <w:rPr>
          <w:sz w:val="20"/>
          <w:szCs w:val="20"/>
          <w:color w:val="auto"/>
        </w:rPr>
      </w:pPr>
    </w:p>
    <w:p>
      <w:pPr>
        <w:ind w:left="480"/>
        <w:spacing w:after="0"/>
        <w:rPr>
          <w:sz w:val="20"/>
          <w:szCs w:val="20"/>
          <w:color w:val="auto"/>
        </w:rPr>
      </w:pPr>
      <w:r>
        <w:rPr>
          <w:rFonts w:ascii="Arial" w:cs="Arial" w:eastAsia="Arial" w:hAnsi="Arial"/>
          <w:sz w:val="15"/>
          <w:szCs w:val="15"/>
          <w:color w:val="auto"/>
        </w:rPr>
        <w:t>Equipment deposits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-1270</wp:posOffset>
            </wp:positionV>
            <wp:extent cx="7251700" cy="132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1700" cy="132080"/>
                    </a:xfrm>
                    <a:prstGeom prst="rect">
                      <a:avLst/>
                    </a:prstGeom>
                    <a:noFill/>
                  </pic:spPr>
                </pic:pic>
              </a:graphicData>
            </a:graphic>
          </wp:anchor>
        </w:drawing>
      </w:r>
    </w:p>
    <w:p>
      <w:pPr>
        <w:spacing w:after="0" w:line="15" w:lineRule="exact"/>
        <w:rPr>
          <w:sz w:val="20"/>
          <w:szCs w:val="20"/>
          <w:color w:val="auto"/>
        </w:rPr>
      </w:pPr>
    </w:p>
    <w:p>
      <w:pPr>
        <w:ind w:left="480"/>
        <w:spacing w:after="0"/>
        <w:rPr>
          <w:sz w:val="20"/>
          <w:szCs w:val="20"/>
          <w:color w:val="auto"/>
        </w:rPr>
      </w:pPr>
      <w:r>
        <w:rPr>
          <w:rFonts w:ascii="Arial" w:cs="Arial" w:eastAsia="Arial" w:hAnsi="Arial"/>
          <w:sz w:val="15"/>
          <w:szCs w:val="15"/>
          <w:color w:val="auto"/>
        </w:rPr>
        <w:t>Deferred revenue</w:t>
      </w:r>
    </w:p>
    <w:p>
      <w:pPr>
        <w:spacing w:after="0" w:line="35" w:lineRule="exact"/>
        <w:rPr>
          <w:sz w:val="20"/>
          <w:szCs w:val="20"/>
          <w:color w:val="auto"/>
        </w:rPr>
      </w:pPr>
    </w:p>
    <w:p>
      <w:pPr>
        <w:ind w:left="480"/>
        <w:spacing w:after="0"/>
        <w:rPr>
          <w:sz w:val="20"/>
          <w:szCs w:val="20"/>
          <w:color w:val="auto"/>
        </w:rPr>
      </w:pPr>
      <w:r>
        <w:rPr>
          <w:rFonts w:ascii="Arial" w:cs="Arial" w:eastAsia="Arial" w:hAnsi="Arial"/>
          <w:sz w:val="15"/>
          <w:szCs w:val="15"/>
          <w:color w:val="auto"/>
        </w:rPr>
        <w:t>Deferred rent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-1270</wp:posOffset>
            </wp:positionV>
            <wp:extent cx="7251700" cy="1403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1700" cy="140335"/>
                    </a:xfrm>
                    <a:prstGeom prst="rect">
                      <a:avLst/>
                    </a:prstGeom>
                    <a:noFill/>
                  </pic:spPr>
                </pic:pic>
              </a:graphicData>
            </a:graphic>
          </wp:anchor>
        </w:drawing>
      </w:r>
    </w:p>
    <w:p>
      <w:pPr>
        <w:spacing w:after="0" w:line="28" w:lineRule="exact"/>
        <w:rPr>
          <w:sz w:val="20"/>
          <w:szCs w:val="20"/>
          <w:color w:val="auto"/>
        </w:rPr>
      </w:pPr>
    </w:p>
    <w:p>
      <w:pPr>
        <w:ind w:left="720"/>
        <w:spacing w:after="0"/>
        <w:rPr>
          <w:sz w:val="20"/>
          <w:szCs w:val="20"/>
          <w:color w:val="auto"/>
        </w:rPr>
      </w:pPr>
      <w:r>
        <w:rPr>
          <w:rFonts w:ascii="Arial" w:cs="Arial" w:eastAsia="Arial" w:hAnsi="Arial"/>
          <w:sz w:val="15"/>
          <w:szCs w:val="15"/>
          <w:color w:val="auto"/>
        </w:rPr>
        <w:t>Net cash provided by operating activities</w:t>
      </w:r>
    </w:p>
    <w:p>
      <w:pPr>
        <w:spacing w:after="0" w:line="45" w:lineRule="exact"/>
        <w:rPr>
          <w:sz w:val="20"/>
          <w:szCs w:val="20"/>
          <w:color w:val="auto"/>
        </w:rPr>
      </w:pPr>
    </w:p>
    <w:p>
      <w:pPr>
        <w:spacing w:after="0"/>
        <w:rPr>
          <w:sz w:val="20"/>
          <w:szCs w:val="20"/>
          <w:color w:val="auto"/>
        </w:rPr>
      </w:pPr>
      <w:r>
        <w:rPr>
          <w:rFonts w:ascii="Arial" w:cs="Arial" w:eastAsia="Arial" w:hAnsi="Arial"/>
          <w:sz w:val="15"/>
          <w:szCs w:val="15"/>
          <w:color w:val="auto"/>
        </w:rPr>
        <w:t>Cash flows from investing activities: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100" w:type="dxa"/>
        <w:tblCellMar>
          <w:top w:w="0" w:type="dxa"/>
          <w:left w:w="0" w:type="dxa"/>
          <w:bottom w:w="0" w:type="dxa"/>
          <w:right w:w="0" w:type="dxa"/>
        </w:tblCellMar>
      </w:tblPr>
      <w:tr>
        <w:trPr>
          <w:trHeight w:val="208"/>
        </w:trPr>
        <w:tc>
          <w:tcPr>
            <w:tcW w:w="940" w:type="dxa"/>
            <w:vAlign w:val="bottom"/>
          </w:tcPr>
          <w:p>
            <w:pPr>
              <w:jc w:val="right"/>
              <w:ind w:right="383"/>
              <w:spacing w:after="0"/>
              <w:rPr>
                <w:sz w:val="20"/>
                <w:szCs w:val="20"/>
                <w:color w:val="auto"/>
              </w:rPr>
            </w:pPr>
            <w:r>
              <w:rPr>
                <w:rFonts w:ascii="Arial" w:cs="Arial" w:eastAsia="Arial" w:hAnsi="Arial"/>
                <w:sz w:val="15"/>
                <w:szCs w:val="15"/>
                <w:color w:val="auto"/>
                <w:w w:val="96"/>
              </w:rPr>
              <w:t>(7,754)</w:t>
            </w:r>
          </w:p>
        </w:tc>
        <w:tc>
          <w:tcPr>
            <w:tcW w:w="900" w:type="dxa"/>
            <w:vAlign w:val="bottom"/>
          </w:tcPr>
          <w:p>
            <w:pPr>
              <w:jc w:val="right"/>
              <w:spacing w:after="0"/>
              <w:rPr>
                <w:sz w:val="20"/>
                <w:szCs w:val="20"/>
                <w:color w:val="auto"/>
              </w:rPr>
            </w:pPr>
            <w:r>
              <w:rPr>
                <w:rFonts w:ascii="Arial" w:cs="Arial" w:eastAsia="Arial" w:hAnsi="Arial"/>
                <w:sz w:val="15"/>
                <w:szCs w:val="15"/>
                <w:color w:val="auto"/>
              </w:rPr>
              <w:t>(414)</w:t>
            </w:r>
          </w:p>
        </w:tc>
      </w:tr>
      <w:tr>
        <w:trPr>
          <w:trHeight w:val="208"/>
        </w:trPr>
        <w:tc>
          <w:tcPr>
            <w:tcW w:w="940" w:type="dxa"/>
            <w:vAlign w:val="bottom"/>
          </w:tcPr>
          <w:p>
            <w:pPr>
              <w:jc w:val="right"/>
              <w:ind w:right="463"/>
              <w:spacing w:after="0"/>
              <w:rPr>
                <w:sz w:val="20"/>
                <w:szCs w:val="20"/>
                <w:color w:val="auto"/>
              </w:rPr>
            </w:pPr>
            <w:r>
              <w:rPr>
                <w:rFonts w:ascii="Arial" w:cs="Arial" w:eastAsia="Arial" w:hAnsi="Arial"/>
                <w:sz w:val="16"/>
                <w:szCs w:val="16"/>
                <w:color w:val="auto"/>
                <w:w w:val="94"/>
              </w:rPr>
              <w:t>1,897</w:t>
            </w:r>
          </w:p>
        </w:tc>
        <w:tc>
          <w:tcPr>
            <w:tcW w:w="900" w:type="dxa"/>
            <w:vAlign w:val="bottom"/>
          </w:tcPr>
          <w:p>
            <w:pPr>
              <w:jc w:val="right"/>
              <w:spacing w:after="0"/>
              <w:rPr>
                <w:sz w:val="20"/>
                <w:szCs w:val="20"/>
                <w:color w:val="auto"/>
              </w:rPr>
            </w:pPr>
            <w:r>
              <w:rPr>
                <w:rFonts w:ascii="Arial" w:cs="Arial" w:eastAsia="Arial" w:hAnsi="Arial"/>
                <w:sz w:val="15"/>
                <w:szCs w:val="15"/>
                <w:color w:val="auto"/>
              </w:rPr>
              <w:t>4,210</w:t>
            </w:r>
          </w:p>
        </w:tc>
      </w:tr>
      <w:tr>
        <w:trPr>
          <w:trHeight w:val="208"/>
        </w:trPr>
        <w:tc>
          <w:tcPr>
            <w:tcW w:w="940" w:type="dxa"/>
            <w:vAlign w:val="bottom"/>
          </w:tcPr>
          <w:p>
            <w:pPr>
              <w:jc w:val="right"/>
              <w:ind w:right="463"/>
              <w:spacing w:after="0"/>
              <w:rPr>
                <w:sz w:val="20"/>
                <w:szCs w:val="20"/>
                <w:color w:val="auto"/>
              </w:rPr>
            </w:pPr>
            <w:r>
              <w:rPr>
                <w:rFonts w:ascii="Arial" w:cs="Arial" w:eastAsia="Arial" w:hAnsi="Arial"/>
                <w:sz w:val="15"/>
                <w:szCs w:val="15"/>
                <w:color w:val="auto"/>
              </w:rPr>
              <w:t>2,755</w:t>
            </w:r>
          </w:p>
        </w:tc>
        <w:tc>
          <w:tcPr>
            <w:tcW w:w="900" w:type="dxa"/>
            <w:vAlign w:val="bottom"/>
          </w:tcPr>
          <w:p>
            <w:pPr>
              <w:jc w:val="right"/>
              <w:spacing w:after="0"/>
              <w:rPr>
                <w:sz w:val="20"/>
                <w:szCs w:val="20"/>
                <w:color w:val="auto"/>
              </w:rPr>
            </w:pPr>
            <w:r>
              <w:rPr>
                <w:rFonts w:ascii="Arial" w:cs="Arial" w:eastAsia="Arial" w:hAnsi="Arial"/>
                <w:sz w:val="15"/>
                <w:szCs w:val="15"/>
                <w:color w:val="auto"/>
              </w:rPr>
              <w:t>(1,545)</w:t>
            </w:r>
          </w:p>
        </w:tc>
      </w:tr>
      <w:tr>
        <w:trPr>
          <w:trHeight w:val="208"/>
        </w:trPr>
        <w:tc>
          <w:tcPr>
            <w:tcW w:w="940" w:type="dxa"/>
            <w:vAlign w:val="bottom"/>
          </w:tcPr>
          <w:p>
            <w:pPr>
              <w:jc w:val="right"/>
              <w:ind w:right="383"/>
              <w:spacing w:after="0"/>
              <w:rPr>
                <w:sz w:val="20"/>
                <w:szCs w:val="20"/>
                <w:color w:val="auto"/>
              </w:rPr>
            </w:pPr>
            <w:r>
              <w:rPr>
                <w:rFonts w:ascii="Arial" w:cs="Arial" w:eastAsia="Arial" w:hAnsi="Arial"/>
                <w:sz w:val="16"/>
                <w:szCs w:val="16"/>
                <w:color w:val="auto"/>
                <w:w w:val="90"/>
              </w:rPr>
              <w:t>(7,944)</w:t>
            </w:r>
          </w:p>
        </w:tc>
        <w:tc>
          <w:tcPr>
            <w:tcW w:w="900" w:type="dxa"/>
            <w:vAlign w:val="bottom"/>
          </w:tcPr>
          <w:p>
            <w:pPr>
              <w:jc w:val="right"/>
              <w:spacing w:after="0"/>
              <w:rPr>
                <w:sz w:val="20"/>
                <w:szCs w:val="20"/>
                <w:color w:val="auto"/>
              </w:rPr>
            </w:pPr>
            <w:r>
              <w:rPr>
                <w:rFonts w:ascii="Arial" w:cs="Arial" w:eastAsia="Arial" w:hAnsi="Arial"/>
                <w:sz w:val="15"/>
                <w:szCs w:val="15"/>
                <w:color w:val="auto"/>
              </w:rPr>
              <w:t>(5,720)</w:t>
            </w:r>
          </w:p>
        </w:tc>
      </w:tr>
      <w:tr>
        <w:trPr>
          <w:trHeight w:val="208"/>
        </w:trPr>
        <w:tc>
          <w:tcPr>
            <w:tcW w:w="940" w:type="dxa"/>
            <w:vAlign w:val="bottom"/>
          </w:tcPr>
          <w:p>
            <w:pPr>
              <w:jc w:val="right"/>
              <w:ind w:right="463"/>
              <w:spacing w:after="0"/>
              <w:rPr>
                <w:sz w:val="20"/>
                <w:szCs w:val="20"/>
                <w:color w:val="auto"/>
              </w:rPr>
            </w:pPr>
            <w:r>
              <w:rPr>
                <w:rFonts w:ascii="Arial" w:cs="Arial" w:eastAsia="Arial" w:hAnsi="Arial"/>
                <w:sz w:val="16"/>
                <w:szCs w:val="16"/>
                <w:color w:val="auto"/>
                <w:w w:val="94"/>
              </w:rPr>
              <w:t>7,428</w:t>
            </w:r>
          </w:p>
        </w:tc>
        <w:tc>
          <w:tcPr>
            <w:tcW w:w="900" w:type="dxa"/>
            <w:vAlign w:val="bottom"/>
          </w:tcPr>
          <w:p>
            <w:pPr>
              <w:jc w:val="right"/>
              <w:spacing w:after="0"/>
              <w:rPr>
                <w:sz w:val="20"/>
                <w:szCs w:val="20"/>
                <w:color w:val="auto"/>
              </w:rPr>
            </w:pPr>
            <w:r>
              <w:rPr>
                <w:rFonts w:ascii="Arial" w:cs="Arial" w:eastAsia="Arial" w:hAnsi="Arial"/>
                <w:sz w:val="15"/>
                <w:szCs w:val="15"/>
                <w:color w:val="auto"/>
              </w:rPr>
              <w:t>263</w:t>
            </w:r>
          </w:p>
        </w:tc>
      </w:tr>
      <w:tr>
        <w:trPr>
          <w:trHeight w:val="208"/>
        </w:trPr>
        <w:tc>
          <w:tcPr>
            <w:tcW w:w="940" w:type="dxa"/>
            <w:vAlign w:val="bottom"/>
          </w:tcPr>
          <w:p>
            <w:pPr>
              <w:jc w:val="right"/>
              <w:ind w:right="463"/>
              <w:spacing w:after="0"/>
              <w:rPr>
                <w:sz w:val="20"/>
                <w:szCs w:val="20"/>
                <w:color w:val="auto"/>
              </w:rPr>
            </w:pPr>
            <w:r>
              <w:rPr>
                <w:rFonts w:ascii="Arial" w:cs="Arial" w:eastAsia="Arial" w:hAnsi="Arial"/>
                <w:sz w:val="16"/>
                <w:szCs w:val="16"/>
                <w:color w:val="auto"/>
                <w:w w:val="94"/>
              </w:rPr>
              <w:t>2,747</w:t>
            </w:r>
          </w:p>
        </w:tc>
        <w:tc>
          <w:tcPr>
            <w:tcW w:w="900" w:type="dxa"/>
            <w:vAlign w:val="bottom"/>
          </w:tcPr>
          <w:p>
            <w:pPr>
              <w:jc w:val="right"/>
              <w:spacing w:after="0"/>
              <w:rPr>
                <w:sz w:val="20"/>
                <w:szCs w:val="20"/>
                <w:color w:val="auto"/>
              </w:rPr>
            </w:pPr>
            <w:r>
              <w:rPr>
                <w:rFonts w:ascii="Arial" w:cs="Arial" w:eastAsia="Arial" w:hAnsi="Arial"/>
                <w:sz w:val="15"/>
                <w:szCs w:val="15"/>
                <w:color w:val="auto"/>
              </w:rPr>
              <w:t>99</w:t>
            </w:r>
          </w:p>
        </w:tc>
      </w:tr>
      <w:tr>
        <w:trPr>
          <w:trHeight w:val="208"/>
        </w:trPr>
        <w:tc>
          <w:tcPr>
            <w:tcW w:w="940" w:type="dxa"/>
            <w:vAlign w:val="bottom"/>
          </w:tcPr>
          <w:p>
            <w:pPr>
              <w:jc w:val="right"/>
              <w:ind w:right="383"/>
              <w:spacing w:after="0"/>
              <w:rPr>
                <w:sz w:val="20"/>
                <w:szCs w:val="20"/>
                <w:color w:val="auto"/>
              </w:rPr>
            </w:pPr>
            <w:r>
              <w:rPr>
                <w:rFonts w:ascii="Arial" w:cs="Arial" w:eastAsia="Arial" w:hAnsi="Arial"/>
                <w:sz w:val="16"/>
                <w:szCs w:val="16"/>
                <w:color w:val="auto"/>
                <w:w w:val="90"/>
              </w:rPr>
              <w:t>(5,993)</w:t>
            </w:r>
          </w:p>
        </w:tc>
        <w:tc>
          <w:tcPr>
            <w:tcW w:w="900" w:type="dxa"/>
            <w:vAlign w:val="bottom"/>
          </w:tcPr>
          <w:p>
            <w:pPr>
              <w:jc w:val="right"/>
              <w:spacing w:after="0"/>
              <w:rPr>
                <w:sz w:val="20"/>
                <w:szCs w:val="20"/>
                <w:color w:val="auto"/>
              </w:rPr>
            </w:pPr>
            <w:r>
              <w:rPr>
                <w:rFonts w:ascii="Arial" w:cs="Arial" w:eastAsia="Arial" w:hAnsi="Arial"/>
                <w:sz w:val="15"/>
                <w:szCs w:val="15"/>
                <w:color w:val="auto"/>
              </w:rPr>
              <w:t>115</w:t>
            </w:r>
          </w:p>
        </w:tc>
      </w:tr>
      <w:tr>
        <w:trPr>
          <w:trHeight w:val="208"/>
        </w:trPr>
        <w:tc>
          <w:tcPr>
            <w:tcW w:w="940" w:type="dxa"/>
            <w:vAlign w:val="bottom"/>
          </w:tcPr>
          <w:p>
            <w:pPr>
              <w:jc w:val="right"/>
              <w:ind w:right="383"/>
              <w:spacing w:after="0"/>
              <w:rPr>
                <w:sz w:val="20"/>
                <w:szCs w:val="20"/>
                <w:color w:val="auto"/>
              </w:rPr>
            </w:pPr>
            <w:r>
              <w:rPr>
                <w:rFonts w:ascii="Arial" w:cs="Arial" w:eastAsia="Arial" w:hAnsi="Arial"/>
                <w:sz w:val="16"/>
                <w:szCs w:val="16"/>
                <w:color w:val="auto"/>
                <w:w w:val="90"/>
              </w:rPr>
              <w:t>(6,922)</w:t>
            </w:r>
          </w:p>
        </w:tc>
        <w:tc>
          <w:tcPr>
            <w:tcW w:w="90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23"/>
        </w:trPr>
        <w:tc>
          <w:tcPr>
            <w:tcW w:w="940" w:type="dxa"/>
            <w:vAlign w:val="bottom"/>
          </w:tcPr>
          <w:p>
            <w:pPr>
              <w:jc w:val="right"/>
              <w:ind w:right="383"/>
              <w:spacing w:after="0"/>
              <w:rPr>
                <w:sz w:val="20"/>
                <w:szCs w:val="20"/>
                <w:color w:val="auto"/>
              </w:rPr>
            </w:pPr>
            <w:r>
              <w:rPr>
                <w:rFonts w:ascii="Arial" w:cs="Arial" w:eastAsia="Arial" w:hAnsi="Arial"/>
                <w:sz w:val="15"/>
                <w:szCs w:val="15"/>
                <w:color w:val="auto"/>
                <w:w w:val="96"/>
              </w:rPr>
              <w:t>(3,417)</w:t>
            </w:r>
          </w:p>
        </w:tc>
        <w:tc>
          <w:tcPr>
            <w:tcW w:w="900" w:type="dxa"/>
            <w:vAlign w:val="bottom"/>
          </w:tcPr>
          <w:p>
            <w:pPr>
              <w:jc w:val="right"/>
              <w:spacing w:after="0"/>
              <w:rPr>
                <w:sz w:val="20"/>
                <w:szCs w:val="20"/>
                <w:color w:val="auto"/>
              </w:rPr>
            </w:pPr>
            <w:r>
              <w:rPr>
                <w:rFonts w:ascii="Arial" w:cs="Arial" w:eastAsia="Arial" w:hAnsi="Arial"/>
                <w:sz w:val="15"/>
                <w:szCs w:val="15"/>
                <w:color w:val="auto"/>
              </w:rPr>
              <w:t>(1,088)</w:t>
            </w:r>
          </w:p>
        </w:tc>
      </w:tr>
    </w:tbl>
    <w:p>
      <w:pPr>
        <w:spacing w:after="0" w:line="21" w:lineRule="exact"/>
        <w:rPr>
          <w:sz w:val="20"/>
          <w:szCs w:val="20"/>
          <w:color w:val="auto"/>
        </w:rPr>
      </w:pPr>
    </w:p>
    <w:p>
      <w:pPr>
        <w:ind w:left="1540" w:hanging="1301"/>
        <w:spacing w:after="0"/>
        <w:tabs>
          <w:tab w:leader="none" w:pos="1540" w:val="left"/>
        </w:tabs>
        <w:numPr>
          <w:ilvl w:val="0"/>
          <w:numId w:val="11"/>
        </w:numPr>
        <w:rPr>
          <w:rFonts w:ascii="Arial" w:cs="Arial" w:eastAsia="Arial" w:hAnsi="Arial"/>
          <w:sz w:val="15"/>
          <w:szCs w:val="15"/>
          <w:color w:val="auto"/>
        </w:rPr>
      </w:pPr>
      <w:r>
        <w:rPr>
          <w:rFonts w:ascii="Arial" w:cs="Arial" w:eastAsia="Arial" w:hAnsi="Arial"/>
          <w:sz w:val="15"/>
          <w:szCs w:val="15"/>
          <w:color w:val="auto"/>
        </w:rPr>
        <w:t>2,994</w:t>
      </w:r>
    </w:p>
    <w:p>
      <w:pPr>
        <w:spacing w:after="0" w:line="35" w:lineRule="exact"/>
        <w:rPr>
          <w:rFonts w:ascii="Arial" w:cs="Arial" w:eastAsia="Arial" w:hAnsi="Arial"/>
          <w:sz w:val="15"/>
          <w:szCs w:val="15"/>
          <w:color w:val="auto"/>
        </w:rPr>
      </w:pPr>
    </w:p>
    <w:p>
      <w:pPr>
        <w:ind w:left="280"/>
        <w:spacing w:after="0"/>
        <w:rPr>
          <w:rFonts w:ascii="Arial" w:cs="Arial" w:eastAsia="Arial" w:hAnsi="Arial"/>
          <w:sz w:val="15"/>
          <w:szCs w:val="15"/>
          <w:color w:val="auto"/>
        </w:rPr>
      </w:pPr>
      <w:r>
        <w:rPr>
          <w:rFonts w:ascii="Arial" w:cs="Arial" w:eastAsia="Arial" w:hAnsi="Arial"/>
          <w:sz w:val="15"/>
          <w:szCs w:val="15"/>
          <w:color w:val="auto"/>
        </w:rPr>
        <w:t>632</w:t>
      </w:r>
      <w:r>
        <w:rPr>
          <w:rFonts w:ascii="Arial" w:cs="Arial" w:eastAsia="Arial" w:hAnsi="Arial"/>
          <w:sz w:val="13"/>
          <w:szCs w:val="13"/>
          <w:color w:val="auto"/>
        </w:rPr>
        <w:t>1,502</w:t>
      </w:r>
    </w:p>
    <w:p>
      <w:pPr>
        <w:spacing w:after="0" w:line="15" w:lineRule="exact"/>
        <w:rPr>
          <w:sz w:val="20"/>
          <w:szCs w:val="20"/>
          <w:color w:val="auto"/>
        </w:rPr>
      </w:pPr>
    </w:p>
    <w:p>
      <w:pPr>
        <w:spacing w:after="0"/>
        <w:tabs>
          <w:tab w:leader="none" w:pos="1440" w:val="left"/>
        </w:tabs>
        <w:rPr>
          <w:sz w:val="20"/>
          <w:szCs w:val="20"/>
          <w:color w:val="auto"/>
        </w:rPr>
      </w:pPr>
      <w:r>
        <w:rPr>
          <w:rFonts w:ascii="Arial" w:cs="Arial" w:eastAsia="Arial" w:hAnsi="Arial"/>
          <w:sz w:val="16"/>
          <w:szCs w:val="16"/>
          <w:color w:val="auto"/>
        </w:rPr>
        <w:t>108,817</w:t>
      </w:r>
      <w:r>
        <w:rPr>
          <w:sz w:val="20"/>
          <w:szCs w:val="20"/>
          <w:color w:val="auto"/>
        </w:rPr>
        <w:tab/>
      </w:r>
      <w:r>
        <w:rPr>
          <w:rFonts w:ascii="Arial" w:cs="Arial" w:eastAsia="Arial" w:hAnsi="Arial"/>
          <w:sz w:val="15"/>
          <w:szCs w:val="15"/>
          <w:color w:val="auto"/>
        </w:rPr>
        <w:t>81,663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-451485</wp:posOffset>
            </wp:positionH>
            <wp:positionV relativeFrom="paragraph">
              <wp:posOffset>12065</wp:posOffset>
            </wp:positionV>
            <wp:extent cx="164973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649730" cy="8255"/>
                    </a:xfrm>
                    <a:prstGeom prst="rect">
                      <a:avLst/>
                    </a:prstGeom>
                    <a:noFill/>
                  </pic:spPr>
                </pic:pic>
              </a:graphicData>
            </a:graphic>
          </wp:anchor>
        </w:drawing>
      </w:r>
    </w:p>
    <w:p>
      <w:pPr>
        <w:spacing w:after="0" w:line="259" w:lineRule="exact"/>
        <w:rPr>
          <w:sz w:val="20"/>
          <w:szCs w:val="20"/>
          <w:color w:val="auto"/>
        </w:rPr>
      </w:pPr>
    </w:p>
    <w:p>
      <w:pPr>
        <w:sectPr>
          <w:pgSz w:w="11900" w:h="16838" w:orient="portrait"/>
          <w:cols w:equalWidth="0" w:num="2">
            <w:col w:w="8740" w:space="720"/>
            <w:col w:w="2000"/>
          </w:cols>
          <w:pgMar w:left="240" w:top="121" w:right="199" w:bottom="1440" w:gutter="0" w:footer="0" w:header="0"/>
          <w:type w:val="continuous"/>
        </w:sectPr>
      </w:pPr>
    </w:p>
    <w:tbl>
      <w:tblPr>
        <w:tblLayout w:type="fixed"/>
        <w:tblInd w:w="0" w:type="dxa"/>
        <w:tblCellMar>
          <w:top w:w="0" w:type="dxa"/>
          <w:left w:w="0" w:type="dxa"/>
          <w:bottom w:w="0" w:type="dxa"/>
          <w:right w:w="0" w:type="dxa"/>
        </w:tblCellMar>
      </w:tblPr>
      <w:tr>
        <w:trPr>
          <w:trHeight w:val="188"/>
        </w:trPr>
        <w:tc>
          <w:tcPr>
            <w:tcW w:w="8200" w:type="dxa"/>
            <w:vAlign w:val="bottom"/>
            <w:shd w:val="clear" w:color="auto" w:fill="CFF0FC"/>
          </w:tcPr>
          <w:p>
            <w:pPr>
              <w:ind w:left="120"/>
              <w:spacing w:after="0"/>
              <w:rPr>
                <w:sz w:val="20"/>
                <w:szCs w:val="20"/>
                <w:color w:val="auto"/>
              </w:rPr>
            </w:pPr>
            <w:r>
              <w:rPr>
                <w:rFonts w:ascii="Arial" w:cs="Arial" w:eastAsia="Arial" w:hAnsi="Arial"/>
                <w:sz w:val="15"/>
                <w:szCs w:val="15"/>
                <w:color w:val="auto"/>
              </w:rPr>
              <w:t>Additions to property and equipment</w:t>
            </w:r>
          </w:p>
        </w:tc>
        <w:tc>
          <w:tcPr>
            <w:tcW w:w="540" w:type="dxa"/>
            <w:vAlign w:val="bottom"/>
            <w:shd w:val="clear" w:color="auto" w:fill="CFF0FC"/>
          </w:tcPr>
          <w:p>
            <w:pPr>
              <w:spacing w:after="0"/>
              <w:rPr>
                <w:sz w:val="16"/>
                <w:szCs w:val="16"/>
                <w:color w:val="auto"/>
              </w:rPr>
            </w:pPr>
          </w:p>
        </w:tc>
        <w:tc>
          <w:tcPr>
            <w:tcW w:w="400" w:type="dxa"/>
            <w:vAlign w:val="bottom"/>
            <w:shd w:val="clear" w:color="auto" w:fill="CFF0FC"/>
          </w:tcPr>
          <w:p>
            <w:pPr>
              <w:spacing w:after="0"/>
              <w:rPr>
                <w:sz w:val="16"/>
                <w:szCs w:val="16"/>
                <w:color w:val="auto"/>
              </w:rPr>
            </w:pPr>
          </w:p>
        </w:tc>
        <w:tc>
          <w:tcPr>
            <w:tcW w:w="980" w:type="dxa"/>
            <w:vAlign w:val="bottom"/>
            <w:tcBorders>
              <w:right w:val="single" w:sz="8" w:color="CFF0FC"/>
            </w:tcBorders>
            <w:gridSpan w:val="2"/>
            <w:shd w:val="clear" w:color="auto" w:fill="CFF0FC"/>
          </w:tcPr>
          <w:p>
            <w:pPr>
              <w:jc w:val="right"/>
              <w:ind w:right="80"/>
              <w:spacing w:after="0"/>
              <w:rPr>
                <w:sz w:val="20"/>
                <w:szCs w:val="20"/>
                <w:color w:val="auto"/>
              </w:rPr>
            </w:pPr>
            <w:r>
              <w:rPr>
                <w:rFonts w:ascii="Arial" w:cs="Arial" w:eastAsia="Arial" w:hAnsi="Arial"/>
                <w:sz w:val="15"/>
                <w:szCs w:val="15"/>
                <w:color w:val="auto"/>
              </w:rPr>
              <w:t>(15,377)</w:t>
            </w:r>
          </w:p>
        </w:tc>
        <w:tc>
          <w:tcPr>
            <w:tcW w:w="380" w:type="dxa"/>
            <w:vAlign w:val="bottom"/>
            <w:shd w:val="clear" w:color="auto" w:fill="CFF0FC"/>
          </w:tcPr>
          <w:p>
            <w:pPr>
              <w:spacing w:after="0"/>
              <w:rPr>
                <w:sz w:val="16"/>
                <w:szCs w:val="16"/>
                <w:color w:val="auto"/>
              </w:rPr>
            </w:pPr>
          </w:p>
        </w:tc>
        <w:tc>
          <w:tcPr>
            <w:tcW w:w="920" w:type="dxa"/>
            <w:vAlign w:val="bottom"/>
            <w:gridSpan w:val="2"/>
            <w:shd w:val="clear" w:color="auto" w:fill="CFF0FC"/>
          </w:tcPr>
          <w:p>
            <w:pPr>
              <w:jc w:val="right"/>
              <w:ind w:right="20"/>
              <w:spacing w:after="0"/>
              <w:rPr>
                <w:sz w:val="20"/>
                <w:szCs w:val="20"/>
                <w:color w:val="auto"/>
              </w:rPr>
            </w:pPr>
            <w:r>
              <w:rPr>
                <w:rFonts w:ascii="Arial" w:cs="Arial" w:eastAsia="Arial" w:hAnsi="Arial"/>
                <w:sz w:val="15"/>
                <w:szCs w:val="15"/>
                <w:color w:val="auto"/>
              </w:rPr>
              <w:t>(19,488)</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8200" w:type="dxa"/>
            <w:vAlign w:val="bottom"/>
            <w:tcBorders>
              <w:bottom w:val="single" w:sz="8" w:color="CFF0FC"/>
            </w:tcBorders>
          </w:tcPr>
          <w:p>
            <w:pPr>
              <w:ind w:left="120"/>
              <w:spacing w:after="0"/>
              <w:rPr>
                <w:sz w:val="20"/>
                <w:szCs w:val="20"/>
                <w:color w:val="auto"/>
              </w:rPr>
            </w:pPr>
            <w:r>
              <w:rPr>
                <w:rFonts w:ascii="Arial" w:cs="Arial" w:eastAsia="Arial" w:hAnsi="Arial"/>
                <w:sz w:val="15"/>
                <w:szCs w:val="15"/>
                <w:color w:val="auto"/>
              </w:rPr>
              <w:t>Proceeds from sale of property and equipment</w:t>
            </w:r>
          </w:p>
        </w:tc>
        <w:tc>
          <w:tcPr>
            <w:tcW w:w="540" w:type="dxa"/>
            <w:vAlign w:val="bottom"/>
            <w:tcBorders>
              <w:bottom w:val="single" w:sz="8" w:color="CFF0FC"/>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683</w:t>
            </w:r>
          </w:p>
        </w:tc>
        <w:tc>
          <w:tcPr>
            <w:tcW w:w="140" w:type="dxa"/>
            <w:vAlign w:val="bottom"/>
            <w:tcBorders>
              <w:bottom w:val="single" w:sz="8" w:color="CFF0FC"/>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327</w:t>
            </w:r>
          </w:p>
        </w:tc>
        <w:tc>
          <w:tcPr>
            <w:tcW w:w="80" w:type="dxa"/>
            <w:vAlign w:val="bottom"/>
            <w:tcBorders>
              <w:bottom w:val="single" w:sz="8" w:color="CFF0FC"/>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1"/>
        </w:trPr>
        <w:tc>
          <w:tcPr>
            <w:tcW w:w="8200" w:type="dxa"/>
            <w:vAlign w:val="bottom"/>
            <w:shd w:val="clear" w:color="auto" w:fill="CFF0FC"/>
          </w:tcPr>
          <w:p>
            <w:pPr>
              <w:ind w:left="720"/>
              <w:spacing w:after="0"/>
              <w:rPr>
                <w:sz w:val="20"/>
                <w:szCs w:val="20"/>
                <w:color w:val="auto"/>
              </w:rPr>
            </w:pPr>
            <w:r>
              <w:rPr>
                <w:rFonts w:ascii="Arial" w:cs="Arial" w:eastAsia="Arial" w:hAnsi="Arial"/>
                <w:sz w:val="15"/>
                <w:szCs w:val="15"/>
                <w:color w:val="auto"/>
              </w:rPr>
              <w:t>Net cash used in investing activities</w:t>
            </w:r>
          </w:p>
        </w:tc>
        <w:tc>
          <w:tcPr>
            <w:tcW w:w="540" w:type="dxa"/>
            <w:vAlign w:val="bottom"/>
            <w:shd w:val="clear" w:color="auto" w:fill="CFF0FC"/>
          </w:tcPr>
          <w:p>
            <w:pPr>
              <w:spacing w:after="0"/>
              <w:rPr>
                <w:sz w:val="17"/>
                <w:szCs w:val="17"/>
                <w:color w:val="auto"/>
              </w:rPr>
            </w:pPr>
          </w:p>
        </w:tc>
        <w:tc>
          <w:tcPr>
            <w:tcW w:w="400" w:type="dxa"/>
            <w:vAlign w:val="bottom"/>
            <w:shd w:val="clear" w:color="auto" w:fill="CFF0FC"/>
          </w:tcPr>
          <w:p>
            <w:pPr>
              <w:spacing w:after="0"/>
              <w:rPr>
                <w:sz w:val="17"/>
                <w:szCs w:val="17"/>
                <w:color w:val="auto"/>
              </w:rPr>
            </w:pPr>
          </w:p>
        </w:tc>
        <w:tc>
          <w:tcPr>
            <w:tcW w:w="980" w:type="dxa"/>
            <w:vAlign w:val="bottom"/>
            <w:tcBorders>
              <w:right w:val="single" w:sz="8" w:color="CFF0FC"/>
            </w:tcBorders>
            <w:gridSpan w:val="2"/>
            <w:shd w:val="clear" w:color="auto" w:fill="CFF0FC"/>
          </w:tcPr>
          <w:p>
            <w:pPr>
              <w:jc w:val="right"/>
              <w:ind w:right="80"/>
              <w:spacing w:after="0"/>
              <w:rPr>
                <w:sz w:val="20"/>
                <w:szCs w:val="20"/>
                <w:color w:val="auto"/>
              </w:rPr>
            </w:pPr>
            <w:r>
              <w:rPr>
                <w:rFonts w:ascii="Arial" w:cs="Arial" w:eastAsia="Arial" w:hAnsi="Arial"/>
                <w:sz w:val="15"/>
                <w:szCs w:val="15"/>
                <w:color w:val="auto"/>
              </w:rPr>
              <w:t>(14,694)</w:t>
            </w:r>
          </w:p>
        </w:tc>
        <w:tc>
          <w:tcPr>
            <w:tcW w:w="380" w:type="dxa"/>
            <w:vAlign w:val="bottom"/>
            <w:shd w:val="clear" w:color="auto" w:fill="CFF0FC"/>
          </w:tcPr>
          <w:p>
            <w:pPr>
              <w:spacing w:after="0"/>
              <w:rPr>
                <w:sz w:val="17"/>
                <w:szCs w:val="17"/>
                <w:color w:val="auto"/>
              </w:rPr>
            </w:pPr>
          </w:p>
        </w:tc>
        <w:tc>
          <w:tcPr>
            <w:tcW w:w="920" w:type="dxa"/>
            <w:vAlign w:val="bottom"/>
            <w:gridSpan w:val="2"/>
            <w:shd w:val="clear" w:color="auto" w:fill="CFF0FC"/>
          </w:tcPr>
          <w:p>
            <w:pPr>
              <w:jc w:val="right"/>
              <w:ind w:right="20"/>
              <w:spacing w:after="0"/>
              <w:rPr>
                <w:sz w:val="20"/>
                <w:szCs w:val="20"/>
                <w:color w:val="auto"/>
              </w:rPr>
            </w:pPr>
            <w:r>
              <w:rPr>
                <w:rFonts w:ascii="Arial" w:cs="Arial" w:eastAsia="Arial" w:hAnsi="Arial"/>
                <w:sz w:val="15"/>
                <w:szCs w:val="15"/>
                <w:color w:val="auto"/>
              </w:rPr>
              <w:t>(19,161)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1"/>
        </w:trPr>
        <w:tc>
          <w:tcPr>
            <w:tcW w:w="8200" w:type="dxa"/>
            <w:vAlign w:val="bottom"/>
          </w:tcPr>
          <w:p>
            <w:pPr>
              <w:spacing w:after="0"/>
              <w:rPr>
                <w:sz w:val="20"/>
                <w:szCs w:val="20"/>
                <w:color w:val="auto"/>
              </w:rPr>
            </w:pPr>
            <w:r>
              <w:rPr>
                <w:rFonts w:ascii="Arial" w:cs="Arial" w:eastAsia="Arial" w:hAnsi="Arial"/>
                <w:sz w:val="15"/>
                <w:szCs w:val="15"/>
                <w:color w:val="auto"/>
              </w:rPr>
              <w:t>Cash flows from financing activities:</w:t>
            </w:r>
          </w:p>
        </w:tc>
        <w:tc>
          <w:tcPr>
            <w:tcW w:w="540" w:type="dxa"/>
            <w:vAlign w:val="bottom"/>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8200" w:type="dxa"/>
            <w:vAlign w:val="bottom"/>
            <w:shd w:val="clear" w:color="auto" w:fill="CFF0FC"/>
          </w:tcPr>
          <w:p>
            <w:pPr>
              <w:ind w:left="120"/>
              <w:spacing w:after="0"/>
              <w:rPr>
                <w:sz w:val="20"/>
                <w:szCs w:val="20"/>
                <w:color w:val="auto"/>
              </w:rPr>
            </w:pPr>
            <w:r>
              <w:rPr>
                <w:rFonts w:ascii="Arial" w:cs="Arial" w:eastAsia="Arial" w:hAnsi="Arial"/>
                <w:sz w:val="15"/>
                <w:szCs w:val="15"/>
                <w:color w:val="auto"/>
                <w:w w:val="96"/>
              </w:rPr>
              <w:t>Proceeds from issuance of Class A common stock sold in initial public offering, net of underwriting discounts and commissions</w:t>
            </w:r>
          </w:p>
        </w:tc>
        <w:tc>
          <w:tcPr>
            <w:tcW w:w="5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140" w:type="dxa"/>
            <w:vAlign w:val="bottom"/>
            <w:tcBorders>
              <w:right w:val="single" w:sz="8" w:color="CFF0FC"/>
            </w:tcBorders>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156,946</w:t>
            </w:r>
          </w:p>
        </w:tc>
        <w:tc>
          <w:tcPr>
            <w:tcW w:w="8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tcPr>
          <w:p>
            <w:pPr>
              <w:ind w:left="120"/>
              <w:spacing w:after="0"/>
              <w:rPr>
                <w:sz w:val="20"/>
                <w:szCs w:val="20"/>
                <w:color w:val="auto"/>
              </w:rPr>
            </w:pPr>
            <w:r>
              <w:rPr>
                <w:rFonts w:ascii="Arial" w:cs="Arial" w:eastAsia="Arial" w:hAnsi="Arial"/>
                <w:sz w:val="15"/>
                <w:szCs w:val="15"/>
                <w:color w:val="auto"/>
              </w:rPr>
              <w:t>Use of proceeds from issuance of Class A common stock to purchase Holdings Units</w:t>
            </w: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5"/>
                <w:szCs w:val="15"/>
                <w:color w:val="auto"/>
              </w:rPr>
              <w:t>-</w:t>
            </w: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5"/>
                <w:szCs w:val="15"/>
                <w:color w:val="auto"/>
              </w:rPr>
              <w:t>(156,946)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shd w:val="clear" w:color="auto" w:fill="CFF0FC"/>
          </w:tcPr>
          <w:p>
            <w:pPr>
              <w:ind w:left="120"/>
              <w:spacing w:after="0"/>
              <w:rPr>
                <w:sz w:val="20"/>
                <w:szCs w:val="20"/>
                <w:color w:val="auto"/>
              </w:rPr>
            </w:pPr>
            <w:r>
              <w:rPr>
                <w:rFonts w:ascii="Arial" w:cs="Arial" w:eastAsia="Arial" w:hAnsi="Arial"/>
                <w:sz w:val="15"/>
                <w:szCs w:val="15"/>
                <w:color w:val="auto"/>
              </w:rPr>
              <w:t>Proceeds from issuance of long-term debt</w:t>
            </w:r>
          </w:p>
        </w:tc>
        <w:tc>
          <w:tcPr>
            <w:tcW w:w="5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230,000</w:t>
            </w:r>
          </w:p>
        </w:tc>
        <w:tc>
          <w:tcPr>
            <w:tcW w:w="140" w:type="dxa"/>
            <w:vAlign w:val="bottom"/>
            <w:tcBorders>
              <w:right w:val="single" w:sz="8" w:color="CFF0FC"/>
            </w:tcBorders>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120,000</w:t>
            </w:r>
          </w:p>
        </w:tc>
        <w:tc>
          <w:tcPr>
            <w:tcW w:w="8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tcPr>
          <w:p>
            <w:pPr>
              <w:ind w:left="120"/>
              <w:spacing w:after="0"/>
              <w:rPr>
                <w:sz w:val="20"/>
                <w:szCs w:val="20"/>
                <w:color w:val="auto"/>
              </w:rPr>
            </w:pPr>
            <w:r>
              <w:rPr>
                <w:rFonts w:ascii="Arial" w:cs="Arial" w:eastAsia="Arial" w:hAnsi="Arial"/>
                <w:sz w:val="15"/>
                <w:szCs w:val="15"/>
                <w:color w:val="auto"/>
              </w:rPr>
              <w:t>Proceeds from issuance of Class A common stock</w:t>
            </w: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5"/>
                <w:szCs w:val="15"/>
                <w:color w:val="auto"/>
              </w:rPr>
              <w:t>136</w:t>
            </w: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5"/>
                <w:szCs w:val="15"/>
                <w:color w:val="auto"/>
              </w:rPr>
              <w:t>-</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shd w:val="clear" w:color="auto" w:fill="CFF0FC"/>
          </w:tcPr>
          <w:p>
            <w:pPr>
              <w:ind w:left="120"/>
              <w:spacing w:after="0"/>
              <w:rPr>
                <w:sz w:val="20"/>
                <w:szCs w:val="20"/>
                <w:color w:val="auto"/>
              </w:rPr>
            </w:pPr>
            <w:r>
              <w:rPr>
                <w:rFonts w:ascii="Arial" w:cs="Arial" w:eastAsia="Arial" w:hAnsi="Arial"/>
                <w:sz w:val="15"/>
                <w:szCs w:val="15"/>
                <w:color w:val="auto"/>
              </w:rPr>
              <w:t>Principal payments on capital lease obligations</w:t>
            </w:r>
          </w:p>
        </w:tc>
        <w:tc>
          <w:tcPr>
            <w:tcW w:w="5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980" w:type="dxa"/>
            <w:vAlign w:val="bottom"/>
            <w:tcBorders>
              <w:right w:val="single" w:sz="8" w:color="CFF0FC"/>
            </w:tcBorders>
            <w:gridSpan w:val="2"/>
            <w:shd w:val="clear" w:color="auto" w:fill="CFF0FC"/>
          </w:tcPr>
          <w:p>
            <w:pPr>
              <w:jc w:val="right"/>
              <w:ind w:right="80"/>
              <w:spacing w:after="0"/>
              <w:rPr>
                <w:sz w:val="20"/>
                <w:szCs w:val="20"/>
                <w:color w:val="auto"/>
              </w:rPr>
            </w:pPr>
            <w:r>
              <w:rPr>
                <w:rFonts w:ascii="Arial" w:cs="Arial" w:eastAsia="Arial" w:hAnsi="Arial"/>
                <w:sz w:val="15"/>
                <w:szCs w:val="15"/>
                <w:color w:val="auto"/>
              </w:rPr>
              <w:t>(46)</w:t>
            </w:r>
          </w:p>
        </w:tc>
        <w:tc>
          <w:tcPr>
            <w:tcW w:w="380" w:type="dxa"/>
            <w:vAlign w:val="bottom"/>
            <w:shd w:val="clear" w:color="auto" w:fill="CFF0FC"/>
          </w:tcPr>
          <w:p>
            <w:pPr>
              <w:spacing w:after="0"/>
              <w:rPr>
                <w:sz w:val="18"/>
                <w:szCs w:val="18"/>
                <w:color w:val="auto"/>
              </w:rPr>
            </w:pPr>
          </w:p>
        </w:tc>
        <w:tc>
          <w:tcPr>
            <w:tcW w:w="920" w:type="dxa"/>
            <w:vAlign w:val="bottom"/>
            <w:gridSpan w:val="2"/>
            <w:shd w:val="clear" w:color="auto" w:fill="CFF0FC"/>
          </w:tcPr>
          <w:p>
            <w:pPr>
              <w:jc w:val="right"/>
              <w:ind w:right="20"/>
              <w:spacing w:after="0"/>
              <w:rPr>
                <w:sz w:val="20"/>
                <w:szCs w:val="20"/>
                <w:color w:val="auto"/>
              </w:rPr>
            </w:pPr>
            <w:r>
              <w:rPr>
                <w:rFonts w:ascii="Arial" w:cs="Arial" w:eastAsia="Arial" w:hAnsi="Arial"/>
                <w:sz w:val="15"/>
                <w:szCs w:val="15"/>
                <w:color w:val="auto"/>
              </w:rPr>
              <w:t>(376)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tcPr>
          <w:p>
            <w:pPr>
              <w:ind w:left="120"/>
              <w:spacing w:after="0"/>
              <w:rPr>
                <w:sz w:val="20"/>
                <w:szCs w:val="20"/>
                <w:color w:val="auto"/>
              </w:rPr>
            </w:pPr>
            <w:r>
              <w:rPr>
                <w:rFonts w:ascii="Arial" w:cs="Arial" w:eastAsia="Arial" w:hAnsi="Arial"/>
                <w:sz w:val="15"/>
                <w:szCs w:val="15"/>
                <w:color w:val="auto"/>
              </w:rPr>
              <w:t>Repayment of long-term debt</w:t>
            </w: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5"/>
                <w:szCs w:val="15"/>
                <w:color w:val="auto"/>
              </w:rPr>
              <w:t>(5,621)</w:t>
            </w:r>
          </w:p>
        </w:tc>
        <w:tc>
          <w:tcPr>
            <w:tcW w:w="38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5"/>
                <w:szCs w:val="15"/>
                <w:color w:val="auto"/>
              </w:rPr>
              <w:t>(14,800)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shd w:val="clear" w:color="auto" w:fill="CFF0FC"/>
          </w:tcPr>
          <w:p>
            <w:pPr>
              <w:ind w:left="120"/>
              <w:spacing w:after="0"/>
              <w:rPr>
                <w:sz w:val="20"/>
                <w:szCs w:val="20"/>
                <w:color w:val="auto"/>
              </w:rPr>
            </w:pPr>
            <w:r>
              <w:rPr>
                <w:rFonts w:ascii="Arial" w:cs="Arial" w:eastAsia="Arial" w:hAnsi="Arial"/>
                <w:sz w:val="15"/>
                <w:szCs w:val="15"/>
                <w:color w:val="auto"/>
              </w:rPr>
              <w:t>Payment of deferred financing and other debt-related costs</w:t>
            </w:r>
          </w:p>
        </w:tc>
        <w:tc>
          <w:tcPr>
            <w:tcW w:w="5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980" w:type="dxa"/>
            <w:vAlign w:val="bottom"/>
            <w:tcBorders>
              <w:right w:val="single" w:sz="8" w:color="CFF0FC"/>
            </w:tcBorders>
            <w:gridSpan w:val="2"/>
            <w:shd w:val="clear" w:color="auto" w:fill="CFF0FC"/>
          </w:tcPr>
          <w:p>
            <w:pPr>
              <w:jc w:val="right"/>
              <w:ind w:right="80"/>
              <w:spacing w:after="0"/>
              <w:rPr>
                <w:sz w:val="20"/>
                <w:szCs w:val="20"/>
                <w:color w:val="auto"/>
              </w:rPr>
            </w:pPr>
            <w:r>
              <w:rPr>
                <w:rFonts w:ascii="Arial" w:cs="Arial" w:eastAsia="Arial" w:hAnsi="Arial"/>
                <w:sz w:val="15"/>
                <w:szCs w:val="15"/>
                <w:color w:val="auto"/>
              </w:rPr>
              <w:t>(5,220)</w:t>
            </w:r>
          </w:p>
        </w:tc>
        <w:tc>
          <w:tcPr>
            <w:tcW w:w="380" w:type="dxa"/>
            <w:vAlign w:val="bottom"/>
            <w:shd w:val="clear" w:color="auto" w:fill="CFF0FC"/>
          </w:tcPr>
          <w:p>
            <w:pPr>
              <w:spacing w:after="0"/>
              <w:rPr>
                <w:sz w:val="18"/>
                <w:szCs w:val="18"/>
                <w:color w:val="auto"/>
              </w:rPr>
            </w:pPr>
          </w:p>
        </w:tc>
        <w:tc>
          <w:tcPr>
            <w:tcW w:w="920" w:type="dxa"/>
            <w:vAlign w:val="bottom"/>
            <w:gridSpan w:val="2"/>
            <w:shd w:val="clear" w:color="auto" w:fill="CFF0FC"/>
          </w:tcPr>
          <w:p>
            <w:pPr>
              <w:jc w:val="right"/>
              <w:ind w:right="20"/>
              <w:spacing w:after="0"/>
              <w:rPr>
                <w:sz w:val="20"/>
                <w:szCs w:val="20"/>
                <w:color w:val="auto"/>
              </w:rPr>
            </w:pPr>
            <w:r>
              <w:rPr>
                <w:rFonts w:ascii="Arial" w:cs="Arial" w:eastAsia="Arial" w:hAnsi="Arial"/>
                <w:sz w:val="15"/>
                <w:szCs w:val="15"/>
                <w:color w:val="auto"/>
              </w:rPr>
              <w:t>(1,698)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tcPr>
          <w:p>
            <w:pPr>
              <w:ind w:left="120"/>
              <w:spacing w:after="0"/>
              <w:rPr>
                <w:sz w:val="20"/>
                <w:szCs w:val="20"/>
                <w:color w:val="auto"/>
              </w:rPr>
            </w:pPr>
            <w:r>
              <w:rPr>
                <w:rFonts w:ascii="Arial" w:cs="Arial" w:eastAsia="Arial" w:hAnsi="Arial"/>
                <w:sz w:val="15"/>
                <w:szCs w:val="15"/>
                <w:color w:val="auto"/>
              </w:rPr>
              <w:t>Premiums paid for interest rate caps</w:t>
            </w: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5"/>
                <w:szCs w:val="15"/>
                <w:color w:val="auto"/>
              </w:rPr>
              <w:t>-</w:t>
            </w: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5"/>
                <w:szCs w:val="15"/>
                <w:color w:val="auto"/>
              </w:rPr>
              <w:t>(880)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shd w:val="clear" w:color="auto" w:fill="CFF0FC"/>
          </w:tcPr>
          <w:p>
            <w:pPr>
              <w:ind w:left="120"/>
              <w:spacing w:after="0"/>
              <w:rPr>
                <w:sz w:val="20"/>
                <w:szCs w:val="20"/>
                <w:color w:val="auto"/>
              </w:rPr>
            </w:pPr>
            <w:r>
              <w:rPr>
                <w:rFonts w:ascii="Arial" w:cs="Arial" w:eastAsia="Arial" w:hAnsi="Arial"/>
                <w:sz w:val="15"/>
                <w:szCs w:val="15"/>
                <w:color w:val="auto"/>
              </w:rPr>
              <w:t>Repurchase and retirement of Class B common stock</w:t>
            </w:r>
          </w:p>
        </w:tc>
        <w:tc>
          <w:tcPr>
            <w:tcW w:w="5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980" w:type="dxa"/>
            <w:vAlign w:val="bottom"/>
            <w:tcBorders>
              <w:right w:val="single" w:sz="8" w:color="CFF0FC"/>
            </w:tcBorders>
            <w:gridSpan w:val="2"/>
            <w:shd w:val="clear" w:color="auto" w:fill="CFF0FC"/>
          </w:tcPr>
          <w:p>
            <w:pPr>
              <w:jc w:val="right"/>
              <w:ind w:right="80"/>
              <w:spacing w:after="0"/>
              <w:rPr>
                <w:sz w:val="20"/>
                <w:szCs w:val="20"/>
                <w:color w:val="auto"/>
              </w:rPr>
            </w:pPr>
            <w:r>
              <w:rPr>
                <w:rFonts w:ascii="Arial" w:cs="Arial" w:eastAsia="Arial" w:hAnsi="Arial"/>
                <w:sz w:val="15"/>
                <w:szCs w:val="15"/>
                <w:color w:val="auto"/>
              </w:rPr>
              <w:t>(1,583)</w:t>
            </w:r>
          </w:p>
        </w:tc>
        <w:tc>
          <w:tcPr>
            <w:tcW w:w="38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w:t>
            </w:r>
          </w:p>
        </w:tc>
        <w:tc>
          <w:tcPr>
            <w:tcW w:w="8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tcPr>
          <w:p>
            <w:pPr>
              <w:ind w:left="120"/>
              <w:spacing w:after="0"/>
              <w:rPr>
                <w:sz w:val="20"/>
                <w:szCs w:val="20"/>
                <w:color w:val="auto"/>
              </w:rPr>
            </w:pPr>
            <w:r>
              <w:rPr>
                <w:rFonts w:ascii="Arial" w:cs="Arial" w:eastAsia="Arial" w:hAnsi="Arial"/>
                <w:sz w:val="15"/>
                <w:szCs w:val="15"/>
                <w:color w:val="auto"/>
              </w:rPr>
              <w:t>Dividends paid to holders of Class A common stock</w:t>
            </w: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5"/>
                <w:szCs w:val="15"/>
                <w:color w:val="auto"/>
              </w:rPr>
              <w:t>(169,282)</w:t>
            </w:r>
          </w:p>
        </w:tc>
        <w:tc>
          <w:tcPr>
            <w:tcW w:w="3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5"/>
                <w:szCs w:val="15"/>
                <w:color w:val="auto"/>
              </w:rPr>
              <w:t>-</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shd w:val="clear" w:color="auto" w:fill="CFF0FC"/>
          </w:tcPr>
          <w:p>
            <w:pPr>
              <w:ind w:left="120"/>
              <w:spacing w:after="0"/>
              <w:rPr>
                <w:sz w:val="20"/>
                <w:szCs w:val="20"/>
                <w:color w:val="auto"/>
              </w:rPr>
            </w:pPr>
            <w:r>
              <w:rPr>
                <w:rFonts w:ascii="Arial" w:cs="Arial" w:eastAsia="Arial" w:hAnsi="Arial"/>
                <w:sz w:val="15"/>
                <w:szCs w:val="15"/>
                <w:color w:val="auto"/>
              </w:rPr>
              <w:t>Dividend equivalents paid to members of Pla-Fit Holdings</w:t>
            </w:r>
          </w:p>
        </w:tc>
        <w:tc>
          <w:tcPr>
            <w:tcW w:w="5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980" w:type="dxa"/>
            <w:vAlign w:val="bottom"/>
            <w:tcBorders>
              <w:right w:val="single" w:sz="8" w:color="CFF0FC"/>
            </w:tcBorders>
            <w:gridSpan w:val="2"/>
            <w:shd w:val="clear" w:color="auto" w:fill="CFF0FC"/>
          </w:tcPr>
          <w:p>
            <w:pPr>
              <w:jc w:val="right"/>
              <w:ind w:right="80"/>
              <w:spacing w:after="0"/>
              <w:rPr>
                <w:sz w:val="20"/>
                <w:szCs w:val="20"/>
                <w:color w:val="auto"/>
              </w:rPr>
            </w:pPr>
            <w:r>
              <w:rPr>
                <w:rFonts w:ascii="Arial" w:cs="Arial" w:eastAsia="Arial" w:hAnsi="Arial"/>
                <w:sz w:val="15"/>
                <w:szCs w:val="15"/>
                <w:color w:val="auto"/>
              </w:rPr>
              <w:t>(101,729)</w:t>
            </w:r>
          </w:p>
        </w:tc>
        <w:tc>
          <w:tcPr>
            <w:tcW w:w="380" w:type="dxa"/>
            <w:vAlign w:val="bottom"/>
            <w:shd w:val="clear" w:color="auto" w:fill="CFF0FC"/>
          </w:tcPr>
          <w:p>
            <w:pPr>
              <w:spacing w:after="0"/>
              <w:rPr>
                <w:sz w:val="18"/>
                <w:szCs w:val="18"/>
                <w:color w:val="auto"/>
              </w:rPr>
            </w:pPr>
          </w:p>
        </w:tc>
        <w:tc>
          <w:tcPr>
            <w:tcW w:w="920" w:type="dxa"/>
            <w:vAlign w:val="bottom"/>
            <w:gridSpan w:val="2"/>
            <w:shd w:val="clear" w:color="auto" w:fill="CFF0FC"/>
          </w:tcPr>
          <w:p>
            <w:pPr>
              <w:jc w:val="right"/>
              <w:ind w:right="20"/>
              <w:spacing w:after="0"/>
              <w:rPr>
                <w:sz w:val="20"/>
                <w:szCs w:val="20"/>
                <w:color w:val="auto"/>
              </w:rPr>
            </w:pPr>
            <w:r>
              <w:rPr>
                <w:rFonts w:ascii="Arial" w:cs="Arial" w:eastAsia="Arial" w:hAnsi="Arial"/>
                <w:sz w:val="15"/>
                <w:szCs w:val="15"/>
                <w:color w:val="auto"/>
              </w:rPr>
              <w:t>(140,000)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tcPr>
          <w:p>
            <w:pPr>
              <w:ind w:left="120"/>
              <w:spacing w:after="0"/>
              <w:rPr>
                <w:sz w:val="20"/>
                <w:szCs w:val="20"/>
                <w:color w:val="auto"/>
              </w:rPr>
            </w:pPr>
            <w:r>
              <w:rPr>
                <w:rFonts w:ascii="Arial" w:cs="Arial" w:eastAsia="Arial" w:hAnsi="Arial"/>
                <w:sz w:val="15"/>
                <w:szCs w:val="15"/>
                <w:color w:val="auto"/>
              </w:rPr>
              <w:t>Distributions to Members of Pla-Fit Holdings</w:t>
            </w: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6"/>
                <w:szCs w:val="16"/>
                <w:color w:val="auto"/>
              </w:rPr>
              <w:t>(31,838)</w:t>
            </w:r>
          </w:p>
        </w:tc>
        <w:tc>
          <w:tcPr>
            <w:tcW w:w="38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5"/>
                <w:szCs w:val="15"/>
                <w:color w:val="auto"/>
              </w:rPr>
              <w:t>(36,486)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200" w:type="dxa"/>
            <w:vAlign w:val="bottom"/>
            <w:shd w:val="clear" w:color="auto" w:fill="CFF0FC"/>
          </w:tcPr>
          <w:p>
            <w:pPr>
              <w:spacing w:after="0" w:line="20" w:lineRule="exact"/>
              <w:rPr>
                <w:sz w:val="1"/>
                <w:szCs w:val="1"/>
                <w:color w:val="auto"/>
              </w:rPr>
            </w:pPr>
          </w:p>
        </w:tc>
        <w:tc>
          <w:tcPr>
            <w:tcW w:w="540" w:type="dxa"/>
            <w:vAlign w:val="bottom"/>
            <w:shd w:val="clear" w:color="auto" w:fill="CFF0FC"/>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Borders>
              <w:right w:val="single" w:sz="8" w:color="CFF0FC"/>
            </w:tcBorders>
            <w:shd w:val="clear" w:color="auto" w:fill="CFF0FC"/>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8200" w:type="dxa"/>
            <w:vAlign w:val="bottom"/>
            <w:shd w:val="clear" w:color="auto" w:fill="CFF0FC"/>
          </w:tcPr>
          <w:p>
            <w:pPr>
              <w:ind w:left="720"/>
              <w:spacing w:after="0"/>
              <w:rPr>
                <w:sz w:val="20"/>
                <w:szCs w:val="20"/>
                <w:color w:val="auto"/>
              </w:rPr>
            </w:pPr>
            <w:r>
              <w:rPr>
                <w:rFonts w:ascii="Arial" w:cs="Arial" w:eastAsia="Arial" w:hAnsi="Arial"/>
                <w:sz w:val="15"/>
                <w:szCs w:val="15"/>
                <w:color w:val="auto"/>
              </w:rPr>
              <w:t>Net cash used in financing activities</w:t>
            </w:r>
          </w:p>
        </w:tc>
        <w:tc>
          <w:tcPr>
            <w:tcW w:w="540" w:type="dxa"/>
            <w:vAlign w:val="bottom"/>
            <w:shd w:val="clear" w:color="auto" w:fill="CFF0FC"/>
          </w:tcPr>
          <w:p>
            <w:pPr>
              <w:spacing w:after="0"/>
              <w:rPr>
                <w:sz w:val="17"/>
                <w:szCs w:val="17"/>
                <w:color w:val="auto"/>
              </w:rPr>
            </w:pPr>
          </w:p>
        </w:tc>
        <w:tc>
          <w:tcPr>
            <w:tcW w:w="400" w:type="dxa"/>
            <w:vAlign w:val="bottom"/>
            <w:shd w:val="clear" w:color="auto" w:fill="CFF0FC"/>
          </w:tcPr>
          <w:p>
            <w:pPr>
              <w:spacing w:after="0"/>
              <w:rPr>
                <w:sz w:val="17"/>
                <w:szCs w:val="17"/>
                <w:color w:val="auto"/>
              </w:rPr>
            </w:pPr>
          </w:p>
        </w:tc>
        <w:tc>
          <w:tcPr>
            <w:tcW w:w="980" w:type="dxa"/>
            <w:vAlign w:val="bottom"/>
            <w:tcBorders>
              <w:right w:val="single" w:sz="8" w:color="CFF0FC"/>
            </w:tcBorders>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(85,183)</w:t>
            </w:r>
          </w:p>
        </w:tc>
        <w:tc>
          <w:tcPr>
            <w:tcW w:w="380" w:type="dxa"/>
            <w:vAlign w:val="bottom"/>
            <w:shd w:val="clear" w:color="auto" w:fill="CFF0FC"/>
          </w:tcPr>
          <w:p>
            <w:pPr>
              <w:spacing w:after="0"/>
              <w:rPr>
                <w:sz w:val="17"/>
                <w:szCs w:val="17"/>
                <w:color w:val="auto"/>
              </w:rPr>
            </w:pPr>
          </w:p>
        </w:tc>
        <w:tc>
          <w:tcPr>
            <w:tcW w:w="920" w:type="dxa"/>
            <w:vAlign w:val="bottom"/>
            <w:gridSpan w:val="2"/>
            <w:shd w:val="clear" w:color="auto" w:fill="CFF0FC"/>
          </w:tcPr>
          <w:p>
            <w:pPr>
              <w:jc w:val="right"/>
              <w:ind w:right="20"/>
              <w:spacing w:after="0"/>
              <w:rPr>
                <w:sz w:val="20"/>
                <w:szCs w:val="20"/>
                <w:color w:val="auto"/>
              </w:rPr>
            </w:pPr>
            <w:r>
              <w:rPr>
                <w:rFonts w:ascii="Arial" w:cs="Arial" w:eastAsia="Arial" w:hAnsi="Arial"/>
                <w:sz w:val="15"/>
                <w:szCs w:val="15"/>
                <w:color w:val="auto"/>
              </w:rPr>
              <w:t>(74,240)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8200" w:type="dxa"/>
            <w:vAlign w:val="bottom"/>
          </w:tcPr>
          <w:p>
            <w:pPr>
              <w:ind w:left="120"/>
              <w:spacing w:after="0"/>
              <w:rPr>
                <w:sz w:val="20"/>
                <w:szCs w:val="20"/>
                <w:color w:val="auto"/>
              </w:rPr>
            </w:pPr>
            <w:r>
              <w:rPr>
                <w:rFonts w:ascii="Arial" w:cs="Arial" w:eastAsia="Arial" w:hAnsi="Arial"/>
                <w:sz w:val="15"/>
                <w:szCs w:val="15"/>
                <w:color w:val="auto"/>
              </w:rPr>
              <w:t>Effects of exchange rate changes on cash and cash equivalents</w:t>
            </w: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5"/>
                <w:szCs w:val="15"/>
                <w:color w:val="auto"/>
              </w:rPr>
              <w:t>23</w:t>
            </w:r>
          </w:p>
        </w:tc>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5"/>
                <w:szCs w:val="15"/>
                <w:color w:val="auto"/>
              </w:rPr>
              <w:t>(123)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200" w:type="dxa"/>
            <w:vAlign w:val="bottom"/>
            <w:shd w:val="clear" w:color="auto" w:fill="CFF0FC"/>
          </w:tcPr>
          <w:p>
            <w:pPr>
              <w:spacing w:after="0" w:line="20" w:lineRule="exact"/>
              <w:rPr>
                <w:sz w:val="1"/>
                <w:szCs w:val="1"/>
                <w:color w:val="auto"/>
              </w:rPr>
            </w:pPr>
          </w:p>
        </w:tc>
        <w:tc>
          <w:tcPr>
            <w:tcW w:w="540" w:type="dxa"/>
            <w:vAlign w:val="bottom"/>
            <w:shd w:val="clear" w:color="auto" w:fill="CFF0FC"/>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Borders>
              <w:right w:val="single" w:sz="8" w:color="CFF0FC"/>
            </w:tcBorders>
            <w:shd w:val="clear" w:color="auto" w:fill="CFF0FC"/>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8200" w:type="dxa"/>
            <w:vAlign w:val="bottom"/>
            <w:shd w:val="clear" w:color="auto" w:fill="CFF0FC"/>
          </w:tcPr>
          <w:p>
            <w:pPr>
              <w:ind w:left="720"/>
              <w:spacing w:after="0"/>
              <w:rPr>
                <w:sz w:val="20"/>
                <w:szCs w:val="20"/>
                <w:color w:val="auto"/>
              </w:rPr>
            </w:pPr>
            <w:r>
              <w:rPr>
                <w:rFonts w:ascii="Arial" w:cs="Arial" w:eastAsia="Arial" w:hAnsi="Arial"/>
                <w:sz w:val="15"/>
                <w:szCs w:val="15"/>
                <w:color w:val="auto"/>
              </w:rPr>
              <w:t>Net increase in cash and cash equivalents</w:t>
            </w:r>
          </w:p>
        </w:tc>
        <w:tc>
          <w:tcPr>
            <w:tcW w:w="540" w:type="dxa"/>
            <w:vAlign w:val="bottom"/>
            <w:shd w:val="clear" w:color="auto" w:fill="CFF0FC"/>
          </w:tcPr>
          <w:p>
            <w:pPr>
              <w:spacing w:after="0"/>
              <w:rPr>
                <w:sz w:val="17"/>
                <w:szCs w:val="17"/>
                <w:color w:val="auto"/>
              </w:rPr>
            </w:pPr>
          </w:p>
        </w:tc>
        <w:tc>
          <w:tcPr>
            <w:tcW w:w="400" w:type="dxa"/>
            <w:vAlign w:val="bottom"/>
            <w:shd w:val="clear" w:color="auto" w:fill="CFF0FC"/>
          </w:tcPr>
          <w:p>
            <w:pPr>
              <w:spacing w:after="0"/>
              <w:rPr>
                <w:sz w:val="17"/>
                <w:szCs w:val="17"/>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8,963</w:t>
            </w:r>
          </w:p>
        </w:tc>
        <w:tc>
          <w:tcPr>
            <w:tcW w:w="140" w:type="dxa"/>
            <w:vAlign w:val="bottom"/>
            <w:tcBorders>
              <w:right w:val="single" w:sz="8" w:color="CFF0FC"/>
            </w:tcBorders>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920" w:type="dxa"/>
            <w:vAlign w:val="bottom"/>
            <w:gridSpan w:val="2"/>
            <w:shd w:val="clear" w:color="auto" w:fill="CFF0FC"/>
          </w:tcPr>
          <w:p>
            <w:pPr>
              <w:jc w:val="right"/>
              <w:ind w:right="20"/>
              <w:spacing w:after="0"/>
              <w:rPr>
                <w:sz w:val="20"/>
                <w:szCs w:val="20"/>
                <w:color w:val="auto"/>
              </w:rPr>
            </w:pPr>
            <w:r>
              <w:rPr>
                <w:rFonts w:ascii="Arial" w:cs="Arial" w:eastAsia="Arial" w:hAnsi="Arial"/>
                <w:sz w:val="15"/>
                <w:szCs w:val="15"/>
                <w:color w:val="auto"/>
              </w:rPr>
              <w:t>(11,861)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8200" w:type="dxa"/>
            <w:vAlign w:val="bottom"/>
            <w:tcBorders>
              <w:bottom w:val="single" w:sz="8" w:color="CFF0FC"/>
            </w:tcBorders>
          </w:tcPr>
          <w:p>
            <w:pPr>
              <w:spacing w:after="0"/>
              <w:rPr>
                <w:sz w:val="20"/>
                <w:szCs w:val="20"/>
                <w:color w:val="auto"/>
              </w:rPr>
            </w:pPr>
            <w:r>
              <w:rPr>
                <w:rFonts w:ascii="Arial" w:cs="Arial" w:eastAsia="Arial" w:hAnsi="Arial"/>
                <w:sz w:val="15"/>
                <w:szCs w:val="15"/>
                <w:color w:val="auto"/>
              </w:rPr>
              <w:t>Cash and cash equivalents, beginning of period</w:t>
            </w:r>
          </w:p>
        </w:tc>
        <w:tc>
          <w:tcPr>
            <w:tcW w:w="540" w:type="dxa"/>
            <w:vAlign w:val="bottom"/>
            <w:tcBorders>
              <w:bottom w:val="single" w:sz="8" w:color="CFF0FC"/>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31,430</w:t>
            </w:r>
          </w:p>
        </w:tc>
        <w:tc>
          <w:tcPr>
            <w:tcW w:w="140" w:type="dxa"/>
            <w:vAlign w:val="bottom"/>
            <w:tcBorders>
              <w:bottom w:val="single" w:sz="8" w:color="CFF0FC"/>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43,291</w:t>
            </w:r>
          </w:p>
        </w:tc>
        <w:tc>
          <w:tcPr>
            <w:tcW w:w="80" w:type="dxa"/>
            <w:vAlign w:val="bottom"/>
            <w:tcBorders>
              <w:bottom w:val="single" w:sz="8" w:color="CFF0FC"/>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1"/>
        </w:trPr>
        <w:tc>
          <w:tcPr>
            <w:tcW w:w="8200" w:type="dxa"/>
            <w:vAlign w:val="bottom"/>
            <w:shd w:val="clear" w:color="auto" w:fill="CFF0FC"/>
          </w:tcPr>
          <w:p>
            <w:pPr>
              <w:spacing w:after="0"/>
              <w:rPr>
                <w:sz w:val="20"/>
                <w:szCs w:val="20"/>
                <w:color w:val="auto"/>
              </w:rPr>
            </w:pPr>
            <w:r>
              <w:rPr>
                <w:rFonts w:ascii="Arial" w:cs="Arial" w:eastAsia="Arial" w:hAnsi="Arial"/>
                <w:sz w:val="15"/>
                <w:szCs w:val="15"/>
                <w:color w:val="auto"/>
              </w:rPr>
              <w:t>Cash and cash equivalents, end of period</w:t>
            </w:r>
          </w:p>
        </w:tc>
        <w:tc>
          <w:tcPr>
            <w:tcW w:w="940" w:type="dxa"/>
            <w:vAlign w:val="bottom"/>
            <w:gridSpan w:val="2"/>
            <w:shd w:val="clear" w:color="auto" w:fill="CFF0FC"/>
          </w:tcPr>
          <w:p>
            <w:pPr>
              <w:jc w:val="right"/>
              <w:ind w:right="320"/>
              <w:spacing w:after="0"/>
              <w:rPr>
                <w:sz w:val="20"/>
                <w:szCs w:val="20"/>
                <w:color w:val="auto"/>
              </w:rPr>
            </w:pPr>
            <w:r>
              <w:rPr>
                <w:rFonts w:ascii="Arial" w:cs="Arial" w:eastAsia="Arial" w:hAnsi="Arial"/>
                <w:sz w:val="15"/>
                <w:szCs w:val="15"/>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40,393</w:t>
            </w:r>
          </w:p>
        </w:tc>
        <w:tc>
          <w:tcPr>
            <w:tcW w:w="140" w:type="dxa"/>
            <w:vAlign w:val="bottom"/>
            <w:tcBorders>
              <w:right w:val="single" w:sz="8" w:color="CFF0FC"/>
            </w:tcBorders>
            <w:shd w:val="clear" w:color="auto" w:fill="CFF0FC"/>
          </w:tcPr>
          <w:p>
            <w:pPr>
              <w:spacing w:after="0"/>
              <w:rPr>
                <w:sz w:val="17"/>
                <w:szCs w:val="17"/>
                <w:color w:val="auto"/>
              </w:rPr>
            </w:pPr>
          </w:p>
        </w:tc>
        <w:tc>
          <w:tcPr>
            <w:tcW w:w="380" w:type="dxa"/>
            <w:vAlign w:val="bottom"/>
            <w:shd w:val="clear" w:color="auto" w:fill="CFF0FC"/>
          </w:tcPr>
          <w:p>
            <w:pPr>
              <w:jc w:val="right"/>
              <w:ind w:right="226"/>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31,430</w:t>
            </w:r>
          </w:p>
        </w:tc>
        <w:tc>
          <w:tcPr>
            <w:tcW w:w="80" w:type="dxa"/>
            <w:vAlign w:val="bottom"/>
            <w:shd w:val="clear" w:color="auto" w:fill="CFF0FC"/>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20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5"/>
                <w:szCs w:val="15"/>
                <w:color w:val="auto"/>
              </w:rPr>
              <w:t>Supplemental cash flow information:</w:t>
            </w:r>
          </w:p>
        </w:tc>
        <w:tc>
          <w:tcPr>
            <w:tcW w:w="540" w:type="dxa"/>
            <w:vAlign w:val="bottom"/>
            <w:tcBorders>
              <w:top w:val="single" w:sz="8" w:color="CFF0FC"/>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7"/>
        </w:trPr>
        <w:tc>
          <w:tcPr>
            <w:tcW w:w="8200" w:type="dxa"/>
            <w:vAlign w:val="bottom"/>
            <w:vMerge w:val="continue"/>
          </w:tcPr>
          <w:p>
            <w:pPr>
              <w:spacing w:after="0"/>
              <w:rPr>
                <w:sz w:val="16"/>
                <w:szCs w:val="16"/>
                <w:color w:val="auto"/>
              </w:rPr>
            </w:pPr>
          </w:p>
        </w:tc>
        <w:tc>
          <w:tcPr>
            <w:tcW w:w="5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8200" w:type="dxa"/>
            <w:vAlign w:val="bottom"/>
            <w:shd w:val="clear" w:color="auto" w:fill="CFF0FC"/>
          </w:tcPr>
          <w:p>
            <w:pPr>
              <w:ind w:left="240"/>
              <w:spacing w:after="0"/>
              <w:rPr>
                <w:sz w:val="20"/>
                <w:szCs w:val="20"/>
                <w:color w:val="auto"/>
              </w:rPr>
            </w:pPr>
            <w:r>
              <w:rPr>
                <w:rFonts w:ascii="Arial" w:cs="Arial" w:eastAsia="Arial" w:hAnsi="Arial"/>
                <w:sz w:val="15"/>
                <w:szCs w:val="15"/>
                <w:color w:val="auto"/>
              </w:rPr>
              <w:t>Net cash paid for income taxes</w:t>
            </w:r>
          </w:p>
        </w:tc>
        <w:tc>
          <w:tcPr>
            <w:tcW w:w="940" w:type="dxa"/>
            <w:vAlign w:val="bottom"/>
            <w:gridSpan w:val="2"/>
            <w:shd w:val="clear" w:color="auto" w:fill="CFF0FC"/>
          </w:tcPr>
          <w:p>
            <w:pPr>
              <w:jc w:val="right"/>
              <w:ind w:right="320"/>
              <w:spacing w:after="0"/>
              <w:rPr>
                <w:sz w:val="20"/>
                <w:szCs w:val="20"/>
                <w:color w:val="auto"/>
              </w:rPr>
            </w:pPr>
            <w:r>
              <w:rPr>
                <w:rFonts w:ascii="Arial" w:cs="Arial" w:eastAsia="Arial" w:hAnsi="Arial"/>
                <w:sz w:val="15"/>
                <w:szCs w:val="15"/>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7,040</w:t>
            </w:r>
          </w:p>
        </w:tc>
        <w:tc>
          <w:tcPr>
            <w:tcW w:w="140" w:type="dxa"/>
            <w:vAlign w:val="bottom"/>
            <w:tcBorders>
              <w:right w:val="single" w:sz="8" w:color="CFF0FC"/>
            </w:tcBorders>
            <w:shd w:val="clear" w:color="auto" w:fill="CFF0FC"/>
          </w:tcPr>
          <w:p>
            <w:pPr>
              <w:spacing w:after="0"/>
              <w:rPr>
                <w:sz w:val="18"/>
                <w:szCs w:val="18"/>
                <w:color w:val="auto"/>
              </w:rPr>
            </w:pPr>
          </w:p>
        </w:tc>
        <w:tc>
          <w:tcPr>
            <w:tcW w:w="380" w:type="dxa"/>
            <w:vAlign w:val="bottom"/>
            <w:shd w:val="clear" w:color="auto" w:fill="CFF0FC"/>
          </w:tcPr>
          <w:p>
            <w:pPr>
              <w:jc w:val="right"/>
              <w:ind w:right="226"/>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2,834</w:t>
            </w:r>
          </w:p>
        </w:tc>
        <w:tc>
          <w:tcPr>
            <w:tcW w:w="8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tcPr>
          <w:p>
            <w:pPr>
              <w:ind w:left="240"/>
              <w:spacing w:after="0"/>
              <w:rPr>
                <w:sz w:val="20"/>
                <w:szCs w:val="20"/>
                <w:color w:val="auto"/>
              </w:rPr>
            </w:pPr>
            <w:r>
              <w:rPr>
                <w:rFonts w:ascii="Arial" w:cs="Arial" w:eastAsia="Arial" w:hAnsi="Arial"/>
                <w:sz w:val="15"/>
                <w:szCs w:val="15"/>
                <w:color w:val="auto"/>
              </w:rPr>
              <w:t>Cash paid for interest</w:t>
            </w:r>
          </w:p>
        </w:tc>
        <w:tc>
          <w:tcPr>
            <w:tcW w:w="940" w:type="dxa"/>
            <w:vAlign w:val="bottom"/>
            <w:gridSpan w:val="2"/>
          </w:tcPr>
          <w:p>
            <w:pPr>
              <w:jc w:val="right"/>
              <w:ind w:right="320"/>
              <w:spacing w:after="0"/>
              <w:rPr>
                <w:sz w:val="20"/>
                <w:szCs w:val="20"/>
                <w:color w:val="auto"/>
              </w:rPr>
            </w:pPr>
            <w:r>
              <w:rPr>
                <w:rFonts w:ascii="Arial" w:cs="Arial" w:eastAsia="Arial" w:hAnsi="Arial"/>
                <w:sz w:val="15"/>
                <w:szCs w:val="15"/>
                <w:color w:val="auto"/>
              </w:rPr>
              <w:t>$</w:t>
            </w:r>
          </w:p>
        </w:tc>
        <w:tc>
          <w:tcPr>
            <w:tcW w:w="840" w:type="dxa"/>
            <w:vAlign w:val="bottom"/>
          </w:tcPr>
          <w:p>
            <w:pPr>
              <w:jc w:val="right"/>
              <w:spacing w:after="0"/>
              <w:rPr>
                <w:sz w:val="20"/>
                <w:szCs w:val="20"/>
                <w:color w:val="auto"/>
              </w:rPr>
            </w:pPr>
            <w:r>
              <w:rPr>
                <w:rFonts w:ascii="Arial" w:cs="Arial" w:eastAsia="Arial" w:hAnsi="Arial"/>
                <w:sz w:val="15"/>
                <w:szCs w:val="15"/>
                <w:color w:val="auto"/>
              </w:rPr>
              <w:t>24,302</w:t>
            </w:r>
          </w:p>
        </w:tc>
        <w:tc>
          <w:tcPr>
            <w:tcW w:w="140" w:type="dxa"/>
            <w:vAlign w:val="bottom"/>
          </w:tcPr>
          <w:p>
            <w:pPr>
              <w:spacing w:after="0"/>
              <w:rPr>
                <w:sz w:val="18"/>
                <w:szCs w:val="18"/>
                <w:color w:val="auto"/>
              </w:rPr>
            </w:pPr>
          </w:p>
        </w:tc>
        <w:tc>
          <w:tcPr>
            <w:tcW w:w="380" w:type="dxa"/>
            <w:vAlign w:val="bottom"/>
          </w:tcPr>
          <w:p>
            <w:pPr>
              <w:jc w:val="right"/>
              <w:ind w:right="226"/>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5"/>
                <w:szCs w:val="15"/>
                <w:color w:val="auto"/>
              </w:rPr>
              <w:t>23,220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shd w:val="clear" w:color="auto" w:fill="CFF0FC"/>
          </w:tcPr>
          <w:p>
            <w:pPr>
              <w:spacing w:after="0"/>
              <w:rPr>
                <w:sz w:val="20"/>
                <w:szCs w:val="20"/>
                <w:color w:val="auto"/>
              </w:rPr>
            </w:pPr>
            <w:r>
              <w:rPr>
                <w:rFonts w:ascii="Arial" w:cs="Arial" w:eastAsia="Arial" w:hAnsi="Arial"/>
                <w:sz w:val="15"/>
                <w:szCs w:val="15"/>
                <w:color w:val="auto"/>
              </w:rPr>
              <w:t>Non-cash investing activities:</w:t>
            </w:r>
          </w:p>
        </w:tc>
        <w:tc>
          <w:tcPr>
            <w:tcW w:w="5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40" w:type="dxa"/>
            <w:vAlign w:val="bottom"/>
            <w:tcBorders>
              <w:right w:val="single" w:sz="8" w:color="CFF0FC"/>
            </w:tcBorders>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tcPr>
          <w:p>
            <w:pPr>
              <w:ind w:left="240"/>
              <w:spacing w:after="0"/>
              <w:rPr>
                <w:sz w:val="20"/>
                <w:szCs w:val="20"/>
                <w:color w:val="auto"/>
              </w:rPr>
            </w:pPr>
            <w:r>
              <w:rPr>
                <w:rFonts w:ascii="Arial" w:cs="Arial" w:eastAsia="Arial" w:hAnsi="Arial"/>
                <w:sz w:val="15"/>
                <w:szCs w:val="15"/>
                <w:color w:val="auto"/>
              </w:rPr>
              <w:t>Non-cash additions to property and equipment</w:t>
            </w:r>
          </w:p>
        </w:tc>
        <w:tc>
          <w:tcPr>
            <w:tcW w:w="940" w:type="dxa"/>
            <w:vAlign w:val="bottom"/>
            <w:gridSpan w:val="2"/>
          </w:tcPr>
          <w:p>
            <w:pPr>
              <w:jc w:val="right"/>
              <w:ind w:right="320"/>
              <w:spacing w:after="0"/>
              <w:rPr>
                <w:sz w:val="20"/>
                <w:szCs w:val="20"/>
                <w:color w:val="auto"/>
              </w:rPr>
            </w:pPr>
            <w:r>
              <w:rPr>
                <w:rFonts w:ascii="Arial" w:cs="Arial" w:eastAsia="Arial" w:hAnsi="Arial"/>
                <w:sz w:val="15"/>
                <w:szCs w:val="15"/>
                <w:color w:val="auto"/>
              </w:rPr>
              <w:t>$</w:t>
            </w:r>
          </w:p>
        </w:tc>
        <w:tc>
          <w:tcPr>
            <w:tcW w:w="840" w:type="dxa"/>
            <w:vAlign w:val="bottom"/>
          </w:tcPr>
          <w:p>
            <w:pPr>
              <w:jc w:val="right"/>
              <w:spacing w:after="0"/>
              <w:rPr>
                <w:sz w:val="20"/>
                <w:szCs w:val="20"/>
                <w:color w:val="auto"/>
              </w:rPr>
            </w:pPr>
            <w:r>
              <w:rPr>
                <w:rFonts w:ascii="Arial" w:cs="Arial" w:eastAsia="Arial" w:hAnsi="Arial"/>
                <w:sz w:val="15"/>
                <w:szCs w:val="15"/>
                <w:color w:val="auto"/>
              </w:rPr>
              <w:t>2,203</w:t>
            </w:r>
          </w:p>
        </w:tc>
        <w:tc>
          <w:tcPr>
            <w:tcW w:w="140" w:type="dxa"/>
            <w:vAlign w:val="bottom"/>
          </w:tcPr>
          <w:p>
            <w:pPr>
              <w:spacing w:after="0"/>
              <w:rPr>
                <w:sz w:val="18"/>
                <w:szCs w:val="18"/>
                <w:color w:val="auto"/>
              </w:rPr>
            </w:pPr>
          </w:p>
        </w:tc>
        <w:tc>
          <w:tcPr>
            <w:tcW w:w="380" w:type="dxa"/>
            <w:vAlign w:val="bottom"/>
          </w:tcPr>
          <w:p>
            <w:pPr>
              <w:jc w:val="right"/>
              <w:ind w:right="226"/>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5"/>
                <w:szCs w:val="15"/>
                <w:color w:val="auto"/>
              </w:rPr>
              <w:t>207</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8200" w:type="dxa"/>
            <w:vAlign w:val="bottom"/>
            <w:shd w:val="clear" w:color="auto" w:fill="CFF0FC"/>
          </w:tcPr>
          <w:p>
            <w:pPr>
              <w:spacing w:after="0"/>
              <w:rPr>
                <w:sz w:val="20"/>
                <w:szCs w:val="20"/>
                <w:color w:val="auto"/>
              </w:rPr>
            </w:pPr>
            <w:r>
              <w:rPr>
                <w:rFonts w:ascii="Arial" w:cs="Arial" w:eastAsia="Arial" w:hAnsi="Arial"/>
                <w:sz w:val="15"/>
                <w:szCs w:val="15"/>
                <w:color w:val="auto"/>
              </w:rPr>
              <w:t>Non-cash financing activities:</w:t>
            </w:r>
          </w:p>
        </w:tc>
        <w:tc>
          <w:tcPr>
            <w:tcW w:w="5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40" w:type="dxa"/>
            <w:vAlign w:val="bottom"/>
            <w:tcBorders>
              <w:right w:val="single" w:sz="8" w:color="CFF0FC"/>
            </w:tcBorders>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7"/>
        </w:trPr>
        <w:tc>
          <w:tcPr>
            <w:tcW w:w="8200" w:type="dxa"/>
            <w:vAlign w:val="bottom"/>
          </w:tcPr>
          <w:p>
            <w:pPr>
              <w:ind w:left="240"/>
              <w:spacing w:after="0"/>
              <w:rPr>
                <w:sz w:val="20"/>
                <w:szCs w:val="20"/>
                <w:color w:val="auto"/>
              </w:rPr>
            </w:pPr>
            <w:r>
              <w:rPr>
                <w:rFonts w:ascii="Arial" w:cs="Arial" w:eastAsia="Arial" w:hAnsi="Arial"/>
                <w:sz w:val="15"/>
                <w:szCs w:val="15"/>
                <w:color w:val="auto"/>
              </w:rPr>
              <w:t>Accrued dividend equivalents</w:t>
            </w:r>
          </w:p>
        </w:tc>
        <w:tc>
          <w:tcPr>
            <w:tcW w:w="940" w:type="dxa"/>
            <w:vAlign w:val="bottom"/>
            <w:gridSpan w:val="2"/>
          </w:tcPr>
          <w:p>
            <w:pPr>
              <w:jc w:val="right"/>
              <w:ind w:right="320"/>
              <w:spacing w:after="0"/>
              <w:rPr>
                <w:sz w:val="20"/>
                <w:szCs w:val="20"/>
                <w:color w:val="auto"/>
              </w:rPr>
            </w:pPr>
            <w:r>
              <w:rPr>
                <w:rFonts w:ascii="Arial" w:cs="Arial" w:eastAsia="Arial" w:hAnsi="Arial"/>
                <w:sz w:val="15"/>
                <w:szCs w:val="15"/>
                <w:color w:val="auto"/>
              </w:rPr>
              <w:t>$</w:t>
            </w:r>
          </w:p>
        </w:tc>
        <w:tc>
          <w:tcPr>
            <w:tcW w:w="840" w:type="dxa"/>
            <w:vAlign w:val="bottom"/>
          </w:tcPr>
          <w:p>
            <w:pPr>
              <w:jc w:val="right"/>
              <w:spacing w:after="0"/>
              <w:rPr>
                <w:sz w:val="20"/>
                <w:szCs w:val="20"/>
                <w:color w:val="auto"/>
              </w:rPr>
            </w:pPr>
            <w:r>
              <w:rPr>
                <w:rFonts w:ascii="Arial" w:cs="Arial" w:eastAsia="Arial" w:hAnsi="Arial"/>
                <w:sz w:val="15"/>
                <w:szCs w:val="15"/>
                <w:color w:val="auto"/>
              </w:rPr>
              <w:t>3,899</w:t>
            </w:r>
          </w:p>
        </w:tc>
        <w:tc>
          <w:tcPr>
            <w:tcW w:w="140" w:type="dxa"/>
            <w:vAlign w:val="bottom"/>
          </w:tcPr>
          <w:p>
            <w:pPr>
              <w:spacing w:after="0"/>
              <w:rPr>
                <w:sz w:val="16"/>
                <w:szCs w:val="16"/>
                <w:color w:val="auto"/>
              </w:rPr>
            </w:pPr>
          </w:p>
        </w:tc>
        <w:tc>
          <w:tcPr>
            <w:tcW w:w="380" w:type="dxa"/>
            <w:vAlign w:val="bottom"/>
          </w:tcPr>
          <w:p>
            <w:pPr>
              <w:jc w:val="right"/>
              <w:ind w:right="226"/>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80"/>
              <w:spacing w:after="0"/>
              <w:rPr>
                <w:sz w:val="20"/>
                <w:szCs w:val="20"/>
                <w:color w:val="auto"/>
              </w:rPr>
            </w:pPr>
            <w:r>
              <w:rPr>
                <w:rFonts w:ascii="Arial" w:cs="Arial" w:eastAsia="Arial" w:hAnsi="Arial"/>
                <w:sz w:val="15"/>
                <w:szCs w:val="15"/>
                <w:color w:val="auto"/>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00"/>
        </w:trPr>
        <w:tc>
          <w:tcPr>
            <w:tcW w:w="8200" w:type="dxa"/>
            <w:vAlign w:val="bottom"/>
            <w:tcBorders>
              <w:bottom w:val="single" w:sz="8" w:color="9A9A9A"/>
            </w:tcBorders>
          </w:tcPr>
          <w:p>
            <w:pPr>
              <w:spacing w:after="0"/>
              <w:rPr>
                <w:sz w:val="24"/>
                <w:szCs w:val="24"/>
                <w:color w:val="auto"/>
              </w:rPr>
            </w:pPr>
          </w:p>
        </w:tc>
        <w:tc>
          <w:tcPr>
            <w:tcW w:w="540" w:type="dxa"/>
            <w:vAlign w:val="bottom"/>
            <w:tcBorders>
              <w:bottom w:val="single" w:sz="8" w:color="9A9A9A"/>
            </w:tcBorders>
          </w:tcPr>
          <w:p>
            <w:pPr>
              <w:spacing w:after="0"/>
              <w:rPr>
                <w:sz w:val="24"/>
                <w:szCs w:val="24"/>
                <w:color w:val="auto"/>
              </w:rPr>
            </w:pPr>
          </w:p>
        </w:tc>
        <w:tc>
          <w:tcPr>
            <w:tcW w:w="400" w:type="dxa"/>
            <w:vAlign w:val="bottom"/>
            <w:tcBorders>
              <w:bottom w:val="single" w:sz="8" w:color="9A9A9A"/>
            </w:tcBorders>
          </w:tcPr>
          <w:p>
            <w:pPr>
              <w:spacing w:after="0"/>
              <w:rPr>
                <w:sz w:val="24"/>
                <w:szCs w:val="24"/>
                <w:color w:val="auto"/>
              </w:rPr>
            </w:pPr>
          </w:p>
        </w:tc>
        <w:tc>
          <w:tcPr>
            <w:tcW w:w="84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84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7249795</wp:posOffset>
            </wp:positionH>
            <wp:positionV relativeFrom="paragraph">
              <wp:posOffset>-28575</wp:posOffset>
            </wp:positionV>
            <wp:extent cx="33655" cy="419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-28575</wp:posOffset>
            </wp:positionV>
            <wp:extent cx="33655" cy="419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460"/>
          </w:cols>
          <w:pgMar w:left="240" w:top="121" w:right="199" w:bottom="1440" w:gutter="0" w:footer="0" w:header="0"/>
          <w:type w:val="continuous"/>
        </w:sectPr>
      </w:pPr>
    </w:p>
    <w:bookmarkStart w:id="11" w:name="page12"/>
    <w:bookmarkEnd w:id="11"/>
    <w:p>
      <w:pPr>
        <w:jc w:val="center"/>
        <w:spacing w:after="0"/>
        <w:rPr>
          <w:sz w:val="20"/>
          <w:szCs w:val="20"/>
          <w:color w:val="auto"/>
        </w:rPr>
      </w:pPr>
      <w:r>
        <w:rPr>
          <w:rFonts w:ascii="Arial" w:cs="Arial" w:eastAsia="Arial" w:hAnsi="Arial"/>
          <w:sz w:val="17"/>
          <w:szCs w:val="17"/>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Non-GAAP Financial Measures</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2" w:lineRule="exact"/>
        <w:rPr>
          <w:sz w:val="20"/>
          <w:szCs w:val="20"/>
          <w:color w:val="auto"/>
        </w:rPr>
      </w:pPr>
    </w:p>
    <w:p>
      <w:pPr>
        <w:jc w:val="center"/>
        <w:ind w:right="80"/>
        <w:spacing w:after="0"/>
        <w:rPr>
          <w:sz w:val="20"/>
          <w:szCs w:val="20"/>
          <w:color w:val="auto"/>
        </w:rPr>
      </w:pPr>
      <w:r>
        <w:rPr>
          <w:rFonts w:ascii="Arial" w:cs="Arial" w:eastAsia="Arial" w:hAnsi="Arial"/>
          <w:sz w:val="17"/>
          <w:szCs w:val="17"/>
          <w:color w:val="auto"/>
        </w:rPr>
        <w:t>(Amounts in thousands, except per share amounts)</w:t>
      </w:r>
    </w:p>
    <w:p>
      <w:pPr>
        <w:spacing w:after="0" w:line="200" w:lineRule="exact"/>
        <w:rPr>
          <w:sz w:val="20"/>
          <w:szCs w:val="20"/>
          <w:color w:val="auto"/>
        </w:rPr>
      </w:pPr>
    </w:p>
    <w:p>
      <w:pPr>
        <w:spacing w:after="0" w:line="216" w:lineRule="exact"/>
        <w:rPr>
          <w:sz w:val="20"/>
          <w:szCs w:val="20"/>
          <w:color w:val="auto"/>
        </w:rPr>
      </w:pPr>
    </w:p>
    <w:p>
      <w:pPr>
        <w:jc w:val="both"/>
        <w:spacing w:after="0" w:line="277" w:lineRule="auto"/>
        <w:rPr>
          <w:sz w:val="20"/>
          <w:szCs w:val="20"/>
          <w:color w:val="auto"/>
        </w:rPr>
      </w:pPr>
      <w:r>
        <w:rPr>
          <w:rFonts w:ascii="Arial" w:cs="Arial" w:eastAsia="Arial" w:hAnsi="Arial"/>
          <w:sz w:val="16"/>
          <w:szCs w:val="16"/>
          <w:color w:val="auto"/>
        </w:rPr>
        <w:t>To supplement its consolidated financial statements, which are prepared and presented in accordance with GAAP, the Company uses the following non-GAAP financial measures: EBITDA, Segment EBITDA, Adjusted EBITDA, Adjusted net income and Adjusted net income per share, diluted (collectively, the “non-GAAP financial measures”). The Company believes that these non-GAAP financial measures, when used in conjunction with GAAP financial measures, are useful to investors in evaluating our operating performance. These non-GAAP financial measures are supplemental measures of the Company’s performance that are neither required by, nor presented in accordance with GAAP. These financial measures should not be considered as substitutes for GAAP financial measures such as net income or any other performance measures derived in accordance with GAAP. In addition, in the future, the Company may incur expenses or charges and recognize income or gains such as those added back to calculate Adjusted EBITDA, Adjusted net income and Adjusted net income per share, diluted. The Company’s presentation of Adjusted EBITDA, Adjusted net income, and Adjusted net income per share, diluted, should not be construed as an inference that the Company’s future results will be unaffected by unusual or nonrecurring items.</w:t>
      </w:r>
    </w:p>
    <w:p>
      <w:pPr>
        <w:spacing w:after="0" w:line="16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EBITDA, Segment EBITDA and Adjusted EBITDA</w:t>
      </w:r>
    </w:p>
    <w:p>
      <w:pPr>
        <w:spacing w:after="0" w:line="226" w:lineRule="exact"/>
        <w:rPr>
          <w:sz w:val="20"/>
          <w:szCs w:val="20"/>
          <w:color w:val="auto"/>
        </w:rPr>
      </w:pPr>
    </w:p>
    <w:p>
      <w:pPr>
        <w:jc w:val="both"/>
        <w:spacing w:after="0" w:line="295" w:lineRule="auto"/>
        <w:rPr>
          <w:sz w:val="20"/>
          <w:szCs w:val="20"/>
          <w:color w:val="auto"/>
        </w:rPr>
      </w:pPr>
      <w:r>
        <w:rPr>
          <w:rFonts w:ascii="Arial" w:cs="Arial" w:eastAsia="Arial" w:hAnsi="Arial"/>
          <w:sz w:val="15"/>
          <w:szCs w:val="15"/>
          <w:color w:val="auto"/>
        </w:rPr>
        <w:t xml:space="preserve">We refer to EBITDA and Adjusted EBITDA as we use these measures to evaluate our operating performance and we believe these measures provide useful information to investors in evaluating our performance. We have also disclosed Segment EBITDA as an important financial metric utilized by the Company to evaluate performance and allocate resources to segments in accordance with ASC 280, </w:t>
      </w:r>
      <w:r>
        <w:rPr>
          <w:rFonts w:ascii="Arial" w:cs="Arial" w:eastAsia="Arial" w:hAnsi="Arial"/>
          <w:sz w:val="15"/>
          <w:szCs w:val="15"/>
          <w:i w:val="1"/>
          <w:iCs w:val="1"/>
          <w:color w:val="auto"/>
        </w:rPr>
        <w:t>Segment Reporting</w:t>
      </w:r>
      <w:r>
        <w:rPr>
          <w:rFonts w:ascii="Arial" w:cs="Arial" w:eastAsia="Arial" w:hAnsi="Arial"/>
          <w:sz w:val="15"/>
          <w:szCs w:val="15"/>
          <w:color w:val="auto"/>
        </w:rPr>
        <w:t>. We define EBITDA as net income before interest, taxes, depreciation and amortization. Segment EBITDA for each of our segments sums to Total Segment EBITDA which is equal to the Non-GAAP financial metric EBITDA. We believe that EBITDA, which eliminates the impact of certain expenses that we do not believe reflect our underlying business performance, provides useful information to investors to assess the performance of our segments as well as the business as a whole. Our Board of Directors also uses EBITDA as a key metric to assess the performance of management. We define Adjusted EBITDA as net income before interest, taxes, depreciation and amortization, adjusted for the impact of certain additional non-cash and other items that we do not consider in our evaluation of ongoing performance of the Company’s core operations. These items include certain purchase accounting adjustments, management fees, certain IT system upgrade costs, acquisition transaction fees, public offering-related costs, IPO-related compensation expense, pre-opening costs and certain other charges and gains. We believe that Adjusted EBITDA is an appropriate measure of operating performance in addition to EBITDA because it eliminates the impact of other items that we believe reduce the comparability of our underlying core business performance from period to period and is therefore useful to our investors in comparing the core performance of our business from period to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293370</wp:posOffset>
            </wp:positionV>
            <wp:extent cx="7293610" cy="419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2" w:name="page13"/>
    <w:bookmarkEnd w:id="12"/>
    <w:p>
      <w:pPr>
        <w:jc w:val="center"/>
        <w:ind w:right="100"/>
        <w:spacing w:after="0"/>
        <w:rPr>
          <w:sz w:val="20"/>
          <w:szCs w:val="20"/>
          <w:color w:val="auto"/>
        </w:rPr>
      </w:pPr>
      <w:r>
        <w:rPr>
          <w:rFonts w:ascii="Arial" w:cs="Arial" w:eastAsia="Arial" w:hAnsi="Arial"/>
          <w:sz w:val="17"/>
          <w:szCs w:val="17"/>
          <w:b w:val="1"/>
          <w:bCs w:val="1"/>
          <w:color w:val="auto"/>
        </w:rPr>
        <w:t>Planet Fitness, Inc. and subsidiaries</w:t>
      </w:r>
    </w:p>
    <w:p>
      <w:pPr>
        <w:spacing w:after="0" w:line="31"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Non-GAAP Financial Measures</w:t>
      </w:r>
    </w:p>
    <w:p>
      <w:pPr>
        <w:spacing w:after="0" w:line="12"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(Unaudited)</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3800" w:type="dxa"/>
            <w:vAlign w:val="bottom"/>
          </w:tcPr>
          <w:p>
            <w:pPr>
              <w:spacing w:after="0"/>
              <w:rPr>
                <w:sz w:val="19"/>
                <w:szCs w:val="19"/>
                <w:color w:val="auto"/>
              </w:rPr>
            </w:pPr>
          </w:p>
        </w:tc>
        <w:tc>
          <w:tcPr>
            <w:tcW w:w="3640" w:type="dxa"/>
            <w:vAlign w:val="bottom"/>
            <w:gridSpan w:val="5"/>
          </w:tcPr>
          <w:p>
            <w:pPr>
              <w:jc w:val="right"/>
              <w:spacing w:after="0"/>
              <w:rPr>
                <w:sz w:val="20"/>
                <w:szCs w:val="20"/>
                <w:color w:val="auto"/>
              </w:rPr>
            </w:pPr>
            <w:r>
              <w:rPr>
                <w:rFonts w:ascii="Arial" w:cs="Arial" w:eastAsia="Arial" w:hAnsi="Arial"/>
                <w:sz w:val="17"/>
                <w:szCs w:val="17"/>
                <w:color w:val="auto"/>
                <w:w w:val="93"/>
              </w:rPr>
              <w:t>(Amounts in thousands, except per share amounts)</w:t>
            </w:r>
          </w:p>
        </w:tc>
        <w:tc>
          <w:tcPr>
            <w:tcW w:w="8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403"/>
        </w:trPr>
        <w:tc>
          <w:tcPr>
            <w:tcW w:w="10060" w:type="dxa"/>
            <w:vAlign w:val="bottom"/>
            <w:gridSpan w:val="11"/>
          </w:tcPr>
          <w:p>
            <w:pPr>
              <w:spacing w:after="0"/>
              <w:rPr>
                <w:sz w:val="20"/>
                <w:szCs w:val="20"/>
                <w:color w:val="auto"/>
              </w:rPr>
            </w:pPr>
            <w:r>
              <w:rPr>
                <w:rFonts w:ascii="Arial" w:cs="Arial" w:eastAsia="Arial" w:hAnsi="Arial"/>
                <w:sz w:val="17"/>
                <w:szCs w:val="17"/>
                <w:color w:val="auto"/>
              </w:rPr>
              <w:t>A reconciliation of EBITDA and Adjusted EBITDA to net income, the most directly comparable GAAP measure, is set forth below:</w:t>
            </w: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42"/>
        </w:trPr>
        <w:tc>
          <w:tcPr>
            <w:tcW w:w="38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20" w:type="dxa"/>
            <w:vAlign w:val="bottom"/>
            <w:gridSpan w:val="5"/>
          </w:tcPr>
          <w:p>
            <w:pPr>
              <w:jc w:val="right"/>
              <w:ind w:right="480"/>
              <w:spacing w:after="0"/>
              <w:rPr>
                <w:sz w:val="20"/>
                <w:szCs w:val="20"/>
                <w:color w:val="auto"/>
              </w:rPr>
            </w:pPr>
            <w:r>
              <w:rPr>
                <w:rFonts w:ascii="Arial" w:cs="Arial" w:eastAsia="Arial" w:hAnsi="Arial"/>
                <w:sz w:val="17"/>
                <w:szCs w:val="17"/>
                <w:b w:val="1"/>
                <w:bCs w:val="1"/>
                <w:color w:val="auto"/>
                <w:w w:val="93"/>
              </w:rPr>
              <w:t>For the quarter ended December 31,</w:t>
            </w:r>
          </w:p>
        </w:tc>
        <w:tc>
          <w:tcPr>
            <w:tcW w:w="160" w:type="dxa"/>
            <w:vAlign w:val="bottom"/>
          </w:tcPr>
          <w:p>
            <w:pPr>
              <w:spacing w:after="0"/>
              <w:rPr>
                <w:sz w:val="24"/>
                <w:szCs w:val="24"/>
                <w:color w:val="auto"/>
              </w:rPr>
            </w:pPr>
          </w:p>
        </w:tc>
        <w:tc>
          <w:tcPr>
            <w:tcW w:w="2800" w:type="dxa"/>
            <w:vAlign w:val="bottom"/>
            <w:gridSpan w:val="5"/>
          </w:tcPr>
          <w:p>
            <w:pPr>
              <w:ind w:left="80"/>
              <w:spacing w:after="0"/>
              <w:rPr>
                <w:sz w:val="20"/>
                <w:szCs w:val="20"/>
                <w:color w:val="auto"/>
              </w:rPr>
            </w:pPr>
            <w:r>
              <w:rPr>
                <w:rFonts w:ascii="Arial" w:cs="Arial" w:eastAsia="Arial" w:hAnsi="Arial"/>
                <w:sz w:val="17"/>
                <w:szCs w:val="17"/>
                <w:b w:val="1"/>
                <w:bCs w:val="1"/>
                <w:color w:val="auto"/>
              </w:rPr>
              <w:t>For the year ended December 31,</w:t>
            </w:r>
          </w:p>
        </w:tc>
      </w:tr>
      <w:tr>
        <w:trPr>
          <w:trHeight w:val="214"/>
        </w:trPr>
        <w:tc>
          <w:tcPr>
            <w:tcW w:w="3800" w:type="dxa"/>
            <w:vAlign w:val="bottom"/>
            <w:tcBorders>
              <w:bottom w:val="single" w:sz="8" w:color="CFF0FC"/>
            </w:tcBorders>
          </w:tcPr>
          <w:p>
            <w:pPr>
              <w:spacing w:after="0"/>
              <w:rPr>
                <w:sz w:val="18"/>
                <w:szCs w:val="18"/>
                <w:color w:val="auto"/>
              </w:rPr>
            </w:pPr>
          </w:p>
        </w:tc>
        <w:tc>
          <w:tcPr>
            <w:tcW w:w="1380" w:type="dxa"/>
            <w:vAlign w:val="bottom"/>
            <w:tcBorders>
              <w:bottom w:val="single" w:sz="8" w:color="CFF0FC"/>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380" w:type="dxa"/>
            <w:vAlign w:val="bottom"/>
            <w:tcBorders>
              <w:top w:val="single" w:sz="8" w:color="auto"/>
              <w:bottom w:val="single" w:sz="8" w:color="auto"/>
            </w:tcBorders>
          </w:tcPr>
          <w:p>
            <w:pPr>
              <w:jc w:val="right"/>
              <w:ind w:right="513"/>
              <w:spacing w:after="0"/>
              <w:rPr>
                <w:sz w:val="20"/>
                <w:szCs w:val="20"/>
                <w:color w:val="auto"/>
              </w:rPr>
            </w:pPr>
            <w:r>
              <w:rPr>
                <w:rFonts w:ascii="Arial" w:cs="Arial" w:eastAsia="Arial" w:hAnsi="Arial"/>
                <w:sz w:val="17"/>
                <w:szCs w:val="17"/>
                <w:b w:val="1"/>
                <w:bCs w:val="1"/>
                <w:color w:val="auto"/>
              </w:rPr>
              <w:t>2016</w:t>
            </w:r>
          </w:p>
        </w:tc>
        <w:tc>
          <w:tcPr>
            <w:tcW w:w="280" w:type="dxa"/>
            <w:vAlign w:val="bottom"/>
            <w:tcBorders>
              <w:top w:val="single" w:sz="8" w:color="auto"/>
              <w:bottom w:val="single" w:sz="8" w:color="CFF0FC"/>
            </w:tcBorders>
          </w:tcPr>
          <w:p>
            <w:pPr>
              <w:spacing w:after="0"/>
              <w:rPr>
                <w:sz w:val="18"/>
                <w:szCs w:val="18"/>
                <w:color w:val="auto"/>
              </w:rPr>
            </w:pPr>
          </w:p>
        </w:tc>
        <w:tc>
          <w:tcPr>
            <w:tcW w:w="44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ind w:right="393"/>
              <w:spacing w:after="0"/>
              <w:rPr>
                <w:sz w:val="20"/>
                <w:szCs w:val="20"/>
                <w:color w:val="auto"/>
              </w:rPr>
            </w:pPr>
            <w:r>
              <w:rPr>
                <w:rFonts w:ascii="Arial" w:cs="Arial" w:eastAsia="Arial" w:hAnsi="Arial"/>
                <w:sz w:val="17"/>
                <w:szCs w:val="17"/>
                <w:b w:val="1"/>
                <w:bCs w:val="1"/>
                <w:color w:val="auto"/>
                <w:w w:val="95"/>
              </w:rPr>
              <w:t>2015</w:t>
            </w:r>
          </w:p>
        </w:tc>
        <w:tc>
          <w:tcPr>
            <w:tcW w:w="260" w:type="dxa"/>
            <w:vAlign w:val="bottom"/>
            <w:tcBorders>
              <w:bottom w:val="single" w:sz="8" w:color="CFF0FC"/>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353"/>
              <w:spacing w:after="0"/>
              <w:rPr>
                <w:sz w:val="20"/>
                <w:szCs w:val="20"/>
                <w:color w:val="auto"/>
              </w:rPr>
            </w:pPr>
            <w:r>
              <w:rPr>
                <w:rFonts w:ascii="Arial" w:cs="Arial" w:eastAsia="Arial" w:hAnsi="Arial"/>
                <w:sz w:val="17"/>
                <w:szCs w:val="17"/>
                <w:b w:val="1"/>
                <w:bCs w:val="1"/>
                <w:color w:val="auto"/>
              </w:rPr>
              <w:t>2016</w:t>
            </w:r>
          </w:p>
        </w:tc>
        <w:tc>
          <w:tcPr>
            <w:tcW w:w="280" w:type="dxa"/>
            <w:vAlign w:val="bottom"/>
            <w:tcBorders>
              <w:top w:val="single" w:sz="8" w:color="auto"/>
              <w:bottom w:val="single" w:sz="8" w:color="CFF0FC"/>
            </w:tcBorders>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ind w:right="473"/>
              <w:spacing w:after="0"/>
              <w:rPr>
                <w:sz w:val="20"/>
                <w:szCs w:val="20"/>
                <w:color w:val="auto"/>
              </w:rPr>
            </w:pPr>
            <w:r>
              <w:rPr>
                <w:rFonts w:ascii="Arial" w:cs="Arial" w:eastAsia="Arial" w:hAnsi="Arial"/>
                <w:sz w:val="17"/>
                <w:szCs w:val="17"/>
                <w:b w:val="1"/>
                <w:bCs w:val="1"/>
                <w:color w:val="auto"/>
              </w:rPr>
              <w:t>2015</w:t>
            </w:r>
          </w:p>
        </w:tc>
        <w:tc>
          <w:tcPr>
            <w:tcW w:w="20" w:type="dxa"/>
            <w:vAlign w:val="bottom"/>
            <w:tcBorders>
              <w:bottom w:val="single" w:sz="8" w:color="CFF0FC"/>
            </w:tcBorders>
          </w:tcPr>
          <w:p>
            <w:pPr>
              <w:spacing w:after="0"/>
              <w:rPr>
                <w:sz w:val="18"/>
                <w:szCs w:val="18"/>
                <w:color w:val="auto"/>
              </w:rPr>
            </w:pPr>
          </w:p>
        </w:tc>
      </w:tr>
      <w:tr>
        <w:trPr>
          <w:trHeight w:val="214"/>
        </w:trPr>
        <w:tc>
          <w:tcPr>
            <w:tcW w:w="3800" w:type="dxa"/>
            <w:vAlign w:val="bottom"/>
            <w:shd w:val="clear" w:color="auto" w:fill="CFF0FC"/>
          </w:tcPr>
          <w:p>
            <w:pPr>
              <w:spacing w:after="0"/>
              <w:rPr>
                <w:sz w:val="20"/>
                <w:szCs w:val="20"/>
                <w:color w:val="auto"/>
              </w:rPr>
            </w:pPr>
            <w:r>
              <w:rPr>
                <w:rFonts w:ascii="Arial" w:cs="Arial" w:eastAsia="Arial" w:hAnsi="Arial"/>
                <w:sz w:val="17"/>
                <w:szCs w:val="17"/>
                <w:color w:val="auto"/>
              </w:rPr>
              <w:t>Net income attributable to Planet Fitness, Inc.</w:t>
            </w:r>
          </w:p>
        </w:tc>
        <w:tc>
          <w:tcPr>
            <w:tcW w:w="154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10,575</w:t>
            </w:r>
          </w:p>
        </w:tc>
        <w:tc>
          <w:tcPr>
            <w:tcW w:w="280" w:type="dxa"/>
            <w:vAlign w:val="bottom"/>
            <w:shd w:val="clear" w:color="auto" w:fill="CFF0FC"/>
          </w:tcPr>
          <w:p>
            <w:pPr>
              <w:spacing w:after="0"/>
              <w:rPr>
                <w:sz w:val="18"/>
                <w:szCs w:val="18"/>
                <w:color w:val="auto"/>
              </w:rPr>
            </w:pPr>
          </w:p>
        </w:tc>
        <w:tc>
          <w:tcPr>
            <w:tcW w:w="440" w:type="dxa"/>
            <w:vAlign w:val="bottom"/>
            <w:shd w:val="clear" w:color="auto" w:fill="CFF0FC"/>
          </w:tcPr>
          <w:p>
            <w:pPr>
              <w:jc w:val="right"/>
              <w:ind w:right="284"/>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2,485</w:t>
            </w:r>
          </w:p>
        </w:tc>
        <w:tc>
          <w:tcPr>
            <w:tcW w:w="260" w:type="dxa"/>
            <w:vAlign w:val="bottom"/>
            <w:shd w:val="clear" w:color="auto" w:fill="CFF0FC"/>
          </w:tcPr>
          <w:p>
            <w:pPr>
              <w:spacing w:after="0"/>
              <w:rPr>
                <w:sz w:val="18"/>
                <w:szCs w:val="18"/>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21,500</w:t>
            </w:r>
          </w:p>
        </w:tc>
        <w:tc>
          <w:tcPr>
            <w:tcW w:w="280" w:type="dxa"/>
            <w:vAlign w:val="bottom"/>
            <w:shd w:val="clear" w:color="auto" w:fill="CFF0FC"/>
          </w:tcPr>
          <w:p>
            <w:pPr>
              <w:spacing w:after="0"/>
              <w:rPr>
                <w:sz w:val="18"/>
                <w:szCs w:val="18"/>
                <w:color w:val="auto"/>
              </w:rPr>
            </w:pPr>
          </w:p>
        </w:tc>
        <w:tc>
          <w:tcPr>
            <w:tcW w:w="320" w:type="dxa"/>
            <w:vAlign w:val="bottom"/>
            <w:shd w:val="clear" w:color="auto" w:fill="CFF0FC"/>
          </w:tcPr>
          <w:p>
            <w:pPr>
              <w:jc w:val="right"/>
              <w:ind w:right="164"/>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18,518</w:t>
            </w:r>
          </w:p>
        </w:tc>
        <w:tc>
          <w:tcPr>
            <w:tcW w:w="20" w:type="dxa"/>
            <w:vAlign w:val="bottom"/>
            <w:shd w:val="clear" w:color="auto" w:fill="CFF0FC"/>
          </w:tcPr>
          <w:p>
            <w:pPr>
              <w:spacing w:after="0"/>
              <w:rPr>
                <w:sz w:val="18"/>
                <w:szCs w:val="18"/>
                <w:color w:val="auto"/>
              </w:rPr>
            </w:pPr>
          </w:p>
        </w:tc>
      </w:tr>
      <w:tr>
        <w:trPr>
          <w:trHeight w:val="221"/>
        </w:trPr>
        <w:tc>
          <w:tcPr>
            <w:tcW w:w="3800" w:type="dxa"/>
            <w:vAlign w:val="bottom"/>
            <w:tcBorders>
              <w:bottom w:val="single" w:sz="8" w:color="CFF0FC"/>
            </w:tcBorders>
          </w:tcPr>
          <w:p>
            <w:pPr>
              <w:ind w:left="120"/>
              <w:spacing w:after="0"/>
              <w:rPr>
                <w:sz w:val="20"/>
                <w:szCs w:val="20"/>
                <w:color w:val="auto"/>
              </w:rPr>
            </w:pPr>
            <w:r>
              <w:rPr>
                <w:rFonts w:ascii="Arial" w:cs="Arial" w:eastAsia="Arial" w:hAnsi="Arial"/>
                <w:sz w:val="17"/>
                <w:szCs w:val="17"/>
                <w:color w:val="auto"/>
                <w:w w:val="96"/>
              </w:rPr>
              <w:t>Net income attributable to non-controlling interests</w:t>
            </w:r>
          </w:p>
        </w:tc>
        <w:tc>
          <w:tcPr>
            <w:tcW w:w="138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11,373</w:t>
            </w:r>
          </w:p>
        </w:tc>
        <w:tc>
          <w:tcPr>
            <w:tcW w:w="280" w:type="dxa"/>
            <w:vAlign w:val="bottom"/>
            <w:tcBorders>
              <w:bottom w:val="single" w:sz="8" w:color="CFF0F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14,755</w:t>
            </w:r>
          </w:p>
        </w:tc>
        <w:tc>
          <w:tcPr>
            <w:tcW w:w="26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49,747</w:t>
            </w:r>
          </w:p>
        </w:tc>
        <w:tc>
          <w:tcPr>
            <w:tcW w:w="28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19,612</w:t>
            </w:r>
          </w:p>
        </w:tc>
        <w:tc>
          <w:tcPr>
            <w:tcW w:w="20" w:type="dxa"/>
            <w:vAlign w:val="bottom"/>
            <w:tcBorders>
              <w:bottom w:val="single" w:sz="8" w:color="CFF0FC"/>
            </w:tcBorders>
          </w:tcPr>
          <w:p>
            <w:pPr>
              <w:spacing w:after="0"/>
              <w:rPr>
                <w:sz w:val="19"/>
                <w:szCs w:val="19"/>
                <w:color w:val="auto"/>
              </w:rPr>
            </w:pPr>
          </w:p>
        </w:tc>
      </w:tr>
      <w:tr>
        <w:trPr>
          <w:trHeight w:val="214"/>
        </w:trPr>
        <w:tc>
          <w:tcPr>
            <w:tcW w:w="3800" w:type="dxa"/>
            <w:vAlign w:val="bottom"/>
            <w:shd w:val="clear" w:color="auto" w:fill="CFF0FC"/>
          </w:tcPr>
          <w:p>
            <w:pPr>
              <w:spacing w:after="0"/>
              <w:rPr>
                <w:sz w:val="20"/>
                <w:szCs w:val="20"/>
                <w:color w:val="auto"/>
              </w:rPr>
            </w:pPr>
            <w:r>
              <w:rPr>
                <w:rFonts w:ascii="Arial" w:cs="Arial" w:eastAsia="Arial" w:hAnsi="Arial"/>
                <w:sz w:val="17"/>
                <w:szCs w:val="17"/>
                <w:color w:val="auto"/>
              </w:rPr>
              <w:t>Net income</w:t>
            </w:r>
          </w:p>
        </w:tc>
        <w:tc>
          <w:tcPr>
            <w:tcW w:w="154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21,948</w:t>
            </w:r>
          </w:p>
        </w:tc>
        <w:tc>
          <w:tcPr>
            <w:tcW w:w="280" w:type="dxa"/>
            <w:vAlign w:val="bottom"/>
            <w:shd w:val="clear" w:color="auto" w:fill="CFF0FC"/>
          </w:tcPr>
          <w:p>
            <w:pPr>
              <w:spacing w:after="0"/>
              <w:rPr>
                <w:sz w:val="18"/>
                <w:szCs w:val="18"/>
                <w:color w:val="auto"/>
              </w:rPr>
            </w:pPr>
          </w:p>
        </w:tc>
        <w:tc>
          <w:tcPr>
            <w:tcW w:w="440" w:type="dxa"/>
            <w:vAlign w:val="bottom"/>
            <w:shd w:val="clear" w:color="auto" w:fill="CFF0FC"/>
          </w:tcPr>
          <w:p>
            <w:pPr>
              <w:jc w:val="right"/>
              <w:ind w:right="284"/>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17,240</w:t>
            </w:r>
          </w:p>
        </w:tc>
        <w:tc>
          <w:tcPr>
            <w:tcW w:w="260" w:type="dxa"/>
            <w:vAlign w:val="bottom"/>
            <w:shd w:val="clear" w:color="auto" w:fill="CFF0FC"/>
          </w:tcPr>
          <w:p>
            <w:pPr>
              <w:spacing w:after="0"/>
              <w:rPr>
                <w:sz w:val="18"/>
                <w:szCs w:val="18"/>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71,247</w:t>
            </w:r>
          </w:p>
        </w:tc>
        <w:tc>
          <w:tcPr>
            <w:tcW w:w="280" w:type="dxa"/>
            <w:vAlign w:val="bottom"/>
            <w:shd w:val="clear" w:color="auto" w:fill="CFF0FC"/>
          </w:tcPr>
          <w:p>
            <w:pPr>
              <w:spacing w:after="0"/>
              <w:rPr>
                <w:sz w:val="18"/>
                <w:szCs w:val="18"/>
                <w:color w:val="auto"/>
              </w:rPr>
            </w:pPr>
          </w:p>
        </w:tc>
        <w:tc>
          <w:tcPr>
            <w:tcW w:w="320" w:type="dxa"/>
            <w:vAlign w:val="bottom"/>
            <w:shd w:val="clear" w:color="auto" w:fill="CFF0FC"/>
          </w:tcPr>
          <w:p>
            <w:pPr>
              <w:jc w:val="right"/>
              <w:ind w:right="164"/>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38,130</w:t>
            </w:r>
          </w:p>
        </w:tc>
        <w:tc>
          <w:tcPr>
            <w:tcW w:w="20" w:type="dxa"/>
            <w:vAlign w:val="bottom"/>
            <w:shd w:val="clear" w:color="auto" w:fill="CFF0FC"/>
          </w:tcPr>
          <w:p>
            <w:pPr>
              <w:spacing w:after="0"/>
              <w:rPr>
                <w:sz w:val="18"/>
                <w:szCs w:val="18"/>
                <w:color w:val="auto"/>
              </w:rPr>
            </w:pPr>
          </w:p>
        </w:tc>
      </w:tr>
      <w:tr>
        <w:trPr>
          <w:trHeight w:val="221"/>
        </w:trPr>
        <w:tc>
          <w:tcPr>
            <w:tcW w:w="3800" w:type="dxa"/>
            <w:vAlign w:val="bottom"/>
          </w:tcPr>
          <w:p>
            <w:pPr>
              <w:ind w:left="120"/>
              <w:spacing w:after="0"/>
              <w:rPr>
                <w:sz w:val="20"/>
                <w:szCs w:val="20"/>
                <w:color w:val="auto"/>
              </w:rPr>
            </w:pPr>
            <w:r>
              <w:rPr>
                <w:rFonts w:ascii="Arial" w:cs="Arial" w:eastAsia="Arial" w:hAnsi="Arial"/>
                <w:sz w:val="17"/>
                <w:szCs w:val="17"/>
                <w:color w:val="auto"/>
              </w:rPr>
              <w:t>Interest expense, net</w:t>
            </w:r>
            <w:r>
              <w:rPr>
                <w:rFonts w:ascii="Arial" w:cs="Arial" w:eastAsia="Arial" w:hAnsi="Arial"/>
                <w:sz w:val="14"/>
                <w:szCs w:val="14"/>
                <w:color w:val="auto"/>
              </w:rPr>
              <w:t>(1)</w:t>
            </w:r>
          </w:p>
        </w:tc>
        <w:tc>
          <w:tcPr>
            <w:tcW w:w="1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8,306</w:t>
            </w:r>
          </w:p>
        </w:tc>
        <w:tc>
          <w:tcPr>
            <w:tcW w:w="2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6,678</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27,125</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24,549</w:t>
            </w:r>
          </w:p>
        </w:tc>
        <w:tc>
          <w:tcPr>
            <w:tcW w:w="20" w:type="dxa"/>
            <w:vAlign w:val="bottom"/>
          </w:tcPr>
          <w:p>
            <w:pPr>
              <w:spacing w:after="0"/>
              <w:rPr>
                <w:sz w:val="19"/>
                <w:szCs w:val="19"/>
                <w:color w:val="auto"/>
              </w:rPr>
            </w:pPr>
          </w:p>
        </w:tc>
      </w:tr>
      <w:tr>
        <w:trPr>
          <w:trHeight w:val="221"/>
        </w:trPr>
        <w:tc>
          <w:tcPr>
            <w:tcW w:w="38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Provision for income taxes</w:t>
            </w:r>
          </w:p>
        </w:tc>
        <w:tc>
          <w:tcPr>
            <w:tcW w:w="13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7,157</w:t>
            </w:r>
          </w:p>
        </w:tc>
        <w:tc>
          <w:tcPr>
            <w:tcW w:w="2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7,227</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18,661</w:t>
            </w:r>
          </w:p>
        </w:tc>
        <w:tc>
          <w:tcPr>
            <w:tcW w:w="2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9,148</w:t>
            </w:r>
          </w:p>
        </w:tc>
        <w:tc>
          <w:tcPr>
            <w:tcW w:w="20" w:type="dxa"/>
            <w:vAlign w:val="bottom"/>
            <w:shd w:val="clear" w:color="auto" w:fill="CFF0FC"/>
          </w:tcPr>
          <w:p>
            <w:pPr>
              <w:spacing w:after="0"/>
              <w:rPr>
                <w:sz w:val="19"/>
                <w:szCs w:val="19"/>
                <w:color w:val="auto"/>
              </w:rPr>
            </w:pPr>
          </w:p>
        </w:tc>
      </w:tr>
      <w:tr>
        <w:trPr>
          <w:trHeight w:val="221"/>
        </w:trPr>
        <w:tc>
          <w:tcPr>
            <w:tcW w:w="3800" w:type="dxa"/>
            <w:vAlign w:val="bottom"/>
            <w:tcBorders>
              <w:bottom w:val="single" w:sz="8" w:color="CFF0FC"/>
            </w:tcBorders>
          </w:tcPr>
          <w:p>
            <w:pPr>
              <w:ind w:left="120"/>
              <w:spacing w:after="0"/>
              <w:rPr>
                <w:sz w:val="20"/>
                <w:szCs w:val="20"/>
                <w:color w:val="auto"/>
              </w:rPr>
            </w:pPr>
            <w:r>
              <w:rPr>
                <w:rFonts w:ascii="Arial" w:cs="Arial" w:eastAsia="Arial" w:hAnsi="Arial"/>
                <w:sz w:val="17"/>
                <w:szCs w:val="17"/>
                <w:color w:val="auto"/>
              </w:rPr>
              <w:t>Depreciation and amortization</w:t>
            </w:r>
          </w:p>
        </w:tc>
        <w:tc>
          <w:tcPr>
            <w:tcW w:w="138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8,375</w:t>
            </w:r>
          </w:p>
        </w:tc>
        <w:tc>
          <w:tcPr>
            <w:tcW w:w="280" w:type="dxa"/>
            <w:vAlign w:val="bottom"/>
            <w:tcBorders>
              <w:bottom w:val="single" w:sz="8" w:color="CFF0F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7,998</w:t>
            </w:r>
          </w:p>
        </w:tc>
        <w:tc>
          <w:tcPr>
            <w:tcW w:w="26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31,502</w:t>
            </w:r>
          </w:p>
        </w:tc>
        <w:tc>
          <w:tcPr>
            <w:tcW w:w="28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32,158</w:t>
            </w:r>
          </w:p>
        </w:tc>
        <w:tc>
          <w:tcPr>
            <w:tcW w:w="20" w:type="dxa"/>
            <w:vAlign w:val="bottom"/>
            <w:tcBorders>
              <w:bottom w:val="single" w:sz="8" w:color="CFF0FC"/>
            </w:tcBorders>
          </w:tcPr>
          <w:p>
            <w:pPr>
              <w:spacing w:after="0"/>
              <w:rPr>
                <w:sz w:val="19"/>
                <w:szCs w:val="19"/>
                <w:color w:val="auto"/>
              </w:rPr>
            </w:pPr>
          </w:p>
        </w:tc>
      </w:tr>
      <w:tr>
        <w:trPr>
          <w:trHeight w:val="214"/>
        </w:trPr>
        <w:tc>
          <w:tcPr>
            <w:tcW w:w="3800" w:type="dxa"/>
            <w:vAlign w:val="bottom"/>
            <w:shd w:val="clear" w:color="auto" w:fill="CFF0FC"/>
          </w:tcPr>
          <w:p>
            <w:pPr>
              <w:spacing w:after="0"/>
              <w:rPr>
                <w:sz w:val="20"/>
                <w:szCs w:val="20"/>
                <w:color w:val="auto"/>
              </w:rPr>
            </w:pPr>
            <w:r>
              <w:rPr>
                <w:rFonts w:ascii="Arial" w:cs="Arial" w:eastAsia="Arial" w:hAnsi="Arial"/>
                <w:sz w:val="17"/>
                <w:szCs w:val="17"/>
                <w:color w:val="auto"/>
              </w:rPr>
              <w:t>EBITDA</w:t>
            </w:r>
          </w:p>
        </w:tc>
        <w:tc>
          <w:tcPr>
            <w:tcW w:w="154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45,786</w:t>
            </w:r>
          </w:p>
        </w:tc>
        <w:tc>
          <w:tcPr>
            <w:tcW w:w="280" w:type="dxa"/>
            <w:vAlign w:val="bottom"/>
            <w:shd w:val="clear" w:color="auto" w:fill="CFF0FC"/>
          </w:tcPr>
          <w:p>
            <w:pPr>
              <w:spacing w:after="0"/>
              <w:rPr>
                <w:sz w:val="18"/>
                <w:szCs w:val="18"/>
                <w:color w:val="auto"/>
              </w:rPr>
            </w:pPr>
          </w:p>
        </w:tc>
        <w:tc>
          <w:tcPr>
            <w:tcW w:w="440" w:type="dxa"/>
            <w:vAlign w:val="bottom"/>
            <w:shd w:val="clear" w:color="auto" w:fill="CFF0FC"/>
          </w:tcPr>
          <w:p>
            <w:pPr>
              <w:jc w:val="right"/>
              <w:ind w:right="284"/>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39,143</w:t>
            </w:r>
          </w:p>
        </w:tc>
        <w:tc>
          <w:tcPr>
            <w:tcW w:w="260" w:type="dxa"/>
            <w:vAlign w:val="bottom"/>
            <w:shd w:val="clear" w:color="auto" w:fill="CFF0FC"/>
          </w:tcPr>
          <w:p>
            <w:pPr>
              <w:spacing w:after="0"/>
              <w:rPr>
                <w:sz w:val="18"/>
                <w:szCs w:val="18"/>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148,535</w:t>
            </w:r>
          </w:p>
        </w:tc>
        <w:tc>
          <w:tcPr>
            <w:tcW w:w="280" w:type="dxa"/>
            <w:vAlign w:val="bottom"/>
            <w:shd w:val="clear" w:color="auto" w:fill="CFF0FC"/>
          </w:tcPr>
          <w:p>
            <w:pPr>
              <w:spacing w:after="0"/>
              <w:rPr>
                <w:sz w:val="18"/>
                <w:szCs w:val="18"/>
                <w:color w:val="auto"/>
              </w:rPr>
            </w:pPr>
          </w:p>
        </w:tc>
        <w:tc>
          <w:tcPr>
            <w:tcW w:w="320" w:type="dxa"/>
            <w:vAlign w:val="bottom"/>
            <w:shd w:val="clear" w:color="auto" w:fill="CFF0FC"/>
          </w:tcPr>
          <w:p>
            <w:pPr>
              <w:jc w:val="right"/>
              <w:ind w:right="164"/>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103,985</w:t>
            </w:r>
          </w:p>
        </w:tc>
        <w:tc>
          <w:tcPr>
            <w:tcW w:w="20" w:type="dxa"/>
            <w:vAlign w:val="bottom"/>
            <w:shd w:val="clear" w:color="auto" w:fill="CFF0FC"/>
          </w:tcPr>
          <w:p>
            <w:pPr>
              <w:spacing w:after="0"/>
              <w:rPr>
                <w:sz w:val="18"/>
                <w:szCs w:val="18"/>
                <w:color w:val="auto"/>
              </w:rPr>
            </w:pPr>
          </w:p>
        </w:tc>
      </w:tr>
      <w:tr>
        <w:trPr>
          <w:trHeight w:val="221"/>
        </w:trPr>
        <w:tc>
          <w:tcPr>
            <w:tcW w:w="3800" w:type="dxa"/>
            <w:vAlign w:val="bottom"/>
          </w:tcPr>
          <w:p>
            <w:pPr>
              <w:ind w:left="120"/>
              <w:spacing w:after="0"/>
              <w:rPr>
                <w:sz w:val="20"/>
                <w:szCs w:val="20"/>
                <w:color w:val="auto"/>
              </w:rPr>
            </w:pPr>
            <w:r>
              <w:rPr>
                <w:rFonts w:ascii="Arial" w:cs="Arial" w:eastAsia="Arial" w:hAnsi="Arial"/>
                <w:sz w:val="17"/>
                <w:szCs w:val="17"/>
                <w:color w:val="auto"/>
              </w:rPr>
              <w:t>Purchase accounting adjustments-revenue</w:t>
            </w:r>
            <w:r>
              <w:rPr>
                <w:rFonts w:ascii="Arial" w:cs="Arial" w:eastAsia="Arial" w:hAnsi="Arial"/>
                <w:sz w:val="14"/>
                <w:szCs w:val="14"/>
                <w:color w:val="auto"/>
              </w:rPr>
              <w:t>(2)</w:t>
            </w:r>
          </w:p>
        </w:tc>
        <w:tc>
          <w:tcPr>
            <w:tcW w:w="1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29</w:t>
            </w:r>
          </w:p>
        </w:tc>
        <w:tc>
          <w:tcPr>
            <w:tcW w:w="2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248</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487</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713</w:t>
            </w:r>
          </w:p>
        </w:tc>
        <w:tc>
          <w:tcPr>
            <w:tcW w:w="20" w:type="dxa"/>
            <w:vAlign w:val="bottom"/>
          </w:tcPr>
          <w:p>
            <w:pPr>
              <w:spacing w:after="0"/>
              <w:rPr>
                <w:sz w:val="19"/>
                <w:szCs w:val="19"/>
                <w:color w:val="auto"/>
              </w:rPr>
            </w:pPr>
          </w:p>
        </w:tc>
      </w:tr>
      <w:tr>
        <w:trPr>
          <w:trHeight w:val="221"/>
        </w:trPr>
        <w:tc>
          <w:tcPr>
            <w:tcW w:w="38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Purchase accounting adjustments-rent</w:t>
            </w:r>
            <w:r>
              <w:rPr>
                <w:rFonts w:ascii="Arial" w:cs="Arial" w:eastAsia="Arial" w:hAnsi="Arial"/>
                <w:sz w:val="14"/>
                <w:szCs w:val="14"/>
                <w:color w:val="auto"/>
              </w:rPr>
              <w:t>(3)</w:t>
            </w:r>
          </w:p>
        </w:tc>
        <w:tc>
          <w:tcPr>
            <w:tcW w:w="13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197</w:t>
            </w:r>
          </w:p>
        </w:tc>
        <w:tc>
          <w:tcPr>
            <w:tcW w:w="2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201</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861</w:t>
            </w:r>
          </w:p>
        </w:tc>
        <w:tc>
          <w:tcPr>
            <w:tcW w:w="2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893</w:t>
            </w:r>
          </w:p>
        </w:tc>
        <w:tc>
          <w:tcPr>
            <w:tcW w:w="20" w:type="dxa"/>
            <w:vAlign w:val="bottom"/>
            <w:shd w:val="clear" w:color="auto" w:fill="CFF0FC"/>
          </w:tcPr>
          <w:p>
            <w:pPr>
              <w:spacing w:after="0"/>
              <w:rPr>
                <w:sz w:val="19"/>
                <w:szCs w:val="19"/>
                <w:color w:val="auto"/>
              </w:rPr>
            </w:pPr>
          </w:p>
        </w:tc>
      </w:tr>
      <w:tr>
        <w:trPr>
          <w:trHeight w:val="221"/>
        </w:trPr>
        <w:tc>
          <w:tcPr>
            <w:tcW w:w="3800" w:type="dxa"/>
            <w:vAlign w:val="bottom"/>
          </w:tcPr>
          <w:p>
            <w:pPr>
              <w:ind w:left="120"/>
              <w:spacing w:after="0"/>
              <w:rPr>
                <w:sz w:val="20"/>
                <w:szCs w:val="20"/>
                <w:color w:val="auto"/>
              </w:rPr>
            </w:pPr>
            <w:r>
              <w:rPr>
                <w:rFonts w:ascii="Arial" w:cs="Arial" w:eastAsia="Arial" w:hAnsi="Arial"/>
                <w:sz w:val="17"/>
                <w:szCs w:val="17"/>
                <w:color w:val="auto"/>
              </w:rPr>
              <w:t>Management fees</w:t>
            </w:r>
            <w:r>
              <w:rPr>
                <w:rFonts w:ascii="Arial" w:cs="Arial" w:eastAsia="Arial" w:hAnsi="Arial"/>
                <w:sz w:val="14"/>
                <w:szCs w:val="14"/>
                <w:color w:val="auto"/>
              </w:rPr>
              <w:t>(4)</w:t>
            </w:r>
          </w:p>
        </w:tc>
        <w:tc>
          <w:tcPr>
            <w:tcW w:w="1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1,899</w:t>
            </w:r>
          </w:p>
        </w:tc>
        <w:tc>
          <w:tcPr>
            <w:tcW w:w="20" w:type="dxa"/>
            <w:vAlign w:val="bottom"/>
          </w:tcPr>
          <w:p>
            <w:pPr>
              <w:spacing w:after="0"/>
              <w:rPr>
                <w:sz w:val="19"/>
                <w:szCs w:val="19"/>
                <w:color w:val="auto"/>
              </w:rPr>
            </w:pPr>
          </w:p>
        </w:tc>
      </w:tr>
      <w:tr>
        <w:trPr>
          <w:trHeight w:val="221"/>
        </w:trPr>
        <w:tc>
          <w:tcPr>
            <w:tcW w:w="38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IT system upgrade costs</w:t>
            </w:r>
            <w:r>
              <w:rPr>
                <w:rFonts w:ascii="Arial" w:cs="Arial" w:eastAsia="Arial" w:hAnsi="Arial"/>
                <w:sz w:val="14"/>
                <w:szCs w:val="14"/>
                <w:color w:val="auto"/>
              </w:rPr>
              <w:t>(5)</w:t>
            </w:r>
          </w:p>
        </w:tc>
        <w:tc>
          <w:tcPr>
            <w:tcW w:w="13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3,901</w:t>
            </w:r>
          </w:p>
        </w:tc>
        <w:tc>
          <w:tcPr>
            <w:tcW w:w="20" w:type="dxa"/>
            <w:vAlign w:val="bottom"/>
            <w:shd w:val="clear" w:color="auto" w:fill="CFF0FC"/>
          </w:tcPr>
          <w:p>
            <w:pPr>
              <w:spacing w:after="0"/>
              <w:rPr>
                <w:sz w:val="19"/>
                <w:szCs w:val="19"/>
                <w:color w:val="auto"/>
              </w:rPr>
            </w:pPr>
          </w:p>
        </w:tc>
      </w:tr>
      <w:tr>
        <w:trPr>
          <w:trHeight w:val="221"/>
        </w:trPr>
        <w:tc>
          <w:tcPr>
            <w:tcW w:w="3800" w:type="dxa"/>
            <w:vAlign w:val="bottom"/>
          </w:tcPr>
          <w:p>
            <w:pPr>
              <w:ind w:left="120"/>
              <w:spacing w:after="0"/>
              <w:rPr>
                <w:sz w:val="20"/>
                <w:szCs w:val="20"/>
                <w:color w:val="auto"/>
              </w:rPr>
            </w:pPr>
            <w:r>
              <w:rPr>
                <w:rFonts w:ascii="Arial" w:cs="Arial" w:eastAsia="Arial" w:hAnsi="Arial"/>
                <w:sz w:val="17"/>
                <w:szCs w:val="17"/>
                <w:color w:val="auto"/>
              </w:rPr>
              <w:t>Transaction fees</w:t>
            </w:r>
            <w:r>
              <w:rPr>
                <w:rFonts w:ascii="Arial" w:cs="Arial" w:eastAsia="Arial" w:hAnsi="Arial"/>
                <w:sz w:val="14"/>
                <w:szCs w:val="14"/>
                <w:color w:val="auto"/>
              </w:rPr>
              <w:t>(6)</w:t>
            </w:r>
          </w:p>
        </w:tc>
        <w:tc>
          <w:tcPr>
            <w:tcW w:w="1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3,001</w:t>
            </w:r>
          </w:p>
        </w:tc>
        <w:tc>
          <w:tcPr>
            <w:tcW w:w="2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3,001</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9"/>
                <w:szCs w:val="19"/>
                <w:color w:val="auto"/>
              </w:rPr>
            </w:pPr>
          </w:p>
        </w:tc>
      </w:tr>
      <w:tr>
        <w:trPr>
          <w:trHeight w:val="221"/>
        </w:trPr>
        <w:tc>
          <w:tcPr>
            <w:tcW w:w="38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Stock offering-related costs</w:t>
            </w:r>
            <w:r>
              <w:rPr>
                <w:rFonts w:ascii="Arial" w:cs="Arial" w:eastAsia="Arial" w:hAnsi="Arial"/>
                <w:sz w:val="14"/>
                <w:szCs w:val="14"/>
                <w:color w:val="auto"/>
              </w:rPr>
              <w:t>(7)</w:t>
            </w:r>
          </w:p>
        </w:tc>
        <w:tc>
          <w:tcPr>
            <w:tcW w:w="13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499</w:t>
            </w:r>
          </w:p>
        </w:tc>
        <w:tc>
          <w:tcPr>
            <w:tcW w:w="2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458</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2,604</w:t>
            </w:r>
          </w:p>
        </w:tc>
        <w:tc>
          <w:tcPr>
            <w:tcW w:w="2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7,697</w:t>
            </w:r>
          </w:p>
        </w:tc>
        <w:tc>
          <w:tcPr>
            <w:tcW w:w="20" w:type="dxa"/>
            <w:vAlign w:val="bottom"/>
            <w:shd w:val="clear" w:color="auto" w:fill="CFF0FC"/>
          </w:tcPr>
          <w:p>
            <w:pPr>
              <w:spacing w:after="0"/>
              <w:rPr>
                <w:sz w:val="19"/>
                <w:szCs w:val="19"/>
                <w:color w:val="auto"/>
              </w:rPr>
            </w:pPr>
          </w:p>
        </w:tc>
      </w:tr>
      <w:tr>
        <w:trPr>
          <w:trHeight w:val="221"/>
        </w:trPr>
        <w:tc>
          <w:tcPr>
            <w:tcW w:w="3800" w:type="dxa"/>
            <w:vAlign w:val="bottom"/>
          </w:tcPr>
          <w:p>
            <w:pPr>
              <w:ind w:left="120"/>
              <w:spacing w:after="0"/>
              <w:rPr>
                <w:sz w:val="20"/>
                <w:szCs w:val="20"/>
                <w:color w:val="auto"/>
              </w:rPr>
            </w:pPr>
            <w:r>
              <w:rPr>
                <w:rFonts w:ascii="Arial" w:cs="Arial" w:eastAsia="Arial" w:hAnsi="Arial"/>
                <w:sz w:val="17"/>
                <w:szCs w:val="17"/>
                <w:color w:val="auto"/>
              </w:rPr>
              <w:t>IPO-related compensation expense</w:t>
            </w:r>
            <w:r>
              <w:rPr>
                <w:rFonts w:ascii="Arial" w:cs="Arial" w:eastAsia="Arial" w:hAnsi="Arial"/>
                <w:sz w:val="14"/>
                <w:szCs w:val="14"/>
                <w:color w:val="auto"/>
              </w:rPr>
              <w:t>(8)</w:t>
            </w:r>
          </w:p>
        </w:tc>
        <w:tc>
          <w:tcPr>
            <w:tcW w:w="1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6,155</w:t>
            </w:r>
          </w:p>
        </w:tc>
        <w:tc>
          <w:tcPr>
            <w:tcW w:w="20" w:type="dxa"/>
            <w:vAlign w:val="bottom"/>
          </w:tcPr>
          <w:p>
            <w:pPr>
              <w:spacing w:after="0"/>
              <w:rPr>
                <w:sz w:val="19"/>
                <w:szCs w:val="19"/>
                <w:color w:val="auto"/>
              </w:rPr>
            </w:pPr>
          </w:p>
        </w:tc>
      </w:tr>
      <w:tr>
        <w:trPr>
          <w:trHeight w:val="221"/>
        </w:trPr>
        <w:tc>
          <w:tcPr>
            <w:tcW w:w="38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Severance costs</w:t>
            </w:r>
            <w:r>
              <w:rPr>
                <w:rFonts w:ascii="Arial" w:cs="Arial" w:eastAsia="Arial" w:hAnsi="Arial"/>
                <w:sz w:val="14"/>
                <w:szCs w:val="14"/>
                <w:color w:val="auto"/>
              </w:rPr>
              <w:t>(9)</w:t>
            </w:r>
          </w:p>
        </w:tc>
        <w:tc>
          <w:tcPr>
            <w:tcW w:w="13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423</w:t>
            </w:r>
          </w:p>
        </w:tc>
        <w:tc>
          <w:tcPr>
            <w:tcW w:w="2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0" w:type="dxa"/>
            <w:vAlign w:val="bottom"/>
            <w:shd w:val="clear" w:color="auto" w:fill="CFF0FC"/>
          </w:tcPr>
          <w:p>
            <w:pPr>
              <w:spacing w:after="0"/>
              <w:rPr>
                <w:sz w:val="19"/>
                <w:szCs w:val="19"/>
                <w:color w:val="auto"/>
              </w:rPr>
            </w:pPr>
          </w:p>
        </w:tc>
      </w:tr>
      <w:tr>
        <w:trPr>
          <w:trHeight w:val="221"/>
        </w:trPr>
        <w:tc>
          <w:tcPr>
            <w:tcW w:w="3800" w:type="dxa"/>
            <w:vAlign w:val="bottom"/>
          </w:tcPr>
          <w:p>
            <w:pPr>
              <w:ind w:left="120"/>
              <w:spacing w:after="0"/>
              <w:rPr>
                <w:sz w:val="20"/>
                <w:szCs w:val="20"/>
                <w:color w:val="auto"/>
              </w:rPr>
            </w:pPr>
            <w:r>
              <w:rPr>
                <w:rFonts w:ascii="Arial" w:cs="Arial" w:eastAsia="Arial" w:hAnsi="Arial"/>
                <w:sz w:val="17"/>
                <w:szCs w:val="17"/>
                <w:color w:val="auto"/>
              </w:rPr>
              <w:t>Pre-opening costs</w:t>
            </w:r>
            <w:r>
              <w:rPr>
                <w:rFonts w:ascii="Arial" w:cs="Arial" w:eastAsia="Arial" w:hAnsi="Arial"/>
                <w:sz w:val="14"/>
                <w:szCs w:val="14"/>
                <w:color w:val="auto"/>
              </w:rPr>
              <w:t>(10)</w:t>
            </w:r>
          </w:p>
        </w:tc>
        <w:tc>
          <w:tcPr>
            <w:tcW w:w="1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793</w:t>
            </w:r>
          </w:p>
        </w:tc>
        <w:tc>
          <w:tcPr>
            <w:tcW w:w="20" w:type="dxa"/>
            <w:vAlign w:val="bottom"/>
          </w:tcPr>
          <w:p>
            <w:pPr>
              <w:spacing w:after="0"/>
              <w:rPr>
                <w:sz w:val="19"/>
                <w:szCs w:val="19"/>
                <w:color w:val="auto"/>
              </w:rPr>
            </w:pPr>
          </w:p>
        </w:tc>
      </w:tr>
      <w:tr>
        <w:trPr>
          <w:trHeight w:val="221"/>
        </w:trPr>
        <w:tc>
          <w:tcPr>
            <w:tcW w:w="38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Equipment discount</w:t>
            </w:r>
            <w:r>
              <w:rPr>
                <w:rFonts w:ascii="Arial" w:cs="Arial" w:eastAsia="Arial" w:hAnsi="Arial"/>
                <w:sz w:val="14"/>
                <w:szCs w:val="14"/>
                <w:color w:val="auto"/>
              </w:rPr>
              <w:t>(11)</w:t>
            </w:r>
          </w:p>
        </w:tc>
        <w:tc>
          <w:tcPr>
            <w:tcW w:w="13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(1,754)</w:t>
            </w:r>
          </w:p>
        </w:tc>
        <w:tc>
          <w:tcPr>
            <w:tcW w:w="4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(1,754)</w:t>
            </w: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0" w:type="dxa"/>
            <w:vAlign w:val="bottom"/>
            <w:shd w:val="clear" w:color="auto" w:fill="CFF0FC"/>
          </w:tcPr>
          <w:p>
            <w:pPr>
              <w:spacing w:after="0"/>
              <w:rPr>
                <w:sz w:val="19"/>
                <w:szCs w:val="19"/>
                <w:color w:val="auto"/>
              </w:rPr>
            </w:pPr>
          </w:p>
        </w:tc>
      </w:tr>
      <w:tr>
        <w:trPr>
          <w:trHeight w:val="221"/>
        </w:trPr>
        <w:tc>
          <w:tcPr>
            <w:tcW w:w="3800" w:type="dxa"/>
            <w:vAlign w:val="bottom"/>
          </w:tcPr>
          <w:p>
            <w:pPr>
              <w:ind w:left="120"/>
              <w:spacing w:after="0"/>
              <w:rPr>
                <w:sz w:val="20"/>
                <w:szCs w:val="20"/>
                <w:color w:val="auto"/>
              </w:rPr>
            </w:pPr>
            <w:r>
              <w:rPr>
                <w:rFonts w:ascii="Arial" w:cs="Arial" w:eastAsia="Arial" w:hAnsi="Arial"/>
                <w:sz w:val="17"/>
                <w:szCs w:val="17"/>
                <w:color w:val="auto"/>
              </w:rPr>
              <w:t>Indemnification receivable</w:t>
            </w:r>
            <w:r>
              <w:rPr>
                <w:rFonts w:ascii="Arial" w:cs="Arial" w:eastAsia="Arial" w:hAnsi="Arial"/>
                <w:sz w:val="14"/>
                <w:szCs w:val="14"/>
                <w:color w:val="auto"/>
              </w:rPr>
              <w:t>(12)</w:t>
            </w:r>
          </w:p>
        </w:tc>
        <w:tc>
          <w:tcPr>
            <w:tcW w:w="1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60" w:type="dxa"/>
            <w:vAlign w:val="bottom"/>
            <w:gridSpan w:val="2"/>
          </w:tcPr>
          <w:p>
            <w:pPr>
              <w:jc w:val="right"/>
              <w:ind w:right="220"/>
              <w:spacing w:after="0"/>
              <w:rPr>
                <w:sz w:val="20"/>
                <w:szCs w:val="20"/>
                <w:color w:val="auto"/>
              </w:rPr>
            </w:pPr>
            <w:r>
              <w:rPr>
                <w:rFonts w:ascii="Arial" w:cs="Arial" w:eastAsia="Arial" w:hAnsi="Arial"/>
                <w:sz w:val="17"/>
                <w:szCs w:val="17"/>
                <w:color w:val="auto"/>
              </w:rPr>
              <w:t>(2,772)</w:t>
            </w:r>
          </w:p>
        </w:tc>
        <w:tc>
          <w:tcPr>
            <w:tcW w:w="4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7"/>
                <w:szCs w:val="17"/>
                <w:color w:val="auto"/>
              </w:rPr>
              <w:t>(2,772)</w:t>
            </w:r>
          </w:p>
        </w:tc>
        <w:tc>
          <w:tcPr>
            <w:tcW w:w="3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9"/>
                <w:szCs w:val="19"/>
                <w:color w:val="auto"/>
              </w:rPr>
            </w:pPr>
          </w:p>
        </w:tc>
      </w:tr>
      <w:tr>
        <w:trPr>
          <w:trHeight w:val="221"/>
        </w:trPr>
        <w:tc>
          <w:tcPr>
            <w:tcW w:w="38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Other</w:t>
            </w:r>
            <w:r>
              <w:rPr>
                <w:rFonts w:ascii="Arial" w:cs="Arial" w:eastAsia="Arial" w:hAnsi="Arial"/>
                <w:sz w:val="14"/>
                <w:szCs w:val="14"/>
                <w:color w:val="auto"/>
              </w:rPr>
              <w:t>(13)</w:t>
            </w:r>
          </w:p>
        </w:tc>
        <w:tc>
          <w:tcPr>
            <w:tcW w:w="13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(840)</w:t>
            </w:r>
          </w:p>
        </w:tc>
        <w:tc>
          <w:tcPr>
            <w:tcW w:w="44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(2,550)</w:t>
            </w:r>
          </w:p>
        </w:tc>
        <w:tc>
          <w:tcPr>
            <w:tcW w:w="16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(768)</w:t>
            </w:r>
          </w:p>
        </w:tc>
        <w:tc>
          <w:tcPr>
            <w:tcW w:w="3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(2,550</w:t>
            </w:r>
          </w:p>
        </w:tc>
        <w:tc>
          <w:tcPr>
            <w:tcW w:w="20" w:type="dxa"/>
            <w:vAlign w:val="bottom"/>
            <w:shd w:val="clear" w:color="auto" w:fill="CFF0FC"/>
          </w:tcPr>
          <w:p>
            <w:pPr>
              <w:spacing w:after="0"/>
              <w:rPr>
                <w:sz w:val="19"/>
                <w:szCs w:val="19"/>
                <w:color w:val="auto"/>
              </w:rPr>
            </w:pPr>
          </w:p>
        </w:tc>
      </w:tr>
      <w:tr>
        <w:trPr>
          <w:trHeight w:val="214"/>
        </w:trPr>
        <w:tc>
          <w:tcPr>
            <w:tcW w:w="3800" w:type="dxa"/>
            <w:vAlign w:val="bottom"/>
          </w:tcPr>
          <w:p>
            <w:pPr>
              <w:spacing w:after="0"/>
              <w:rPr>
                <w:sz w:val="20"/>
                <w:szCs w:val="20"/>
                <w:color w:val="auto"/>
              </w:rPr>
            </w:pPr>
            <w:r>
              <w:rPr>
                <w:rFonts w:ascii="Arial" w:cs="Arial" w:eastAsia="Arial" w:hAnsi="Arial"/>
                <w:sz w:val="17"/>
                <w:szCs w:val="17"/>
                <w:color w:val="auto"/>
              </w:rPr>
              <w:t>Adjusted EBITDA</w:t>
            </w:r>
          </w:p>
        </w:tc>
        <w:tc>
          <w:tcPr>
            <w:tcW w:w="138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44,146</w:t>
            </w:r>
          </w:p>
        </w:tc>
        <w:tc>
          <w:tcPr>
            <w:tcW w:w="280" w:type="dxa"/>
            <w:vAlign w:val="bottom"/>
          </w:tcPr>
          <w:p>
            <w:pPr>
              <w:spacing w:after="0"/>
              <w:rPr>
                <w:sz w:val="18"/>
                <w:szCs w:val="18"/>
                <w:color w:val="auto"/>
              </w:rPr>
            </w:pPr>
          </w:p>
        </w:tc>
        <w:tc>
          <w:tcPr>
            <w:tcW w:w="440" w:type="dxa"/>
            <w:vAlign w:val="bottom"/>
            <w:tcBorders>
              <w:top w:val="single" w:sz="8" w:color="auto"/>
              <w:bottom w:val="single" w:sz="8" w:color="auto"/>
            </w:tcBorders>
          </w:tcPr>
          <w:p>
            <w:pPr>
              <w:jc w:val="right"/>
              <w:ind w:right="284"/>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37,500</w:t>
            </w:r>
          </w:p>
        </w:tc>
        <w:tc>
          <w:tcPr>
            <w:tcW w:w="26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150,617</w:t>
            </w:r>
          </w:p>
        </w:tc>
        <w:tc>
          <w:tcPr>
            <w:tcW w:w="280" w:type="dxa"/>
            <w:vAlign w:val="bottom"/>
          </w:tcPr>
          <w:p>
            <w:pPr>
              <w:spacing w:after="0"/>
              <w:rPr>
                <w:sz w:val="18"/>
                <w:szCs w:val="18"/>
                <w:color w:val="auto"/>
              </w:rPr>
            </w:pPr>
          </w:p>
        </w:tc>
        <w:tc>
          <w:tcPr>
            <w:tcW w:w="320" w:type="dxa"/>
            <w:vAlign w:val="bottom"/>
            <w:tcBorders>
              <w:top w:val="single" w:sz="8" w:color="auto"/>
              <w:bottom w:val="single" w:sz="8" w:color="auto"/>
            </w:tcBorders>
          </w:tcPr>
          <w:p>
            <w:pPr>
              <w:jc w:val="right"/>
              <w:ind w:right="164"/>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123,486</w:t>
            </w:r>
          </w:p>
        </w:tc>
        <w:tc>
          <w:tcPr>
            <w:tcW w:w="20" w:type="dxa"/>
            <w:vAlign w:val="bottom"/>
          </w:tcPr>
          <w:p>
            <w:pPr>
              <w:spacing w:after="0"/>
              <w:rPr>
                <w:sz w:val="18"/>
                <w:szCs w:val="18"/>
                <w:color w:val="auto"/>
              </w:rPr>
            </w:pPr>
          </w:p>
        </w:tc>
      </w:tr>
      <w:tr>
        <w:trPr>
          <w:trHeight w:val="20"/>
        </w:trPr>
        <w:tc>
          <w:tcPr>
            <w:tcW w:w="38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92" w:lineRule="exact"/>
        <w:rPr>
          <w:sz w:val="20"/>
          <w:szCs w:val="20"/>
          <w:color w:val="auto"/>
        </w:rPr>
      </w:pPr>
    </w:p>
    <w:p>
      <w:pPr>
        <w:ind w:left="540" w:hanging="536"/>
        <w:spacing w:after="0"/>
        <w:tabs>
          <w:tab w:leader="none" w:pos="5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Includes $0.6 million of loss on extinguishment of debt in the year ended December 31, 2016.</w:t>
      </w:r>
    </w:p>
    <w:p>
      <w:pPr>
        <w:spacing w:after="0" w:line="24" w:lineRule="exact"/>
        <w:rPr>
          <w:rFonts w:ascii="Arial" w:cs="Arial" w:eastAsia="Arial" w:hAnsi="Arial"/>
          <w:sz w:val="17"/>
          <w:szCs w:val="17"/>
          <w:color w:val="auto"/>
        </w:rPr>
      </w:pPr>
    </w:p>
    <w:p>
      <w:pPr>
        <w:jc w:val="both"/>
        <w:ind w:left="540" w:right="100" w:hanging="536"/>
        <w:spacing w:after="0" w:line="289" w:lineRule="auto"/>
        <w:tabs>
          <w:tab w:leader="none" w:pos="540" w:val="left"/>
        </w:tabs>
        <w:numPr>
          <w:ilvl w:val="0"/>
          <w:numId w:val="12"/>
        </w:numPr>
        <w:rPr>
          <w:rFonts w:ascii="Arial" w:cs="Arial" w:eastAsia="Arial" w:hAnsi="Arial"/>
          <w:sz w:val="15"/>
          <w:szCs w:val="15"/>
          <w:color w:val="auto"/>
        </w:rPr>
      </w:pPr>
      <w:r>
        <w:rPr>
          <w:rFonts w:ascii="Arial" w:cs="Arial" w:eastAsia="Arial" w:hAnsi="Arial"/>
          <w:sz w:val="15"/>
          <w:szCs w:val="15"/>
          <w:color w:val="auto"/>
        </w:rPr>
        <w:t>Represents the impact of revenue-related purchase accounting adjustments associated with the 2012 acquisition of Pla-Fit Holdings on November 8, 2012 (the “2012 Acquisition”) by investment funds associated with TSG Consumer Partners, LLC. At the time of the 2012 Acquisition, which consisted of the purchase of interests in Pla-Fit Holdings by TSG, the Company maintained a deferred revenue account, which consisted of deferred area development agreement fees, deferred franchise fees, and deferred enrollment fees that the Company billed and collected up front but recognizes for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For the quarters ended December 31, 2016 and 2015 and the years ended December 31, 2016 and 2015, these amounted to $29, $248, $487 and $713, respectively, representing the amount of additional revenue that would have been recognized in those periods if the write-down to deferred revenue had not occurred in connection with the application of acquisition pushdown accounting.</w:t>
      </w:r>
    </w:p>
    <w:p>
      <w:pPr>
        <w:spacing w:after="0" w:line="1" w:lineRule="exact"/>
        <w:rPr>
          <w:rFonts w:ascii="Arial" w:cs="Arial" w:eastAsia="Arial" w:hAnsi="Arial"/>
          <w:sz w:val="15"/>
          <w:szCs w:val="15"/>
          <w:color w:val="auto"/>
        </w:rPr>
      </w:pPr>
    </w:p>
    <w:p>
      <w:pPr>
        <w:jc w:val="both"/>
        <w:ind w:left="540" w:right="100" w:hanging="536"/>
        <w:spacing w:after="0" w:line="289" w:lineRule="auto"/>
        <w:tabs>
          <w:tab w:leader="none" w:pos="540" w:val="left"/>
        </w:tabs>
        <w:numPr>
          <w:ilvl w:val="0"/>
          <w:numId w:val="12"/>
        </w:numPr>
        <w:rPr>
          <w:rFonts w:ascii="Arial" w:cs="Arial" w:eastAsia="Arial" w:hAnsi="Arial"/>
          <w:sz w:val="15"/>
          <w:szCs w:val="15"/>
          <w:color w:val="auto"/>
        </w:rPr>
      </w:pPr>
      <w:r>
        <w:rPr>
          <w:rFonts w:ascii="Arial" w:cs="Arial" w:eastAsia="Arial" w:hAnsi="Arial"/>
          <w:sz w:val="15"/>
          <w:szCs w:val="15"/>
          <w:color w:val="auto"/>
        </w:rPr>
        <w:t>Represents the impact of rent related purchase accounting adjustments. In accordance with guidance in ASC 805 – Business Combinations, in connection with the 2012 Acquisition, the Company’s deferred rent liability was required to be written off as of the acquisition date and rent is being recorded on a straight-line basis from the acquisition date through the end of the lease term. This resulted in higher overall rent expense each period than would have otherwise been recorded had the deferred rent liability not been written off as a result of the acquisition push down accounting applied in accordance with ASC 805. Adjustments of $103, $104, $475 and $415 in the quarters ending December 31, 2016 and 2015 and the years ending December 31, 2016 and 2015, respectively, reflect the difference between the higher rent expense recorded in accordance with GAAP since the acquisition and the rent expense that would have been recorded had the 2012 Acquisition not occurred. Adjustments of $94, $97, $386 and $478 for the quarters ending December 31, 2016 and 2015 and the years ending December 31, 2016 and 2015, respectively, are due to the amortization of favorable and unfavorable lease intangible assets which were recorded in connection with the 2012 Acquisition and the acquisition of eight franchisee-owned stores on March 31, 2014. All of the rent related purchase accounting adjustments are adjustments to rent expense which is included in store operations on our consolidated statements of operations.</w:t>
      </w:r>
    </w:p>
    <w:p>
      <w:pPr>
        <w:spacing w:after="0" w:line="1" w:lineRule="exact"/>
        <w:rPr>
          <w:rFonts w:ascii="Arial" w:cs="Arial" w:eastAsia="Arial" w:hAnsi="Arial"/>
          <w:sz w:val="15"/>
          <w:szCs w:val="15"/>
          <w:color w:val="auto"/>
        </w:rPr>
      </w:pPr>
    </w:p>
    <w:p>
      <w:pPr>
        <w:ind w:left="540" w:right="100" w:hanging="536"/>
        <w:spacing w:after="0" w:line="270" w:lineRule="auto"/>
        <w:tabs>
          <w:tab w:leader="none" w:pos="5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Represents management fees and expenses paid to a management company affiliated with TSG pursuant to a management services agreement that terminated in connection with the IPO, including a $1.0 million termination fee in the year ended December 31,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38100</wp:posOffset>
            </wp:positionV>
            <wp:extent cx="7293610" cy="419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520"/>
          </w:cols>
          <w:pgMar w:left="240" w:top="121" w:right="139" w:bottom="1440" w:gutter="0" w:footer="0" w:header="0"/>
        </w:sectPr>
      </w:pPr>
    </w:p>
    <w:bookmarkStart w:id="13" w:name="page14"/>
    <w:bookmarkEnd w:id="13"/>
    <w:p>
      <w:pPr>
        <w:jc w:val="center"/>
        <w:spacing w:after="0"/>
        <w:rPr>
          <w:sz w:val="20"/>
          <w:szCs w:val="20"/>
          <w:color w:val="auto"/>
        </w:rPr>
      </w:pPr>
      <w:r>
        <w:rPr>
          <w:rFonts w:ascii="Arial" w:cs="Arial" w:eastAsia="Arial" w:hAnsi="Arial"/>
          <w:sz w:val="17"/>
          <w:szCs w:val="17"/>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Non-GAAP Financial Measures</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2" w:lineRule="exact"/>
        <w:rPr>
          <w:sz w:val="20"/>
          <w:szCs w:val="20"/>
          <w:color w:val="auto"/>
        </w:rPr>
      </w:pPr>
    </w:p>
    <w:p>
      <w:pPr>
        <w:jc w:val="center"/>
        <w:ind w:right="80"/>
        <w:spacing w:after="0"/>
        <w:rPr>
          <w:sz w:val="20"/>
          <w:szCs w:val="20"/>
          <w:color w:val="auto"/>
        </w:rPr>
      </w:pPr>
      <w:r>
        <w:rPr>
          <w:rFonts w:ascii="Arial" w:cs="Arial" w:eastAsia="Arial" w:hAnsi="Arial"/>
          <w:sz w:val="17"/>
          <w:szCs w:val="17"/>
          <w:color w:val="auto"/>
        </w:rPr>
        <w:t>(Amounts in thousands, except per share amounts)</w:t>
      </w:r>
    </w:p>
    <w:p>
      <w:pPr>
        <w:spacing w:after="0" w:line="208" w:lineRule="exact"/>
        <w:rPr>
          <w:sz w:val="20"/>
          <w:szCs w:val="20"/>
          <w:color w:val="auto"/>
        </w:rPr>
      </w:pPr>
    </w:p>
    <w:p>
      <w:pPr>
        <w:ind w:left="540" w:hanging="536"/>
        <w:spacing w:after="0"/>
        <w:tabs>
          <w:tab w:leader="none" w:pos="5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Represents costs associated with certain IT system upgrades, primarily related to our point-of-sale systems.</w:t>
      </w:r>
    </w:p>
    <w:p>
      <w:pPr>
        <w:spacing w:after="0" w:line="24" w:lineRule="exact"/>
        <w:rPr>
          <w:rFonts w:ascii="Arial" w:cs="Arial" w:eastAsia="Arial" w:hAnsi="Arial"/>
          <w:sz w:val="17"/>
          <w:szCs w:val="17"/>
          <w:color w:val="auto"/>
        </w:rPr>
      </w:pPr>
    </w:p>
    <w:p>
      <w:pPr>
        <w:ind w:left="540" w:hanging="536"/>
        <w:spacing w:after="0"/>
        <w:tabs>
          <w:tab w:leader="none" w:pos="5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Represents transaction fees and expenses related to the amendment of our credit facility in the year ended December 31, 2016.</w:t>
      </w:r>
    </w:p>
    <w:p>
      <w:pPr>
        <w:spacing w:after="0" w:line="12" w:lineRule="exact"/>
        <w:rPr>
          <w:rFonts w:ascii="Arial" w:cs="Arial" w:eastAsia="Arial" w:hAnsi="Arial"/>
          <w:sz w:val="17"/>
          <w:szCs w:val="17"/>
          <w:color w:val="auto"/>
        </w:rPr>
      </w:pPr>
    </w:p>
    <w:p>
      <w:pPr>
        <w:ind w:left="540" w:hanging="536"/>
        <w:spacing w:after="0"/>
        <w:tabs>
          <w:tab w:leader="none" w:pos="5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Represents legal, accounting and other costs incurred in connection with offerings of the Company’s Class A common stock.</w:t>
      </w:r>
    </w:p>
    <w:p>
      <w:pPr>
        <w:spacing w:after="0" w:line="12" w:lineRule="exact"/>
        <w:rPr>
          <w:rFonts w:ascii="Arial" w:cs="Arial" w:eastAsia="Arial" w:hAnsi="Arial"/>
          <w:sz w:val="17"/>
          <w:szCs w:val="17"/>
          <w:color w:val="auto"/>
        </w:rPr>
      </w:pPr>
    </w:p>
    <w:p>
      <w:pPr>
        <w:ind w:left="540" w:hanging="536"/>
        <w:spacing w:after="0"/>
        <w:tabs>
          <w:tab w:leader="none" w:pos="5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Represents cash-based and equity-based compensation expense recorded in connection with the IPO.</w:t>
      </w:r>
    </w:p>
    <w:p>
      <w:pPr>
        <w:spacing w:after="0" w:line="12" w:lineRule="exact"/>
        <w:rPr>
          <w:rFonts w:ascii="Arial" w:cs="Arial" w:eastAsia="Arial" w:hAnsi="Arial"/>
          <w:sz w:val="17"/>
          <w:szCs w:val="17"/>
          <w:color w:val="auto"/>
        </w:rPr>
      </w:pPr>
    </w:p>
    <w:p>
      <w:pPr>
        <w:ind w:left="540" w:hanging="536"/>
        <w:spacing w:after="0"/>
        <w:tabs>
          <w:tab w:leader="none" w:pos="5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Represents severance expense recorded in connection with an equity award modification.</w:t>
      </w:r>
    </w:p>
    <w:p>
      <w:pPr>
        <w:spacing w:after="0" w:line="12" w:lineRule="exact"/>
        <w:rPr>
          <w:rFonts w:ascii="Arial" w:cs="Arial" w:eastAsia="Arial" w:hAnsi="Arial"/>
          <w:sz w:val="17"/>
          <w:szCs w:val="17"/>
          <w:color w:val="auto"/>
        </w:rPr>
      </w:pPr>
    </w:p>
    <w:p>
      <w:pPr>
        <w:ind w:left="540" w:hanging="536"/>
        <w:spacing w:after="0" w:line="255" w:lineRule="auto"/>
        <w:tabs>
          <w:tab w:leader="none" w:pos="5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Represents costs associated with new corporate-owned stores incurred prior to the store opening, including payroll-related costs, rent and occupancy expenses, marketing and other store operating supply expenses.</w:t>
      </w:r>
    </w:p>
    <w:p>
      <w:pPr>
        <w:ind w:left="540" w:hanging="536"/>
        <w:spacing w:after="0" w:line="271" w:lineRule="auto"/>
        <w:tabs>
          <w:tab w:leader="none" w:pos="540" w:val="left"/>
        </w:tabs>
        <w:numPr>
          <w:ilvl w:val="0"/>
          <w:numId w:val="13"/>
        </w:numPr>
        <w:rPr>
          <w:rFonts w:ascii="Arial" w:cs="Arial" w:eastAsia="Arial" w:hAnsi="Arial"/>
          <w:sz w:val="16"/>
          <w:szCs w:val="16"/>
          <w:color w:val="auto"/>
        </w:rPr>
      </w:pPr>
      <w:r>
        <w:rPr>
          <w:rFonts w:ascii="Arial" w:cs="Arial" w:eastAsia="Arial" w:hAnsi="Arial"/>
          <w:sz w:val="16"/>
          <w:szCs w:val="16"/>
          <w:color w:val="auto"/>
        </w:rPr>
        <w:t>Represents a gain recorded in connection with the write-off of a previously accrued equipment discount that is no longer expected to be utilized. This amount was originally recognized through purchase accounting in connection with the acquisition of eight franchisee-owned stores on March 31, 2014.</w:t>
      </w:r>
    </w:p>
    <w:p>
      <w:pPr>
        <w:ind w:left="540" w:hanging="536"/>
        <w:spacing w:after="0" w:line="255" w:lineRule="auto"/>
        <w:tabs>
          <w:tab w:leader="none" w:pos="5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Represents a receivable recorded in connection with a contractual obligation of the Company’s co-founders to indemnify the Company with respect to pre-IPO tax liabilities pursuant to the 2012 Acquisition.</w:t>
      </w:r>
    </w:p>
    <w:p>
      <w:pPr>
        <w:jc w:val="both"/>
        <w:ind w:left="540" w:hanging="536"/>
        <w:spacing w:after="0" w:line="262" w:lineRule="auto"/>
        <w:tabs>
          <w:tab w:leader="none" w:pos="5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Represents certain other charges and gains that we do not believe reflect our underlying business performance. In 2016, the net gain primarily related to proceeds received from an insurance settlement. In 2015, the gain related to the adjustment of our tax benefit arrangements primarily due to changes in our effective tax rate.</w:t>
      </w:r>
    </w:p>
    <w:p>
      <w:pPr>
        <w:spacing w:after="0" w:line="387" w:lineRule="exact"/>
        <w:rPr>
          <w:sz w:val="20"/>
          <w:szCs w:val="20"/>
          <w:color w:val="auto"/>
        </w:rPr>
      </w:pPr>
    </w:p>
    <w:p>
      <w:pPr>
        <w:spacing w:after="0"/>
        <w:rPr>
          <w:sz w:val="20"/>
          <w:szCs w:val="20"/>
          <w:color w:val="auto"/>
        </w:rPr>
      </w:pPr>
      <w:r>
        <w:rPr>
          <w:rFonts w:ascii="Arial" w:cs="Arial" w:eastAsia="Arial" w:hAnsi="Arial"/>
          <w:sz w:val="17"/>
          <w:szCs w:val="17"/>
          <w:color w:val="auto"/>
        </w:rPr>
        <w:t>A reconciliation of Segment EBITDA to Total Segment EBITDA is set forth below.</w:t>
      </w:r>
    </w:p>
    <w:p>
      <w:pPr>
        <w:spacing w:after="0" w:line="9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4680" w:type="dxa"/>
            <w:vAlign w:val="bottom"/>
          </w:tcPr>
          <w:p>
            <w:pPr>
              <w:spacing w:after="0"/>
              <w:rPr>
                <w:sz w:val="14"/>
                <w:szCs w:val="14"/>
                <w:color w:val="auto"/>
              </w:rPr>
            </w:pPr>
          </w:p>
        </w:tc>
        <w:tc>
          <w:tcPr>
            <w:tcW w:w="2660" w:type="dxa"/>
            <w:vAlign w:val="bottom"/>
            <w:gridSpan w:val="5"/>
          </w:tcPr>
          <w:p>
            <w:pPr>
              <w:jc w:val="right"/>
              <w:spacing w:after="0"/>
              <w:rPr>
                <w:sz w:val="20"/>
                <w:szCs w:val="20"/>
                <w:color w:val="auto"/>
              </w:rPr>
            </w:pPr>
            <w:r>
              <w:rPr>
                <w:rFonts w:ascii="Arial" w:cs="Arial" w:eastAsia="Arial" w:hAnsi="Arial"/>
                <w:sz w:val="14"/>
                <w:szCs w:val="14"/>
                <w:b w:val="1"/>
                <w:bCs w:val="1"/>
                <w:color w:val="auto"/>
              </w:rPr>
              <w:t>Three Months Ended December 31,</w:t>
            </w: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940" w:type="dxa"/>
            <w:vAlign w:val="bottom"/>
            <w:gridSpan w:val="5"/>
          </w:tcPr>
          <w:p>
            <w:pPr>
              <w:jc w:val="right"/>
              <w:ind w:right="9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9"/>
        </w:trPr>
        <w:tc>
          <w:tcPr>
            <w:tcW w:w="4680" w:type="dxa"/>
            <w:vAlign w:val="bottom"/>
          </w:tcPr>
          <w:p>
            <w:pPr>
              <w:spacing w:after="0"/>
              <w:rPr>
                <w:sz w:val="12"/>
                <w:szCs w:val="12"/>
                <w:color w:val="auto"/>
              </w:rPr>
            </w:pPr>
          </w:p>
        </w:tc>
        <w:tc>
          <w:tcPr>
            <w:tcW w:w="920" w:type="dxa"/>
            <w:vAlign w:val="bottom"/>
            <w:tcBorders>
              <w:top w:val="single" w:sz="8" w:color="auto"/>
            </w:tcBorders>
          </w:tcPr>
          <w:p>
            <w:pPr>
              <w:jc w:val="right"/>
              <w:spacing w:after="0" w:line="149" w:lineRule="exact"/>
              <w:rPr>
                <w:sz w:val="20"/>
                <w:szCs w:val="20"/>
                <w:color w:val="auto"/>
              </w:rPr>
            </w:pPr>
            <w:r>
              <w:rPr>
                <w:rFonts w:ascii="Arial" w:cs="Arial" w:eastAsia="Arial" w:hAnsi="Arial"/>
                <w:sz w:val="14"/>
                <w:szCs w:val="14"/>
                <w:b w:val="1"/>
                <w:bCs w:val="1"/>
                <w:color w:val="auto"/>
              </w:rPr>
              <w:t>2016</w:t>
            </w:r>
          </w:p>
        </w:tc>
        <w:tc>
          <w:tcPr>
            <w:tcW w:w="54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gridSpan w:val="2"/>
          </w:tcPr>
          <w:p>
            <w:pPr>
              <w:jc w:val="right"/>
              <w:spacing w:after="0" w:line="149" w:lineRule="exact"/>
              <w:rPr>
                <w:sz w:val="20"/>
                <w:szCs w:val="20"/>
                <w:color w:val="auto"/>
              </w:rPr>
            </w:pPr>
            <w:r>
              <w:rPr>
                <w:rFonts w:ascii="Arial" w:cs="Arial" w:eastAsia="Arial" w:hAnsi="Arial"/>
                <w:sz w:val="14"/>
                <w:szCs w:val="14"/>
                <w:b w:val="1"/>
                <w:bCs w:val="1"/>
                <w:color w:val="auto"/>
              </w:rPr>
              <w:t>2015</w:t>
            </w:r>
          </w:p>
        </w:tc>
        <w:tc>
          <w:tcPr>
            <w:tcW w:w="5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120" w:type="dxa"/>
            <w:vAlign w:val="bottom"/>
            <w:tcBorders>
              <w:top w:val="single" w:sz="8" w:color="auto"/>
            </w:tcBorders>
          </w:tcPr>
          <w:p>
            <w:pPr>
              <w:jc w:val="right"/>
              <w:ind w:right="518"/>
              <w:spacing w:after="0" w:line="149" w:lineRule="exact"/>
              <w:rPr>
                <w:sz w:val="20"/>
                <w:szCs w:val="20"/>
                <w:color w:val="auto"/>
              </w:rPr>
            </w:pPr>
            <w:r>
              <w:rPr>
                <w:rFonts w:ascii="Arial" w:cs="Arial" w:eastAsia="Arial" w:hAnsi="Arial"/>
                <w:sz w:val="14"/>
                <w:szCs w:val="14"/>
                <w:b w:val="1"/>
                <w:bCs w:val="1"/>
                <w:color w:val="auto"/>
              </w:rPr>
              <w:t>2016</w:t>
            </w:r>
          </w:p>
        </w:tc>
        <w:tc>
          <w:tcPr>
            <w:tcW w:w="26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120" w:type="dxa"/>
            <w:vAlign w:val="bottom"/>
            <w:tcBorders>
              <w:top w:val="single" w:sz="8" w:color="auto"/>
            </w:tcBorders>
          </w:tcPr>
          <w:p>
            <w:pPr>
              <w:jc w:val="right"/>
              <w:ind w:right="516"/>
              <w:spacing w:after="0" w:line="149" w:lineRule="exact"/>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4"/>
        </w:trPr>
        <w:tc>
          <w:tcPr>
            <w:tcW w:w="46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7"/>
                <w:szCs w:val="17"/>
                <w:color w:val="auto"/>
              </w:rPr>
              <w:t>Segment EBITDA</w:t>
            </w:r>
          </w:p>
        </w:tc>
        <w:tc>
          <w:tcPr>
            <w:tcW w:w="920" w:type="dxa"/>
            <w:vAlign w:val="bottom"/>
            <w:tcBorders>
              <w:top w:val="single" w:sz="8" w:color="auto"/>
            </w:tcBorders>
            <w:shd w:val="clear" w:color="auto" w:fill="CFF0FC"/>
          </w:tcPr>
          <w:p>
            <w:pPr>
              <w:spacing w:after="0"/>
              <w:rPr>
                <w:sz w:val="18"/>
                <w:szCs w:val="18"/>
                <w:color w:val="auto"/>
              </w:rPr>
            </w:pPr>
          </w:p>
        </w:tc>
        <w:tc>
          <w:tcPr>
            <w:tcW w:w="54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940" w:type="dxa"/>
            <w:vAlign w:val="bottom"/>
            <w:tcBorders>
              <w:top w:val="single" w:sz="8" w:color="auto"/>
            </w:tcBorders>
            <w:shd w:val="clear" w:color="auto" w:fill="CFF0FC"/>
          </w:tcPr>
          <w:p>
            <w:pPr>
              <w:spacing w:after="0"/>
              <w:rPr>
                <w:sz w:val="18"/>
                <w:szCs w:val="18"/>
                <w:color w:val="auto"/>
              </w:rPr>
            </w:pPr>
          </w:p>
        </w:tc>
        <w:tc>
          <w:tcPr>
            <w:tcW w:w="52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1120" w:type="dxa"/>
            <w:vAlign w:val="bottom"/>
            <w:tcBorders>
              <w:top w:val="single" w:sz="8" w:color="auto"/>
            </w:tcBorders>
            <w:shd w:val="clear" w:color="auto" w:fill="CFF0FC"/>
          </w:tcPr>
          <w:p>
            <w:pPr>
              <w:spacing w:after="0"/>
              <w:rPr>
                <w:sz w:val="18"/>
                <w:szCs w:val="18"/>
                <w:color w:val="auto"/>
              </w:rPr>
            </w:pPr>
          </w:p>
        </w:tc>
        <w:tc>
          <w:tcPr>
            <w:tcW w:w="260" w:type="dxa"/>
            <w:vAlign w:val="bottom"/>
            <w:tcBorders>
              <w:top w:val="single" w:sz="8" w:color="CFF0FC"/>
            </w:tcBorders>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11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4680" w:type="dxa"/>
            <w:vAlign w:val="bottom"/>
          </w:tcPr>
          <w:p>
            <w:pPr>
              <w:ind w:left="240"/>
              <w:spacing w:after="0"/>
              <w:rPr>
                <w:sz w:val="20"/>
                <w:szCs w:val="20"/>
                <w:color w:val="auto"/>
              </w:rPr>
            </w:pPr>
            <w:r>
              <w:rPr>
                <w:rFonts w:ascii="Arial" w:cs="Arial" w:eastAsia="Arial" w:hAnsi="Arial"/>
                <w:sz w:val="17"/>
                <w:szCs w:val="17"/>
                <w:color w:val="auto"/>
              </w:rPr>
              <w:t>Franchise</w:t>
            </w:r>
          </w:p>
        </w:tc>
        <w:tc>
          <w:tcPr>
            <w:tcW w:w="920" w:type="dxa"/>
            <w:vAlign w:val="bottom"/>
          </w:tcPr>
          <w:p>
            <w:pPr>
              <w:jc w:val="right"/>
              <w:ind w:right="767"/>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rPr>
                <w:sz w:val="20"/>
                <w:szCs w:val="20"/>
                <w:color w:val="auto"/>
              </w:rPr>
            </w:pPr>
            <w:r>
              <w:rPr>
                <w:rFonts w:ascii="Arial" w:cs="Arial" w:eastAsia="Arial" w:hAnsi="Arial"/>
                <w:sz w:val="17"/>
                <w:szCs w:val="17"/>
                <w:color w:val="auto"/>
                <w:w w:val="96"/>
              </w:rPr>
              <w:t>25,948</w:t>
            </w:r>
          </w:p>
        </w:tc>
        <w:tc>
          <w:tcPr>
            <w:tcW w:w="160" w:type="dxa"/>
            <w:vAlign w:val="bottom"/>
          </w:tcPr>
          <w:p>
            <w:pPr>
              <w:spacing w:after="0"/>
              <w:rPr>
                <w:sz w:val="19"/>
                <w:szCs w:val="19"/>
                <w:color w:val="auto"/>
              </w:rPr>
            </w:pPr>
          </w:p>
        </w:tc>
        <w:tc>
          <w:tcPr>
            <w:tcW w:w="1040" w:type="dxa"/>
            <w:vAlign w:val="bottom"/>
            <w:gridSpan w:val="2"/>
          </w:tcPr>
          <w:p>
            <w:pPr>
              <w:jc w:val="right"/>
              <w:ind w:right="753"/>
              <w:spacing w:after="0"/>
              <w:rPr>
                <w:sz w:val="20"/>
                <w:szCs w:val="20"/>
                <w:color w:val="auto"/>
              </w:rPr>
            </w:pPr>
            <w:r>
              <w:rPr>
                <w:rFonts w:ascii="Arial" w:cs="Arial" w:eastAsia="Arial" w:hAnsi="Arial"/>
                <w:sz w:val="17"/>
                <w:szCs w:val="17"/>
                <w:color w:val="auto"/>
              </w:rPr>
              <w:t>$</w:t>
            </w:r>
          </w:p>
        </w:tc>
        <w:tc>
          <w:tcPr>
            <w:tcW w:w="520" w:type="dxa"/>
            <w:vAlign w:val="bottom"/>
          </w:tcPr>
          <w:p>
            <w:pPr>
              <w:jc w:val="right"/>
              <w:spacing w:after="0"/>
              <w:rPr>
                <w:sz w:val="20"/>
                <w:szCs w:val="20"/>
                <w:color w:val="auto"/>
              </w:rPr>
            </w:pPr>
            <w:r>
              <w:rPr>
                <w:rFonts w:ascii="Arial" w:cs="Arial" w:eastAsia="Arial" w:hAnsi="Arial"/>
                <w:sz w:val="17"/>
                <w:szCs w:val="17"/>
                <w:color w:val="auto"/>
                <w:w w:val="96"/>
              </w:rPr>
              <w:t>19,252</w:t>
            </w:r>
          </w:p>
        </w:tc>
        <w:tc>
          <w:tcPr>
            <w:tcW w:w="160" w:type="dxa"/>
            <w:vAlign w:val="bottom"/>
          </w:tcPr>
          <w:p>
            <w:pPr>
              <w:spacing w:after="0"/>
              <w:rPr>
                <w:sz w:val="19"/>
                <w:szCs w:val="19"/>
                <w:color w:val="auto"/>
              </w:rPr>
            </w:pPr>
          </w:p>
        </w:tc>
        <w:tc>
          <w:tcPr>
            <w:tcW w:w="46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120" w:type="dxa"/>
            <w:vAlign w:val="bottom"/>
          </w:tcPr>
          <w:p>
            <w:pPr>
              <w:jc w:val="right"/>
              <w:spacing w:after="0"/>
              <w:rPr>
                <w:sz w:val="20"/>
                <w:szCs w:val="20"/>
                <w:color w:val="auto"/>
              </w:rPr>
            </w:pPr>
            <w:r>
              <w:rPr>
                <w:rFonts w:ascii="Arial" w:cs="Arial" w:eastAsia="Arial" w:hAnsi="Arial"/>
                <w:sz w:val="17"/>
                <w:szCs w:val="17"/>
                <w:color w:val="auto"/>
              </w:rPr>
              <w:t>97,256</w:t>
            </w:r>
          </w:p>
        </w:tc>
        <w:tc>
          <w:tcPr>
            <w:tcW w:w="260" w:type="dxa"/>
            <w:vAlign w:val="bottom"/>
          </w:tcPr>
          <w:p>
            <w:pPr>
              <w:spacing w:after="0"/>
              <w:rPr>
                <w:sz w:val="19"/>
                <w:szCs w:val="19"/>
                <w:color w:val="auto"/>
              </w:rPr>
            </w:pPr>
          </w:p>
        </w:tc>
        <w:tc>
          <w:tcPr>
            <w:tcW w:w="340" w:type="dxa"/>
            <w:vAlign w:val="bottom"/>
          </w:tcPr>
          <w:p>
            <w:pPr>
              <w:jc w:val="right"/>
              <w:ind w:right="153"/>
              <w:spacing w:after="0"/>
              <w:rPr>
                <w:sz w:val="20"/>
                <w:szCs w:val="20"/>
                <w:color w:val="auto"/>
              </w:rPr>
            </w:pPr>
            <w:r>
              <w:rPr>
                <w:rFonts w:ascii="Arial" w:cs="Arial" w:eastAsia="Arial" w:hAnsi="Arial"/>
                <w:sz w:val="17"/>
                <w:szCs w:val="17"/>
                <w:color w:val="auto"/>
                <w:w w:val="84"/>
              </w:rPr>
              <w:t>$</w:t>
            </w:r>
          </w:p>
        </w:tc>
        <w:tc>
          <w:tcPr>
            <w:tcW w:w="1120" w:type="dxa"/>
            <w:vAlign w:val="bottom"/>
          </w:tcPr>
          <w:p>
            <w:pPr>
              <w:jc w:val="right"/>
              <w:spacing w:after="0"/>
              <w:rPr>
                <w:sz w:val="20"/>
                <w:szCs w:val="20"/>
                <w:color w:val="auto"/>
              </w:rPr>
            </w:pPr>
            <w:r>
              <w:rPr>
                <w:rFonts w:ascii="Arial" w:cs="Arial" w:eastAsia="Arial" w:hAnsi="Arial"/>
                <w:sz w:val="17"/>
                <w:szCs w:val="17"/>
                <w:color w:val="auto"/>
              </w:rPr>
              <w:t>66,030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4680" w:type="dxa"/>
            <w:vAlign w:val="bottom"/>
            <w:shd w:val="clear" w:color="auto" w:fill="CFF0FC"/>
          </w:tcPr>
          <w:p>
            <w:pPr>
              <w:ind w:left="240"/>
              <w:spacing w:after="0"/>
              <w:rPr>
                <w:sz w:val="20"/>
                <w:szCs w:val="20"/>
                <w:color w:val="auto"/>
              </w:rPr>
            </w:pPr>
            <w:r>
              <w:rPr>
                <w:rFonts w:ascii="Arial" w:cs="Arial" w:eastAsia="Arial" w:hAnsi="Arial"/>
                <w:sz w:val="17"/>
                <w:szCs w:val="17"/>
                <w:color w:val="auto"/>
              </w:rPr>
              <w:t>Corporate-owned stores</w:t>
            </w:r>
          </w:p>
        </w:tc>
        <w:tc>
          <w:tcPr>
            <w:tcW w:w="92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7"/>
                <w:szCs w:val="17"/>
                <w:color w:val="auto"/>
                <w:w w:val="96"/>
              </w:rPr>
              <w:t>10,588</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9,728</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40,847</w:t>
            </w:r>
          </w:p>
        </w:tc>
        <w:tc>
          <w:tcPr>
            <w:tcW w:w="2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36,070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4680" w:type="dxa"/>
            <w:vAlign w:val="bottom"/>
          </w:tcPr>
          <w:p>
            <w:pPr>
              <w:ind w:left="240"/>
              <w:spacing w:after="0"/>
              <w:rPr>
                <w:sz w:val="20"/>
                <w:szCs w:val="20"/>
                <w:color w:val="auto"/>
              </w:rPr>
            </w:pPr>
            <w:r>
              <w:rPr>
                <w:rFonts w:ascii="Arial" w:cs="Arial" w:eastAsia="Arial" w:hAnsi="Arial"/>
                <w:sz w:val="17"/>
                <w:szCs w:val="17"/>
                <w:color w:val="auto"/>
              </w:rPr>
              <w:t>Equipment</w:t>
            </w:r>
          </w:p>
        </w:tc>
        <w:tc>
          <w:tcPr>
            <w:tcW w:w="9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w w:val="96"/>
              </w:rPr>
              <w:t>15,109</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w w:val="96"/>
              </w:rPr>
              <w:t>13,022</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36,439</w:t>
            </w:r>
          </w:p>
        </w:tc>
        <w:tc>
          <w:tcPr>
            <w:tcW w:w="2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31,936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4680" w:type="dxa"/>
            <w:vAlign w:val="bottom"/>
            <w:shd w:val="clear" w:color="auto" w:fill="CFF0FC"/>
          </w:tcPr>
          <w:p>
            <w:pPr>
              <w:ind w:left="240"/>
              <w:spacing w:after="0"/>
              <w:rPr>
                <w:sz w:val="20"/>
                <w:szCs w:val="20"/>
                <w:color w:val="auto"/>
              </w:rPr>
            </w:pPr>
            <w:r>
              <w:rPr>
                <w:rFonts w:ascii="Arial" w:cs="Arial" w:eastAsia="Arial" w:hAnsi="Arial"/>
                <w:sz w:val="17"/>
                <w:szCs w:val="17"/>
                <w:color w:val="auto"/>
              </w:rPr>
              <w:t>Corporate and other</w:t>
            </w:r>
          </w:p>
        </w:tc>
        <w:tc>
          <w:tcPr>
            <w:tcW w:w="920" w:type="dxa"/>
            <w:vAlign w:val="bottom"/>
            <w:shd w:val="clear" w:color="auto" w:fill="CFF0FC"/>
          </w:tcPr>
          <w:p>
            <w:pPr>
              <w:spacing w:after="0"/>
              <w:rPr>
                <w:sz w:val="19"/>
                <w:szCs w:val="19"/>
                <w:color w:val="auto"/>
              </w:rPr>
            </w:pPr>
          </w:p>
        </w:tc>
        <w:tc>
          <w:tcPr>
            <w:tcW w:w="70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(5,860)</w:t>
            </w:r>
          </w:p>
        </w:tc>
        <w:tc>
          <w:tcPr>
            <w:tcW w:w="1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68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(2,859)</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(26,007)</w:t>
            </w:r>
          </w:p>
        </w:tc>
        <w:tc>
          <w:tcPr>
            <w:tcW w:w="340" w:type="dxa"/>
            <w:vAlign w:val="bottom"/>
            <w:shd w:val="clear" w:color="auto" w:fill="CFF0FC"/>
          </w:tcPr>
          <w:p>
            <w:pPr>
              <w:spacing w:after="0"/>
              <w:rPr>
                <w:sz w:val="19"/>
                <w:szCs w:val="19"/>
                <w:color w:val="auto"/>
              </w:rPr>
            </w:pPr>
          </w:p>
        </w:tc>
        <w:tc>
          <w:tcPr>
            <w:tcW w:w="12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(30,051)</w:t>
            </w:r>
          </w:p>
        </w:tc>
        <w:tc>
          <w:tcPr>
            <w:tcW w:w="0" w:type="dxa"/>
            <w:vAlign w:val="bottom"/>
          </w:tcPr>
          <w:p>
            <w:pPr>
              <w:spacing w:after="0"/>
              <w:rPr>
                <w:sz w:val="1"/>
                <w:szCs w:val="1"/>
                <w:color w:val="auto"/>
              </w:rPr>
            </w:pPr>
          </w:p>
        </w:tc>
      </w:tr>
      <w:tr>
        <w:trPr>
          <w:trHeight w:val="20"/>
        </w:trPr>
        <w:tc>
          <w:tcPr>
            <w:tcW w:w="4680" w:type="dxa"/>
            <w:vAlign w:val="bottom"/>
            <w:vMerge w:val="restart"/>
          </w:tcPr>
          <w:p>
            <w:pPr>
              <w:ind w:left="480"/>
              <w:spacing w:after="0"/>
              <w:rPr>
                <w:sz w:val="20"/>
                <w:szCs w:val="20"/>
                <w:color w:val="auto"/>
              </w:rPr>
            </w:pPr>
            <w:r>
              <w:rPr>
                <w:rFonts w:ascii="Arial" w:cs="Arial" w:eastAsia="Arial" w:hAnsi="Arial"/>
                <w:sz w:val="17"/>
                <w:szCs w:val="17"/>
                <w:color w:val="auto"/>
              </w:rPr>
              <w:t>Total Segment EBITDA</w:t>
            </w:r>
            <w:r>
              <w:rPr>
                <w:rFonts w:ascii="Arial" w:cs="Arial" w:eastAsia="Arial" w:hAnsi="Arial"/>
                <w:sz w:val="14"/>
                <w:szCs w:val="14"/>
                <w:color w:val="auto"/>
              </w:rPr>
              <w:t>(1)</w:t>
            </w:r>
          </w:p>
        </w:tc>
        <w:tc>
          <w:tcPr>
            <w:tcW w:w="9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4680" w:type="dxa"/>
            <w:vAlign w:val="bottom"/>
            <w:vMerge w:val="continue"/>
          </w:tcPr>
          <w:p>
            <w:pPr>
              <w:spacing w:after="0"/>
              <w:rPr>
                <w:sz w:val="18"/>
                <w:szCs w:val="18"/>
                <w:color w:val="auto"/>
              </w:rPr>
            </w:pPr>
          </w:p>
        </w:tc>
        <w:tc>
          <w:tcPr>
            <w:tcW w:w="920" w:type="dxa"/>
            <w:vAlign w:val="bottom"/>
          </w:tcPr>
          <w:p>
            <w:pPr>
              <w:jc w:val="right"/>
              <w:ind w:right="767"/>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rPr>
                <w:sz w:val="20"/>
                <w:szCs w:val="20"/>
                <w:color w:val="auto"/>
              </w:rPr>
            </w:pPr>
            <w:r>
              <w:rPr>
                <w:rFonts w:ascii="Arial" w:cs="Arial" w:eastAsia="Arial" w:hAnsi="Arial"/>
                <w:sz w:val="17"/>
                <w:szCs w:val="17"/>
                <w:color w:val="auto"/>
                <w:w w:val="96"/>
              </w:rPr>
              <w:t>45,785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ind w:right="753"/>
              <w:spacing w:after="0"/>
              <w:rPr>
                <w:sz w:val="20"/>
                <w:szCs w:val="20"/>
                <w:color w:val="auto"/>
              </w:rPr>
            </w:pPr>
            <w:r>
              <w:rPr>
                <w:rFonts w:ascii="Arial" w:cs="Arial" w:eastAsia="Arial" w:hAnsi="Arial"/>
                <w:sz w:val="17"/>
                <w:szCs w:val="17"/>
                <w:color w:val="auto"/>
                <w:w w:val="84"/>
              </w:rPr>
              <w:t>$</w:t>
            </w:r>
          </w:p>
        </w:tc>
        <w:tc>
          <w:tcPr>
            <w:tcW w:w="520" w:type="dxa"/>
            <w:vAlign w:val="bottom"/>
          </w:tcPr>
          <w:p>
            <w:pPr>
              <w:jc w:val="right"/>
              <w:spacing w:after="0"/>
              <w:rPr>
                <w:sz w:val="20"/>
                <w:szCs w:val="20"/>
                <w:color w:val="auto"/>
              </w:rPr>
            </w:pPr>
            <w:r>
              <w:rPr>
                <w:rFonts w:ascii="Arial" w:cs="Arial" w:eastAsia="Arial" w:hAnsi="Arial"/>
                <w:sz w:val="17"/>
                <w:szCs w:val="17"/>
                <w:color w:val="auto"/>
                <w:w w:val="96"/>
              </w:rPr>
              <w:t>39,143</w:t>
            </w:r>
          </w:p>
        </w:tc>
        <w:tc>
          <w:tcPr>
            <w:tcW w:w="160" w:type="dxa"/>
            <w:vAlign w:val="bottom"/>
          </w:tcPr>
          <w:p>
            <w:pPr>
              <w:spacing w:after="0"/>
              <w:rPr>
                <w:sz w:val="18"/>
                <w:szCs w:val="18"/>
                <w:color w:val="auto"/>
              </w:rPr>
            </w:pPr>
          </w:p>
        </w:tc>
        <w:tc>
          <w:tcPr>
            <w:tcW w:w="46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120" w:type="dxa"/>
            <w:vAlign w:val="bottom"/>
          </w:tcPr>
          <w:p>
            <w:pPr>
              <w:jc w:val="right"/>
              <w:spacing w:after="0"/>
              <w:rPr>
                <w:sz w:val="20"/>
                <w:szCs w:val="20"/>
                <w:color w:val="auto"/>
              </w:rPr>
            </w:pPr>
            <w:r>
              <w:rPr>
                <w:rFonts w:ascii="Arial" w:cs="Arial" w:eastAsia="Arial" w:hAnsi="Arial"/>
                <w:sz w:val="17"/>
                <w:szCs w:val="17"/>
                <w:color w:val="auto"/>
              </w:rPr>
              <w:t>148,535</w:t>
            </w:r>
          </w:p>
        </w:tc>
        <w:tc>
          <w:tcPr>
            <w:tcW w:w="260" w:type="dxa"/>
            <w:vAlign w:val="bottom"/>
          </w:tcPr>
          <w:p>
            <w:pPr>
              <w:spacing w:after="0"/>
              <w:rPr>
                <w:sz w:val="18"/>
                <w:szCs w:val="18"/>
                <w:color w:val="auto"/>
              </w:rPr>
            </w:pPr>
          </w:p>
        </w:tc>
        <w:tc>
          <w:tcPr>
            <w:tcW w:w="340" w:type="dxa"/>
            <w:vAlign w:val="bottom"/>
          </w:tcPr>
          <w:p>
            <w:pPr>
              <w:jc w:val="right"/>
              <w:ind w:right="153"/>
              <w:spacing w:after="0"/>
              <w:rPr>
                <w:sz w:val="20"/>
                <w:szCs w:val="20"/>
                <w:color w:val="auto"/>
              </w:rPr>
            </w:pPr>
            <w:r>
              <w:rPr>
                <w:rFonts w:ascii="Arial" w:cs="Arial" w:eastAsia="Arial" w:hAnsi="Arial"/>
                <w:sz w:val="17"/>
                <w:szCs w:val="17"/>
                <w:color w:val="auto"/>
                <w:w w:val="84"/>
              </w:rPr>
              <w:t>$</w:t>
            </w:r>
          </w:p>
        </w:tc>
        <w:tc>
          <w:tcPr>
            <w:tcW w:w="1120" w:type="dxa"/>
            <w:vAlign w:val="bottom"/>
          </w:tcPr>
          <w:p>
            <w:pPr>
              <w:jc w:val="right"/>
              <w:spacing w:after="0"/>
              <w:rPr>
                <w:sz w:val="20"/>
                <w:szCs w:val="20"/>
                <w:color w:val="auto"/>
              </w:rPr>
            </w:pPr>
            <w:r>
              <w:rPr>
                <w:rFonts w:ascii="Arial" w:cs="Arial" w:eastAsia="Arial" w:hAnsi="Arial"/>
                <w:sz w:val="17"/>
                <w:szCs w:val="17"/>
                <w:color w:val="auto"/>
              </w:rPr>
              <w:t>103,985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8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5" w:lineRule="exact"/>
        <w:rPr>
          <w:sz w:val="20"/>
          <w:szCs w:val="20"/>
          <w:color w:val="auto"/>
        </w:rPr>
      </w:pPr>
    </w:p>
    <w:p>
      <w:pPr>
        <w:ind w:left="540" w:hanging="536"/>
        <w:spacing w:after="0"/>
        <w:tabs>
          <w:tab w:leader="none" w:pos="54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Total Segment EBITDA is equal to EBITDA.</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Adjusted Net Income and Adjusted Net Income per Diluted Share</w:t>
      </w:r>
    </w:p>
    <w:p>
      <w:pPr>
        <w:spacing w:after="0" w:line="226" w:lineRule="exact"/>
        <w:rPr>
          <w:sz w:val="20"/>
          <w:szCs w:val="20"/>
          <w:color w:val="auto"/>
        </w:rPr>
      </w:pPr>
    </w:p>
    <w:p>
      <w:pPr>
        <w:jc w:val="both"/>
        <w:spacing w:after="0" w:line="295" w:lineRule="auto"/>
        <w:rPr>
          <w:sz w:val="20"/>
          <w:szCs w:val="20"/>
          <w:color w:val="auto"/>
        </w:rPr>
      </w:pPr>
      <w:r>
        <w:rPr>
          <w:rFonts w:ascii="Arial" w:cs="Arial" w:eastAsia="Arial" w:hAnsi="Arial"/>
          <w:sz w:val="15"/>
          <w:szCs w:val="15"/>
          <w:color w:val="auto"/>
        </w:rPr>
        <w:t>As a result of the recapitalization transactions that occurred prior to our IPO, the Company was designated as the sole managing member of Pla-Fit Holdings. As the sole managing member, the Company exclusively operates and controls the business and affairs of Pla-Fit Holdings. As a result of the recapitalization transactions, the Company consolidates Pla-Fit Holdings, and Pla-Fit Holdings is considered the predecessor to the Company for accounting purposes. Our presentation of Adjusted net income and Adjusted net income per share, diluted, gives effect to the consolidation of Pla-Fit Holdings with the Company resulting from the recapitalization transactions as if they had occurred on January 1, 2015. In addition, Adjusted net income assumes that all net income is attributable to the Company, which assumes the full exchange of all outstanding common units of Pla-Fit Holdings for shares of the Company’s Class A common stock, adjusted for certain non-recurring items that we do not believe directly reflect our core operations. Adjusted net income per share, diluted, is calculated by dividing Adjusted net income by the total shares of Class A common stock outstanding plus any dilutive options and restricted stock units as calculated in accordance with GAAP and assuming the full exchange of all outstanding common units of Pla-Fit Holdings and corresponding Class B common stock as of the beginning of each period presented. Adjusted net income and Adjusted net income per share, diluted, are supplemental measures of operating performance that do not represent, and should not be considered, alternatives to net income and earnings per share, as calculated in accordance with GAAP. We believe Adjusted net income and Adjusted net income per share, diluted, supplement GAAP measures and enable us to more effectively evaluate our performance period-over-period.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29845</wp:posOffset>
            </wp:positionV>
            <wp:extent cx="7293610" cy="419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4" w:name="page15"/>
    <w:bookmarkEnd w:id="14"/>
    <w:p>
      <w:pPr>
        <w:jc w:val="center"/>
        <w:ind w:right="100"/>
        <w:spacing w:after="0"/>
        <w:rPr>
          <w:sz w:val="20"/>
          <w:szCs w:val="20"/>
          <w:color w:val="auto"/>
        </w:rPr>
      </w:pPr>
      <w:r>
        <w:rPr>
          <w:rFonts w:ascii="Arial" w:cs="Arial" w:eastAsia="Arial" w:hAnsi="Arial"/>
          <w:sz w:val="17"/>
          <w:szCs w:val="17"/>
          <w:b w:val="1"/>
          <w:bCs w:val="1"/>
          <w:color w:val="auto"/>
        </w:rPr>
        <w:t>Planet Fitness, Inc. and subsidiaries</w:t>
      </w:r>
    </w:p>
    <w:p>
      <w:pPr>
        <w:spacing w:after="0" w:line="31"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Non-GAAP Financial Measures</w:t>
      </w:r>
    </w:p>
    <w:p>
      <w:pPr>
        <w:spacing w:after="0" w:line="12"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(Unaudited)</w:t>
      </w:r>
    </w:p>
    <w:p>
      <w:pPr>
        <w:spacing w:after="0" w:line="12" w:lineRule="exact"/>
        <w:rPr>
          <w:sz w:val="20"/>
          <w:szCs w:val="20"/>
          <w:color w:val="auto"/>
        </w:rPr>
      </w:pPr>
    </w:p>
    <w:p>
      <w:pPr>
        <w:jc w:val="center"/>
        <w:ind w:right="180"/>
        <w:spacing w:after="0"/>
        <w:rPr>
          <w:sz w:val="20"/>
          <w:szCs w:val="20"/>
          <w:color w:val="auto"/>
        </w:rPr>
      </w:pPr>
      <w:r>
        <w:rPr>
          <w:rFonts w:ascii="Arial" w:cs="Arial" w:eastAsia="Arial" w:hAnsi="Arial"/>
          <w:sz w:val="17"/>
          <w:szCs w:val="17"/>
          <w:color w:val="auto"/>
        </w:rPr>
        <w:t>(Amounts in thousands, except per share amounts)</w:t>
      </w:r>
    </w:p>
    <w:p>
      <w:pPr>
        <w:spacing w:after="0" w:line="200" w:lineRule="exact"/>
        <w:rPr>
          <w:sz w:val="20"/>
          <w:szCs w:val="20"/>
          <w:color w:val="auto"/>
        </w:rPr>
      </w:pPr>
    </w:p>
    <w:p>
      <w:pPr>
        <w:spacing w:after="0" w:line="216" w:lineRule="exact"/>
        <w:rPr>
          <w:sz w:val="20"/>
          <w:szCs w:val="20"/>
          <w:color w:val="auto"/>
        </w:rPr>
      </w:pPr>
    </w:p>
    <w:p>
      <w:pPr>
        <w:ind w:right="100"/>
        <w:spacing w:after="0" w:line="285" w:lineRule="auto"/>
        <w:rPr>
          <w:sz w:val="20"/>
          <w:szCs w:val="20"/>
          <w:color w:val="auto"/>
        </w:rPr>
      </w:pPr>
      <w:r>
        <w:rPr>
          <w:rFonts w:ascii="Arial" w:cs="Arial" w:eastAsia="Arial" w:hAnsi="Arial"/>
          <w:sz w:val="17"/>
          <w:szCs w:val="17"/>
          <w:color w:val="auto"/>
        </w:rPr>
        <w:t>A reconciliation of Adjusted net income to net income, the most directly comparable GAAP measure, and the computation of Adjusted net income per share, diluted, are set forth below.</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08"/>
        </w:trPr>
        <w:tc>
          <w:tcPr>
            <w:tcW w:w="5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380" w:type="dxa"/>
            <w:vAlign w:val="bottom"/>
            <w:gridSpan w:val="5"/>
          </w:tcPr>
          <w:p>
            <w:pPr>
              <w:jc w:val="right"/>
              <w:ind w:right="413"/>
              <w:spacing w:after="0"/>
              <w:rPr>
                <w:sz w:val="20"/>
                <w:szCs w:val="20"/>
                <w:color w:val="auto"/>
              </w:rPr>
            </w:pPr>
            <w:r>
              <w:rPr>
                <w:rFonts w:ascii="Arial" w:cs="Arial" w:eastAsia="Arial" w:hAnsi="Arial"/>
                <w:sz w:val="17"/>
                <w:szCs w:val="17"/>
                <w:b w:val="1"/>
                <w:bCs w:val="1"/>
                <w:color w:val="auto"/>
              </w:rPr>
              <w:t>For the year ended</w:t>
            </w:r>
          </w:p>
        </w:tc>
      </w:tr>
      <w:tr>
        <w:trPr>
          <w:trHeight w:val="226"/>
        </w:trPr>
        <w:tc>
          <w:tcPr>
            <w:tcW w:w="5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80" w:type="dxa"/>
            <w:vAlign w:val="bottom"/>
            <w:gridSpan w:val="5"/>
          </w:tcPr>
          <w:p>
            <w:pPr>
              <w:jc w:val="right"/>
              <w:ind w:right="400"/>
              <w:spacing w:after="0"/>
              <w:rPr>
                <w:sz w:val="20"/>
                <w:szCs w:val="20"/>
                <w:color w:val="auto"/>
              </w:rPr>
            </w:pPr>
            <w:r>
              <w:rPr>
                <w:rFonts w:ascii="Arial" w:cs="Arial" w:eastAsia="Arial" w:hAnsi="Arial"/>
                <w:sz w:val="17"/>
                <w:szCs w:val="17"/>
                <w:b w:val="1"/>
                <w:bCs w:val="1"/>
                <w:color w:val="auto"/>
                <w:w w:val="91"/>
              </w:rPr>
              <w:t>For the quarter ended December 31,</w:t>
            </w:r>
          </w:p>
        </w:tc>
        <w:tc>
          <w:tcPr>
            <w:tcW w:w="260" w:type="dxa"/>
            <w:vAlign w:val="bottom"/>
          </w:tcPr>
          <w:p>
            <w:pPr>
              <w:spacing w:after="0"/>
              <w:rPr>
                <w:sz w:val="19"/>
                <w:szCs w:val="19"/>
                <w:color w:val="auto"/>
              </w:rPr>
            </w:pPr>
          </w:p>
        </w:tc>
        <w:tc>
          <w:tcPr>
            <w:tcW w:w="1720" w:type="dxa"/>
            <w:vAlign w:val="bottom"/>
            <w:gridSpan w:val="4"/>
          </w:tcPr>
          <w:p>
            <w:pPr>
              <w:jc w:val="right"/>
              <w:ind w:right="40"/>
              <w:spacing w:after="0"/>
              <w:rPr>
                <w:sz w:val="20"/>
                <w:szCs w:val="20"/>
                <w:color w:val="auto"/>
              </w:rPr>
            </w:pPr>
            <w:r>
              <w:rPr>
                <w:rFonts w:ascii="Arial" w:cs="Arial" w:eastAsia="Arial" w:hAnsi="Arial"/>
                <w:sz w:val="17"/>
                <w:szCs w:val="17"/>
                <w:b w:val="1"/>
                <w:bCs w:val="1"/>
                <w:color w:val="auto"/>
              </w:rPr>
              <w:t>December 31,</w:t>
            </w:r>
          </w:p>
        </w:tc>
        <w:tc>
          <w:tcPr>
            <w:tcW w:w="660" w:type="dxa"/>
            <w:vAlign w:val="bottom"/>
          </w:tcPr>
          <w:p>
            <w:pPr>
              <w:spacing w:after="0"/>
              <w:rPr>
                <w:sz w:val="19"/>
                <w:szCs w:val="19"/>
                <w:color w:val="auto"/>
              </w:rPr>
            </w:pPr>
          </w:p>
        </w:tc>
      </w:tr>
      <w:tr>
        <w:trPr>
          <w:trHeight w:val="214"/>
        </w:trPr>
        <w:tc>
          <w:tcPr>
            <w:tcW w:w="5700" w:type="dxa"/>
            <w:vAlign w:val="bottom"/>
            <w:tcBorders>
              <w:bottom w:val="single" w:sz="8" w:color="CFF0F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ind w:right="393"/>
              <w:spacing w:after="0"/>
              <w:rPr>
                <w:sz w:val="20"/>
                <w:szCs w:val="20"/>
                <w:color w:val="auto"/>
              </w:rPr>
            </w:pPr>
            <w:r>
              <w:rPr>
                <w:rFonts w:ascii="Arial" w:cs="Arial" w:eastAsia="Arial" w:hAnsi="Arial"/>
                <w:sz w:val="17"/>
                <w:szCs w:val="17"/>
                <w:b w:val="1"/>
                <w:bCs w:val="1"/>
                <w:color w:val="auto"/>
              </w:rPr>
              <w:t>2016</w:t>
            </w:r>
          </w:p>
        </w:tc>
        <w:tc>
          <w:tcPr>
            <w:tcW w:w="300" w:type="dxa"/>
            <w:vAlign w:val="bottom"/>
            <w:tcBorders>
              <w:top w:val="single" w:sz="8" w:color="auto"/>
              <w:bottom w:val="single" w:sz="8" w:color="CFF0F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ind w:right="413"/>
              <w:spacing w:after="0"/>
              <w:rPr>
                <w:sz w:val="20"/>
                <w:szCs w:val="20"/>
                <w:color w:val="auto"/>
              </w:rPr>
            </w:pPr>
            <w:r>
              <w:rPr>
                <w:rFonts w:ascii="Arial" w:cs="Arial" w:eastAsia="Arial" w:hAnsi="Arial"/>
                <w:sz w:val="17"/>
                <w:szCs w:val="17"/>
                <w:b w:val="1"/>
                <w:bCs w:val="1"/>
                <w:color w:val="auto"/>
              </w:rPr>
              <w:t>2015</w:t>
            </w:r>
          </w:p>
        </w:tc>
        <w:tc>
          <w:tcPr>
            <w:tcW w:w="280" w:type="dxa"/>
            <w:vAlign w:val="bottom"/>
            <w:tcBorders>
              <w:bottom w:val="single" w:sz="8" w:color="CFF0F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ind w:right="353"/>
              <w:spacing w:after="0"/>
              <w:rPr>
                <w:sz w:val="20"/>
                <w:szCs w:val="20"/>
                <w:color w:val="auto"/>
              </w:rPr>
            </w:pPr>
            <w:r>
              <w:rPr>
                <w:rFonts w:ascii="Arial" w:cs="Arial" w:eastAsia="Arial" w:hAnsi="Arial"/>
                <w:sz w:val="17"/>
                <w:szCs w:val="17"/>
                <w:b w:val="1"/>
                <w:bCs w:val="1"/>
                <w:color w:val="auto"/>
              </w:rPr>
              <w:t>2016</w:t>
            </w:r>
          </w:p>
        </w:tc>
        <w:tc>
          <w:tcPr>
            <w:tcW w:w="180" w:type="dxa"/>
            <w:vAlign w:val="bottom"/>
            <w:tcBorders>
              <w:top w:val="single" w:sz="8" w:color="auto"/>
              <w:bottom w:val="single" w:sz="8" w:color="CFF0FC"/>
            </w:tcBorders>
          </w:tcPr>
          <w:p>
            <w:pPr>
              <w:spacing w:after="0"/>
              <w:rPr>
                <w:sz w:val="18"/>
                <w:szCs w:val="18"/>
                <w:color w:val="auto"/>
              </w:rPr>
            </w:pPr>
          </w:p>
        </w:tc>
        <w:tc>
          <w:tcPr>
            <w:tcW w:w="120" w:type="dxa"/>
            <w:vAlign w:val="bottom"/>
            <w:tcBorders>
              <w:top w:val="single" w:sz="8" w:color="auto"/>
              <w:bottom w:val="single" w:sz="8" w:color="CFF0FC"/>
            </w:tcBorders>
          </w:tcPr>
          <w:p>
            <w:pPr>
              <w:spacing w:after="0"/>
              <w:rPr>
                <w:sz w:val="18"/>
                <w:szCs w:val="18"/>
                <w:color w:val="auto"/>
              </w:rPr>
            </w:pPr>
          </w:p>
        </w:tc>
        <w:tc>
          <w:tcPr>
            <w:tcW w:w="48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ind w:right="193"/>
              <w:spacing w:after="0"/>
              <w:rPr>
                <w:sz w:val="20"/>
                <w:szCs w:val="20"/>
                <w:color w:val="auto"/>
              </w:rPr>
            </w:pPr>
            <w:r>
              <w:rPr>
                <w:rFonts w:ascii="Arial" w:cs="Arial" w:eastAsia="Arial" w:hAnsi="Arial"/>
                <w:sz w:val="17"/>
                <w:szCs w:val="17"/>
                <w:b w:val="1"/>
                <w:bCs w:val="1"/>
                <w:color w:val="auto"/>
                <w:w w:val="95"/>
              </w:rPr>
              <w:t>2015</w:t>
            </w:r>
          </w:p>
        </w:tc>
      </w:tr>
      <w:tr>
        <w:trPr>
          <w:trHeight w:val="214"/>
        </w:trPr>
        <w:tc>
          <w:tcPr>
            <w:tcW w:w="5700" w:type="dxa"/>
            <w:vAlign w:val="bottom"/>
            <w:shd w:val="clear" w:color="auto" w:fill="CFF0FC"/>
          </w:tcPr>
          <w:p>
            <w:pPr>
              <w:spacing w:after="0"/>
              <w:rPr>
                <w:sz w:val="20"/>
                <w:szCs w:val="20"/>
                <w:color w:val="auto"/>
              </w:rPr>
            </w:pPr>
            <w:r>
              <w:rPr>
                <w:rFonts w:ascii="Arial" w:cs="Arial" w:eastAsia="Arial" w:hAnsi="Arial"/>
                <w:sz w:val="17"/>
                <w:szCs w:val="17"/>
                <w:color w:val="auto"/>
              </w:rPr>
              <w:t>Net income attributable to Planet Fitness, Inc.</w:t>
            </w:r>
          </w:p>
        </w:tc>
        <w:tc>
          <w:tcPr>
            <w:tcW w:w="10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10,575</w:t>
            </w:r>
          </w:p>
        </w:tc>
        <w:tc>
          <w:tcPr>
            <w:tcW w:w="300" w:type="dxa"/>
            <w:vAlign w:val="bottom"/>
            <w:shd w:val="clear" w:color="auto" w:fill="CFF0FC"/>
          </w:tcPr>
          <w:p>
            <w:pPr>
              <w:spacing w:after="0"/>
              <w:rPr>
                <w:sz w:val="18"/>
                <w:szCs w:val="18"/>
                <w:color w:val="auto"/>
              </w:rPr>
            </w:pPr>
          </w:p>
        </w:tc>
        <w:tc>
          <w:tcPr>
            <w:tcW w:w="280" w:type="dxa"/>
            <w:vAlign w:val="bottom"/>
            <w:shd w:val="clear" w:color="auto" w:fill="CFF0FC"/>
          </w:tcPr>
          <w:p>
            <w:pPr>
              <w:jc w:val="right"/>
              <w:ind w:right="124"/>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2,485</w:t>
            </w:r>
          </w:p>
        </w:tc>
        <w:tc>
          <w:tcPr>
            <w:tcW w:w="28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104"/>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21,500</w:t>
            </w:r>
          </w:p>
        </w:tc>
        <w:tc>
          <w:tcPr>
            <w:tcW w:w="180" w:type="dxa"/>
            <w:vAlign w:val="bottom"/>
            <w:shd w:val="clear" w:color="auto" w:fill="CFF0FC"/>
          </w:tcPr>
          <w:p>
            <w:pPr>
              <w:spacing w:after="0"/>
              <w:rPr>
                <w:sz w:val="18"/>
                <w:szCs w:val="18"/>
                <w:color w:val="auto"/>
              </w:rPr>
            </w:pPr>
          </w:p>
        </w:tc>
        <w:tc>
          <w:tcPr>
            <w:tcW w:w="600" w:type="dxa"/>
            <w:vAlign w:val="bottom"/>
            <w:gridSpan w:val="2"/>
            <w:shd w:val="clear" w:color="auto" w:fill="CFF0FC"/>
          </w:tcPr>
          <w:p>
            <w:pPr>
              <w:jc w:val="right"/>
              <w:ind w:right="400"/>
              <w:spacing w:after="0"/>
              <w:rPr>
                <w:sz w:val="20"/>
                <w:szCs w:val="20"/>
                <w:color w:val="auto"/>
              </w:rPr>
            </w:pPr>
            <w:r>
              <w:rPr>
                <w:rFonts w:ascii="Arial" w:cs="Arial" w:eastAsia="Arial" w:hAnsi="Arial"/>
                <w:sz w:val="17"/>
                <w:szCs w:val="17"/>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18,</w:t>
            </w:r>
          </w:p>
        </w:tc>
      </w:tr>
      <w:tr>
        <w:trPr>
          <w:trHeight w:val="221"/>
        </w:trPr>
        <w:tc>
          <w:tcPr>
            <w:tcW w:w="5700" w:type="dxa"/>
            <w:vAlign w:val="bottom"/>
            <w:tcBorders>
              <w:bottom w:val="single" w:sz="8" w:color="CFF0FC"/>
            </w:tcBorders>
          </w:tcPr>
          <w:p>
            <w:pPr>
              <w:ind w:left="240"/>
              <w:spacing w:after="0"/>
              <w:rPr>
                <w:sz w:val="20"/>
                <w:szCs w:val="20"/>
                <w:color w:val="auto"/>
              </w:rPr>
            </w:pPr>
            <w:r>
              <w:rPr>
                <w:rFonts w:ascii="Arial" w:cs="Arial" w:eastAsia="Arial" w:hAnsi="Arial"/>
                <w:sz w:val="17"/>
                <w:szCs w:val="17"/>
                <w:color w:val="auto"/>
              </w:rPr>
              <w:t>Net income attributable to non-controlling interests</w:t>
            </w:r>
          </w:p>
        </w:tc>
        <w:tc>
          <w:tcPr>
            <w:tcW w:w="1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11,373</w:t>
            </w:r>
          </w:p>
        </w:tc>
        <w:tc>
          <w:tcPr>
            <w:tcW w:w="30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14,755</w:t>
            </w:r>
          </w:p>
        </w:tc>
        <w:tc>
          <w:tcPr>
            <w:tcW w:w="28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49,747</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19,</w:t>
            </w:r>
          </w:p>
        </w:tc>
      </w:tr>
      <w:tr>
        <w:trPr>
          <w:trHeight w:val="214"/>
        </w:trPr>
        <w:tc>
          <w:tcPr>
            <w:tcW w:w="5700" w:type="dxa"/>
            <w:vAlign w:val="bottom"/>
            <w:shd w:val="clear" w:color="auto" w:fill="CFF0FC"/>
          </w:tcPr>
          <w:p>
            <w:pPr>
              <w:spacing w:after="0"/>
              <w:rPr>
                <w:sz w:val="20"/>
                <w:szCs w:val="20"/>
                <w:color w:val="auto"/>
              </w:rPr>
            </w:pPr>
            <w:r>
              <w:rPr>
                <w:rFonts w:ascii="Arial" w:cs="Arial" w:eastAsia="Arial" w:hAnsi="Arial"/>
                <w:sz w:val="17"/>
                <w:szCs w:val="17"/>
                <w:color w:val="auto"/>
              </w:rPr>
              <w:t>Net income</w:t>
            </w:r>
          </w:p>
        </w:tc>
        <w:tc>
          <w:tcPr>
            <w:tcW w:w="10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21,948</w:t>
            </w:r>
          </w:p>
        </w:tc>
        <w:tc>
          <w:tcPr>
            <w:tcW w:w="300" w:type="dxa"/>
            <w:vAlign w:val="bottom"/>
            <w:shd w:val="clear" w:color="auto" w:fill="CFF0FC"/>
          </w:tcPr>
          <w:p>
            <w:pPr>
              <w:spacing w:after="0"/>
              <w:rPr>
                <w:sz w:val="18"/>
                <w:szCs w:val="18"/>
                <w:color w:val="auto"/>
              </w:rPr>
            </w:pPr>
          </w:p>
        </w:tc>
        <w:tc>
          <w:tcPr>
            <w:tcW w:w="280" w:type="dxa"/>
            <w:vAlign w:val="bottom"/>
            <w:shd w:val="clear" w:color="auto" w:fill="CFF0FC"/>
          </w:tcPr>
          <w:p>
            <w:pPr>
              <w:jc w:val="right"/>
              <w:ind w:right="124"/>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17,240</w:t>
            </w:r>
          </w:p>
        </w:tc>
        <w:tc>
          <w:tcPr>
            <w:tcW w:w="28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104"/>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71,247</w:t>
            </w:r>
          </w:p>
        </w:tc>
        <w:tc>
          <w:tcPr>
            <w:tcW w:w="180" w:type="dxa"/>
            <w:vAlign w:val="bottom"/>
            <w:shd w:val="clear" w:color="auto" w:fill="CFF0FC"/>
          </w:tcPr>
          <w:p>
            <w:pPr>
              <w:spacing w:after="0"/>
              <w:rPr>
                <w:sz w:val="18"/>
                <w:szCs w:val="18"/>
                <w:color w:val="auto"/>
              </w:rPr>
            </w:pPr>
          </w:p>
        </w:tc>
        <w:tc>
          <w:tcPr>
            <w:tcW w:w="600" w:type="dxa"/>
            <w:vAlign w:val="bottom"/>
            <w:gridSpan w:val="2"/>
            <w:shd w:val="clear" w:color="auto" w:fill="CFF0FC"/>
          </w:tcPr>
          <w:p>
            <w:pPr>
              <w:jc w:val="right"/>
              <w:ind w:right="400"/>
              <w:spacing w:after="0"/>
              <w:rPr>
                <w:sz w:val="20"/>
                <w:szCs w:val="20"/>
                <w:color w:val="auto"/>
              </w:rPr>
            </w:pPr>
            <w:r>
              <w:rPr>
                <w:rFonts w:ascii="Arial" w:cs="Arial" w:eastAsia="Arial" w:hAnsi="Arial"/>
                <w:sz w:val="17"/>
                <w:szCs w:val="17"/>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38,</w:t>
            </w:r>
          </w:p>
        </w:tc>
      </w:tr>
      <w:tr>
        <w:trPr>
          <w:trHeight w:val="221"/>
        </w:trPr>
        <w:tc>
          <w:tcPr>
            <w:tcW w:w="5700" w:type="dxa"/>
            <w:vAlign w:val="bottom"/>
          </w:tcPr>
          <w:p>
            <w:pPr>
              <w:ind w:left="240"/>
              <w:spacing w:after="0"/>
              <w:rPr>
                <w:sz w:val="20"/>
                <w:szCs w:val="20"/>
                <w:color w:val="auto"/>
              </w:rPr>
            </w:pPr>
            <w:r>
              <w:rPr>
                <w:rFonts w:ascii="Arial" w:cs="Arial" w:eastAsia="Arial" w:hAnsi="Arial"/>
                <w:sz w:val="17"/>
                <w:szCs w:val="17"/>
                <w:color w:val="auto"/>
              </w:rPr>
              <w:t>Provision for income taxes, as reported</w:t>
            </w: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7,157</w:t>
            </w:r>
          </w:p>
        </w:tc>
        <w:tc>
          <w:tcPr>
            <w:tcW w:w="3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7,227</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18,661</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9,</w:t>
            </w:r>
          </w:p>
        </w:tc>
      </w:tr>
      <w:tr>
        <w:trPr>
          <w:trHeight w:val="221"/>
        </w:trPr>
        <w:tc>
          <w:tcPr>
            <w:tcW w:w="5700" w:type="dxa"/>
            <w:vAlign w:val="bottom"/>
            <w:shd w:val="clear" w:color="auto" w:fill="CFF0FC"/>
          </w:tcPr>
          <w:p>
            <w:pPr>
              <w:ind w:left="240"/>
              <w:spacing w:after="0"/>
              <w:rPr>
                <w:sz w:val="20"/>
                <w:szCs w:val="20"/>
                <w:color w:val="auto"/>
              </w:rPr>
            </w:pPr>
            <w:r>
              <w:rPr>
                <w:rFonts w:ascii="Arial" w:cs="Arial" w:eastAsia="Arial" w:hAnsi="Arial"/>
                <w:sz w:val="17"/>
                <w:szCs w:val="17"/>
                <w:color w:val="auto"/>
              </w:rPr>
              <w:t>Purchase accounting adjustments-revenue</w:t>
            </w:r>
            <w:r>
              <w:rPr>
                <w:rFonts w:ascii="Arial" w:cs="Arial" w:eastAsia="Arial" w:hAnsi="Arial"/>
                <w:sz w:val="14"/>
                <w:szCs w:val="14"/>
                <w:color w:val="auto"/>
              </w:rPr>
              <w:t>(1)</w:t>
            </w:r>
          </w:p>
        </w:tc>
        <w:tc>
          <w:tcPr>
            <w:tcW w:w="10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29</w:t>
            </w:r>
          </w:p>
        </w:tc>
        <w:tc>
          <w:tcPr>
            <w:tcW w:w="3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248</w:t>
            </w: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487</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r>
      <w:tr>
        <w:trPr>
          <w:trHeight w:val="221"/>
        </w:trPr>
        <w:tc>
          <w:tcPr>
            <w:tcW w:w="5700" w:type="dxa"/>
            <w:vAlign w:val="bottom"/>
          </w:tcPr>
          <w:p>
            <w:pPr>
              <w:ind w:left="240"/>
              <w:spacing w:after="0"/>
              <w:rPr>
                <w:sz w:val="20"/>
                <w:szCs w:val="20"/>
                <w:color w:val="auto"/>
              </w:rPr>
            </w:pPr>
            <w:r>
              <w:rPr>
                <w:rFonts w:ascii="Arial" w:cs="Arial" w:eastAsia="Arial" w:hAnsi="Arial"/>
                <w:sz w:val="17"/>
                <w:szCs w:val="17"/>
                <w:color w:val="auto"/>
              </w:rPr>
              <w:t xml:space="preserve">Purchase accounting adjustments-rent </w:t>
            </w:r>
            <w:r>
              <w:rPr>
                <w:rFonts w:ascii="Arial" w:cs="Arial" w:eastAsia="Arial" w:hAnsi="Arial"/>
                <w:sz w:val="14"/>
                <w:szCs w:val="14"/>
                <w:color w:val="auto"/>
              </w:rPr>
              <w:t>(2)</w:t>
            </w: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197</w:t>
            </w:r>
          </w:p>
        </w:tc>
        <w:tc>
          <w:tcPr>
            <w:tcW w:w="3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201</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861</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r>
      <w:tr>
        <w:trPr>
          <w:trHeight w:val="221"/>
        </w:trPr>
        <w:tc>
          <w:tcPr>
            <w:tcW w:w="5700" w:type="dxa"/>
            <w:vAlign w:val="bottom"/>
            <w:shd w:val="clear" w:color="auto" w:fill="CFF0FC"/>
          </w:tcPr>
          <w:p>
            <w:pPr>
              <w:ind w:left="240"/>
              <w:spacing w:after="0"/>
              <w:rPr>
                <w:sz w:val="20"/>
                <w:szCs w:val="20"/>
                <w:color w:val="auto"/>
              </w:rPr>
            </w:pPr>
            <w:r>
              <w:rPr>
                <w:rFonts w:ascii="Arial" w:cs="Arial" w:eastAsia="Arial" w:hAnsi="Arial"/>
                <w:sz w:val="17"/>
                <w:szCs w:val="17"/>
                <w:color w:val="auto"/>
              </w:rPr>
              <w:t>Management fees</w:t>
            </w:r>
            <w:r>
              <w:rPr>
                <w:rFonts w:ascii="Arial" w:cs="Arial" w:eastAsia="Arial" w:hAnsi="Arial"/>
                <w:sz w:val="14"/>
                <w:szCs w:val="14"/>
                <w:color w:val="auto"/>
              </w:rPr>
              <w:t>(3)</w:t>
            </w:r>
          </w:p>
        </w:tc>
        <w:tc>
          <w:tcPr>
            <w:tcW w:w="10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3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w:t>
            </w:r>
          </w:p>
        </w:tc>
      </w:tr>
      <w:tr>
        <w:trPr>
          <w:trHeight w:val="221"/>
        </w:trPr>
        <w:tc>
          <w:tcPr>
            <w:tcW w:w="5700" w:type="dxa"/>
            <w:vAlign w:val="bottom"/>
          </w:tcPr>
          <w:p>
            <w:pPr>
              <w:ind w:left="240"/>
              <w:spacing w:after="0"/>
              <w:rPr>
                <w:sz w:val="20"/>
                <w:szCs w:val="20"/>
                <w:color w:val="auto"/>
              </w:rPr>
            </w:pPr>
            <w:r>
              <w:rPr>
                <w:rFonts w:ascii="Arial" w:cs="Arial" w:eastAsia="Arial" w:hAnsi="Arial"/>
                <w:sz w:val="17"/>
                <w:szCs w:val="17"/>
                <w:color w:val="auto"/>
              </w:rPr>
              <w:t>IT system upgrade costs</w:t>
            </w:r>
            <w:r>
              <w:rPr>
                <w:rFonts w:ascii="Arial" w:cs="Arial" w:eastAsia="Arial" w:hAnsi="Arial"/>
                <w:sz w:val="14"/>
                <w:szCs w:val="14"/>
                <w:color w:val="auto"/>
              </w:rPr>
              <w:t>(4)</w:t>
            </w: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w:t>
            </w:r>
          </w:p>
        </w:tc>
        <w:tc>
          <w:tcPr>
            <w:tcW w:w="3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3,</w:t>
            </w:r>
          </w:p>
        </w:tc>
      </w:tr>
      <w:tr>
        <w:trPr>
          <w:trHeight w:val="221"/>
        </w:trPr>
        <w:tc>
          <w:tcPr>
            <w:tcW w:w="5700" w:type="dxa"/>
            <w:vAlign w:val="bottom"/>
            <w:shd w:val="clear" w:color="auto" w:fill="CFF0FC"/>
          </w:tcPr>
          <w:p>
            <w:pPr>
              <w:ind w:left="240"/>
              <w:spacing w:after="0"/>
              <w:rPr>
                <w:sz w:val="20"/>
                <w:szCs w:val="20"/>
                <w:color w:val="auto"/>
              </w:rPr>
            </w:pPr>
            <w:r>
              <w:rPr>
                <w:rFonts w:ascii="Arial" w:cs="Arial" w:eastAsia="Arial" w:hAnsi="Arial"/>
                <w:sz w:val="17"/>
                <w:szCs w:val="17"/>
                <w:color w:val="auto"/>
              </w:rPr>
              <w:t>Transaction fees</w:t>
            </w:r>
            <w:r>
              <w:rPr>
                <w:rFonts w:ascii="Arial" w:cs="Arial" w:eastAsia="Arial" w:hAnsi="Arial"/>
                <w:sz w:val="14"/>
                <w:szCs w:val="14"/>
                <w:color w:val="auto"/>
              </w:rPr>
              <w:t>(5)</w:t>
            </w:r>
          </w:p>
        </w:tc>
        <w:tc>
          <w:tcPr>
            <w:tcW w:w="10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3,001</w:t>
            </w:r>
          </w:p>
        </w:tc>
        <w:tc>
          <w:tcPr>
            <w:tcW w:w="3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3,001</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r>
      <w:tr>
        <w:trPr>
          <w:trHeight w:val="221"/>
        </w:trPr>
        <w:tc>
          <w:tcPr>
            <w:tcW w:w="5700" w:type="dxa"/>
            <w:vAlign w:val="bottom"/>
          </w:tcPr>
          <w:p>
            <w:pPr>
              <w:ind w:left="240"/>
              <w:spacing w:after="0"/>
              <w:rPr>
                <w:sz w:val="20"/>
                <w:szCs w:val="20"/>
                <w:color w:val="auto"/>
              </w:rPr>
            </w:pPr>
            <w:r>
              <w:rPr>
                <w:rFonts w:ascii="Arial" w:cs="Arial" w:eastAsia="Arial" w:hAnsi="Arial"/>
                <w:sz w:val="17"/>
                <w:szCs w:val="17"/>
                <w:color w:val="auto"/>
              </w:rPr>
              <w:t>Stock offering-related costs</w:t>
            </w:r>
            <w:r>
              <w:rPr>
                <w:rFonts w:ascii="Arial" w:cs="Arial" w:eastAsia="Arial" w:hAnsi="Arial"/>
                <w:sz w:val="14"/>
                <w:szCs w:val="14"/>
                <w:color w:val="auto"/>
              </w:rPr>
              <w:t>(6)</w:t>
            </w: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499</w:t>
            </w:r>
          </w:p>
        </w:tc>
        <w:tc>
          <w:tcPr>
            <w:tcW w:w="3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459</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2,604</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7,</w:t>
            </w:r>
          </w:p>
        </w:tc>
      </w:tr>
      <w:tr>
        <w:trPr>
          <w:trHeight w:val="221"/>
        </w:trPr>
        <w:tc>
          <w:tcPr>
            <w:tcW w:w="5700" w:type="dxa"/>
            <w:vAlign w:val="bottom"/>
            <w:shd w:val="clear" w:color="auto" w:fill="CFF0FC"/>
          </w:tcPr>
          <w:p>
            <w:pPr>
              <w:ind w:left="240"/>
              <w:spacing w:after="0"/>
              <w:rPr>
                <w:sz w:val="20"/>
                <w:szCs w:val="20"/>
                <w:color w:val="auto"/>
              </w:rPr>
            </w:pPr>
            <w:r>
              <w:rPr>
                <w:rFonts w:ascii="Arial" w:cs="Arial" w:eastAsia="Arial" w:hAnsi="Arial"/>
                <w:sz w:val="17"/>
                <w:szCs w:val="17"/>
                <w:color w:val="auto"/>
              </w:rPr>
              <w:t>IPO-related compensation expense</w:t>
            </w:r>
            <w:r>
              <w:rPr>
                <w:rFonts w:ascii="Arial" w:cs="Arial" w:eastAsia="Arial" w:hAnsi="Arial"/>
                <w:sz w:val="14"/>
                <w:szCs w:val="14"/>
                <w:color w:val="auto"/>
              </w:rPr>
              <w:t>(7)</w:t>
            </w:r>
          </w:p>
        </w:tc>
        <w:tc>
          <w:tcPr>
            <w:tcW w:w="10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3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w:t>
            </w:r>
          </w:p>
        </w:tc>
      </w:tr>
      <w:tr>
        <w:trPr>
          <w:trHeight w:val="221"/>
        </w:trPr>
        <w:tc>
          <w:tcPr>
            <w:tcW w:w="5700" w:type="dxa"/>
            <w:vAlign w:val="bottom"/>
          </w:tcPr>
          <w:p>
            <w:pPr>
              <w:ind w:left="240"/>
              <w:spacing w:after="0"/>
              <w:rPr>
                <w:sz w:val="20"/>
                <w:szCs w:val="20"/>
                <w:color w:val="auto"/>
              </w:rPr>
            </w:pPr>
            <w:r>
              <w:rPr>
                <w:rFonts w:ascii="Arial" w:cs="Arial" w:eastAsia="Arial" w:hAnsi="Arial"/>
                <w:sz w:val="17"/>
                <w:szCs w:val="17"/>
                <w:color w:val="auto"/>
              </w:rPr>
              <w:t xml:space="preserve">Severance costs </w:t>
            </w:r>
            <w:r>
              <w:rPr>
                <w:rFonts w:ascii="Arial" w:cs="Arial" w:eastAsia="Arial" w:hAnsi="Arial"/>
                <w:sz w:val="14"/>
                <w:szCs w:val="14"/>
                <w:color w:val="auto"/>
              </w:rPr>
              <w:t>(8)</w:t>
            </w: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w:t>
            </w:r>
          </w:p>
        </w:tc>
        <w:tc>
          <w:tcPr>
            <w:tcW w:w="3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423</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r>
      <w:tr>
        <w:trPr>
          <w:trHeight w:val="221"/>
        </w:trPr>
        <w:tc>
          <w:tcPr>
            <w:tcW w:w="5700" w:type="dxa"/>
            <w:vAlign w:val="bottom"/>
            <w:shd w:val="clear" w:color="auto" w:fill="CFF0FC"/>
          </w:tcPr>
          <w:p>
            <w:pPr>
              <w:ind w:left="240"/>
              <w:spacing w:after="0"/>
              <w:rPr>
                <w:sz w:val="20"/>
                <w:szCs w:val="20"/>
                <w:color w:val="auto"/>
              </w:rPr>
            </w:pPr>
            <w:r>
              <w:rPr>
                <w:rFonts w:ascii="Arial" w:cs="Arial" w:eastAsia="Arial" w:hAnsi="Arial"/>
                <w:sz w:val="17"/>
                <w:szCs w:val="17"/>
                <w:color w:val="auto"/>
              </w:rPr>
              <w:t>Pre-opening costs</w:t>
            </w:r>
            <w:r>
              <w:rPr>
                <w:rFonts w:ascii="Arial" w:cs="Arial" w:eastAsia="Arial" w:hAnsi="Arial"/>
                <w:sz w:val="14"/>
                <w:szCs w:val="14"/>
                <w:color w:val="auto"/>
              </w:rPr>
              <w:t>(9)</w:t>
            </w:r>
          </w:p>
        </w:tc>
        <w:tc>
          <w:tcPr>
            <w:tcW w:w="10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3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r>
      <w:tr>
        <w:trPr>
          <w:trHeight w:val="221"/>
        </w:trPr>
        <w:tc>
          <w:tcPr>
            <w:tcW w:w="5700" w:type="dxa"/>
            <w:vAlign w:val="bottom"/>
          </w:tcPr>
          <w:p>
            <w:pPr>
              <w:ind w:left="240"/>
              <w:spacing w:after="0"/>
              <w:rPr>
                <w:sz w:val="20"/>
                <w:szCs w:val="20"/>
                <w:color w:val="auto"/>
              </w:rPr>
            </w:pPr>
            <w:r>
              <w:rPr>
                <w:rFonts w:ascii="Arial" w:cs="Arial" w:eastAsia="Arial" w:hAnsi="Arial"/>
                <w:sz w:val="17"/>
                <w:szCs w:val="17"/>
                <w:color w:val="auto"/>
              </w:rPr>
              <w:t>Equipment discount</w:t>
            </w:r>
            <w:r>
              <w:rPr>
                <w:rFonts w:ascii="Arial" w:cs="Arial" w:eastAsia="Arial" w:hAnsi="Arial"/>
                <w:sz w:val="14"/>
                <w:szCs w:val="14"/>
                <w:color w:val="auto"/>
              </w:rPr>
              <w:t>(10)</w:t>
            </w:r>
          </w:p>
        </w:tc>
        <w:tc>
          <w:tcPr>
            <w:tcW w:w="100" w:type="dxa"/>
            <w:vAlign w:val="bottom"/>
          </w:tcPr>
          <w:p>
            <w:pPr>
              <w:spacing w:after="0"/>
              <w:rPr>
                <w:sz w:val="19"/>
                <w:szCs w:val="19"/>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7"/>
                <w:szCs w:val="17"/>
                <w:color w:val="auto"/>
              </w:rPr>
              <w:t>(1,754)</w:t>
            </w:r>
          </w:p>
        </w:tc>
        <w:tc>
          <w:tcPr>
            <w:tcW w:w="2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7"/>
                <w:szCs w:val="17"/>
                <w:color w:val="auto"/>
              </w:rPr>
              <w:t>(1,754)</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spacing w:after="0"/>
              <w:rPr>
                <w:sz w:val="19"/>
                <w:szCs w:val="19"/>
                <w:color w:val="auto"/>
              </w:rPr>
            </w:pPr>
          </w:p>
        </w:tc>
      </w:tr>
      <w:tr>
        <w:trPr>
          <w:trHeight w:val="221"/>
        </w:trPr>
        <w:tc>
          <w:tcPr>
            <w:tcW w:w="5700" w:type="dxa"/>
            <w:vAlign w:val="bottom"/>
            <w:shd w:val="clear" w:color="auto" w:fill="CFF0FC"/>
          </w:tcPr>
          <w:p>
            <w:pPr>
              <w:ind w:left="240"/>
              <w:spacing w:after="0"/>
              <w:rPr>
                <w:sz w:val="20"/>
                <w:szCs w:val="20"/>
                <w:color w:val="auto"/>
              </w:rPr>
            </w:pPr>
            <w:r>
              <w:rPr>
                <w:rFonts w:ascii="Arial" w:cs="Arial" w:eastAsia="Arial" w:hAnsi="Arial"/>
                <w:sz w:val="17"/>
                <w:szCs w:val="17"/>
                <w:color w:val="auto"/>
              </w:rPr>
              <w:t>Indemnification receivable</w:t>
            </w:r>
            <w:r>
              <w:rPr>
                <w:rFonts w:ascii="Arial" w:cs="Arial" w:eastAsia="Arial" w:hAnsi="Arial"/>
                <w:sz w:val="14"/>
                <w:szCs w:val="14"/>
                <w:color w:val="auto"/>
              </w:rPr>
              <w:t>(11)</w:t>
            </w:r>
          </w:p>
        </w:tc>
        <w:tc>
          <w:tcPr>
            <w:tcW w:w="10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(2,772)</w:t>
            </w:r>
          </w:p>
        </w:tc>
        <w:tc>
          <w:tcPr>
            <w:tcW w:w="2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(2,772)</w:t>
            </w:r>
          </w:p>
        </w:tc>
        <w:tc>
          <w:tcPr>
            <w:tcW w:w="12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r>
      <w:tr>
        <w:trPr>
          <w:trHeight w:val="221"/>
        </w:trPr>
        <w:tc>
          <w:tcPr>
            <w:tcW w:w="5700" w:type="dxa"/>
            <w:vAlign w:val="bottom"/>
          </w:tcPr>
          <w:p>
            <w:pPr>
              <w:ind w:left="240"/>
              <w:spacing w:after="0"/>
              <w:rPr>
                <w:sz w:val="20"/>
                <w:szCs w:val="20"/>
                <w:color w:val="auto"/>
              </w:rPr>
            </w:pPr>
            <w:r>
              <w:rPr>
                <w:rFonts w:ascii="Arial" w:cs="Arial" w:eastAsia="Arial" w:hAnsi="Arial"/>
                <w:sz w:val="17"/>
                <w:szCs w:val="17"/>
                <w:color w:val="auto"/>
              </w:rPr>
              <w:t>Other</w:t>
            </w:r>
            <w:r>
              <w:rPr>
                <w:rFonts w:ascii="Arial" w:cs="Arial" w:eastAsia="Arial" w:hAnsi="Arial"/>
                <w:sz w:val="14"/>
                <w:szCs w:val="14"/>
                <w:color w:val="auto"/>
              </w:rPr>
              <w:t>(12)</w:t>
            </w:r>
          </w:p>
        </w:tc>
        <w:tc>
          <w:tcPr>
            <w:tcW w:w="100" w:type="dxa"/>
            <w:vAlign w:val="bottom"/>
          </w:tcPr>
          <w:p>
            <w:pPr>
              <w:spacing w:after="0"/>
              <w:rPr>
                <w:sz w:val="19"/>
                <w:szCs w:val="19"/>
                <w:color w:val="auto"/>
              </w:rPr>
            </w:pPr>
          </w:p>
        </w:tc>
        <w:tc>
          <w:tcPr>
            <w:tcW w:w="1500" w:type="dxa"/>
            <w:vAlign w:val="bottom"/>
            <w:gridSpan w:val="2"/>
          </w:tcPr>
          <w:p>
            <w:pPr>
              <w:jc w:val="right"/>
              <w:ind w:right="240"/>
              <w:spacing w:after="0"/>
              <w:rPr>
                <w:sz w:val="20"/>
                <w:szCs w:val="20"/>
                <w:color w:val="auto"/>
              </w:rPr>
            </w:pPr>
            <w:r>
              <w:rPr>
                <w:rFonts w:ascii="Arial" w:cs="Arial" w:eastAsia="Arial" w:hAnsi="Arial"/>
                <w:sz w:val="17"/>
                <w:szCs w:val="17"/>
                <w:color w:val="auto"/>
              </w:rPr>
              <w:t>(522)</w:t>
            </w:r>
          </w:p>
        </w:tc>
        <w:tc>
          <w:tcPr>
            <w:tcW w:w="280" w:type="dxa"/>
            <w:vAlign w:val="bottom"/>
          </w:tcPr>
          <w:p>
            <w:pPr>
              <w:spacing w:after="0"/>
              <w:rPr>
                <w:sz w:val="19"/>
                <w:szCs w:val="19"/>
                <w:color w:val="auto"/>
              </w:rPr>
            </w:pPr>
          </w:p>
        </w:tc>
        <w:tc>
          <w:tcPr>
            <w:tcW w:w="1300" w:type="dxa"/>
            <w:vAlign w:val="bottom"/>
            <w:gridSpan w:val="2"/>
          </w:tcPr>
          <w:p>
            <w:pPr>
              <w:jc w:val="right"/>
              <w:ind w:right="240"/>
              <w:spacing w:after="0"/>
              <w:rPr>
                <w:sz w:val="20"/>
                <w:szCs w:val="20"/>
                <w:color w:val="auto"/>
              </w:rPr>
            </w:pPr>
            <w:r>
              <w:rPr>
                <w:rFonts w:ascii="Arial" w:cs="Arial" w:eastAsia="Arial" w:hAnsi="Arial"/>
                <w:sz w:val="17"/>
                <w:szCs w:val="17"/>
                <w:color w:val="auto"/>
              </w:rPr>
              <w:t>(2,550)</w:t>
            </w:r>
          </w:p>
        </w:tc>
        <w:tc>
          <w:tcPr>
            <w:tcW w:w="26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7"/>
                <w:szCs w:val="17"/>
                <w:color w:val="auto"/>
              </w:rPr>
              <w:t>(450)</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(2,</w:t>
            </w:r>
          </w:p>
        </w:tc>
      </w:tr>
      <w:tr>
        <w:trPr>
          <w:trHeight w:val="221"/>
        </w:trPr>
        <w:tc>
          <w:tcPr>
            <w:tcW w:w="5700" w:type="dxa"/>
            <w:vAlign w:val="bottom"/>
            <w:shd w:val="clear" w:color="auto" w:fill="CFF0FC"/>
          </w:tcPr>
          <w:p>
            <w:pPr>
              <w:ind w:left="240"/>
              <w:spacing w:after="0"/>
              <w:rPr>
                <w:sz w:val="20"/>
                <w:szCs w:val="20"/>
                <w:color w:val="auto"/>
              </w:rPr>
            </w:pPr>
            <w:r>
              <w:rPr>
                <w:rFonts w:ascii="Arial" w:cs="Arial" w:eastAsia="Arial" w:hAnsi="Arial"/>
                <w:sz w:val="17"/>
                <w:szCs w:val="17"/>
                <w:color w:val="auto"/>
              </w:rPr>
              <w:t>Purchase accounting amortization</w:t>
            </w:r>
            <w:r>
              <w:rPr>
                <w:rFonts w:ascii="Arial" w:cs="Arial" w:eastAsia="Arial" w:hAnsi="Arial"/>
                <w:sz w:val="14"/>
                <w:szCs w:val="14"/>
                <w:color w:val="auto"/>
              </w:rPr>
              <w:t>(13)</w:t>
            </w:r>
          </w:p>
        </w:tc>
        <w:tc>
          <w:tcPr>
            <w:tcW w:w="10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4,843</w:t>
            </w:r>
          </w:p>
        </w:tc>
        <w:tc>
          <w:tcPr>
            <w:tcW w:w="30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5,270</w:t>
            </w:r>
          </w:p>
        </w:tc>
        <w:tc>
          <w:tcPr>
            <w:tcW w:w="28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19,371</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80" w:type="dxa"/>
            <w:vAlign w:val="bottom"/>
            <w:tcBorders>
              <w:bottom w:val="single" w:sz="8" w:color="auto"/>
            </w:tcBorders>
            <w:shd w:val="clear" w:color="auto" w:fill="CFF0FC"/>
          </w:tcPr>
          <w:p>
            <w:pPr>
              <w:spacing w:after="0"/>
              <w:rPr>
                <w:sz w:val="19"/>
                <w:szCs w:val="19"/>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21,</w:t>
            </w:r>
          </w:p>
        </w:tc>
      </w:tr>
      <w:tr>
        <w:trPr>
          <w:trHeight w:val="214"/>
        </w:trPr>
        <w:tc>
          <w:tcPr>
            <w:tcW w:w="5700" w:type="dxa"/>
            <w:vAlign w:val="bottom"/>
          </w:tcPr>
          <w:p>
            <w:pPr>
              <w:spacing w:after="0"/>
              <w:rPr>
                <w:sz w:val="20"/>
                <w:szCs w:val="20"/>
                <w:color w:val="auto"/>
              </w:rPr>
            </w:pPr>
            <w:r>
              <w:rPr>
                <w:rFonts w:ascii="Arial" w:cs="Arial" w:eastAsia="Arial" w:hAnsi="Arial"/>
                <w:sz w:val="17"/>
                <w:szCs w:val="17"/>
                <w:color w:val="auto"/>
              </w:rPr>
              <w:t>Adjusted income before income taxes</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00" w:type="dxa"/>
            <w:vAlign w:val="bottom"/>
          </w:tcPr>
          <w:p>
            <w:pPr>
              <w:jc w:val="right"/>
              <w:spacing w:after="0"/>
              <w:rPr>
                <w:sz w:val="20"/>
                <w:szCs w:val="20"/>
                <w:color w:val="auto"/>
              </w:rPr>
            </w:pPr>
            <w:r>
              <w:rPr>
                <w:rFonts w:ascii="Arial" w:cs="Arial" w:eastAsia="Arial" w:hAnsi="Arial"/>
                <w:sz w:val="17"/>
                <w:szCs w:val="17"/>
                <w:color w:val="auto"/>
              </w:rPr>
              <w:t>32,626</w:t>
            </w:r>
          </w:p>
        </w:tc>
        <w:tc>
          <w:tcPr>
            <w:tcW w:w="300" w:type="dxa"/>
            <w:vAlign w:val="bottom"/>
          </w:tcPr>
          <w:p>
            <w:pPr>
              <w:spacing w:after="0"/>
              <w:rPr>
                <w:sz w:val="18"/>
                <w:szCs w:val="18"/>
                <w:color w:val="auto"/>
              </w:rPr>
            </w:pPr>
          </w:p>
        </w:tc>
        <w:tc>
          <w:tcPr>
            <w:tcW w:w="280" w:type="dxa"/>
            <w:vAlign w:val="bottom"/>
          </w:tcPr>
          <w:p>
            <w:pPr>
              <w:jc w:val="right"/>
              <w:ind w:right="124"/>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28,095</w:t>
            </w:r>
          </w:p>
        </w:tc>
        <w:tc>
          <w:tcPr>
            <w:tcW w:w="280" w:type="dxa"/>
            <w:vAlign w:val="bottom"/>
          </w:tcPr>
          <w:p>
            <w:pPr>
              <w:spacing w:after="0"/>
              <w:rPr>
                <w:sz w:val="18"/>
                <w:szCs w:val="18"/>
                <w:color w:val="auto"/>
              </w:rPr>
            </w:pPr>
          </w:p>
        </w:tc>
        <w:tc>
          <w:tcPr>
            <w:tcW w:w="260" w:type="dxa"/>
            <w:vAlign w:val="bottom"/>
          </w:tcPr>
          <w:p>
            <w:pPr>
              <w:jc w:val="right"/>
              <w:ind w:right="104"/>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7"/>
                <w:szCs w:val="17"/>
                <w:color w:val="auto"/>
              </w:rPr>
              <w:t>111,679</w:t>
            </w:r>
          </w:p>
        </w:tc>
        <w:tc>
          <w:tcPr>
            <w:tcW w:w="180" w:type="dxa"/>
            <w:vAlign w:val="bottom"/>
          </w:tcPr>
          <w:p>
            <w:pPr>
              <w:spacing w:after="0"/>
              <w:rPr>
                <w:sz w:val="18"/>
                <w:szCs w:val="18"/>
                <w:color w:val="auto"/>
              </w:rPr>
            </w:pPr>
          </w:p>
        </w:tc>
        <w:tc>
          <w:tcPr>
            <w:tcW w:w="600" w:type="dxa"/>
            <w:vAlign w:val="bottom"/>
            <w:gridSpan w:val="2"/>
          </w:tcPr>
          <w:p>
            <w:pPr>
              <w:jc w:val="right"/>
              <w:ind w:right="400"/>
              <w:spacing w:after="0"/>
              <w:rPr>
                <w:sz w:val="20"/>
                <w:szCs w:val="20"/>
                <w:color w:val="auto"/>
              </w:rPr>
            </w:pPr>
            <w:r>
              <w:rPr>
                <w:rFonts w:ascii="Arial" w:cs="Arial" w:eastAsia="Arial" w:hAnsi="Arial"/>
                <w:sz w:val="17"/>
                <w:szCs w:val="17"/>
                <w:color w:val="auto"/>
              </w:rPr>
              <w:t>$</w:t>
            </w:r>
          </w:p>
        </w:tc>
        <w:tc>
          <w:tcPr>
            <w:tcW w:w="660" w:type="dxa"/>
            <w:vAlign w:val="bottom"/>
          </w:tcPr>
          <w:p>
            <w:pPr>
              <w:jc w:val="right"/>
              <w:spacing w:after="0"/>
              <w:rPr>
                <w:sz w:val="20"/>
                <w:szCs w:val="20"/>
                <w:color w:val="auto"/>
              </w:rPr>
            </w:pPr>
            <w:r>
              <w:rPr>
                <w:rFonts w:ascii="Arial" w:cs="Arial" w:eastAsia="Arial" w:hAnsi="Arial"/>
                <w:sz w:val="17"/>
                <w:szCs w:val="17"/>
                <w:color w:val="auto"/>
              </w:rPr>
              <w:t>87,</w:t>
            </w:r>
          </w:p>
        </w:tc>
      </w:tr>
      <w:tr>
        <w:trPr>
          <w:trHeight w:val="221"/>
        </w:trPr>
        <w:tc>
          <w:tcPr>
            <w:tcW w:w="5700" w:type="dxa"/>
            <w:vAlign w:val="bottom"/>
            <w:shd w:val="clear" w:color="auto" w:fill="CFF0FC"/>
          </w:tcPr>
          <w:p>
            <w:pPr>
              <w:ind w:left="240"/>
              <w:spacing w:after="0"/>
              <w:rPr>
                <w:sz w:val="20"/>
                <w:szCs w:val="20"/>
                <w:color w:val="auto"/>
              </w:rPr>
            </w:pPr>
            <w:r>
              <w:rPr>
                <w:rFonts w:ascii="Arial" w:cs="Arial" w:eastAsia="Arial" w:hAnsi="Arial"/>
                <w:sz w:val="17"/>
                <w:szCs w:val="17"/>
                <w:color w:val="auto"/>
              </w:rPr>
              <w:t>Adjusted income taxes</w:t>
            </w:r>
            <w:r>
              <w:rPr>
                <w:rFonts w:ascii="Arial" w:cs="Arial" w:eastAsia="Arial" w:hAnsi="Arial"/>
                <w:sz w:val="14"/>
                <w:szCs w:val="14"/>
                <w:color w:val="auto"/>
              </w:rPr>
              <w:t>(14)</w:t>
            </w:r>
          </w:p>
        </w:tc>
        <w:tc>
          <w:tcPr>
            <w:tcW w:w="10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12,887</w:t>
            </w:r>
          </w:p>
        </w:tc>
        <w:tc>
          <w:tcPr>
            <w:tcW w:w="30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11,069</w:t>
            </w:r>
          </w:p>
        </w:tc>
        <w:tc>
          <w:tcPr>
            <w:tcW w:w="28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44,113</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80" w:type="dxa"/>
            <w:vAlign w:val="bottom"/>
            <w:tcBorders>
              <w:bottom w:val="single" w:sz="8" w:color="auto"/>
            </w:tcBorders>
            <w:shd w:val="clear" w:color="auto" w:fill="CFF0FC"/>
          </w:tcPr>
          <w:p>
            <w:pPr>
              <w:spacing w:after="0"/>
              <w:rPr>
                <w:sz w:val="19"/>
                <w:szCs w:val="19"/>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34,</w:t>
            </w:r>
          </w:p>
        </w:tc>
      </w:tr>
      <w:tr>
        <w:trPr>
          <w:trHeight w:val="254"/>
        </w:trPr>
        <w:tc>
          <w:tcPr>
            <w:tcW w:w="5700" w:type="dxa"/>
            <w:vAlign w:val="bottom"/>
          </w:tcPr>
          <w:p>
            <w:pPr>
              <w:spacing w:after="0"/>
              <w:rPr>
                <w:sz w:val="20"/>
                <w:szCs w:val="20"/>
                <w:color w:val="auto"/>
              </w:rPr>
            </w:pPr>
            <w:r>
              <w:rPr>
                <w:rFonts w:ascii="Arial" w:cs="Arial" w:eastAsia="Arial" w:hAnsi="Arial"/>
                <w:sz w:val="17"/>
                <w:szCs w:val="17"/>
                <w:color w:val="auto"/>
              </w:rPr>
              <w:t>Adjusted net income</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00" w:type="dxa"/>
            <w:vAlign w:val="bottom"/>
          </w:tcPr>
          <w:p>
            <w:pPr>
              <w:jc w:val="right"/>
              <w:spacing w:after="0"/>
              <w:rPr>
                <w:sz w:val="20"/>
                <w:szCs w:val="20"/>
                <w:color w:val="auto"/>
              </w:rPr>
            </w:pPr>
            <w:r>
              <w:rPr>
                <w:rFonts w:ascii="Arial" w:cs="Arial" w:eastAsia="Arial" w:hAnsi="Arial"/>
                <w:sz w:val="17"/>
                <w:szCs w:val="17"/>
                <w:color w:val="auto"/>
              </w:rPr>
              <w:t>19,739</w:t>
            </w:r>
          </w:p>
        </w:tc>
        <w:tc>
          <w:tcPr>
            <w:tcW w:w="300" w:type="dxa"/>
            <w:vAlign w:val="bottom"/>
          </w:tcPr>
          <w:p>
            <w:pPr>
              <w:spacing w:after="0"/>
              <w:rPr>
                <w:sz w:val="22"/>
                <w:szCs w:val="22"/>
                <w:color w:val="auto"/>
              </w:rPr>
            </w:pPr>
          </w:p>
        </w:tc>
        <w:tc>
          <w:tcPr>
            <w:tcW w:w="280" w:type="dxa"/>
            <w:vAlign w:val="bottom"/>
          </w:tcPr>
          <w:p>
            <w:pPr>
              <w:jc w:val="right"/>
              <w:ind w:right="124"/>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17,026</w:t>
            </w:r>
          </w:p>
        </w:tc>
        <w:tc>
          <w:tcPr>
            <w:tcW w:w="280" w:type="dxa"/>
            <w:vAlign w:val="bottom"/>
          </w:tcPr>
          <w:p>
            <w:pPr>
              <w:spacing w:after="0"/>
              <w:rPr>
                <w:sz w:val="22"/>
                <w:szCs w:val="22"/>
                <w:color w:val="auto"/>
              </w:rPr>
            </w:pPr>
          </w:p>
        </w:tc>
        <w:tc>
          <w:tcPr>
            <w:tcW w:w="260" w:type="dxa"/>
            <w:vAlign w:val="bottom"/>
          </w:tcPr>
          <w:p>
            <w:pPr>
              <w:jc w:val="right"/>
              <w:ind w:right="104"/>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7"/>
                <w:szCs w:val="17"/>
                <w:color w:val="auto"/>
              </w:rPr>
              <w:t>67,566</w:t>
            </w:r>
          </w:p>
        </w:tc>
        <w:tc>
          <w:tcPr>
            <w:tcW w:w="180" w:type="dxa"/>
            <w:vAlign w:val="bottom"/>
          </w:tcPr>
          <w:p>
            <w:pPr>
              <w:spacing w:after="0"/>
              <w:rPr>
                <w:sz w:val="22"/>
                <w:szCs w:val="22"/>
                <w:color w:val="auto"/>
              </w:rPr>
            </w:pPr>
          </w:p>
        </w:tc>
        <w:tc>
          <w:tcPr>
            <w:tcW w:w="600" w:type="dxa"/>
            <w:vAlign w:val="bottom"/>
            <w:gridSpan w:val="2"/>
          </w:tcPr>
          <w:p>
            <w:pPr>
              <w:jc w:val="right"/>
              <w:ind w:right="400"/>
              <w:spacing w:after="0"/>
              <w:rPr>
                <w:sz w:val="20"/>
                <w:szCs w:val="20"/>
                <w:color w:val="auto"/>
              </w:rPr>
            </w:pPr>
            <w:r>
              <w:rPr>
                <w:rFonts w:ascii="Arial" w:cs="Arial" w:eastAsia="Arial" w:hAnsi="Arial"/>
                <w:sz w:val="17"/>
                <w:szCs w:val="17"/>
                <w:color w:val="auto"/>
              </w:rPr>
              <w:t>$</w:t>
            </w:r>
          </w:p>
        </w:tc>
        <w:tc>
          <w:tcPr>
            <w:tcW w:w="660" w:type="dxa"/>
            <w:vAlign w:val="bottom"/>
          </w:tcPr>
          <w:p>
            <w:pPr>
              <w:jc w:val="right"/>
              <w:spacing w:after="0"/>
              <w:rPr>
                <w:sz w:val="20"/>
                <w:szCs w:val="20"/>
                <w:color w:val="auto"/>
              </w:rPr>
            </w:pPr>
            <w:r>
              <w:rPr>
                <w:rFonts w:ascii="Arial" w:cs="Arial" w:eastAsia="Arial" w:hAnsi="Arial"/>
                <w:sz w:val="17"/>
                <w:szCs w:val="17"/>
                <w:color w:val="auto"/>
              </w:rPr>
              <w:t>53,</w:t>
            </w:r>
          </w:p>
        </w:tc>
      </w:tr>
      <w:tr>
        <w:trPr>
          <w:trHeight w:val="200"/>
        </w:trPr>
        <w:tc>
          <w:tcPr>
            <w:tcW w:w="5700" w:type="dxa"/>
            <w:vAlign w:val="bottom"/>
            <w:tcBorders>
              <w:top w:val="single" w:sz="8" w:color="CFF0FC"/>
            </w:tcBorders>
            <w:shd w:val="clear" w:color="auto" w:fill="CFF0FC"/>
          </w:tcPr>
          <w:p>
            <w:pPr>
              <w:spacing w:after="0"/>
              <w:rPr>
                <w:sz w:val="17"/>
                <w:szCs w:val="17"/>
                <w:color w:val="auto"/>
              </w:rPr>
            </w:pPr>
          </w:p>
        </w:tc>
        <w:tc>
          <w:tcPr>
            <w:tcW w:w="100" w:type="dxa"/>
            <w:vAlign w:val="bottom"/>
            <w:tcBorders>
              <w:top w:val="single" w:sz="8" w:color="auto"/>
            </w:tcBorders>
            <w:shd w:val="clear" w:color="auto" w:fill="CFF0FC"/>
          </w:tcPr>
          <w:p>
            <w:pPr>
              <w:spacing w:after="0"/>
              <w:rPr>
                <w:sz w:val="17"/>
                <w:szCs w:val="17"/>
                <w:color w:val="auto"/>
              </w:rPr>
            </w:pPr>
          </w:p>
        </w:tc>
        <w:tc>
          <w:tcPr>
            <w:tcW w:w="1200" w:type="dxa"/>
            <w:vAlign w:val="bottom"/>
            <w:tcBorders>
              <w:top w:val="single" w:sz="8" w:color="auto"/>
            </w:tcBorders>
            <w:shd w:val="clear" w:color="auto" w:fill="CFF0FC"/>
          </w:tcPr>
          <w:p>
            <w:pPr>
              <w:spacing w:after="0"/>
              <w:rPr>
                <w:sz w:val="17"/>
                <w:szCs w:val="17"/>
                <w:color w:val="auto"/>
              </w:rPr>
            </w:pPr>
          </w:p>
        </w:tc>
        <w:tc>
          <w:tcPr>
            <w:tcW w:w="300" w:type="dxa"/>
            <w:vAlign w:val="bottom"/>
            <w:tcBorders>
              <w:top w:val="single" w:sz="8" w:color="CFF0FC"/>
            </w:tcBorders>
            <w:shd w:val="clear" w:color="auto" w:fill="CFF0FC"/>
          </w:tcPr>
          <w:p>
            <w:pPr>
              <w:spacing w:after="0"/>
              <w:rPr>
                <w:sz w:val="17"/>
                <w:szCs w:val="17"/>
                <w:color w:val="auto"/>
              </w:rPr>
            </w:pPr>
          </w:p>
        </w:tc>
        <w:tc>
          <w:tcPr>
            <w:tcW w:w="280" w:type="dxa"/>
            <w:vAlign w:val="bottom"/>
            <w:tcBorders>
              <w:top w:val="single" w:sz="8" w:color="auto"/>
            </w:tcBorders>
            <w:shd w:val="clear" w:color="auto" w:fill="CFF0FC"/>
          </w:tcPr>
          <w:p>
            <w:pPr>
              <w:spacing w:after="0"/>
              <w:rPr>
                <w:sz w:val="17"/>
                <w:szCs w:val="17"/>
                <w:color w:val="auto"/>
              </w:rPr>
            </w:pPr>
          </w:p>
        </w:tc>
        <w:tc>
          <w:tcPr>
            <w:tcW w:w="1020" w:type="dxa"/>
            <w:vAlign w:val="bottom"/>
            <w:tcBorders>
              <w:top w:val="single" w:sz="8" w:color="auto"/>
            </w:tcBorders>
            <w:shd w:val="clear" w:color="auto" w:fill="CFF0FC"/>
          </w:tcPr>
          <w:p>
            <w:pPr>
              <w:spacing w:after="0"/>
              <w:rPr>
                <w:sz w:val="17"/>
                <w:szCs w:val="17"/>
                <w:color w:val="auto"/>
              </w:rPr>
            </w:pPr>
          </w:p>
        </w:tc>
        <w:tc>
          <w:tcPr>
            <w:tcW w:w="280" w:type="dxa"/>
            <w:vAlign w:val="bottom"/>
            <w:tcBorders>
              <w:top w:val="single" w:sz="8" w:color="CFF0FC"/>
            </w:tcBorders>
            <w:shd w:val="clear" w:color="auto" w:fill="CFF0FC"/>
          </w:tcPr>
          <w:p>
            <w:pPr>
              <w:spacing w:after="0"/>
              <w:rPr>
                <w:sz w:val="17"/>
                <w:szCs w:val="17"/>
                <w:color w:val="auto"/>
              </w:rPr>
            </w:pPr>
          </w:p>
        </w:tc>
        <w:tc>
          <w:tcPr>
            <w:tcW w:w="260" w:type="dxa"/>
            <w:vAlign w:val="bottom"/>
            <w:tcBorders>
              <w:top w:val="single" w:sz="8" w:color="auto"/>
            </w:tcBorders>
            <w:shd w:val="clear" w:color="auto" w:fill="CFF0FC"/>
          </w:tcPr>
          <w:p>
            <w:pPr>
              <w:spacing w:after="0"/>
              <w:rPr>
                <w:sz w:val="17"/>
                <w:szCs w:val="17"/>
                <w:color w:val="auto"/>
              </w:rPr>
            </w:pPr>
          </w:p>
        </w:tc>
        <w:tc>
          <w:tcPr>
            <w:tcW w:w="940" w:type="dxa"/>
            <w:vAlign w:val="bottom"/>
            <w:tcBorders>
              <w:top w:val="single" w:sz="8" w:color="auto"/>
            </w:tcBorders>
            <w:shd w:val="clear" w:color="auto" w:fill="CFF0FC"/>
          </w:tcPr>
          <w:p>
            <w:pPr>
              <w:spacing w:after="0"/>
              <w:rPr>
                <w:sz w:val="17"/>
                <w:szCs w:val="17"/>
                <w:color w:val="auto"/>
              </w:rPr>
            </w:pPr>
          </w:p>
        </w:tc>
        <w:tc>
          <w:tcPr>
            <w:tcW w:w="180" w:type="dxa"/>
            <w:vAlign w:val="bottom"/>
            <w:tcBorders>
              <w:top w:val="single" w:sz="8" w:color="CFF0FC"/>
            </w:tcBorders>
            <w:shd w:val="clear" w:color="auto" w:fill="CFF0FC"/>
          </w:tcPr>
          <w:p>
            <w:pPr>
              <w:spacing w:after="0"/>
              <w:rPr>
                <w:sz w:val="17"/>
                <w:szCs w:val="17"/>
                <w:color w:val="auto"/>
              </w:rPr>
            </w:pPr>
          </w:p>
        </w:tc>
        <w:tc>
          <w:tcPr>
            <w:tcW w:w="120" w:type="dxa"/>
            <w:vAlign w:val="bottom"/>
            <w:tcBorders>
              <w:top w:val="single" w:sz="8" w:color="CFF0FC"/>
            </w:tcBorders>
            <w:shd w:val="clear" w:color="auto" w:fill="CFF0FC"/>
          </w:tcPr>
          <w:p>
            <w:pPr>
              <w:spacing w:after="0"/>
              <w:rPr>
                <w:sz w:val="17"/>
                <w:szCs w:val="17"/>
                <w:color w:val="auto"/>
              </w:rPr>
            </w:pPr>
          </w:p>
        </w:tc>
        <w:tc>
          <w:tcPr>
            <w:tcW w:w="480" w:type="dxa"/>
            <w:vAlign w:val="bottom"/>
            <w:tcBorders>
              <w:top w:val="single" w:sz="8" w:color="auto"/>
            </w:tcBorders>
            <w:shd w:val="clear" w:color="auto" w:fill="CFF0FC"/>
          </w:tcPr>
          <w:p>
            <w:pPr>
              <w:spacing w:after="0"/>
              <w:rPr>
                <w:sz w:val="17"/>
                <w:szCs w:val="17"/>
                <w:color w:val="auto"/>
              </w:rPr>
            </w:pPr>
          </w:p>
        </w:tc>
        <w:tc>
          <w:tcPr>
            <w:tcW w:w="660" w:type="dxa"/>
            <w:vAlign w:val="bottom"/>
            <w:tcBorders>
              <w:top w:val="single" w:sz="8" w:color="auto"/>
            </w:tcBorders>
            <w:shd w:val="clear" w:color="auto" w:fill="CFF0FC"/>
          </w:tcPr>
          <w:p>
            <w:pPr>
              <w:spacing w:after="0"/>
              <w:rPr>
                <w:sz w:val="17"/>
                <w:szCs w:val="17"/>
                <w:color w:val="auto"/>
              </w:rPr>
            </w:pPr>
          </w:p>
        </w:tc>
      </w:tr>
      <w:tr>
        <w:trPr>
          <w:trHeight w:val="221"/>
        </w:trPr>
        <w:tc>
          <w:tcPr>
            <w:tcW w:w="5700" w:type="dxa"/>
            <w:vAlign w:val="bottom"/>
          </w:tcPr>
          <w:p>
            <w:pPr>
              <w:spacing w:after="0"/>
              <w:rPr>
                <w:sz w:val="20"/>
                <w:szCs w:val="20"/>
                <w:color w:val="auto"/>
              </w:rPr>
            </w:pPr>
            <w:r>
              <w:rPr>
                <w:rFonts w:ascii="Arial" w:cs="Arial" w:eastAsia="Arial" w:hAnsi="Arial"/>
                <w:sz w:val="17"/>
                <w:szCs w:val="17"/>
                <w:color w:val="auto"/>
              </w:rPr>
              <w:t>Adjusted net income per share, diluted</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00" w:type="dxa"/>
            <w:vAlign w:val="bottom"/>
          </w:tcPr>
          <w:p>
            <w:pPr>
              <w:jc w:val="right"/>
              <w:spacing w:after="0"/>
              <w:rPr>
                <w:sz w:val="20"/>
                <w:szCs w:val="20"/>
                <w:color w:val="auto"/>
              </w:rPr>
            </w:pPr>
            <w:r>
              <w:rPr>
                <w:rFonts w:ascii="Arial" w:cs="Arial" w:eastAsia="Arial" w:hAnsi="Arial"/>
                <w:sz w:val="17"/>
                <w:szCs w:val="17"/>
                <w:color w:val="auto"/>
              </w:rPr>
              <w:t>0.20</w:t>
            </w:r>
          </w:p>
        </w:tc>
        <w:tc>
          <w:tcPr>
            <w:tcW w:w="300" w:type="dxa"/>
            <w:vAlign w:val="bottom"/>
          </w:tcPr>
          <w:p>
            <w:pPr>
              <w:spacing w:after="0"/>
              <w:rPr>
                <w:sz w:val="19"/>
                <w:szCs w:val="19"/>
                <w:color w:val="auto"/>
              </w:rPr>
            </w:pPr>
          </w:p>
        </w:tc>
        <w:tc>
          <w:tcPr>
            <w:tcW w:w="280" w:type="dxa"/>
            <w:vAlign w:val="bottom"/>
          </w:tcPr>
          <w:p>
            <w:pPr>
              <w:jc w:val="right"/>
              <w:ind w:right="124"/>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0.17</w:t>
            </w:r>
          </w:p>
        </w:tc>
        <w:tc>
          <w:tcPr>
            <w:tcW w:w="280" w:type="dxa"/>
            <w:vAlign w:val="bottom"/>
          </w:tcPr>
          <w:p>
            <w:pPr>
              <w:spacing w:after="0"/>
              <w:rPr>
                <w:sz w:val="19"/>
                <w:szCs w:val="19"/>
                <w:color w:val="auto"/>
              </w:rPr>
            </w:pPr>
          </w:p>
        </w:tc>
        <w:tc>
          <w:tcPr>
            <w:tcW w:w="260" w:type="dxa"/>
            <w:vAlign w:val="bottom"/>
          </w:tcPr>
          <w:p>
            <w:pPr>
              <w:jc w:val="right"/>
              <w:ind w:right="104"/>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7"/>
                <w:szCs w:val="17"/>
                <w:color w:val="auto"/>
              </w:rPr>
              <w:t>0.69</w:t>
            </w:r>
          </w:p>
        </w:tc>
        <w:tc>
          <w:tcPr>
            <w:tcW w:w="180" w:type="dxa"/>
            <w:vAlign w:val="bottom"/>
          </w:tcPr>
          <w:p>
            <w:pPr>
              <w:spacing w:after="0"/>
              <w:rPr>
                <w:sz w:val="19"/>
                <w:szCs w:val="19"/>
                <w:color w:val="auto"/>
              </w:rPr>
            </w:pPr>
          </w:p>
        </w:tc>
        <w:tc>
          <w:tcPr>
            <w:tcW w:w="600" w:type="dxa"/>
            <w:vAlign w:val="bottom"/>
            <w:gridSpan w:val="2"/>
          </w:tcPr>
          <w:p>
            <w:pPr>
              <w:jc w:val="right"/>
              <w:ind w:right="400"/>
              <w:spacing w:after="0"/>
              <w:rPr>
                <w:sz w:val="20"/>
                <w:szCs w:val="20"/>
                <w:color w:val="auto"/>
              </w:rPr>
            </w:pPr>
            <w:r>
              <w:rPr>
                <w:rFonts w:ascii="Arial" w:cs="Arial" w:eastAsia="Arial" w:hAnsi="Arial"/>
                <w:sz w:val="17"/>
                <w:szCs w:val="17"/>
                <w:color w:val="auto"/>
              </w:rPr>
              <w:t>$</w:t>
            </w:r>
          </w:p>
        </w:tc>
        <w:tc>
          <w:tcPr>
            <w:tcW w:w="66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57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r>
      <w:tr>
        <w:trPr>
          <w:trHeight w:val="221"/>
        </w:trPr>
        <w:tc>
          <w:tcPr>
            <w:tcW w:w="5700" w:type="dxa"/>
            <w:vAlign w:val="bottom"/>
          </w:tcPr>
          <w:p>
            <w:pPr>
              <w:spacing w:after="0"/>
              <w:rPr>
                <w:sz w:val="20"/>
                <w:szCs w:val="20"/>
                <w:color w:val="auto"/>
              </w:rPr>
            </w:pPr>
            <w:r>
              <w:rPr>
                <w:rFonts w:ascii="Arial" w:cs="Arial" w:eastAsia="Arial" w:hAnsi="Arial"/>
                <w:sz w:val="17"/>
                <w:szCs w:val="17"/>
                <w:color w:val="auto"/>
              </w:rPr>
              <w:t>Adjusted weighted-average shares outstanding, diluted</w:t>
            </w:r>
            <w:r>
              <w:rPr>
                <w:rFonts w:ascii="Arial" w:cs="Arial" w:eastAsia="Arial" w:hAnsi="Arial"/>
                <w:sz w:val="14"/>
                <w:szCs w:val="14"/>
                <w:color w:val="auto"/>
              </w:rPr>
              <w:t>(15)</w:t>
            </w: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98,598</w:t>
            </w:r>
          </w:p>
        </w:tc>
        <w:tc>
          <w:tcPr>
            <w:tcW w:w="3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98,710</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98,611</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98,</w:t>
            </w:r>
          </w:p>
        </w:tc>
      </w:tr>
    </w:tbl>
    <w:p>
      <w:pPr>
        <w:spacing w:after="0" w:line="208" w:lineRule="exact"/>
        <w:rPr>
          <w:sz w:val="20"/>
          <w:szCs w:val="20"/>
          <w:color w:val="auto"/>
        </w:rPr>
      </w:pPr>
    </w:p>
    <w:p>
      <w:pPr>
        <w:jc w:val="both"/>
        <w:ind w:left="540" w:right="100" w:hanging="536"/>
        <w:spacing w:after="0" w:line="273" w:lineRule="auto"/>
        <w:tabs>
          <w:tab w:leader="none" w:pos="5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Represents the impact of revenue-related purchase accounting adjustments associated with the 2012 Acquisition. At the time of the 2012 Acquisition, the Company maintained a deferred revenue account, which consisted of deferred area development agreement fees, deferred franchise fees, and deferred enrollment fees that the Company billed and collected up front but recognizes for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For the quarters ended December 31, 2016 and 2015 and the years ended December 31, 2016 and 2015, these amounted to $29, $248, $487 and $713, respectively, representing the amount of additional revenue that would have been recognized in those periods if the write-down to deferred revenue had not occurred in connection with the application of acquisition pushdown accounting.</w:t>
      </w:r>
    </w:p>
    <w:p>
      <w:pPr>
        <w:spacing w:after="0" w:line="1" w:lineRule="exact"/>
        <w:rPr>
          <w:rFonts w:ascii="Arial" w:cs="Arial" w:eastAsia="Arial" w:hAnsi="Arial"/>
          <w:sz w:val="16"/>
          <w:szCs w:val="16"/>
          <w:color w:val="auto"/>
        </w:rPr>
      </w:pPr>
    </w:p>
    <w:p>
      <w:pPr>
        <w:jc w:val="both"/>
        <w:ind w:left="540" w:right="100" w:hanging="536"/>
        <w:spacing w:after="0" w:line="294" w:lineRule="auto"/>
        <w:tabs>
          <w:tab w:leader="none" w:pos="540" w:val="left"/>
        </w:tabs>
        <w:numPr>
          <w:ilvl w:val="0"/>
          <w:numId w:val="15"/>
        </w:numPr>
        <w:rPr>
          <w:rFonts w:ascii="Arial" w:cs="Arial" w:eastAsia="Arial" w:hAnsi="Arial"/>
          <w:sz w:val="15"/>
          <w:szCs w:val="15"/>
          <w:color w:val="auto"/>
        </w:rPr>
      </w:pPr>
      <w:r>
        <w:rPr>
          <w:rFonts w:ascii="Arial" w:cs="Arial" w:eastAsia="Arial" w:hAnsi="Arial"/>
          <w:sz w:val="15"/>
          <w:szCs w:val="15"/>
          <w:color w:val="auto"/>
        </w:rPr>
        <w:t>Represents the impact of rent related purchase accounting adjustments. In accordance with guidance in ASC 805 – Business Combinations, in connection with the 2012 Acquisition, the Company’s deferred rent liability was required to be written off as of the acquisition date and rent is being recorded on a straight-line basis from the acquisition date through the end of the lease term. This resulted in higher overall rent expense each period than would have otherwise been recorded had the deferred rent liability not been written off as a result of the acquisition push down accounting applied in accordance with ASC 805. Adjustments of $103, $104, $475 and $415 in the quarters ending December 31, 2016 and 2015 and the years ending December 31, 2016 and 2015, respectively, reflect the difference between the higher rent expense recorded in accordance with GAAP since the acquisition and the rent expense that would have been recorded had the 2012 Acquisition not occurred. Adjustments of $94, $97, $386 and $478 for the quarters ending December 31, 2016 and 2015 and the years ending December 31, 2016 and 2015, respectively, are due to the amortization of favorable and unfavorable lease intangible assets which were recorded in connection with the 2012 Acquisition and the acquisition of eight franchisee-owned stores on March 31, 2014. All of the rent related purchase accounting adjustments are adjustments to rent expense which is included in store operations on our consolidated statements of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31750</wp:posOffset>
            </wp:positionV>
            <wp:extent cx="7293610" cy="419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520"/>
          </w:cols>
          <w:pgMar w:left="240" w:top="121" w:right="139" w:bottom="1440" w:gutter="0" w:footer="0" w:header="0"/>
        </w:sectPr>
      </w:pPr>
    </w:p>
    <w:bookmarkStart w:id="15" w:name="page16"/>
    <w:bookmarkEnd w:id="15"/>
    <w:p>
      <w:pPr>
        <w:jc w:val="center"/>
        <w:ind w:right="100"/>
        <w:spacing w:after="0"/>
        <w:rPr>
          <w:sz w:val="20"/>
          <w:szCs w:val="20"/>
          <w:color w:val="auto"/>
        </w:rPr>
      </w:pPr>
      <w:r>
        <w:rPr>
          <w:rFonts w:ascii="Arial" w:cs="Arial" w:eastAsia="Arial" w:hAnsi="Arial"/>
          <w:sz w:val="17"/>
          <w:szCs w:val="17"/>
          <w:b w:val="1"/>
          <w:bCs w:val="1"/>
          <w:color w:val="auto"/>
        </w:rPr>
        <w:t>Planet Fitness, Inc. and subsidiaries</w:t>
      </w:r>
    </w:p>
    <w:p>
      <w:pPr>
        <w:spacing w:after="0" w:line="31"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Non-GAAP Financial Measures</w:t>
      </w:r>
    </w:p>
    <w:p>
      <w:pPr>
        <w:spacing w:after="0" w:line="12"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(Unaudited)</w:t>
      </w:r>
    </w:p>
    <w:p>
      <w:pPr>
        <w:spacing w:after="0" w:line="12" w:lineRule="exact"/>
        <w:rPr>
          <w:sz w:val="20"/>
          <w:szCs w:val="20"/>
          <w:color w:val="auto"/>
        </w:rPr>
      </w:pPr>
    </w:p>
    <w:p>
      <w:pPr>
        <w:jc w:val="center"/>
        <w:ind w:right="180"/>
        <w:spacing w:after="0"/>
        <w:rPr>
          <w:sz w:val="20"/>
          <w:szCs w:val="20"/>
          <w:color w:val="auto"/>
        </w:rPr>
      </w:pPr>
      <w:r>
        <w:rPr>
          <w:rFonts w:ascii="Arial" w:cs="Arial" w:eastAsia="Arial" w:hAnsi="Arial"/>
          <w:sz w:val="17"/>
          <w:szCs w:val="17"/>
          <w:color w:val="auto"/>
        </w:rPr>
        <w:t>(Amounts in thousands, except per share amounts)</w:t>
      </w:r>
    </w:p>
    <w:p>
      <w:pPr>
        <w:spacing w:after="0" w:line="208" w:lineRule="exact"/>
        <w:rPr>
          <w:sz w:val="20"/>
          <w:szCs w:val="20"/>
          <w:color w:val="auto"/>
        </w:rPr>
      </w:pPr>
    </w:p>
    <w:p>
      <w:pPr>
        <w:ind w:left="540" w:right="100" w:hanging="536"/>
        <w:spacing w:after="0" w:line="262" w:lineRule="auto"/>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management fees and expenses paid to a management company affiliated with TSG pursuant to a management services agreement that terminated in connection with the IPO, including a $1.0 million termination fee in the year ended December 31, 2015.</w:t>
      </w:r>
    </w:p>
    <w:p>
      <w:pPr>
        <w:spacing w:after="0" w:line="1" w:lineRule="exact"/>
        <w:rPr>
          <w:rFonts w:ascii="Arial" w:cs="Arial" w:eastAsia="Arial" w:hAnsi="Arial"/>
          <w:sz w:val="17"/>
          <w:szCs w:val="17"/>
          <w:color w:val="auto"/>
        </w:rPr>
      </w:pPr>
    </w:p>
    <w:p>
      <w:pPr>
        <w:ind w:left="540" w:hanging="536"/>
        <w:spacing w:after="0"/>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costs associated with certain IT system upgrades, primarily related to our point-of-sale systems.</w:t>
      </w:r>
    </w:p>
    <w:p>
      <w:pPr>
        <w:spacing w:after="0" w:line="12" w:lineRule="exact"/>
        <w:rPr>
          <w:rFonts w:ascii="Arial" w:cs="Arial" w:eastAsia="Arial" w:hAnsi="Arial"/>
          <w:sz w:val="17"/>
          <w:szCs w:val="17"/>
          <w:color w:val="auto"/>
        </w:rPr>
      </w:pPr>
    </w:p>
    <w:p>
      <w:pPr>
        <w:ind w:left="540" w:hanging="536"/>
        <w:spacing w:after="0"/>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transaction fees and expenses related to the amendment of our credit facility in the year ended December 31, 2016.</w:t>
      </w:r>
    </w:p>
    <w:p>
      <w:pPr>
        <w:spacing w:after="0" w:line="12" w:lineRule="exact"/>
        <w:rPr>
          <w:rFonts w:ascii="Arial" w:cs="Arial" w:eastAsia="Arial" w:hAnsi="Arial"/>
          <w:sz w:val="17"/>
          <w:szCs w:val="17"/>
          <w:color w:val="auto"/>
        </w:rPr>
      </w:pPr>
    </w:p>
    <w:p>
      <w:pPr>
        <w:ind w:left="540" w:hanging="536"/>
        <w:spacing w:after="0"/>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legal, accounting and other costs incurred in connection with offerings of the Company’s Class A common stock.</w:t>
      </w:r>
    </w:p>
    <w:p>
      <w:pPr>
        <w:spacing w:after="0" w:line="12" w:lineRule="exact"/>
        <w:rPr>
          <w:rFonts w:ascii="Arial" w:cs="Arial" w:eastAsia="Arial" w:hAnsi="Arial"/>
          <w:sz w:val="17"/>
          <w:szCs w:val="17"/>
          <w:color w:val="auto"/>
        </w:rPr>
      </w:pPr>
    </w:p>
    <w:p>
      <w:pPr>
        <w:ind w:left="540" w:hanging="536"/>
        <w:spacing w:after="0"/>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cash-based and equity-based compensation expense recorded in connection with the IPO.</w:t>
      </w:r>
    </w:p>
    <w:p>
      <w:pPr>
        <w:spacing w:after="0" w:line="12" w:lineRule="exact"/>
        <w:rPr>
          <w:rFonts w:ascii="Arial" w:cs="Arial" w:eastAsia="Arial" w:hAnsi="Arial"/>
          <w:sz w:val="17"/>
          <w:szCs w:val="17"/>
          <w:color w:val="auto"/>
        </w:rPr>
      </w:pPr>
    </w:p>
    <w:p>
      <w:pPr>
        <w:ind w:left="540" w:hanging="536"/>
        <w:spacing w:after="0"/>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severance expense recorded in connection with an equity award modification.</w:t>
      </w:r>
    </w:p>
    <w:p>
      <w:pPr>
        <w:spacing w:after="0" w:line="12" w:lineRule="exact"/>
        <w:rPr>
          <w:rFonts w:ascii="Arial" w:cs="Arial" w:eastAsia="Arial" w:hAnsi="Arial"/>
          <w:sz w:val="17"/>
          <w:szCs w:val="17"/>
          <w:color w:val="auto"/>
        </w:rPr>
      </w:pPr>
    </w:p>
    <w:p>
      <w:pPr>
        <w:ind w:left="540" w:right="100" w:hanging="536"/>
        <w:spacing w:after="0" w:line="255" w:lineRule="auto"/>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costs associated with new corporate-owned stores incurred prior to the store opening, including payroll-related costs, rent and occupancy expenses, marketing and other store operating supply expenses.</w:t>
      </w:r>
    </w:p>
    <w:p>
      <w:pPr>
        <w:ind w:left="540" w:right="100" w:hanging="536"/>
        <w:spacing w:after="0" w:line="271" w:lineRule="auto"/>
        <w:tabs>
          <w:tab w:leader="none" w:pos="5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Represents a gain recorded in connection with the write-off of a previously accrued equipment discount that is no longer expected to be utilized. This amount was originally recognized through purchase accounting in connection with the acquisition of eight franchisee-owned stores on March 31, 2014.</w:t>
      </w:r>
    </w:p>
    <w:p>
      <w:pPr>
        <w:ind w:left="540" w:right="100" w:hanging="536"/>
        <w:spacing w:after="0" w:line="255" w:lineRule="auto"/>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a receivable recorded in connection with a contractual obligation of the Company’s co-founders to indemnify the Company with respect to pre-IPO tax liabilities pursuant to the 2012 Acquisition.</w:t>
      </w:r>
    </w:p>
    <w:p>
      <w:pPr>
        <w:jc w:val="both"/>
        <w:ind w:left="540" w:right="100" w:hanging="536"/>
        <w:spacing w:after="0" w:line="289" w:lineRule="auto"/>
        <w:tabs>
          <w:tab w:leader="none" w:pos="540" w:val="left"/>
        </w:tabs>
        <w:numPr>
          <w:ilvl w:val="0"/>
          <w:numId w:val="16"/>
        </w:numPr>
        <w:rPr>
          <w:rFonts w:ascii="Arial" w:cs="Arial" w:eastAsia="Arial" w:hAnsi="Arial"/>
          <w:sz w:val="15"/>
          <w:szCs w:val="15"/>
          <w:color w:val="auto"/>
        </w:rPr>
      </w:pPr>
      <w:r>
        <w:rPr>
          <w:rFonts w:ascii="Arial" w:cs="Arial" w:eastAsia="Arial" w:hAnsi="Arial"/>
          <w:sz w:val="15"/>
          <w:szCs w:val="15"/>
          <w:color w:val="auto"/>
        </w:rPr>
        <w:t>Represents certain other charges and gains that we do not believe reflect our underlying business performance. In 2016, the gain primarily related to proceeds received from an insurance settlement, partially offset by accelerated depreciation expense taken on our corporate headquarters in preparation for a planned relocation in 2017. In 2015, the gain related to the adjustment of our tax benefit arrangements primarily due to changes in our effective tax rate.</w:t>
      </w:r>
    </w:p>
    <w:p>
      <w:pPr>
        <w:jc w:val="both"/>
        <w:ind w:left="540" w:right="100" w:hanging="536"/>
        <w:spacing w:after="0" w:line="255" w:lineRule="auto"/>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Includes $4,218, $4,484, $16,873 and $17,922 of amortization of intangible assets, other than favorable leases, for the quarters ended December 31, 2016 and 2015 and the years ended December 31, 2016 and 2015, respectively recorded in connection with the 2012 Acquisition, which consisted of the purchase of interests in Pla-Fit Holdings by investment funds affiliated with TSG Consumer Partners, LLC and $624, $786, $2,498 and $3,145 of amortization of intangible assets for the quarters ended December 31, 2016 and 2015, and the years ended December 31, 2016 and 2015, respectively, created in connection with the acquisition of eight franchisee-owned stores on March 31, 2014. The adjustment represents the amount of actual non-cash amortization expense recorded, in accordance with GAAP, in each period.</w:t>
      </w:r>
    </w:p>
    <w:p>
      <w:pPr>
        <w:spacing w:after="0" w:line="1" w:lineRule="exact"/>
        <w:rPr>
          <w:rFonts w:ascii="Arial" w:cs="Arial" w:eastAsia="Arial" w:hAnsi="Arial"/>
          <w:sz w:val="17"/>
          <w:szCs w:val="17"/>
          <w:color w:val="auto"/>
        </w:rPr>
      </w:pPr>
    </w:p>
    <w:p>
      <w:pPr>
        <w:ind w:left="540" w:right="100" w:hanging="536"/>
        <w:spacing w:after="0" w:line="255" w:lineRule="auto"/>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corporate income taxes at an assumed effective tax rate of 39.5% for the quarter and year ended December 31, 2016, and 39.4% for the quarter and year ended December 31, 2015 applied to adjusted income before income taxes.</w:t>
      </w:r>
    </w:p>
    <w:p>
      <w:pPr>
        <w:ind w:left="540" w:right="100" w:hanging="536"/>
        <w:spacing w:after="0" w:line="270" w:lineRule="auto"/>
        <w:tabs>
          <w:tab w:leader="none" w:pos="5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Assumes the full exchange of all outstanding Holdings Units and corresponding shares of Class B common stock for shares of Class A common stock of Planet Fitness, Inc.</w:t>
      </w:r>
    </w:p>
    <w:p>
      <w:pPr>
        <w:spacing w:after="0" w:line="171" w:lineRule="exact"/>
        <w:rPr>
          <w:sz w:val="20"/>
          <w:szCs w:val="20"/>
          <w:color w:val="auto"/>
        </w:rPr>
      </w:pPr>
    </w:p>
    <w:p>
      <w:pPr>
        <w:ind w:right="360"/>
        <w:spacing w:after="0" w:line="285" w:lineRule="auto"/>
        <w:rPr>
          <w:sz w:val="20"/>
          <w:szCs w:val="20"/>
          <w:color w:val="auto"/>
        </w:rPr>
      </w:pPr>
      <w:r>
        <w:rPr>
          <w:rFonts w:ascii="Arial" w:cs="Arial" w:eastAsia="Arial" w:hAnsi="Arial"/>
          <w:sz w:val="17"/>
          <w:szCs w:val="17"/>
          <w:color w:val="auto"/>
        </w:rPr>
        <w:t>A reconciliation of net income per share, diluted, to Adjusted net income per share, diluted is set forth below for the three months and years ended December 31, 2016 and 2015:</w:t>
      </w: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80" w:type="dxa"/>
            <w:vAlign w:val="bottom"/>
            <w:gridSpan w:val="3"/>
          </w:tcPr>
          <w:p>
            <w:pPr>
              <w:jc w:val="center"/>
              <w:spacing w:after="0"/>
              <w:rPr>
                <w:sz w:val="20"/>
                <w:szCs w:val="20"/>
                <w:color w:val="auto"/>
              </w:rPr>
            </w:pPr>
            <w:r>
              <w:rPr>
                <w:rFonts w:ascii="Arial" w:cs="Arial" w:eastAsia="Arial" w:hAnsi="Arial"/>
                <w:sz w:val="14"/>
                <w:szCs w:val="14"/>
                <w:b w:val="1"/>
                <w:bCs w:val="1"/>
                <w:color w:val="auto"/>
                <w:w w:val="88"/>
              </w:rPr>
              <w:t>For the three months ended</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20" w:type="dxa"/>
            <w:vAlign w:val="bottom"/>
            <w:gridSpan w:val="2"/>
          </w:tcPr>
          <w:p>
            <w:pPr>
              <w:ind w:left="20"/>
              <w:spacing w:after="0"/>
              <w:rPr>
                <w:sz w:val="20"/>
                <w:szCs w:val="20"/>
                <w:color w:val="auto"/>
              </w:rPr>
            </w:pPr>
            <w:r>
              <w:rPr>
                <w:rFonts w:ascii="Arial" w:cs="Arial" w:eastAsia="Arial" w:hAnsi="Arial"/>
                <w:sz w:val="14"/>
                <w:szCs w:val="14"/>
                <w:b w:val="1"/>
                <w:bCs w:val="1"/>
                <w:color w:val="auto"/>
              </w:rPr>
              <w:t>For the year ended</w:t>
            </w: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8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b w:val="1"/>
                <w:bCs w:val="1"/>
                <w:color w:val="auto"/>
                <w:w w:val="88"/>
              </w:rPr>
              <w:t>December 31, 2016</w:t>
            </w: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December 31, 2016</w:t>
            </w: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38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80" w:type="dxa"/>
            <w:vAlign w:val="bottom"/>
            <w:vMerge w:val="restart"/>
          </w:tcPr>
          <w:p>
            <w:pPr>
              <w:jc w:val="right"/>
              <w:ind w:right="136"/>
              <w:spacing w:after="0"/>
              <w:rPr>
                <w:sz w:val="20"/>
                <w:szCs w:val="20"/>
                <w:color w:val="auto"/>
              </w:rPr>
            </w:pPr>
            <w:r>
              <w:rPr>
                <w:rFonts w:ascii="Arial" w:cs="Arial" w:eastAsia="Arial" w:hAnsi="Arial"/>
                <w:sz w:val="14"/>
                <w:szCs w:val="14"/>
                <w:b w:val="1"/>
                <w:bCs w:val="1"/>
                <w:color w:val="auto"/>
              </w:rPr>
              <w:t>Amount</w:t>
            </w:r>
          </w:p>
        </w:tc>
        <w:tc>
          <w:tcPr>
            <w:tcW w:w="220" w:type="dxa"/>
            <w:vAlign w:val="bottom"/>
          </w:tcPr>
          <w:p>
            <w:pPr>
              <w:spacing w:after="0"/>
              <w:rPr>
                <w:sz w:val="10"/>
                <w:szCs w:val="10"/>
                <w:color w:val="auto"/>
              </w:rPr>
            </w:pPr>
          </w:p>
        </w:tc>
        <w:tc>
          <w:tcPr>
            <w:tcW w:w="1460" w:type="dxa"/>
            <w:vAlign w:val="bottom"/>
            <w:gridSpan w:val="2"/>
          </w:tcPr>
          <w:p>
            <w:pPr>
              <w:jc w:val="center"/>
              <w:ind w:right="200"/>
              <w:spacing w:after="0" w:line="127" w:lineRule="exact"/>
              <w:rPr>
                <w:sz w:val="20"/>
                <w:szCs w:val="20"/>
                <w:color w:val="auto"/>
              </w:rPr>
            </w:pPr>
            <w:r>
              <w:rPr>
                <w:rFonts w:ascii="Arial" w:cs="Arial" w:eastAsia="Arial" w:hAnsi="Arial"/>
                <w:sz w:val="14"/>
                <w:szCs w:val="14"/>
                <w:b w:val="1"/>
                <w:bCs w:val="1"/>
                <w:color w:val="auto"/>
                <w:w w:val="88"/>
              </w:rPr>
              <w:t>Weighted average</w:t>
            </w: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jc w:val="right"/>
              <w:ind w:right="62"/>
              <w:spacing w:after="0" w:line="127" w:lineRule="exact"/>
              <w:rPr>
                <w:sz w:val="20"/>
                <w:szCs w:val="20"/>
                <w:color w:val="auto"/>
              </w:rPr>
            </w:pPr>
            <w:r>
              <w:rPr>
                <w:rFonts w:ascii="Arial" w:cs="Arial" w:eastAsia="Arial" w:hAnsi="Arial"/>
                <w:sz w:val="14"/>
                <w:szCs w:val="14"/>
                <w:b w:val="1"/>
                <w:bCs w:val="1"/>
                <w:color w:val="auto"/>
                <w:w w:val="91"/>
              </w:rPr>
              <w:t>Per share,</w:t>
            </w:r>
          </w:p>
        </w:tc>
        <w:tc>
          <w:tcPr>
            <w:tcW w:w="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vMerge w:val="restart"/>
          </w:tcPr>
          <w:p>
            <w:pPr>
              <w:jc w:val="right"/>
              <w:ind w:right="116"/>
              <w:spacing w:after="0"/>
              <w:rPr>
                <w:sz w:val="20"/>
                <w:szCs w:val="20"/>
                <w:color w:val="auto"/>
              </w:rPr>
            </w:pPr>
            <w:r>
              <w:rPr>
                <w:rFonts w:ascii="Arial" w:cs="Arial" w:eastAsia="Arial" w:hAnsi="Arial"/>
                <w:sz w:val="14"/>
                <w:szCs w:val="14"/>
                <w:b w:val="1"/>
                <w:bCs w:val="1"/>
                <w:color w:val="auto"/>
                <w:w w:val="94"/>
              </w:rPr>
              <w:t>Amount</w:t>
            </w:r>
          </w:p>
        </w:tc>
        <w:tc>
          <w:tcPr>
            <w:tcW w:w="220" w:type="dxa"/>
            <w:vAlign w:val="bottom"/>
            <w:vMerge w:val="restart"/>
          </w:tcPr>
          <w:p>
            <w:pPr>
              <w:spacing w:after="0"/>
              <w:rPr>
                <w:sz w:val="10"/>
                <w:szCs w:val="10"/>
                <w:color w:val="auto"/>
              </w:rPr>
            </w:pPr>
          </w:p>
        </w:tc>
        <w:tc>
          <w:tcPr>
            <w:tcW w:w="1420" w:type="dxa"/>
            <w:vAlign w:val="bottom"/>
            <w:gridSpan w:val="2"/>
          </w:tcPr>
          <w:p>
            <w:pPr>
              <w:ind w:left="100"/>
              <w:spacing w:after="0" w:line="127" w:lineRule="exact"/>
              <w:rPr>
                <w:sz w:val="20"/>
                <w:szCs w:val="20"/>
                <w:color w:val="auto"/>
              </w:rPr>
            </w:pPr>
            <w:r>
              <w:rPr>
                <w:rFonts w:ascii="Arial" w:cs="Arial" w:eastAsia="Arial" w:hAnsi="Arial"/>
                <w:sz w:val="14"/>
                <w:szCs w:val="14"/>
                <w:b w:val="1"/>
                <w:bCs w:val="1"/>
                <w:color w:val="auto"/>
              </w:rPr>
              <w:t>Weighted average</w:t>
            </w:r>
          </w:p>
        </w:tc>
        <w:tc>
          <w:tcPr>
            <w:tcW w:w="140" w:type="dxa"/>
            <w:vAlign w:val="bottom"/>
          </w:tcPr>
          <w:p>
            <w:pPr>
              <w:spacing w:after="0"/>
              <w:rPr>
                <w:sz w:val="10"/>
                <w:szCs w:val="10"/>
                <w:color w:val="auto"/>
              </w:rPr>
            </w:pPr>
          </w:p>
        </w:tc>
        <w:tc>
          <w:tcPr>
            <w:tcW w:w="740" w:type="dxa"/>
            <w:vAlign w:val="bottom"/>
          </w:tcPr>
          <w:p>
            <w:pPr>
              <w:jc w:val="right"/>
              <w:ind w:right="2"/>
              <w:spacing w:after="0" w:line="127" w:lineRule="exact"/>
              <w:rPr>
                <w:sz w:val="20"/>
                <w:szCs w:val="20"/>
                <w:color w:val="auto"/>
              </w:rPr>
            </w:pPr>
            <w:r>
              <w:rPr>
                <w:rFonts w:ascii="Arial" w:cs="Arial" w:eastAsia="Arial" w:hAnsi="Arial"/>
                <w:sz w:val="14"/>
                <w:szCs w:val="14"/>
                <w:b w:val="1"/>
                <w:bCs w:val="1"/>
                <w:color w:val="auto"/>
                <w:w w:val="94"/>
              </w:rPr>
              <w:t>Per share,</w:t>
            </w:r>
          </w:p>
        </w:tc>
        <w:tc>
          <w:tcPr>
            <w:tcW w:w="0" w:type="dxa"/>
            <w:vAlign w:val="bottom"/>
          </w:tcPr>
          <w:p>
            <w:pPr>
              <w:spacing w:after="0"/>
              <w:rPr>
                <w:sz w:val="1"/>
                <w:szCs w:val="1"/>
                <w:color w:val="auto"/>
              </w:rPr>
            </w:pPr>
          </w:p>
        </w:tc>
      </w:tr>
      <w:tr>
        <w:trPr>
          <w:trHeight w:val="165"/>
        </w:trPr>
        <w:tc>
          <w:tcPr>
            <w:tcW w:w="3880" w:type="dxa"/>
            <w:vAlign w:val="bottom"/>
            <w:tcBorders>
              <w:bottom w:val="single" w:sz="8" w:color="CFF0FC"/>
            </w:tcBorders>
          </w:tcPr>
          <w:p>
            <w:pPr>
              <w:spacing w:after="0"/>
              <w:rPr>
                <w:sz w:val="14"/>
                <w:szCs w:val="14"/>
                <w:color w:val="auto"/>
              </w:rPr>
            </w:pPr>
          </w:p>
        </w:tc>
        <w:tc>
          <w:tcPr>
            <w:tcW w:w="56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vMerge w:val="continue"/>
          </w:tcPr>
          <w:p>
            <w:pPr>
              <w:spacing w:after="0"/>
              <w:rPr>
                <w:sz w:val="14"/>
                <w:szCs w:val="14"/>
                <w:color w:val="auto"/>
              </w:rPr>
            </w:pPr>
          </w:p>
        </w:tc>
        <w:tc>
          <w:tcPr>
            <w:tcW w:w="220" w:type="dxa"/>
            <w:vAlign w:val="bottom"/>
            <w:tcBorders>
              <w:bottom w:val="single" w:sz="8" w:color="CFF0FC"/>
            </w:tcBorders>
          </w:tcPr>
          <w:p>
            <w:pPr>
              <w:spacing w:after="0"/>
              <w:rPr>
                <w:sz w:val="14"/>
                <w:szCs w:val="14"/>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shares, diluted</w:t>
            </w:r>
          </w:p>
        </w:tc>
        <w:tc>
          <w:tcPr>
            <w:tcW w:w="180" w:type="dxa"/>
            <w:vAlign w:val="bottom"/>
            <w:tcBorders>
              <w:bottom w:val="single" w:sz="8" w:color="CFF0FC"/>
            </w:tcBorders>
          </w:tcPr>
          <w:p>
            <w:pPr>
              <w:spacing w:after="0"/>
              <w:rPr>
                <w:sz w:val="14"/>
                <w:szCs w:val="14"/>
                <w:color w:val="auto"/>
              </w:rPr>
            </w:pPr>
          </w:p>
        </w:tc>
        <w:tc>
          <w:tcPr>
            <w:tcW w:w="4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62"/>
              <w:spacing w:after="0"/>
              <w:rPr>
                <w:sz w:val="20"/>
                <w:szCs w:val="20"/>
                <w:color w:val="auto"/>
              </w:rPr>
            </w:pPr>
            <w:r>
              <w:rPr>
                <w:rFonts w:ascii="Arial" w:cs="Arial" w:eastAsia="Arial" w:hAnsi="Arial"/>
                <w:sz w:val="14"/>
                <w:szCs w:val="14"/>
                <w:b w:val="1"/>
                <w:bCs w:val="1"/>
                <w:color w:val="auto"/>
              </w:rPr>
              <w:t>diluted</w:t>
            </w:r>
          </w:p>
        </w:tc>
        <w:tc>
          <w:tcPr>
            <w:tcW w:w="18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vMerge w:val="continue"/>
          </w:tcPr>
          <w:p>
            <w:pPr>
              <w:spacing w:after="0"/>
              <w:rPr>
                <w:sz w:val="14"/>
                <w:szCs w:val="14"/>
                <w:color w:val="auto"/>
              </w:rPr>
            </w:pPr>
          </w:p>
        </w:tc>
        <w:tc>
          <w:tcPr>
            <w:tcW w:w="220" w:type="dxa"/>
            <w:vAlign w:val="bottom"/>
            <w:tcBorders>
              <w:bottom w:val="single" w:sz="8" w:color="CFF0FC"/>
            </w:tcBorders>
            <w:vMerge w:val="continue"/>
          </w:tcPr>
          <w:p>
            <w:pPr>
              <w:spacing w:after="0"/>
              <w:rPr>
                <w:sz w:val="14"/>
                <w:szCs w:val="14"/>
                <w:color w:val="auto"/>
              </w:rPr>
            </w:pPr>
          </w:p>
        </w:tc>
        <w:tc>
          <w:tcPr>
            <w:tcW w:w="1260" w:type="dxa"/>
            <w:vAlign w:val="bottom"/>
            <w:tcBorders>
              <w:bottom w:val="single" w:sz="8" w:color="auto"/>
            </w:tcBorders>
          </w:tcPr>
          <w:p>
            <w:pPr>
              <w:jc w:val="right"/>
              <w:ind w:right="143"/>
              <w:spacing w:after="0"/>
              <w:rPr>
                <w:sz w:val="20"/>
                <w:szCs w:val="20"/>
                <w:color w:val="auto"/>
              </w:rPr>
            </w:pPr>
            <w:r>
              <w:rPr>
                <w:rFonts w:ascii="Arial" w:cs="Arial" w:eastAsia="Arial" w:hAnsi="Arial"/>
                <w:sz w:val="14"/>
                <w:szCs w:val="14"/>
                <w:b w:val="1"/>
                <w:bCs w:val="1"/>
                <w:color w:val="auto"/>
              </w:rPr>
              <w:t>shares, diluted</w:t>
            </w:r>
          </w:p>
        </w:tc>
        <w:tc>
          <w:tcPr>
            <w:tcW w:w="16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02"/>
              <w:spacing w:after="0"/>
              <w:rPr>
                <w:sz w:val="20"/>
                <w:szCs w:val="20"/>
                <w:color w:val="auto"/>
              </w:rPr>
            </w:pPr>
            <w:r>
              <w:rPr>
                <w:rFonts w:ascii="Arial" w:cs="Arial" w:eastAsia="Arial" w:hAnsi="Arial"/>
                <w:sz w:val="14"/>
                <w:szCs w:val="14"/>
                <w:b w:val="1"/>
                <w:bCs w:val="1"/>
                <w:color w:val="auto"/>
              </w:rPr>
              <w:t>diluted</w:t>
            </w:r>
          </w:p>
        </w:tc>
        <w:tc>
          <w:tcPr>
            <w:tcW w:w="0" w:type="dxa"/>
            <w:vAlign w:val="bottom"/>
          </w:tcPr>
          <w:p>
            <w:pPr>
              <w:spacing w:after="0"/>
              <w:rPr>
                <w:sz w:val="1"/>
                <w:szCs w:val="1"/>
                <w:color w:val="auto"/>
              </w:rPr>
            </w:pPr>
          </w:p>
        </w:tc>
      </w:tr>
      <w:tr>
        <w:trPr>
          <w:trHeight w:val="214"/>
        </w:trPr>
        <w:tc>
          <w:tcPr>
            <w:tcW w:w="3880" w:type="dxa"/>
            <w:vAlign w:val="bottom"/>
            <w:shd w:val="clear" w:color="auto" w:fill="CFF0FC"/>
          </w:tcPr>
          <w:p>
            <w:pPr>
              <w:spacing w:after="0"/>
              <w:rPr>
                <w:sz w:val="20"/>
                <w:szCs w:val="20"/>
                <w:color w:val="auto"/>
              </w:rPr>
            </w:pPr>
            <w:r>
              <w:rPr>
                <w:rFonts w:ascii="Arial" w:cs="Arial" w:eastAsia="Arial" w:hAnsi="Arial"/>
                <w:sz w:val="17"/>
                <w:szCs w:val="17"/>
                <w:color w:val="auto"/>
              </w:rPr>
              <w:t>Net income attributable to Planet Fitness Inc.</w:t>
            </w:r>
            <w:r>
              <w:rPr>
                <w:rFonts w:ascii="Arial" w:cs="Arial" w:eastAsia="Arial" w:hAnsi="Arial"/>
                <w:sz w:val="14"/>
                <w:szCs w:val="14"/>
                <w:color w:val="auto"/>
              </w:rPr>
              <w:t>(1)</w:t>
            </w: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10,575</w:t>
            </w:r>
          </w:p>
        </w:tc>
        <w:tc>
          <w:tcPr>
            <w:tcW w:w="150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98,598</w:t>
            </w:r>
          </w:p>
        </w:tc>
        <w:tc>
          <w:tcPr>
            <w:tcW w:w="180" w:type="dxa"/>
            <w:vAlign w:val="bottom"/>
            <w:shd w:val="clear" w:color="auto" w:fill="CFF0FC"/>
          </w:tcPr>
          <w:p>
            <w:pPr>
              <w:spacing w:after="0"/>
              <w:rPr>
                <w:sz w:val="18"/>
                <w:szCs w:val="18"/>
                <w:color w:val="auto"/>
              </w:rPr>
            </w:pPr>
          </w:p>
        </w:tc>
        <w:tc>
          <w:tcPr>
            <w:tcW w:w="14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0.18</w:t>
            </w:r>
          </w:p>
        </w:tc>
        <w:tc>
          <w:tcPr>
            <w:tcW w:w="3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21,500</w:t>
            </w:r>
          </w:p>
        </w:tc>
        <w:tc>
          <w:tcPr>
            <w:tcW w:w="220" w:type="dxa"/>
            <w:vAlign w:val="bottom"/>
            <w:shd w:val="clear" w:color="auto" w:fill="CFF0FC"/>
          </w:tcPr>
          <w:p>
            <w:pPr>
              <w:spacing w:after="0"/>
              <w:rPr>
                <w:sz w:val="18"/>
                <w:szCs w:val="18"/>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43,305</w:t>
            </w:r>
          </w:p>
        </w:tc>
        <w:tc>
          <w:tcPr>
            <w:tcW w:w="160" w:type="dxa"/>
            <w:vAlign w:val="bottom"/>
            <w:shd w:val="clear" w:color="auto" w:fill="CFF0FC"/>
          </w:tcPr>
          <w:p>
            <w:pPr>
              <w:spacing w:after="0"/>
              <w:rPr>
                <w:sz w:val="18"/>
                <w:szCs w:val="18"/>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0.5</w:t>
            </w:r>
          </w:p>
        </w:tc>
        <w:tc>
          <w:tcPr>
            <w:tcW w:w="0" w:type="dxa"/>
            <w:vAlign w:val="bottom"/>
          </w:tcPr>
          <w:p>
            <w:pPr>
              <w:spacing w:after="0"/>
              <w:rPr>
                <w:sz w:val="1"/>
                <w:szCs w:val="1"/>
                <w:color w:val="auto"/>
              </w:rPr>
            </w:pPr>
          </w:p>
        </w:tc>
      </w:tr>
      <w:tr>
        <w:trPr>
          <w:trHeight w:val="221"/>
        </w:trPr>
        <w:tc>
          <w:tcPr>
            <w:tcW w:w="3880" w:type="dxa"/>
            <w:vAlign w:val="bottom"/>
          </w:tcPr>
          <w:p>
            <w:pPr>
              <w:ind w:left="240"/>
              <w:spacing w:after="0"/>
              <w:rPr>
                <w:sz w:val="20"/>
                <w:szCs w:val="20"/>
                <w:color w:val="auto"/>
              </w:rPr>
            </w:pPr>
            <w:r>
              <w:rPr>
                <w:rFonts w:ascii="Arial" w:cs="Arial" w:eastAsia="Arial" w:hAnsi="Arial"/>
                <w:sz w:val="17"/>
                <w:szCs w:val="17"/>
                <w:color w:val="auto"/>
              </w:rPr>
              <w:t>Assumed exchange of shares</w:t>
            </w:r>
            <w:r>
              <w:rPr>
                <w:rFonts w:ascii="Arial" w:cs="Arial" w:eastAsia="Arial" w:hAnsi="Arial"/>
                <w:sz w:val="14"/>
                <w:szCs w:val="14"/>
                <w:color w:val="auto"/>
              </w:rPr>
              <w:t>(2)</w:t>
            </w:r>
          </w:p>
        </w:tc>
        <w:tc>
          <w:tcPr>
            <w:tcW w:w="5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11,373</w:t>
            </w:r>
          </w:p>
        </w:tc>
        <w:tc>
          <w:tcPr>
            <w:tcW w:w="15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49,717</w:t>
            </w: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55,306</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3880" w:type="dxa"/>
            <w:vAlign w:val="bottom"/>
            <w:tcBorders>
              <w:top w:val="single" w:sz="8" w:color="CFF0FC"/>
            </w:tcBorders>
            <w:shd w:val="clear" w:color="auto" w:fill="CFF0FC"/>
          </w:tcPr>
          <w:p>
            <w:pPr>
              <w:ind w:left="240"/>
              <w:spacing w:after="0"/>
              <w:rPr>
                <w:sz w:val="20"/>
                <w:szCs w:val="20"/>
                <w:color w:val="auto"/>
              </w:rPr>
            </w:pPr>
            <w:r>
              <w:rPr>
                <w:rFonts w:ascii="Arial" w:cs="Arial" w:eastAsia="Arial" w:hAnsi="Arial"/>
                <w:sz w:val="17"/>
                <w:szCs w:val="17"/>
                <w:color w:val="auto"/>
              </w:rPr>
              <w:t>Net Income</w:t>
            </w:r>
          </w:p>
        </w:tc>
        <w:tc>
          <w:tcPr>
            <w:tcW w:w="56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21,948</w:t>
            </w:r>
          </w:p>
        </w:tc>
        <w:tc>
          <w:tcPr>
            <w:tcW w:w="220" w:type="dxa"/>
            <w:vAlign w:val="bottom"/>
            <w:tcBorders>
              <w:top w:val="single" w:sz="8" w:color="CFF0FC"/>
            </w:tcBorders>
            <w:shd w:val="clear" w:color="auto" w:fill="CFF0FC"/>
          </w:tcPr>
          <w:p>
            <w:pPr>
              <w:spacing w:after="0"/>
              <w:rPr>
                <w:sz w:val="18"/>
                <w:szCs w:val="18"/>
                <w:color w:val="auto"/>
              </w:rPr>
            </w:pPr>
          </w:p>
        </w:tc>
        <w:tc>
          <w:tcPr>
            <w:tcW w:w="1280" w:type="dxa"/>
            <w:vAlign w:val="bottom"/>
            <w:tcBorders>
              <w:top w:val="single" w:sz="8" w:color="auto"/>
            </w:tcBorders>
            <w:shd w:val="clear" w:color="auto" w:fill="CFF0FC"/>
          </w:tcPr>
          <w:p>
            <w:pPr>
              <w:spacing w:after="0"/>
              <w:rPr>
                <w:sz w:val="18"/>
                <w:szCs w:val="18"/>
                <w:color w:val="auto"/>
              </w:rPr>
            </w:pPr>
          </w:p>
        </w:tc>
        <w:tc>
          <w:tcPr>
            <w:tcW w:w="180" w:type="dxa"/>
            <w:vAlign w:val="bottom"/>
            <w:tcBorders>
              <w:top w:val="single" w:sz="8" w:color="CFF0FC"/>
            </w:tcBorders>
            <w:shd w:val="clear" w:color="auto" w:fill="CFF0FC"/>
          </w:tcPr>
          <w:p>
            <w:pPr>
              <w:spacing w:after="0"/>
              <w:rPr>
                <w:sz w:val="18"/>
                <w:szCs w:val="18"/>
                <w:color w:val="auto"/>
              </w:rPr>
            </w:pPr>
          </w:p>
        </w:tc>
        <w:tc>
          <w:tcPr>
            <w:tcW w:w="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78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71,247</w:t>
            </w:r>
          </w:p>
        </w:tc>
        <w:tc>
          <w:tcPr>
            <w:tcW w:w="220" w:type="dxa"/>
            <w:vAlign w:val="bottom"/>
            <w:tcBorders>
              <w:top w:val="single" w:sz="8" w:color="CFF0FC"/>
            </w:tcBorders>
            <w:shd w:val="clear" w:color="auto" w:fill="CFF0FC"/>
          </w:tcPr>
          <w:p>
            <w:pPr>
              <w:spacing w:after="0"/>
              <w:rPr>
                <w:sz w:val="18"/>
                <w:szCs w:val="18"/>
                <w:color w:val="auto"/>
              </w:rPr>
            </w:pPr>
          </w:p>
        </w:tc>
        <w:tc>
          <w:tcPr>
            <w:tcW w:w="126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74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3880" w:type="dxa"/>
            <w:vAlign w:val="bottom"/>
          </w:tcPr>
          <w:p>
            <w:pPr>
              <w:ind w:left="240"/>
              <w:spacing w:after="0"/>
              <w:rPr>
                <w:sz w:val="20"/>
                <w:szCs w:val="20"/>
                <w:color w:val="auto"/>
              </w:rPr>
            </w:pPr>
            <w:r>
              <w:rPr>
                <w:rFonts w:ascii="Arial" w:cs="Arial" w:eastAsia="Arial" w:hAnsi="Arial"/>
                <w:sz w:val="17"/>
                <w:szCs w:val="17"/>
                <w:color w:val="auto"/>
              </w:rPr>
              <w:t>Adjustments to arrive at adjusted income</w:t>
            </w: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3880" w:type="dxa"/>
            <w:vAlign w:val="bottom"/>
            <w:tcBorders>
              <w:bottom w:val="single" w:sz="8" w:color="CFF0FC"/>
            </w:tcBorders>
          </w:tcPr>
          <w:p>
            <w:pPr>
              <w:ind w:left="380"/>
              <w:spacing w:after="0"/>
              <w:rPr>
                <w:sz w:val="20"/>
                <w:szCs w:val="20"/>
                <w:color w:val="auto"/>
              </w:rPr>
            </w:pPr>
            <w:r>
              <w:rPr>
                <w:rFonts w:ascii="Arial" w:cs="Arial" w:eastAsia="Arial" w:hAnsi="Arial"/>
                <w:sz w:val="17"/>
                <w:szCs w:val="17"/>
                <w:color w:val="auto"/>
              </w:rPr>
              <w:t>before income taxes</w:t>
            </w:r>
            <w:r>
              <w:rPr>
                <w:rFonts w:ascii="Arial" w:cs="Arial" w:eastAsia="Arial" w:hAnsi="Arial"/>
                <w:sz w:val="14"/>
                <w:szCs w:val="14"/>
                <w:color w:val="auto"/>
              </w:rPr>
              <w:t>(3)</w:t>
            </w:r>
          </w:p>
        </w:tc>
        <w:tc>
          <w:tcPr>
            <w:tcW w:w="56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10,678</w:t>
            </w:r>
          </w:p>
        </w:tc>
        <w:tc>
          <w:tcPr>
            <w:tcW w:w="220" w:type="dxa"/>
            <w:vAlign w:val="bottom"/>
            <w:tcBorders>
              <w:bottom w:val="single" w:sz="8" w:color="CFF0FC"/>
            </w:tcBorders>
          </w:tcPr>
          <w:p>
            <w:pPr>
              <w:spacing w:after="0"/>
              <w:rPr>
                <w:sz w:val="19"/>
                <w:szCs w:val="19"/>
                <w:color w:val="auto"/>
              </w:rPr>
            </w:pPr>
          </w:p>
        </w:tc>
        <w:tc>
          <w:tcPr>
            <w:tcW w:w="128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78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40,432</w:t>
            </w:r>
          </w:p>
        </w:tc>
        <w:tc>
          <w:tcPr>
            <w:tcW w:w="220" w:type="dxa"/>
            <w:vAlign w:val="bottom"/>
            <w:tcBorders>
              <w:bottom w:val="single" w:sz="8" w:color="CFF0FC"/>
            </w:tcBorders>
          </w:tcPr>
          <w:p>
            <w:pPr>
              <w:spacing w:after="0"/>
              <w:rPr>
                <w:sz w:val="19"/>
                <w:szCs w:val="19"/>
                <w:color w:val="auto"/>
              </w:rPr>
            </w:pPr>
          </w:p>
        </w:tc>
        <w:tc>
          <w:tcPr>
            <w:tcW w:w="126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74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3880" w:type="dxa"/>
            <w:vAlign w:val="bottom"/>
            <w:shd w:val="clear" w:color="auto" w:fill="CFF0FC"/>
          </w:tcPr>
          <w:p>
            <w:pPr>
              <w:ind w:left="240"/>
              <w:spacing w:after="0"/>
              <w:rPr>
                <w:sz w:val="20"/>
                <w:szCs w:val="20"/>
                <w:color w:val="auto"/>
              </w:rPr>
            </w:pPr>
            <w:r>
              <w:rPr>
                <w:rFonts w:ascii="Arial" w:cs="Arial" w:eastAsia="Arial" w:hAnsi="Arial"/>
                <w:sz w:val="17"/>
                <w:szCs w:val="17"/>
                <w:color w:val="auto"/>
              </w:rPr>
              <w:t>Adjusted income before income taxes</w:t>
            </w:r>
          </w:p>
        </w:tc>
        <w:tc>
          <w:tcPr>
            <w:tcW w:w="5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32,626</w:t>
            </w:r>
          </w:p>
        </w:tc>
        <w:tc>
          <w:tcPr>
            <w:tcW w:w="22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111,679</w:t>
            </w:r>
          </w:p>
        </w:tc>
        <w:tc>
          <w:tcPr>
            <w:tcW w:w="22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3880" w:type="dxa"/>
            <w:vAlign w:val="bottom"/>
            <w:tcBorders>
              <w:bottom w:val="single" w:sz="8" w:color="CFF0FC"/>
            </w:tcBorders>
          </w:tcPr>
          <w:p>
            <w:pPr>
              <w:ind w:left="240"/>
              <w:spacing w:after="0"/>
              <w:rPr>
                <w:sz w:val="20"/>
                <w:szCs w:val="20"/>
                <w:color w:val="auto"/>
              </w:rPr>
            </w:pPr>
            <w:r>
              <w:rPr>
                <w:rFonts w:ascii="Arial" w:cs="Arial" w:eastAsia="Arial" w:hAnsi="Arial"/>
                <w:sz w:val="17"/>
                <w:szCs w:val="17"/>
                <w:color w:val="auto"/>
              </w:rPr>
              <w:t>Adjusted income taxes</w:t>
            </w:r>
            <w:r>
              <w:rPr>
                <w:rFonts w:ascii="Arial" w:cs="Arial" w:eastAsia="Arial" w:hAnsi="Arial"/>
                <w:sz w:val="14"/>
                <w:szCs w:val="14"/>
                <w:color w:val="auto"/>
              </w:rPr>
              <w:t>(4)</w:t>
            </w:r>
          </w:p>
        </w:tc>
        <w:tc>
          <w:tcPr>
            <w:tcW w:w="56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12,887</w:t>
            </w:r>
          </w:p>
        </w:tc>
        <w:tc>
          <w:tcPr>
            <w:tcW w:w="220" w:type="dxa"/>
            <w:vAlign w:val="bottom"/>
            <w:tcBorders>
              <w:bottom w:val="single" w:sz="8" w:color="CFF0FC"/>
            </w:tcBorders>
          </w:tcPr>
          <w:p>
            <w:pPr>
              <w:spacing w:after="0"/>
              <w:rPr>
                <w:sz w:val="19"/>
                <w:szCs w:val="19"/>
                <w:color w:val="auto"/>
              </w:rPr>
            </w:pPr>
          </w:p>
        </w:tc>
        <w:tc>
          <w:tcPr>
            <w:tcW w:w="128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4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78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44,113</w:t>
            </w:r>
          </w:p>
        </w:tc>
        <w:tc>
          <w:tcPr>
            <w:tcW w:w="220" w:type="dxa"/>
            <w:vAlign w:val="bottom"/>
            <w:tcBorders>
              <w:bottom w:val="single" w:sz="8" w:color="CFF0FC"/>
            </w:tcBorders>
          </w:tcPr>
          <w:p>
            <w:pPr>
              <w:spacing w:after="0"/>
              <w:rPr>
                <w:sz w:val="19"/>
                <w:szCs w:val="19"/>
                <w:color w:val="auto"/>
              </w:rPr>
            </w:pPr>
          </w:p>
        </w:tc>
        <w:tc>
          <w:tcPr>
            <w:tcW w:w="126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74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3880" w:type="dxa"/>
            <w:vAlign w:val="bottom"/>
            <w:shd w:val="clear" w:color="auto" w:fill="CFF0FC"/>
          </w:tcPr>
          <w:p>
            <w:pPr>
              <w:ind w:left="240"/>
              <w:spacing w:after="0"/>
              <w:rPr>
                <w:sz w:val="20"/>
                <w:szCs w:val="20"/>
                <w:color w:val="auto"/>
              </w:rPr>
            </w:pPr>
            <w:r>
              <w:rPr>
                <w:rFonts w:ascii="Arial" w:cs="Arial" w:eastAsia="Arial" w:hAnsi="Arial"/>
                <w:sz w:val="17"/>
                <w:szCs w:val="17"/>
                <w:color w:val="auto"/>
              </w:rPr>
              <w:t>Adjusted net income</w:t>
            </w: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19,739</w:t>
            </w:r>
          </w:p>
        </w:tc>
        <w:tc>
          <w:tcPr>
            <w:tcW w:w="150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98,598</w:t>
            </w:r>
          </w:p>
        </w:tc>
        <w:tc>
          <w:tcPr>
            <w:tcW w:w="180" w:type="dxa"/>
            <w:vAlign w:val="bottom"/>
            <w:shd w:val="clear" w:color="auto" w:fill="CFF0FC"/>
          </w:tcPr>
          <w:p>
            <w:pPr>
              <w:spacing w:after="0"/>
              <w:rPr>
                <w:sz w:val="18"/>
                <w:szCs w:val="18"/>
                <w:color w:val="auto"/>
              </w:rPr>
            </w:pPr>
          </w:p>
        </w:tc>
        <w:tc>
          <w:tcPr>
            <w:tcW w:w="14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0.20</w:t>
            </w:r>
          </w:p>
        </w:tc>
        <w:tc>
          <w:tcPr>
            <w:tcW w:w="3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67,566</w:t>
            </w:r>
          </w:p>
        </w:tc>
        <w:tc>
          <w:tcPr>
            <w:tcW w:w="220" w:type="dxa"/>
            <w:vAlign w:val="bottom"/>
            <w:shd w:val="clear" w:color="auto" w:fill="CFF0FC"/>
          </w:tcPr>
          <w:p>
            <w:pPr>
              <w:spacing w:after="0"/>
              <w:rPr>
                <w:sz w:val="18"/>
                <w:szCs w:val="18"/>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98,611</w:t>
            </w:r>
          </w:p>
        </w:tc>
        <w:tc>
          <w:tcPr>
            <w:tcW w:w="160" w:type="dxa"/>
            <w:vAlign w:val="bottom"/>
            <w:shd w:val="clear" w:color="auto" w:fill="CFF0FC"/>
          </w:tcPr>
          <w:p>
            <w:pPr>
              <w:spacing w:after="0"/>
              <w:rPr>
                <w:sz w:val="18"/>
                <w:szCs w:val="18"/>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0.6</w:t>
            </w:r>
          </w:p>
        </w:tc>
        <w:tc>
          <w:tcPr>
            <w:tcW w:w="0" w:type="dxa"/>
            <w:vAlign w:val="bottom"/>
          </w:tcPr>
          <w:p>
            <w:pPr>
              <w:spacing w:after="0"/>
              <w:rPr>
                <w:sz w:val="1"/>
                <w:szCs w:val="1"/>
                <w:color w:val="auto"/>
              </w:rPr>
            </w:pPr>
          </w:p>
        </w:tc>
      </w:tr>
      <w:tr>
        <w:trPr>
          <w:trHeight w:val="20"/>
        </w:trPr>
        <w:tc>
          <w:tcPr>
            <w:tcW w:w="3880" w:type="dxa"/>
            <w:vAlign w:val="bottom"/>
            <w:tcBorders>
              <w:top w:val="single" w:sz="8" w:color="CFF0FC"/>
            </w:tcBorders>
          </w:tcPr>
          <w:p>
            <w:pPr>
              <w:spacing w:after="0" w:line="20" w:lineRule="exact"/>
              <w:rPr>
                <w:sz w:val="1"/>
                <w:szCs w:val="1"/>
                <w:color w:val="auto"/>
              </w:rPr>
            </w:pPr>
          </w:p>
        </w:tc>
        <w:tc>
          <w:tcPr>
            <w:tcW w:w="56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2" w:lineRule="exact"/>
        <w:rPr>
          <w:sz w:val="20"/>
          <w:szCs w:val="20"/>
          <w:color w:val="auto"/>
        </w:rPr>
      </w:pPr>
    </w:p>
    <w:p>
      <w:pPr>
        <w:jc w:val="both"/>
        <w:ind w:left="540" w:right="100" w:hanging="536"/>
        <w:spacing w:after="0" w:line="265" w:lineRule="auto"/>
        <w:tabs>
          <w:tab w:leader="none" w:pos="540" w:val="left"/>
        </w:tabs>
        <w:numPr>
          <w:ilvl w:val="0"/>
          <w:numId w:val="17"/>
        </w:numPr>
        <w:rPr>
          <w:rFonts w:ascii="Arial" w:cs="Arial" w:eastAsia="Arial" w:hAnsi="Arial"/>
          <w:sz w:val="17"/>
          <w:szCs w:val="17"/>
          <w:color w:val="auto"/>
        </w:rPr>
      </w:pPr>
      <w:r>
        <w:rPr>
          <w:rFonts w:ascii="Arial" w:cs="Arial" w:eastAsia="Arial" w:hAnsi="Arial"/>
          <w:sz w:val="17"/>
          <w:szCs w:val="17"/>
          <w:color w:val="auto"/>
        </w:rPr>
        <w:t>Represents net income attributable to Planet Fitness, Inc. and the associated weighted average shares, diluted of Class A common stock outstanding. For the three months ended December 31, 2016, the numerator used to calculate diluted earnings per share was $17,511, which was calculated in accordance with GAAP using the if-converted method to quantify the dilutive effect of the hypothetical exchange of the weighted average outstanding Holdings Units for shares of Class A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40640</wp:posOffset>
            </wp:positionV>
            <wp:extent cx="7293610" cy="419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93610" cy="41910"/>
                    </a:xfrm>
                    <a:prstGeom prst="rect">
                      <a:avLst/>
                    </a:prstGeom>
                    <a:noFill/>
                  </pic:spPr>
                </pic:pic>
              </a:graphicData>
            </a:graphic>
          </wp:anchor>
        </w:drawing>
      </w:r>
    </w:p>
    <w:p>
      <w:pPr>
        <w:sectPr>
          <w:pgSz w:w="11900" w:h="16838" w:orient="portrait"/>
          <w:cols w:equalWidth="0" w:num="1">
            <w:col w:w="11520"/>
          </w:cols>
          <w:pgMar w:left="240" w:top="121" w:right="139" w:bottom="1440" w:gutter="0" w:footer="0" w:header="0"/>
        </w:sectPr>
      </w:pPr>
    </w:p>
    <w:bookmarkStart w:id="16" w:name="page17"/>
    <w:bookmarkEnd w:id="16"/>
    <w:p>
      <w:pPr>
        <w:jc w:val="center"/>
        <w:ind w:right="100"/>
        <w:spacing w:after="0"/>
        <w:rPr>
          <w:sz w:val="20"/>
          <w:szCs w:val="20"/>
          <w:color w:val="auto"/>
        </w:rPr>
      </w:pPr>
      <w:r>
        <w:rPr>
          <w:rFonts w:ascii="Arial" w:cs="Arial" w:eastAsia="Arial" w:hAnsi="Arial"/>
          <w:sz w:val="17"/>
          <w:szCs w:val="17"/>
          <w:b w:val="1"/>
          <w:bCs w:val="1"/>
          <w:color w:val="auto"/>
        </w:rPr>
        <w:t>Planet Fitness, Inc. and subsidiaries</w:t>
      </w:r>
    </w:p>
    <w:p>
      <w:pPr>
        <w:spacing w:after="0" w:line="31"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Non-GAAP Financial Measures</w:t>
      </w:r>
    </w:p>
    <w:p>
      <w:pPr>
        <w:spacing w:after="0" w:line="12"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(Unaudited)</w:t>
      </w:r>
    </w:p>
    <w:p>
      <w:pPr>
        <w:spacing w:after="0" w:line="12" w:lineRule="exact"/>
        <w:rPr>
          <w:sz w:val="20"/>
          <w:szCs w:val="20"/>
          <w:color w:val="auto"/>
        </w:rPr>
      </w:pPr>
    </w:p>
    <w:p>
      <w:pPr>
        <w:jc w:val="center"/>
        <w:ind w:right="180"/>
        <w:spacing w:after="0"/>
        <w:rPr>
          <w:sz w:val="20"/>
          <w:szCs w:val="20"/>
          <w:color w:val="auto"/>
        </w:rPr>
      </w:pPr>
      <w:r>
        <w:rPr>
          <w:rFonts w:ascii="Arial" w:cs="Arial" w:eastAsia="Arial" w:hAnsi="Arial"/>
          <w:sz w:val="17"/>
          <w:szCs w:val="17"/>
          <w:color w:val="auto"/>
        </w:rPr>
        <w:t>(Amounts in thousands, except per share amounts)</w:t>
      </w:r>
    </w:p>
    <w:p>
      <w:pPr>
        <w:spacing w:after="0" w:line="208" w:lineRule="exact"/>
        <w:rPr>
          <w:sz w:val="20"/>
          <w:szCs w:val="20"/>
          <w:color w:val="auto"/>
        </w:rPr>
      </w:pPr>
    </w:p>
    <w:p>
      <w:pPr>
        <w:jc w:val="both"/>
        <w:ind w:left="540" w:right="100" w:hanging="536"/>
        <w:spacing w:after="0" w:line="260" w:lineRule="auto"/>
        <w:tabs>
          <w:tab w:leader="none" w:pos="540" w:val="left"/>
        </w:tabs>
        <w:numPr>
          <w:ilvl w:val="0"/>
          <w:numId w:val="18"/>
        </w:numPr>
        <w:rPr>
          <w:rFonts w:ascii="Arial" w:cs="Arial" w:eastAsia="Arial" w:hAnsi="Arial"/>
          <w:sz w:val="17"/>
          <w:szCs w:val="17"/>
          <w:color w:val="auto"/>
        </w:rPr>
      </w:pPr>
      <w:r>
        <w:rPr>
          <w:rFonts w:ascii="Arial" w:cs="Arial" w:eastAsia="Arial" w:hAnsi="Arial"/>
          <w:sz w:val="17"/>
          <w:szCs w:val="17"/>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Class B common shares for shares of Class A common stock.</w:t>
      </w:r>
    </w:p>
    <w:p>
      <w:pPr>
        <w:ind w:left="540" w:hanging="536"/>
        <w:spacing w:after="0"/>
        <w:tabs>
          <w:tab w:leader="none" w:pos="540" w:val="left"/>
        </w:tabs>
        <w:numPr>
          <w:ilvl w:val="0"/>
          <w:numId w:val="18"/>
        </w:numPr>
        <w:rPr>
          <w:rFonts w:ascii="Arial" w:cs="Arial" w:eastAsia="Arial" w:hAnsi="Arial"/>
          <w:sz w:val="17"/>
          <w:szCs w:val="17"/>
          <w:color w:val="auto"/>
        </w:rPr>
      </w:pPr>
      <w:r>
        <w:rPr>
          <w:rFonts w:ascii="Arial" w:cs="Arial" w:eastAsia="Arial" w:hAnsi="Arial"/>
          <w:sz w:val="17"/>
          <w:szCs w:val="17"/>
          <w:color w:val="auto"/>
        </w:rPr>
        <w:t>Represents the total impact of all adjustments identified in the adjusted net income table above to arrive at adjusted income before income taxes.</w:t>
      </w:r>
    </w:p>
    <w:p>
      <w:pPr>
        <w:spacing w:after="0" w:line="12" w:lineRule="exact"/>
        <w:rPr>
          <w:rFonts w:ascii="Arial" w:cs="Arial" w:eastAsia="Arial" w:hAnsi="Arial"/>
          <w:sz w:val="17"/>
          <w:szCs w:val="17"/>
          <w:color w:val="auto"/>
        </w:rPr>
      </w:pPr>
    </w:p>
    <w:p>
      <w:pPr>
        <w:ind w:left="540" w:hanging="536"/>
        <w:spacing w:after="0"/>
        <w:tabs>
          <w:tab w:leader="none" w:pos="540" w:val="left"/>
        </w:tabs>
        <w:numPr>
          <w:ilvl w:val="0"/>
          <w:numId w:val="18"/>
        </w:numPr>
        <w:rPr>
          <w:rFonts w:ascii="Arial" w:cs="Arial" w:eastAsia="Arial" w:hAnsi="Arial"/>
          <w:sz w:val="17"/>
          <w:szCs w:val="17"/>
          <w:color w:val="auto"/>
        </w:rPr>
      </w:pPr>
      <w:r>
        <w:rPr>
          <w:rFonts w:ascii="Arial" w:cs="Arial" w:eastAsia="Arial" w:hAnsi="Arial"/>
          <w:sz w:val="17"/>
          <w:szCs w:val="17"/>
          <w:color w:val="auto"/>
        </w:rPr>
        <w:t>Represents corporate income taxes at an assumed effective tax rate of 39.5% applied to adjusted income before income taxes.</w:t>
      </w:r>
    </w:p>
    <w:tbl>
      <w:tblPr>
        <w:tblLayout w:type="fixed"/>
        <w:tblInd w:w="0" w:type="dxa"/>
        <w:tblCellMar>
          <w:top w:w="0" w:type="dxa"/>
          <w:left w:w="0" w:type="dxa"/>
          <w:bottom w:w="0" w:type="dxa"/>
          <w:right w:w="0" w:type="dxa"/>
        </w:tblCellMar>
      </w:tblPr>
      <w:tr>
        <w:trPr>
          <w:trHeight w:val="146"/>
        </w:trPr>
        <w:tc>
          <w:tcPr>
            <w:tcW w:w="4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500" w:type="dxa"/>
            <w:vAlign w:val="bottom"/>
            <w:gridSpan w:val="5"/>
          </w:tcPr>
          <w:p>
            <w:pPr>
              <w:jc w:val="center"/>
              <w:ind w:left="537"/>
              <w:spacing w:after="0" w:line="146" w:lineRule="exact"/>
              <w:rPr>
                <w:sz w:val="20"/>
                <w:szCs w:val="20"/>
                <w:color w:val="auto"/>
              </w:rPr>
            </w:pPr>
            <w:r>
              <w:rPr>
                <w:rFonts w:ascii="Arial" w:cs="Arial" w:eastAsia="Arial" w:hAnsi="Arial"/>
                <w:sz w:val="14"/>
                <w:szCs w:val="14"/>
                <w:b w:val="1"/>
                <w:bCs w:val="1"/>
                <w:color w:val="auto"/>
                <w:w w:val="88"/>
              </w:rPr>
              <w:t>For the three months ended</w:t>
            </w:r>
          </w:p>
        </w:tc>
        <w:tc>
          <w:tcPr>
            <w:tcW w:w="8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00" w:type="dxa"/>
            <w:vAlign w:val="bottom"/>
            <w:gridSpan w:val="2"/>
          </w:tcPr>
          <w:p>
            <w:pPr>
              <w:ind w:left="20"/>
              <w:spacing w:after="0" w:line="146" w:lineRule="exact"/>
              <w:rPr>
                <w:sz w:val="20"/>
                <w:szCs w:val="20"/>
                <w:color w:val="auto"/>
              </w:rPr>
            </w:pPr>
            <w:r>
              <w:rPr>
                <w:rFonts w:ascii="Arial" w:cs="Arial" w:eastAsia="Arial" w:hAnsi="Arial"/>
                <w:sz w:val="14"/>
                <w:szCs w:val="14"/>
                <w:b w:val="1"/>
                <w:bCs w:val="1"/>
                <w:color w:val="auto"/>
              </w:rPr>
              <w:t>For the year ended</w:t>
            </w: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464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December 31, 2015</w:t>
            </w:r>
          </w:p>
        </w:tc>
        <w:tc>
          <w:tcPr>
            <w:tcW w:w="2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December 31, 2015</w:t>
            </w:r>
          </w:p>
        </w:tc>
        <w:tc>
          <w:tcPr>
            <w:tcW w:w="5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46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0" w:type="dxa"/>
            <w:vAlign w:val="bottom"/>
            <w:vMerge w:val="restart"/>
          </w:tcPr>
          <w:p>
            <w:pPr>
              <w:jc w:val="right"/>
              <w:ind w:right="157"/>
              <w:spacing w:after="0"/>
              <w:rPr>
                <w:sz w:val="20"/>
                <w:szCs w:val="20"/>
                <w:color w:val="auto"/>
              </w:rPr>
            </w:pPr>
            <w:r>
              <w:rPr>
                <w:rFonts w:ascii="Arial" w:cs="Arial" w:eastAsia="Arial" w:hAnsi="Arial"/>
                <w:sz w:val="14"/>
                <w:szCs w:val="14"/>
                <w:b w:val="1"/>
                <w:bCs w:val="1"/>
                <w:color w:val="auto"/>
              </w:rPr>
              <w:t>Amount</w:t>
            </w:r>
          </w:p>
        </w:tc>
        <w:tc>
          <w:tcPr>
            <w:tcW w:w="180" w:type="dxa"/>
            <w:vAlign w:val="bottom"/>
            <w:vMerge w:val="restart"/>
          </w:tcPr>
          <w:p>
            <w:pPr>
              <w:spacing w:after="0"/>
              <w:rPr>
                <w:sz w:val="10"/>
                <w:szCs w:val="10"/>
                <w:color w:val="auto"/>
              </w:rPr>
            </w:pPr>
          </w:p>
        </w:tc>
        <w:tc>
          <w:tcPr>
            <w:tcW w:w="1200" w:type="dxa"/>
            <w:vAlign w:val="bottom"/>
          </w:tcPr>
          <w:p>
            <w:pPr>
              <w:jc w:val="center"/>
              <w:spacing w:after="0" w:line="127" w:lineRule="exact"/>
              <w:rPr>
                <w:sz w:val="20"/>
                <w:szCs w:val="20"/>
                <w:color w:val="auto"/>
              </w:rPr>
            </w:pPr>
            <w:r>
              <w:rPr>
                <w:rFonts w:ascii="Arial" w:cs="Arial" w:eastAsia="Arial" w:hAnsi="Arial"/>
                <w:sz w:val="14"/>
                <w:szCs w:val="14"/>
                <w:b w:val="1"/>
                <w:bCs w:val="1"/>
                <w:color w:val="auto"/>
                <w:w w:val="88"/>
              </w:rPr>
              <w:t>Weighted average</w:t>
            </w:r>
          </w:p>
        </w:tc>
        <w:tc>
          <w:tcPr>
            <w:tcW w:w="2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0" w:type="dxa"/>
            <w:vAlign w:val="bottom"/>
          </w:tcPr>
          <w:p>
            <w:pPr>
              <w:jc w:val="right"/>
              <w:ind w:right="102"/>
              <w:spacing w:after="0" w:line="127" w:lineRule="exact"/>
              <w:rPr>
                <w:sz w:val="20"/>
                <w:szCs w:val="20"/>
                <w:color w:val="auto"/>
              </w:rPr>
            </w:pPr>
            <w:r>
              <w:rPr>
                <w:rFonts w:ascii="Arial" w:cs="Arial" w:eastAsia="Arial" w:hAnsi="Arial"/>
                <w:sz w:val="14"/>
                <w:szCs w:val="14"/>
                <w:b w:val="1"/>
                <w:bCs w:val="1"/>
                <w:color w:val="auto"/>
                <w:w w:val="88"/>
              </w:rPr>
              <w:t>Per share,</w:t>
            </w:r>
          </w:p>
        </w:tc>
        <w:tc>
          <w:tcPr>
            <w:tcW w:w="2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0" w:type="dxa"/>
            <w:vAlign w:val="bottom"/>
            <w:vMerge w:val="restart"/>
          </w:tcPr>
          <w:p>
            <w:pPr>
              <w:jc w:val="right"/>
              <w:ind w:right="155"/>
              <w:spacing w:after="0"/>
              <w:rPr>
                <w:sz w:val="20"/>
                <w:szCs w:val="20"/>
                <w:color w:val="auto"/>
              </w:rPr>
            </w:pPr>
            <w:r>
              <w:rPr>
                <w:rFonts w:ascii="Arial" w:cs="Arial" w:eastAsia="Arial" w:hAnsi="Arial"/>
                <w:sz w:val="14"/>
                <w:szCs w:val="14"/>
                <w:b w:val="1"/>
                <w:bCs w:val="1"/>
                <w:color w:val="auto"/>
              </w:rPr>
              <w:t>Amount</w:t>
            </w:r>
          </w:p>
        </w:tc>
        <w:tc>
          <w:tcPr>
            <w:tcW w:w="160" w:type="dxa"/>
            <w:vAlign w:val="bottom"/>
            <w:vMerge w:val="restart"/>
          </w:tcPr>
          <w:p>
            <w:pPr>
              <w:spacing w:after="0"/>
              <w:rPr>
                <w:sz w:val="10"/>
                <w:szCs w:val="10"/>
                <w:color w:val="auto"/>
              </w:rPr>
            </w:pPr>
          </w:p>
        </w:tc>
        <w:tc>
          <w:tcPr>
            <w:tcW w:w="1500" w:type="dxa"/>
            <w:vAlign w:val="bottom"/>
            <w:gridSpan w:val="2"/>
          </w:tcPr>
          <w:p>
            <w:pPr>
              <w:ind w:left="120"/>
              <w:spacing w:after="0" w:line="127" w:lineRule="exact"/>
              <w:rPr>
                <w:sz w:val="20"/>
                <w:szCs w:val="20"/>
                <w:color w:val="auto"/>
              </w:rPr>
            </w:pPr>
            <w:r>
              <w:rPr>
                <w:rFonts w:ascii="Arial" w:cs="Arial" w:eastAsia="Arial" w:hAnsi="Arial"/>
                <w:sz w:val="14"/>
                <w:szCs w:val="14"/>
                <w:b w:val="1"/>
                <w:bCs w:val="1"/>
                <w:color w:val="auto"/>
              </w:rPr>
              <w:t>Weighted average</w:t>
            </w:r>
          </w:p>
        </w:tc>
        <w:tc>
          <w:tcPr>
            <w:tcW w:w="580" w:type="dxa"/>
            <w:vAlign w:val="bottom"/>
          </w:tcPr>
          <w:p>
            <w:pPr>
              <w:jc w:val="right"/>
              <w:spacing w:after="0" w:line="127" w:lineRule="exact"/>
              <w:rPr>
                <w:sz w:val="20"/>
                <w:szCs w:val="20"/>
                <w:color w:val="auto"/>
              </w:rPr>
            </w:pPr>
            <w:r>
              <w:rPr>
                <w:rFonts w:ascii="Arial" w:cs="Arial" w:eastAsia="Arial" w:hAnsi="Arial"/>
                <w:sz w:val="14"/>
                <w:szCs w:val="14"/>
                <w:b w:val="1"/>
                <w:bCs w:val="1"/>
                <w:color w:val="auto"/>
              </w:rPr>
              <w:t>Per sh</w:t>
            </w:r>
          </w:p>
        </w:tc>
        <w:tc>
          <w:tcPr>
            <w:tcW w:w="0" w:type="dxa"/>
            <w:vAlign w:val="bottom"/>
          </w:tcPr>
          <w:p>
            <w:pPr>
              <w:spacing w:after="0"/>
              <w:rPr>
                <w:sz w:val="1"/>
                <w:szCs w:val="1"/>
                <w:color w:val="auto"/>
              </w:rPr>
            </w:pPr>
          </w:p>
        </w:tc>
      </w:tr>
      <w:tr>
        <w:trPr>
          <w:trHeight w:val="165"/>
        </w:trPr>
        <w:tc>
          <w:tcPr>
            <w:tcW w:w="4640" w:type="dxa"/>
            <w:vAlign w:val="bottom"/>
            <w:vMerge w:val="restart"/>
          </w:tcPr>
          <w:p>
            <w:pPr>
              <w:spacing w:after="0"/>
              <w:rPr>
                <w:sz w:val="20"/>
                <w:szCs w:val="20"/>
                <w:color w:val="auto"/>
              </w:rPr>
            </w:pPr>
            <w:r>
              <w:rPr>
                <w:rFonts w:ascii="Arial" w:cs="Arial" w:eastAsia="Arial" w:hAnsi="Arial"/>
                <w:sz w:val="17"/>
                <w:szCs w:val="17"/>
                <w:color w:val="auto"/>
              </w:rPr>
              <w:t>Net income attributable to Planet Fitness Inc.</w:t>
            </w:r>
            <w:r>
              <w:rPr>
                <w:rFonts w:ascii="Arial" w:cs="Arial" w:eastAsia="Arial" w:hAnsi="Arial"/>
                <w:sz w:val="14"/>
                <w:szCs w:val="14"/>
                <w:color w:val="auto"/>
              </w:rPr>
              <w:t>(1)</w:t>
            </w: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vMerge w:val="continue"/>
          </w:tcPr>
          <w:p>
            <w:pPr>
              <w:spacing w:after="0"/>
              <w:rPr>
                <w:sz w:val="14"/>
                <w:szCs w:val="14"/>
                <w:color w:val="auto"/>
              </w:rPr>
            </w:pPr>
          </w:p>
        </w:tc>
        <w:tc>
          <w:tcPr>
            <w:tcW w:w="180" w:type="dxa"/>
            <w:vAlign w:val="bottom"/>
            <w:vMerge w:val="continue"/>
          </w:tcPr>
          <w:p>
            <w:pPr>
              <w:spacing w:after="0"/>
              <w:rPr>
                <w:sz w:val="14"/>
                <w:szCs w:val="14"/>
                <w:color w:val="auto"/>
              </w:rPr>
            </w:pPr>
          </w:p>
        </w:tc>
        <w:tc>
          <w:tcPr>
            <w:tcW w:w="12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shares, diluted</w:t>
            </w: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diluted</w:t>
            </w:r>
          </w:p>
        </w:tc>
        <w:tc>
          <w:tcPr>
            <w:tcW w:w="2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vMerge w:val="continue"/>
          </w:tcPr>
          <w:p>
            <w:pPr>
              <w:spacing w:after="0"/>
              <w:rPr>
                <w:sz w:val="14"/>
                <w:szCs w:val="14"/>
                <w:color w:val="auto"/>
              </w:rPr>
            </w:pPr>
          </w:p>
        </w:tc>
        <w:tc>
          <w:tcPr>
            <w:tcW w:w="160" w:type="dxa"/>
            <w:vAlign w:val="bottom"/>
            <w:vMerge w:val="continue"/>
          </w:tcPr>
          <w:p>
            <w:pPr>
              <w:spacing w:after="0"/>
              <w:rPr>
                <w:sz w:val="14"/>
                <w:szCs w:val="14"/>
                <w:color w:val="auto"/>
              </w:rPr>
            </w:pPr>
          </w:p>
        </w:tc>
        <w:tc>
          <w:tcPr>
            <w:tcW w:w="1280" w:type="dxa"/>
            <w:vAlign w:val="bottom"/>
            <w:tcBorders>
              <w:bottom w:val="single" w:sz="8" w:color="auto"/>
            </w:tcBorders>
          </w:tcPr>
          <w:p>
            <w:pPr>
              <w:jc w:val="right"/>
              <w:ind w:right="143"/>
              <w:spacing w:after="0"/>
              <w:rPr>
                <w:sz w:val="20"/>
                <w:szCs w:val="20"/>
                <w:color w:val="auto"/>
              </w:rPr>
            </w:pPr>
            <w:r>
              <w:rPr>
                <w:rFonts w:ascii="Arial" w:cs="Arial" w:eastAsia="Arial" w:hAnsi="Arial"/>
                <w:sz w:val="14"/>
                <w:szCs w:val="14"/>
                <w:b w:val="1"/>
                <w:bCs w:val="1"/>
                <w:color w:val="auto"/>
              </w:rPr>
              <w:t>shares, diluted</w:t>
            </w:r>
          </w:p>
        </w:tc>
        <w:tc>
          <w:tcPr>
            <w:tcW w:w="22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dilute</w:t>
            </w:r>
          </w:p>
        </w:tc>
        <w:tc>
          <w:tcPr>
            <w:tcW w:w="0" w:type="dxa"/>
            <w:vAlign w:val="bottom"/>
          </w:tcPr>
          <w:p>
            <w:pPr>
              <w:spacing w:after="0"/>
              <w:rPr>
                <w:sz w:val="1"/>
                <w:szCs w:val="1"/>
                <w:color w:val="auto"/>
              </w:rPr>
            </w:pPr>
          </w:p>
        </w:tc>
      </w:tr>
      <w:tr>
        <w:trPr>
          <w:trHeight w:val="214"/>
        </w:trPr>
        <w:tc>
          <w:tcPr>
            <w:tcW w:w="4640" w:type="dxa"/>
            <w:vAlign w:val="bottom"/>
            <w:vMerge w:val="continue"/>
          </w:tcPr>
          <w:p>
            <w:pPr>
              <w:spacing w:after="0"/>
              <w:rPr>
                <w:sz w:val="18"/>
                <w:szCs w:val="18"/>
                <w:color w:val="auto"/>
              </w:rPr>
            </w:pPr>
          </w:p>
        </w:tc>
        <w:tc>
          <w:tcPr>
            <w:tcW w:w="160" w:type="dxa"/>
            <w:vAlign w:val="bottom"/>
          </w:tcPr>
          <w:p>
            <w:pPr>
              <w:jc w:val="right"/>
              <w:ind w:right="4"/>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2,485</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36,244</w:t>
            </w:r>
          </w:p>
        </w:tc>
        <w:tc>
          <w:tcPr>
            <w:tcW w:w="32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0.06</w:t>
            </w:r>
          </w:p>
        </w:tc>
        <w:tc>
          <w:tcPr>
            <w:tcW w:w="2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4,106</w:t>
            </w:r>
          </w:p>
        </w:tc>
        <w:tc>
          <w:tcPr>
            <w:tcW w:w="16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36,244</w:t>
            </w:r>
          </w:p>
        </w:tc>
        <w:tc>
          <w:tcPr>
            <w:tcW w:w="220" w:type="dxa"/>
            <w:vAlign w:val="bottom"/>
          </w:tcPr>
          <w:p>
            <w:pPr>
              <w:spacing w:after="0"/>
              <w:rPr>
                <w:sz w:val="18"/>
                <w:szCs w:val="18"/>
                <w:color w:val="auto"/>
              </w:rPr>
            </w:pPr>
          </w:p>
        </w:tc>
        <w:tc>
          <w:tcPr>
            <w:tcW w:w="580" w:type="dxa"/>
            <w:vAlign w:val="bottom"/>
          </w:tcPr>
          <w:p>
            <w:pPr>
              <w:jc w:val="right"/>
              <w:ind w:right="427"/>
              <w:spacing w:after="0"/>
              <w:rPr>
                <w:sz w:val="20"/>
                <w:szCs w:val="20"/>
                <w:color w:val="auto"/>
              </w:rPr>
            </w:pPr>
            <w:r>
              <w:rPr>
                <w:rFonts w:ascii="Arial" w:cs="Arial" w:eastAsia="Arial" w:hAnsi="Arial"/>
                <w:sz w:val="15"/>
                <w:szCs w:val="15"/>
                <w:color w:val="auto"/>
                <w:w w:val="71"/>
              </w:rPr>
              <w:t>$</w:t>
            </w:r>
          </w:p>
        </w:tc>
        <w:tc>
          <w:tcPr>
            <w:tcW w:w="0" w:type="dxa"/>
            <w:vAlign w:val="bottom"/>
          </w:tcPr>
          <w:p>
            <w:pPr>
              <w:spacing w:after="0"/>
              <w:rPr>
                <w:sz w:val="1"/>
                <w:szCs w:val="1"/>
                <w:color w:val="auto"/>
              </w:rPr>
            </w:pPr>
          </w:p>
        </w:tc>
      </w:tr>
      <w:tr>
        <w:trPr>
          <w:trHeight w:val="221"/>
        </w:trPr>
        <w:tc>
          <w:tcPr>
            <w:tcW w:w="4640" w:type="dxa"/>
            <w:vAlign w:val="bottom"/>
            <w:shd w:val="clear" w:color="auto" w:fill="CFF0FC"/>
          </w:tcPr>
          <w:p>
            <w:pPr>
              <w:ind w:left="240"/>
              <w:spacing w:after="0"/>
              <w:rPr>
                <w:sz w:val="20"/>
                <w:szCs w:val="20"/>
                <w:color w:val="auto"/>
              </w:rPr>
            </w:pPr>
            <w:r>
              <w:rPr>
                <w:rFonts w:ascii="Arial" w:cs="Arial" w:eastAsia="Arial" w:hAnsi="Arial"/>
                <w:sz w:val="17"/>
                <w:szCs w:val="17"/>
                <w:color w:val="auto"/>
              </w:rPr>
              <w:t>Assumed exchange of shares</w:t>
            </w:r>
            <w:r>
              <w:rPr>
                <w:rFonts w:ascii="Arial" w:cs="Arial" w:eastAsia="Arial" w:hAnsi="Arial"/>
                <w:sz w:val="14"/>
                <w:szCs w:val="14"/>
                <w:color w:val="auto"/>
              </w:rPr>
              <w:t>(2)</w:t>
            </w:r>
          </w:p>
        </w:tc>
        <w:tc>
          <w:tcPr>
            <w:tcW w:w="16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14,755</w:t>
            </w:r>
          </w:p>
        </w:tc>
        <w:tc>
          <w:tcPr>
            <w:tcW w:w="180" w:type="dxa"/>
            <w:vAlign w:val="bottom"/>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62,466</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19,348</w:t>
            </w:r>
          </w:p>
        </w:tc>
        <w:tc>
          <w:tcPr>
            <w:tcW w:w="160" w:type="dxa"/>
            <w:vAlign w:val="bottom"/>
            <w:shd w:val="clear" w:color="auto" w:fill="CFF0FC"/>
          </w:tcPr>
          <w:p>
            <w:pPr>
              <w:spacing w:after="0"/>
              <w:rPr>
                <w:sz w:val="19"/>
                <w:szCs w:val="19"/>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62,466</w:t>
            </w:r>
          </w:p>
        </w:tc>
        <w:tc>
          <w:tcPr>
            <w:tcW w:w="22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1"/>
        </w:trPr>
        <w:tc>
          <w:tcPr>
            <w:tcW w:w="4640" w:type="dxa"/>
            <w:vAlign w:val="bottom"/>
          </w:tcPr>
          <w:p>
            <w:pPr>
              <w:ind w:left="240"/>
              <w:spacing w:after="0"/>
              <w:rPr>
                <w:sz w:val="20"/>
                <w:szCs w:val="20"/>
                <w:color w:val="auto"/>
              </w:rPr>
            </w:pPr>
            <w:r>
              <w:rPr>
                <w:rFonts w:ascii="Arial" w:cs="Arial" w:eastAsia="Arial" w:hAnsi="Arial"/>
                <w:sz w:val="17"/>
                <w:szCs w:val="17"/>
                <w:color w:val="auto"/>
              </w:rPr>
              <w:t>Net income subsequent to the recapitalization</w:t>
            </w: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4640" w:type="dxa"/>
            <w:vAlign w:val="bottom"/>
          </w:tcPr>
          <w:p>
            <w:pPr>
              <w:ind w:left="380"/>
              <w:spacing w:after="0"/>
              <w:rPr>
                <w:sz w:val="20"/>
                <w:szCs w:val="20"/>
                <w:color w:val="auto"/>
              </w:rPr>
            </w:pPr>
            <w:r>
              <w:rPr>
                <w:rFonts w:ascii="Arial" w:cs="Arial" w:eastAsia="Arial" w:hAnsi="Arial"/>
                <w:sz w:val="17"/>
                <w:szCs w:val="17"/>
                <w:color w:val="auto"/>
              </w:rPr>
              <w:t>transactions</w:t>
            </w:r>
          </w:p>
        </w:tc>
        <w:tc>
          <w:tcPr>
            <w:tcW w:w="1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17,240</w:t>
            </w: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23,454</w:t>
            </w:r>
          </w:p>
        </w:tc>
        <w:tc>
          <w:tcPr>
            <w:tcW w:w="16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4640" w:type="dxa"/>
            <w:vAlign w:val="bottom"/>
            <w:shd w:val="clear" w:color="auto" w:fill="CFF0FC"/>
          </w:tcPr>
          <w:p>
            <w:pPr>
              <w:ind w:left="240"/>
              <w:spacing w:after="0"/>
              <w:rPr>
                <w:sz w:val="20"/>
                <w:szCs w:val="20"/>
                <w:color w:val="auto"/>
              </w:rPr>
            </w:pPr>
            <w:r>
              <w:rPr>
                <w:rFonts w:ascii="Arial" w:cs="Arial" w:eastAsia="Arial" w:hAnsi="Arial"/>
                <w:sz w:val="17"/>
                <w:szCs w:val="17"/>
                <w:color w:val="auto"/>
              </w:rPr>
              <w:t>Net income prior to the recapitalization</w:t>
            </w:r>
          </w:p>
        </w:tc>
        <w:tc>
          <w:tcPr>
            <w:tcW w:w="16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58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640" w:type="dxa"/>
            <w:vAlign w:val="bottom"/>
            <w:shd w:val="clear" w:color="auto" w:fill="CFF0FC"/>
          </w:tcPr>
          <w:p>
            <w:pPr>
              <w:ind w:left="380"/>
              <w:spacing w:after="0"/>
              <w:rPr>
                <w:sz w:val="20"/>
                <w:szCs w:val="20"/>
                <w:color w:val="auto"/>
              </w:rPr>
            </w:pPr>
            <w:r>
              <w:rPr>
                <w:rFonts w:ascii="Arial" w:cs="Arial" w:eastAsia="Arial" w:hAnsi="Arial"/>
                <w:sz w:val="17"/>
                <w:szCs w:val="17"/>
                <w:color w:val="auto"/>
              </w:rPr>
              <w:t>transactions</w:t>
            </w:r>
          </w:p>
        </w:tc>
        <w:tc>
          <w:tcPr>
            <w:tcW w:w="16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8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14,676</w:t>
            </w: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4640" w:type="dxa"/>
            <w:vAlign w:val="bottom"/>
          </w:tcPr>
          <w:p>
            <w:pPr>
              <w:ind w:left="240"/>
              <w:spacing w:after="0"/>
              <w:rPr>
                <w:sz w:val="20"/>
                <w:szCs w:val="20"/>
                <w:color w:val="auto"/>
              </w:rPr>
            </w:pPr>
            <w:r>
              <w:rPr>
                <w:rFonts w:ascii="Arial" w:cs="Arial" w:eastAsia="Arial" w:hAnsi="Arial"/>
                <w:sz w:val="17"/>
                <w:szCs w:val="17"/>
                <w:color w:val="auto"/>
              </w:rPr>
              <w:t>Net income</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17,240</w:t>
            </w: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38,130</w:t>
            </w:r>
          </w:p>
        </w:tc>
        <w:tc>
          <w:tcPr>
            <w:tcW w:w="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4640" w:type="dxa"/>
            <w:vAlign w:val="bottom"/>
            <w:shd w:val="clear" w:color="auto" w:fill="CFF0FC"/>
          </w:tcPr>
          <w:p>
            <w:pPr>
              <w:ind w:left="240"/>
              <w:spacing w:after="0"/>
              <w:rPr>
                <w:sz w:val="20"/>
                <w:szCs w:val="20"/>
                <w:color w:val="auto"/>
              </w:rPr>
            </w:pPr>
            <w:r>
              <w:rPr>
                <w:rFonts w:ascii="Arial" w:cs="Arial" w:eastAsia="Arial" w:hAnsi="Arial"/>
                <w:sz w:val="17"/>
                <w:szCs w:val="17"/>
                <w:color w:val="auto"/>
              </w:rPr>
              <w:t>Adjustments to arrive at adjusted income</w:t>
            </w:r>
          </w:p>
        </w:tc>
        <w:tc>
          <w:tcPr>
            <w:tcW w:w="16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58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4640" w:type="dxa"/>
            <w:vAlign w:val="bottom"/>
            <w:shd w:val="clear" w:color="auto" w:fill="CFF0FC"/>
          </w:tcPr>
          <w:p>
            <w:pPr>
              <w:ind w:left="380"/>
              <w:spacing w:after="0"/>
              <w:rPr>
                <w:sz w:val="20"/>
                <w:szCs w:val="20"/>
                <w:color w:val="auto"/>
              </w:rPr>
            </w:pPr>
            <w:r>
              <w:rPr>
                <w:rFonts w:ascii="Arial" w:cs="Arial" w:eastAsia="Arial" w:hAnsi="Arial"/>
                <w:sz w:val="17"/>
                <w:szCs w:val="17"/>
                <w:color w:val="auto"/>
              </w:rPr>
              <w:t>before income taxes</w:t>
            </w:r>
            <w:r>
              <w:rPr>
                <w:rFonts w:ascii="Arial" w:cs="Arial" w:eastAsia="Arial" w:hAnsi="Arial"/>
                <w:sz w:val="14"/>
                <w:szCs w:val="14"/>
                <w:color w:val="auto"/>
              </w:rPr>
              <w:t>(3)</w:t>
            </w:r>
          </w:p>
        </w:tc>
        <w:tc>
          <w:tcPr>
            <w:tcW w:w="16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10,855</w:t>
            </w:r>
          </w:p>
        </w:tc>
        <w:tc>
          <w:tcPr>
            <w:tcW w:w="18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49,716</w:t>
            </w: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4640" w:type="dxa"/>
            <w:vAlign w:val="bottom"/>
          </w:tcPr>
          <w:p>
            <w:pPr>
              <w:ind w:left="240"/>
              <w:spacing w:after="0"/>
              <w:rPr>
                <w:sz w:val="20"/>
                <w:szCs w:val="20"/>
                <w:color w:val="auto"/>
              </w:rPr>
            </w:pPr>
            <w:r>
              <w:rPr>
                <w:rFonts w:ascii="Arial" w:cs="Arial" w:eastAsia="Arial" w:hAnsi="Arial"/>
                <w:sz w:val="17"/>
                <w:szCs w:val="17"/>
                <w:color w:val="auto"/>
              </w:rPr>
              <w:t>Adjusted income before income taxes</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28,095</w:t>
            </w: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87,846</w:t>
            </w:r>
          </w:p>
        </w:tc>
        <w:tc>
          <w:tcPr>
            <w:tcW w:w="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4640" w:type="dxa"/>
            <w:vAlign w:val="bottom"/>
            <w:shd w:val="clear" w:color="auto" w:fill="CFF0FC"/>
          </w:tcPr>
          <w:p>
            <w:pPr>
              <w:ind w:left="240"/>
              <w:spacing w:after="0"/>
              <w:rPr>
                <w:sz w:val="20"/>
                <w:szCs w:val="20"/>
                <w:color w:val="auto"/>
              </w:rPr>
            </w:pPr>
            <w:r>
              <w:rPr>
                <w:rFonts w:ascii="Arial" w:cs="Arial" w:eastAsia="Arial" w:hAnsi="Arial"/>
                <w:sz w:val="17"/>
                <w:szCs w:val="17"/>
                <w:color w:val="auto"/>
              </w:rPr>
              <w:t>Adjusted income taxes</w:t>
            </w:r>
            <w:r>
              <w:rPr>
                <w:rFonts w:ascii="Arial" w:cs="Arial" w:eastAsia="Arial" w:hAnsi="Arial"/>
                <w:sz w:val="14"/>
                <w:szCs w:val="14"/>
                <w:color w:val="auto"/>
              </w:rPr>
              <w:t>(4)</w:t>
            </w:r>
          </w:p>
        </w:tc>
        <w:tc>
          <w:tcPr>
            <w:tcW w:w="16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11,069</w:t>
            </w:r>
          </w:p>
        </w:tc>
        <w:tc>
          <w:tcPr>
            <w:tcW w:w="18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34,611</w:t>
            </w: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4640" w:type="dxa"/>
            <w:vAlign w:val="bottom"/>
          </w:tcPr>
          <w:p>
            <w:pPr>
              <w:ind w:left="240"/>
              <w:spacing w:after="0"/>
              <w:rPr>
                <w:sz w:val="20"/>
                <w:szCs w:val="20"/>
                <w:color w:val="auto"/>
              </w:rPr>
            </w:pPr>
            <w:r>
              <w:rPr>
                <w:rFonts w:ascii="Arial" w:cs="Arial" w:eastAsia="Arial" w:hAnsi="Arial"/>
                <w:sz w:val="17"/>
                <w:szCs w:val="17"/>
                <w:color w:val="auto"/>
              </w:rPr>
              <w:t>Adjusted net income</w:t>
            </w:r>
          </w:p>
        </w:tc>
        <w:tc>
          <w:tcPr>
            <w:tcW w:w="160" w:type="dxa"/>
            <w:vAlign w:val="bottom"/>
          </w:tcPr>
          <w:p>
            <w:pPr>
              <w:jc w:val="right"/>
              <w:ind w:right="4"/>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17,026</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98,710</w:t>
            </w:r>
          </w:p>
        </w:tc>
        <w:tc>
          <w:tcPr>
            <w:tcW w:w="32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0.17</w:t>
            </w:r>
          </w:p>
        </w:tc>
        <w:tc>
          <w:tcPr>
            <w:tcW w:w="2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53,235</w:t>
            </w:r>
          </w:p>
        </w:tc>
        <w:tc>
          <w:tcPr>
            <w:tcW w:w="16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98,710</w:t>
            </w:r>
          </w:p>
        </w:tc>
        <w:tc>
          <w:tcPr>
            <w:tcW w:w="220" w:type="dxa"/>
            <w:vAlign w:val="bottom"/>
          </w:tcPr>
          <w:p>
            <w:pPr>
              <w:spacing w:after="0"/>
              <w:rPr>
                <w:sz w:val="18"/>
                <w:szCs w:val="18"/>
                <w:color w:val="auto"/>
              </w:rPr>
            </w:pPr>
          </w:p>
        </w:tc>
        <w:tc>
          <w:tcPr>
            <w:tcW w:w="580" w:type="dxa"/>
            <w:vAlign w:val="bottom"/>
          </w:tcPr>
          <w:p>
            <w:pPr>
              <w:jc w:val="right"/>
              <w:ind w:right="427"/>
              <w:spacing w:after="0"/>
              <w:rPr>
                <w:sz w:val="20"/>
                <w:szCs w:val="20"/>
                <w:color w:val="auto"/>
              </w:rPr>
            </w:pPr>
            <w:r>
              <w:rPr>
                <w:rFonts w:ascii="Arial" w:cs="Arial" w:eastAsia="Arial" w:hAnsi="Arial"/>
                <w:sz w:val="15"/>
                <w:szCs w:val="15"/>
                <w:color w:val="auto"/>
                <w:w w:val="71"/>
              </w:rPr>
              <w:t>$</w:t>
            </w:r>
          </w:p>
        </w:tc>
        <w:tc>
          <w:tcPr>
            <w:tcW w:w="0" w:type="dxa"/>
            <w:vAlign w:val="bottom"/>
          </w:tcPr>
          <w:p>
            <w:pPr>
              <w:spacing w:after="0"/>
              <w:rPr>
                <w:sz w:val="1"/>
                <w:szCs w:val="1"/>
                <w:color w:val="auto"/>
              </w:rPr>
            </w:pPr>
          </w:p>
        </w:tc>
      </w:tr>
      <w:tr>
        <w:trPr>
          <w:trHeight w:val="20"/>
        </w:trPr>
        <w:tc>
          <w:tcPr>
            <w:tcW w:w="46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2" w:lineRule="exact"/>
        <w:rPr>
          <w:sz w:val="20"/>
          <w:szCs w:val="20"/>
          <w:color w:val="auto"/>
        </w:rPr>
      </w:pPr>
    </w:p>
    <w:p>
      <w:pPr>
        <w:jc w:val="both"/>
        <w:ind w:left="540" w:right="100" w:hanging="536"/>
        <w:spacing w:after="0" w:line="276" w:lineRule="auto"/>
        <w:tabs>
          <w:tab w:leader="none" w:pos="5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For the three months ended December 31, 2015, represents net income attributable to Planet Fitness, Inc., and for the year ended December 31, 2015 represents net income attributable to Planet Fitness, Inc. for the period from August 6, 2015 through December 31, 2015, the period following the recapitalization transactions and IPO, and for both periods, the associated weighted average shares, diluted of Class A common stock outstanding.</w:t>
      </w:r>
    </w:p>
    <w:p>
      <w:pPr>
        <w:spacing w:after="0" w:line="1" w:lineRule="exact"/>
        <w:rPr>
          <w:rFonts w:ascii="Arial" w:cs="Arial" w:eastAsia="Arial" w:hAnsi="Arial"/>
          <w:sz w:val="16"/>
          <w:szCs w:val="16"/>
          <w:color w:val="auto"/>
        </w:rPr>
      </w:pPr>
    </w:p>
    <w:p>
      <w:pPr>
        <w:jc w:val="both"/>
        <w:ind w:left="540" w:right="100" w:hanging="536"/>
        <w:spacing w:after="0" w:line="255" w:lineRule="auto"/>
        <w:tabs>
          <w:tab w:leader="none" w:pos="540" w:val="left"/>
        </w:tabs>
        <w:numPr>
          <w:ilvl w:val="0"/>
          <w:numId w:val="19"/>
        </w:numPr>
        <w:rPr>
          <w:rFonts w:ascii="Arial" w:cs="Arial" w:eastAsia="Arial" w:hAnsi="Arial"/>
          <w:sz w:val="17"/>
          <w:szCs w:val="17"/>
          <w:color w:val="auto"/>
        </w:rPr>
      </w:pPr>
      <w:r>
        <w:rPr>
          <w:rFonts w:ascii="Arial" w:cs="Arial" w:eastAsia="Arial" w:hAnsi="Arial"/>
          <w:sz w:val="17"/>
          <w:szCs w:val="17"/>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Class B common shares for shares of Class A common stock.</w:t>
      </w:r>
    </w:p>
    <w:p>
      <w:pPr>
        <w:ind w:left="540" w:hanging="536"/>
        <w:spacing w:after="0"/>
        <w:tabs>
          <w:tab w:leader="none" w:pos="540" w:val="left"/>
        </w:tabs>
        <w:numPr>
          <w:ilvl w:val="0"/>
          <w:numId w:val="19"/>
        </w:numPr>
        <w:rPr>
          <w:rFonts w:ascii="Arial" w:cs="Arial" w:eastAsia="Arial" w:hAnsi="Arial"/>
          <w:sz w:val="17"/>
          <w:szCs w:val="17"/>
          <w:color w:val="auto"/>
        </w:rPr>
      </w:pPr>
      <w:r>
        <w:rPr>
          <w:rFonts w:ascii="Arial" w:cs="Arial" w:eastAsia="Arial" w:hAnsi="Arial"/>
          <w:sz w:val="17"/>
          <w:szCs w:val="17"/>
          <w:color w:val="auto"/>
        </w:rPr>
        <w:t>Represents the total impact of all adjustments identified in the adjusted net income table above to arrive at adjusted income before income taxes.</w:t>
      </w:r>
    </w:p>
    <w:p>
      <w:pPr>
        <w:spacing w:after="0" w:line="12" w:lineRule="exact"/>
        <w:rPr>
          <w:rFonts w:ascii="Arial" w:cs="Arial" w:eastAsia="Arial" w:hAnsi="Arial"/>
          <w:sz w:val="17"/>
          <w:szCs w:val="17"/>
          <w:color w:val="auto"/>
        </w:rPr>
      </w:pPr>
    </w:p>
    <w:p>
      <w:pPr>
        <w:ind w:left="540" w:hanging="536"/>
        <w:spacing w:after="0"/>
        <w:tabs>
          <w:tab w:leader="none" w:pos="540" w:val="left"/>
        </w:tabs>
        <w:numPr>
          <w:ilvl w:val="0"/>
          <w:numId w:val="19"/>
        </w:numPr>
        <w:rPr>
          <w:rFonts w:ascii="Arial" w:cs="Arial" w:eastAsia="Arial" w:hAnsi="Arial"/>
          <w:sz w:val="17"/>
          <w:szCs w:val="17"/>
          <w:color w:val="auto"/>
        </w:rPr>
      </w:pPr>
      <w:r>
        <w:rPr>
          <w:rFonts w:ascii="Arial" w:cs="Arial" w:eastAsia="Arial" w:hAnsi="Arial"/>
          <w:sz w:val="17"/>
          <w:szCs w:val="17"/>
          <w:color w:val="auto"/>
        </w:rPr>
        <w:t>Represents corporate income taxes at an assumed effective tax rate of 39.4% applied to adjusted income before income taxes.</w:t>
      </w:r>
    </w:p>
    <w:sectPr>
      <w:pgSz w:w="11900" w:h="16838" w:orient="portrait"/>
      <w:cols w:equalWidth="0" w:num="1">
        <w:col w:w="11520"/>
      </w:cols>
      <w:pgMar w:left="240" w:top="121" w:right="1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1)"/>
      <w:numFmt w:val="lowerLetter"/>
      <w:start w:val="4"/>
    </w:lvl>
  </w:abstractNum>
  <w:abstractNum w:abstractNumId="2">
    <w:nsid w:val="1F16E9E8"/>
    <w:multiLevelType w:val="hybridMultilevel"/>
    <w:lvl w:ilvl="0">
      <w:lvlJc w:val="left"/>
      <w:lvlText w:val="•"/>
      <w:numFmt w:val="bullet"/>
      <w:start w:val="1"/>
    </w:lvl>
  </w:abstractNum>
  <w:abstractNum w:abstractNumId="3">
    <w:nsid w:val="1190CDE7"/>
    <w:multiLevelType w:val="hybridMultilevel"/>
    <w:lvl w:ilvl="0">
      <w:lvlJc w:val="left"/>
      <w:lvlText w:val="(%1)"/>
      <w:numFmt w:val="decimal"/>
    </w:lvl>
    <w:lvl w:ilvl="1">
      <w:lvlJc w:val="left"/>
      <w:lvlText w:val="•"/>
      <w:numFmt w:val="bullet"/>
      <w:start w:val="1"/>
    </w:lvl>
  </w:abstractNum>
  <w:abstractNum w:abstractNumId="4">
    <w:nsid w:val="66EF438D"/>
    <w:multiLevelType w:val="hybridMultilevel"/>
    <w:lvl w:ilvl="0">
      <w:lvlJc w:val="left"/>
      <w:lvlText w:val="•"/>
      <w:numFmt w:val="bullet"/>
      <w:start w:val="1"/>
    </w:lvl>
  </w:abstractNum>
  <w:abstractNum w:abstractNumId="5">
    <w:nsid w:val="140E0F76"/>
    <w:multiLevelType w:val="hybridMultilevel"/>
    <w:lvl w:ilvl="0">
      <w:lvlJc w:val="left"/>
      <w:lvlText w:val="•"/>
      <w:numFmt w:val="bullet"/>
      <w:start w:val="1"/>
    </w:lvl>
  </w:abstractNum>
  <w:abstractNum w:abstractNumId="6">
    <w:nsid w:val="3352255A"/>
    <w:multiLevelType w:val="hybridMultilevel"/>
    <w:lvl w:ilvl="0">
      <w:lvlJc w:val="left"/>
      <w:lvlText w:val="•"/>
      <w:numFmt w:val="bullet"/>
      <w:start w:val="1"/>
    </w:lvl>
  </w:abstractNum>
  <w:abstractNum w:abstractNumId="7">
    <w:nsid w:val="109CF92E"/>
    <w:multiLevelType w:val="hybridMultilevel"/>
    <w:lvl w:ilvl="0">
      <w:lvlJc w:val="left"/>
      <w:lvlText w:val="•"/>
      <w:numFmt w:val="bullet"/>
      <w:start w:val="1"/>
    </w:lvl>
  </w:abstractNum>
  <w:abstractNum w:abstractNumId="8">
    <w:nsid w:val="DED7263"/>
    <w:multiLevelType w:val="hybridMultilevel"/>
    <w:lvl w:ilvl="0">
      <w:lvlJc w:val="left"/>
      <w:lvlText w:val="•"/>
      <w:numFmt w:val="bullet"/>
      <w:start w:val="1"/>
    </w:lvl>
  </w:abstractNum>
  <w:abstractNum w:abstractNumId="9">
    <w:nsid w:val="7FDCC233"/>
    <w:multiLevelType w:val="hybridMultilevel"/>
    <w:lvl w:ilvl="0">
      <w:lvlJc w:val="left"/>
      <w:lvlText w:val="(%1)"/>
      <w:numFmt w:val="decimal"/>
      <w:start w:val="1"/>
    </w:lvl>
  </w:abstractNum>
  <w:abstractNum w:abstractNumId="10">
    <w:nsid w:val="1BEFD79F"/>
    <w:multiLevelType w:val="hybridMultilevel"/>
    <w:lvl w:ilvl="0">
      <w:lvlJc w:val="left"/>
      <w:lvlText w:val="(%1)"/>
      <w:numFmt w:val="decimal"/>
      <w:start w:val="652"/>
    </w:lvl>
  </w:abstractNum>
  <w:abstractNum w:abstractNumId="11">
    <w:nsid w:val="41A7C4C9"/>
    <w:multiLevelType w:val="hybridMultilevel"/>
    <w:lvl w:ilvl="0">
      <w:lvlJc w:val="left"/>
      <w:lvlText w:val="(%1)"/>
      <w:numFmt w:val="decimal"/>
      <w:start w:val="1"/>
    </w:lvl>
  </w:abstractNum>
  <w:abstractNum w:abstractNumId="12">
    <w:nsid w:val="6B68079A"/>
    <w:multiLevelType w:val="hybridMultilevel"/>
    <w:lvl w:ilvl="0">
      <w:lvlJc w:val="left"/>
      <w:lvlText w:val="(%1)"/>
      <w:numFmt w:val="decimal"/>
      <w:start w:val="5"/>
    </w:lvl>
  </w:abstractNum>
  <w:abstractNum w:abstractNumId="13">
    <w:nsid w:val="4E6AFB66"/>
    <w:multiLevelType w:val="hybridMultilevel"/>
    <w:lvl w:ilvl="0">
      <w:lvlJc w:val="left"/>
      <w:lvlText w:val="(%1)"/>
      <w:numFmt w:val="decimal"/>
      <w:start w:val="1"/>
    </w:lvl>
  </w:abstractNum>
  <w:abstractNum w:abstractNumId="14">
    <w:nsid w:val="25E45D32"/>
    <w:multiLevelType w:val="hybridMultilevel"/>
    <w:lvl w:ilvl="0">
      <w:lvlJc w:val="left"/>
      <w:lvlText w:val="(%1)"/>
      <w:numFmt w:val="decimal"/>
      <w:start w:val="1"/>
    </w:lvl>
  </w:abstractNum>
  <w:abstractNum w:abstractNumId="15">
    <w:nsid w:val="519B500D"/>
    <w:multiLevelType w:val="hybridMultilevel"/>
    <w:lvl w:ilvl="0">
      <w:lvlJc w:val="left"/>
      <w:lvlText w:val="(%1)"/>
      <w:numFmt w:val="decimal"/>
      <w:start w:val="3"/>
    </w:lvl>
  </w:abstractNum>
  <w:abstractNum w:abstractNumId="16">
    <w:nsid w:val="431BD7B7"/>
    <w:multiLevelType w:val="hybridMultilevel"/>
    <w:lvl w:ilvl="0">
      <w:lvlJc w:val="left"/>
      <w:lvlText w:val="(%1)"/>
      <w:numFmt w:val="decimal"/>
      <w:start w:val="1"/>
    </w:lvl>
  </w:abstractNum>
  <w:abstractNum w:abstractNumId="17">
    <w:nsid w:val="3F2DBA31"/>
    <w:multiLevelType w:val="hybridMultilevel"/>
    <w:lvl w:ilvl="0">
      <w:lvlJc w:val="left"/>
      <w:lvlText w:val="(%1)"/>
      <w:numFmt w:val="decimal"/>
      <w:start w:val="2"/>
    </w:lvl>
  </w:abstractNum>
  <w:abstractNum w:abstractNumId="18">
    <w:nsid w:val="7C83E45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2020-01-16T12:59:18Z</dcterms:created>
  <dcterms:modified xsi:type="dcterms:W3CDTF">2020-01-16T12:59:18Z</dcterms:modified>
</cp:coreProperties>
</file>