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6548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654812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26 FOX RUN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03/22/2017</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2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160" w:type="dxa"/>
            <w:vAlign w:val="bottom"/>
          </w:tcPr>
          <w:p>
            <w:pPr>
              <w:spacing w:after="0"/>
              <w:rPr>
                <w:sz w:val="20"/>
                <w:szCs w:val="20"/>
                <w:color w:val="auto"/>
              </w:rPr>
            </w:pPr>
            <w:r>
              <w:rPr>
                <w:rFonts w:ascii="Arial" w:cs="Arial" w:eastAsia="Arial" w:hAnsi="Arial"/>
                <w:sz w:val="17"/>
                <w:szCs w:val="17"/>
                <w:color w:val="0000FF"/>
              </w:rPr>
              <w:t>NEWINGTON</w:t>
            </w:r>
          </w:p>
        </w:tc>
        <w:tc>
          <w:tcPr>
            <w:tcW w:w="940" w:type="dxa"/>
            <w:vAlign w:val="bottom"/>
          </w:tcPr>
          <w:p>
            <w:pPr>
              <w:ind w:left="1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03801</w:t>
            </w:r>
          </w:p>
        </w:tc>
      </w:tr>
      <w:tr>
        <w:trPr>
          <w:trHeight w:val="154"/>
        </w:trPr>
        <w:tc>
          <w:tcPr>
            <w:tcW w:w="40" w:type="dxa"/>
            <w:vAlign w:val="bottom"/>
          </w:tcPr>
          <w:p>
            <w:pPr>
              <w:spacing w:after="0"/>
              <w:rPr>
                <w:sz w:val="13"/>
                <w:szCs w:val="13"/>
                <w:color w:val="auto"/>
              </w:rPr>
            </w:pPr>
          </w:p>
        </w:tc>
        <w:tc>
          <w:tcPr>
            <w:tcW w:w="1160" w:type="dxa"/>
            <w:vAlign w:val="bottom"/>
            <w:tcBorders>
              <w:bottom w:val="single" w:sz="8" w:color="9A9A9A"/>
            </w:tcBorders>
          </w:tcPr>
          <w:p>
            <w:pPr>
              <w:spacing w:after="0"/>
              <w:rPr>
                <w:sz w:val="13"/>
                <w:szCs w:val="13"/>
                <w:color w:val="auto"/>
              </w:rPr>
            </w:pPr>
          </w:p>
        </w:tc>
        <w:tc>
          <w:tcPr>
            <w:tcW w:w="9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160" w:type="dxa"/>
            <w:vAlign w:val="bottom"/>
          </w:tcPr>
          <w:p>
            <w:pPr>
              <w:spacing w:after="0"/>
              <w:rPr>
                <w:sz w:val="20"/>
                <w:szCs w:val="20"/>
                <w:color w:val="auto"/>
              </w:rPr>
            </w:pPr>
            <w:r>
              <w:rPr>
                <w:rFonts w:ascii="Arial" w:cs="Arial" w:eastAsia="Arial" w:hAnsi="Arial"/>
                <w:sz w:val="13"/>
                <w:szCs w:val="13"/>
                <w:color w:val="auto"/>
              </w:rPr>
              <w:t>(City)</w:t>
            </w:r>
          </w:p>
        </w:tc>
        <w:tc>
          <w:tcPr>
            <w:tcW w:w="940" w:type="dxa"/>
            <w:vAlign w:val="bottom"/>
          </w:tcPr>
          <w:p>
            <w:pPr>
              <w:ind w:left="1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20" w:type="dxa"/>
            <w:vAlign w:val="bottom"/>
            <w:gridSpan w:val="2"/>
          </w:tcPr>
          <w:p>
            <w:pPr>
              <w:ind w:left="66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660"/>
              <w:spacing w:after="0" w:line="129" w:lineRule="exact"/>
              <w:rPr>
                <w:sz w:val="20"/>
                <w:szCs w:val="20"/>
                <w:color w:val="auto"/>
              </w:rPr>
            </w:pPr>
            <w:r>
              <w:rPr>
                <w:rFonts w:ascii="Arial" w:cs="Arial" w:eastAsia="Arial" w:hAnsi="Arial"/>
                <w:sz w:val="12"/>
                <w:szCs w:val="12"/>
                <w:b w:val="1"/>
                <w:bCs w:val="1"/>
                <w:color w:val="auto"/>
              </w:rPr>
              <w:t>Date</w:t>
            </w:r>
          </w:p>
        </w:tc>
        <w:tc>
          <w:tcPr>
            <w:tcW w:w="60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4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20" w:type="dxa"/>
            <w:vAlign w:val="bottom"/>
            <w:gridSpan w:val="2"/>
          </w:tcPr>
          <w:p>
            <w:pPr>
              <w:ind w:left="6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jc w:val="right"/>
              <w:ind w:right="232"/>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76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6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03/22/2017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89"/>
              </w:rPr>
              <w:t>6,000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03/22/2017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7"/>
              </w:rPr>
              <w:t>6,000</w:t>
            </w:r>
            <w:r>
              <w:rPr>
                <w:rFonts w:ascii="Arial" w:cs="Arial" w:eastAsia="Arial" w:hAnsi="Arial"/>
                <w:sz w:val="21"/>
                <w:szCs w:val="21"/>
                <w:color w:val="008000"/>
                <w:w w:val="87"/>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19.7274</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03/22/2017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vMerge w:val="restart"/>
          </w:tcPr>
          <w:p>
            <w:pPr>
              <w:jc w:val="center"/>
              <w:ind w:left="45"/>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140" w:type="dxa"/>
            <w:vAlign w:val="bottom"/>
          </w:tcPr>
          <w:p>
            <w:pPr>
              <w:spacing w:after="0"/>
              <w:rPr>
                <w:sz w:val="22"/>
                <w:szCs w:val="22"/>
                <w:color w:val="auto"/>
              </w:rPr>
            </w:pP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2"/>
              </w:rPr>
              <w:t>14,000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14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20" w:type="dxa"/>
            <w:vAlign w:val="bottom"/>
            <w:gridSpan w:val="2"/>
            <w:vMerge w:val="restart"/>
          </w:tcPr>
          <w:p>
            <w:pPr>
              <w:ind w:left="740"/>
              <w:spacing w:after="0"/>
              <w:rPr>
                <w:sz w:val="20"/>
                <w:szCs w:val="20"/>
                <w:color w:val="auto"/>
              </w:rPr>
            </w:pPr>
            <w:r>
              <w:rPr>
                <w:rFonts w:ascii="Arial" w:cs="Arial" w:eastAsia="Arial" w:hAnsi="Arial"/>
                <w:sz w:val="17"/>
                <w:szCs w:val="17"/>
                <w:color w:val="0000FF"/>
              </w:rPr>
              <w:t>03/22/2017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14,000</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2"/>
            <w:vMerge w:val="restart"/>
          </w:tcPr>
          <w:p>
            <w:pPr>
              <w:jc w:val="center"/>
              <w:spacing w:after="0"/>
              <w:rPr>
                <w:sz w:val="20"/>
                <w:szCs w:val="20"/>
                <w:color w:val="auto"/>
              </w:rPr>
            </w:pPr>
            <w:r>
              <w:rPr>
                <w:rFonts w:ascii="Arial" w:cs="Arial" w:eastAsia="Arial" w:hAnsi="Arial"/>
                <w:sz w:val="17"/>
                <w:szCs w:val="17"/>
                <w:color w:val="auto"/>
                <w:w w:val="88"/>
              </w:rPr>
              <w:t>$</w:t>
            </w:r>
            <w:r>
              <w:rPr>
                <w:rFonts w:ascii="Arial" w:cs="Arial" w:eastAsia="Arial" w:hAnsi="Arial"/>
                <w:sz w:val="17"/>
                <w:szCs w:val="17"/>
                <w:color w:val="0000FF"/>
                <w:w w:val="88"/>
              </w:rPr>
              <w:t>19.7274</w:t>
            </w:r>
            <w:r>
              <w:rPr>
                <w:rFonts w:ascii="Arial" w:cs="Arial" w:eastAsia="Arial" w:hAnsi="Arial"/>
                <w:sz w:val="21"/>
                <w:szCs w:val="21"/>
                <w:color w:val="008000"/>
                <w:w w:val="88"/>
                <w:vertAlign w:val="superscript"/>
              </w:rPr>
              <w:t>(3)</w:t>
            </w:r>
          </w:p>
        </w:tc>
        <w:tc>
          <w:tcPr>
            <w:tcW w:w="1220" w:type="dxa"/>
            <w:vAlign w:val="bottom"/>
            <w:gridSpan w:val="2"/>
            <w:vMerge w:val="restart"/>
          </w:tcPr>
          <w:p>
            <w:pPr>
              <w:jc w:val="center"/>
              <w:spacing w:after="0"/>
              <w:rPr>
                <w:sz w:val="20"/>
                <w:szCs w:val="20"/>
                <w:color w:val="auto"/>
              </w:rPr>
            </w:pPr>
            <w:r>
              <w:rPr>
                <w:rFonts w:ascii="Arial" w:cs="Arial" w:eastAsia="Arial" w:hAnsi="Arial"/>
                <w:sz w:val="17"/>
                <w:szCs w:val="17"/>
                <w:color w:val="0000FF"/>
                <w:w w:val="90"/>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20" w:type="dxa"/>
            <w:vAlign w:val="bottom"/>
            <w:gridSpan w:val="2"/>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2"/>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14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2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4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2"/>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4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4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14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0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760" w:type="dxa"/>
            <w:vAlign w:val="bottom"/>
          </w:tcPr>
          <w:p>
            <w:pPr>
              <w:spacing w:after="0"/>
              <w:rPr>
                <w:sz w:val="3"/>
                <w:szCs w:val="3"/>
                <w:color w:val="auto"/>
              </w:rPr>
            </w:pPr>
          </w:p>
        </w:tc>
        <w:tc>
          <w:tcPr>
            <w:tcW w:w="14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76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4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vMerge w:val="restart"/>
          </w:tcPr>
          <w:p>
            <w:pPr>
              <w:jc w:val="center"/>
              <w:spacing w:after="0"/>
              <w:rPr>
                <w:sz w:val="20"/>
                <w:szCs w:val="20"/>
                <w:color w:val="auto"/>
              </w:rPr>
            </w:pPr>
            <w:r>
              <w:rPr>
                <w:rFonts w:ascii="Arial" w:cs="Arial" w:eastAsia="Arial" w:hAnsi="Arial"/>
                <w:sz w:val="13"/>
                <w:szCs w:val="13"/>
                <w:color w:val="0000FF"/>
              </w:rPr>
              <w:t>6,000</w:t>
            </w:r>
            <w:r>
              <w:rPr>
                <w:rFonts w:ascii="Arial" w:cs="Arial" w:eastAsia="Arial" w:hAnsi="Arial"/>
                <w:sz w:val="21"/>
                <w:szCs w:val="21"/>
                <w:color w:val="008000"/>
                <w:vertAlign w:val="superscript"/>
              </w:rPr>
              <w:t>(1)</w:t>
            </w:r>
          </w:p>
        </w:tc>
        <w:tc>
          <w:tcPr>
            <w:tcW w:w="40" w:type="dxa"/>
            <w:vAlign w:val="bottom"/>
          </w:tcPr>
          <w:p>
            <w:pPr>
              <w:spacing w:after="0"/>
              <w:rPr>
                <w:sz w:val="12"/>
                <w:szCs w:val="12"/>
                <w:color w:val="auto"/>
              </w:rPr>
            </w:pP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ind w:right="25"/>
              <w:spacing w:after="0"/>
              <w:rPr>
                <w:sz w:val="20"/>
                <w:szCs w:val="20"/>
                <w:color w:val="auto"/>
              </w:rPr>
            </w:pPr>
            <w:r>
              <w:rPr>
                <w:rFonts w:ascii="Arial" w:cs="Arial" w:eastAsia="Arial" w:hAnsi="Arial"/>
                <w:sz w:val="17"/>
                <w:szCs w:val="17"/>
                <w:color w:val="0000FF"/>
              </w:rPr>
              <w:t>6,000</w:t>
            </w:r>
            <w:r>
              <w:rPr>
                <w:rFonts w:ascii="Arial" w:cs="Arial" w:eastAsia="Arial" w:hAnsi="Arial"/>
                <w:sz w:val="21"/>
                <w:szCs w:val="21"/>
                <w:color w:val="008000"/>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1,762,163</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03/22/2017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88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(1)(5)</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jc w:val="center"/>
              <w:ind w:right="20"/>
              <w:spacing w:after="0"/>
              <w:rPr>
                <w:sz w:val="20"/>
                <w:szCs w:val="20"/>
                <w:color w:val="auto"/>
              </w:rPr>
            </w:pPr>
            <w:r>
              <w:rPr>
                <w:rFonts w:ascii="Arial" w:cs="Arial" w:eastAsia="Arial" w:hAnsi="Arial"/>
                <w:sz w:val="13"/>
                <w:szCs w:val="13"/>
                <w:color w:val="0000FF"/>
              </w:rPr>
              <w:t>14,000</w:t>
            </w:r>
            <w:r>
              <w:rPr>
                <w:rFonts w:ascii="Arial" w:cs="Arial" w:eastAsia="Arial" w:hAnsi="Arial"/>
                <w:sz w:val="21"/>
                <w:szCs w:val="21"/>
                <w:color w:val="008000"/>
                <w:vertAlign w:val="superscript"/>
              </w:rPr>
              <w:t>(1)</w:t>
            </w:r>
          </w:p>
        </w:tc>
        <w:tc>
          <w:tcPr>
            <w:tcW w:w="780" w:type="dxa"/>
            <w:vAlign w:val="bottom"/>
            <w:vMerge w:val="restart"/>
          </w:tcPr>
          <w:p>
            <w:pPr>
              <w:ind w:left="380"/>
              <w:spacing w:after="0"/>
              <w:rPr>
                <w:sz w:val="20"/>
                <w:szCs w:val="20"/>
                <w:color w:val="auto"/>
              </w:rPr>
            </w:pPr>
            <w:r>
              <w:rPr>
                <w:rFonts w:ascii="Arial" w:cs="Arial" w:eastAsia="Arial" w:hAnsi="Arial"/>
                <w:sz w:val="11"/>
                <w:szCs w:val="11"/>
                <w:color w:val="008000"/>
              </w:rPr>
              <w:t>(5)</w:t>
            </w:r>
          </w:p>
        </w:tc>
        <w:tc>
          <w:tcPr>
            <w:tcW w:w="780" w:type="dxa"/>
            <w:vAlign w:val="bottom"/>
            <w:vMerge w:val="restart"/>
          </w:tcPr>
          <w:p>
            <w:pPr>
              <w:jc w:val="right"/>
              <w:ind w:right="232"/>
              <w:spacing w:after="0"/>
              <w:rPr>
                <w:sz w:val="20"/>
                <w:szCs w:val="20"/>
                <w:color w:val="auto"/>
              </w:rPr>
            </w:pPr>
            <w:r>
              <w:rPr>
                <w:rFonts w:ascii="Arial" w:cs="Arial" w:eastAsia="Arial" w:hAnsi="Arial"/>
                <w:sz w:val="11"/>
                <w:szCs w:val="11"/>
                <w:color w:val="008000"/>
              </w:rPr>
              <w:t>(5)</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vMerge w:val="restart"/>
          </w:tcPr>
          <w:p>
            <w:pPr>
              <w:jc w:val="center"/>
              <w:spacing w:after="0"/>
              <w:rPr>
                <w:sz w:val="20"/>
                <w:szCs w:val="20"/>
                <w:color w:val="auto"/>
              </w:rPr>
            </w:pPr>
            <w:r>
              <w:rPr>
                <w:rFonts w:ascii="Arial" w:cs="Arial" w:eastAsia="Arial" w:hAnsi="Arial"/>
                <w:sz w:val="17"/>
                <w:szCs w:val="17"/>
                <w:color w:val="0000FF"/>
                <w:w w:val="95"/>
              </w:rPr>
              <w:t>14,000</w:t>
            </w:r>
            <w:r>
              <w:rPr>
                <w:rFonts w:ascii="Arial" w:cs="Arial" w:eastAsia="Arial" w:hAnsi="Arial"/>
                <w:sz w:val="21"/>
                <w:szCs w:val="21"/>
                <w:color w:val="008000"/>
                <w:w w:val="95"/>
                <w:vertAlign w:val="superscript"/>
              </w:rPr>
              <w:t>(1)</w:t>
            </w:r>
          </w:p>
        </w:tc>
        <w:tc>
          <w:tcPr>
            <w:tcW w:w="1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6,246,147</w:t>
            </w:r>
            <w:r>
              <w:rPr>
                <w:rFonts w:ascii="Arial" w:cs="Arial" w:eastAsia="Arial" w:hAnsi="Arial"/>
                <w:sz w:val="21"/>
                <w:szCs w:val="21"/>
                <w:color w:val="008000"/>
                <w:vertAlign w:val="superscript"/>
              </w:rPr>
              <w:t>(5)</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(4)</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right"/>
              <w:ind w:right="178"/>
              <w:spacing w:after="0" w:line="145" w:lineRule="exact"/>
              <w:rPr>
                <w:sz w:val="20"/>
                <w:szCs w:val="20"/>
                <w:color w:val="auto"/>
              </w:rPr>
            </w:pPr>
            <w:r>
              <w:rPr>
                <w:rFonts w:ascii="Arial" w:cs="Arial" w:eastAsia="Arial" w:hAnsi="Arial"/>
                <w:sz w:val="13"/>
                <w:szCs w:val="13"/>
                <w:color w:val="0000FF"/>
              </w:rPr>
              <w:t>03/22/2017</w:t>
            </w:r>
          </w:p>
        </w:tc>
        <w:tc>
          <w:tcPr>
            <w:tcW w:w="1120" w:type="dxa"/>
            <w:vAlign w:val="bottom"/>
          </w:tcPr>
          <w:p>
            <w:pPr>
              <w:spacing w:after="0"/>
              <w:rPr>
                <w:sz w:val="12"/>
                <w:szCs w:val="12"/>
                <w:color w:val="auto"/>
              </w:rPr>
            </w:pPr>
          </w:p>
        </w:tc>
        <w:tc>
          <w:tcPr>
            <w:tcW w:w="60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60" w:type="dxa"/>
            <w:vAlign w:val="bottom"/>
            <w:vMerge w:val="continue"/>
          </w:tcPr>
          <w:p>
            <w:pPr>
              <w:spacing w:after="0"/>
              <w:rPr>
                <w:sz w:val="12"/>
                <w:szCs w:val="12"/>
                <w:color w:val="auto"/>
              </w:rPr>
            </w:pPr>
          </w:p>
        </w:tc>
        <w:tc>
          <w:tcPr>
            <w:tcW w:w="14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180" w:hanging="135"/>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40" w:right="320" w:firstLine="5"/>
        <w:spacing w:after="0" w:line="257"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1,762,163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40" w:right="280" w:firstLine="5"/>
        <w:spacing w:after="0" w:line="245"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$19.39 to $20.05,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180" w:hanging="135"/>
        <w:spacing w:after="0"/>
        <w:tabs>
          <w:tab w:leader="none" w:pos="18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6,246,147 Holdings Units and corresponding shares of Class B common stock.</w:t>
      </w:r>
    </w:p>
    <w:p>
      <w:pPr>
        <w:spacing w:after="0" w:line="59" w:lineRule="exact"/>
        <w:rPr>
          <w:rFonts w:ascii="Arial" w:cs="Arial" w:eastAsia="Arial" w:hAnsi="Arial"/>
          <w:sz w:val="12"/>
          <w:szCs w:val="12"/>
          <w:color w:val="008000"/>
        </w:rPr>
      </w:pPr>
    </w:p>
    <w:p>
      <w:pPr>
        <w:ind w:left="40" w:right="200" w:firstLine="5"/>
        <w:spacing w:after="0" w:line="239" w:lineRule="auto"/>
        <w:tabs>
          <w:tab w:leader="none" w:pos="17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4"/>
          <w:szCs w:val="24"/>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03/23/2017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4"/>
          <w:szCs w:val="24"/>
          <w:color w:val="auto"/>
        </w:rPr>
      </w:pPr>
    </w:p>
    <w:p>
      <w:pPr>
        <w:jc w:val="both"/>
        <w:ind w:left="40" w:right="3880" w:firstLine="5"/>
        <w:spacing w:after="0" w:line="315" w:lineRule="auto"/>
        <w:tabs>
          <w:tab w:leader="none" w:pos="17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2020-01-16T01:48:53Z</dcterms:created>
  <dcterms:modified xsi:type="dcterms:W3CDTF">2020-01-16T01:48:53Z</dcterms:modified>
</cp:coreProperties>
</file>