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Spinelli Stephen JR</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180" w:type="dxa"/>
            <w:vAlign w:val="bottom"/>
            <w:tcBorders>
              <w:top w:val="single" w:sz="8" w:color="0000EE"/>
            </w:tcBorders>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01/02/2018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11"/>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8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9"/>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4"/>
          </w:tcPr>
          <w:p>
            <w:pPr>
              <w:ind w:left="180"/>
              <w:spacing w:after="0" w:line="136"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860" w:type="dxa"/>
            <w:vAlign w:val="bottom"/>
            <w:tcBorders>
              <w:top w:val="single" w:sz="8" w:color="2C2C2C"/>
            </w:tcBorders>
            <w:gridSpan w:val="25"/>
          </w:tcPr>
          <w:p>
            <w:pPr>
              <w:jc w:val="center"/>
              <w:ind w:right="1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01/02/2018</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Arial" w:cs="Arial" w:eastAsia="Arial" w:hAnsi="Arial"/>
                <w:sz w:val="18"/>
                <w:szCs w:val="18"/>
                <w:color w:val="0000FF"/>
                <w:w w:val="93"/>
              </w:rPr>
              <w:t>967</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60" w:type="dxa"/>
            <w:vAlign w:val="bottom"/>
            <w:gridSpan w:val="3"/>
          </w:tcPr>
          <w:p>
            <w:pPr>
              <w:spacing w:after="0"/>
              <w:rPr>
                <w:sz w:val="20"/>
                <w:szCs w:val="20"/>
                <w:color w:val="auto"/>
              </w:rPr>
            </w:pPr>
            <w:r>
              <w:rPr>
                <w:rFonts w:ascii="Arial" w:cs="Arial" w:eastAsia="Arial" w:hAnsi="Arial"/>
                <w:sz w:val="18"/>
                <w:szCs w:val="18"/>
                <w:color w:val="0000FF"/>
              </w:rPr>
              <w:t>4,125</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8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860" w:type="dxa"/>
            <w:vAlign w:val="bottom"/>
            <w:tcBorders>
              <w:top w:val="single" w:sz="8" w:color="2C2C2C"/>
            </w:tcBorders>
            <w:gridSpan w:val="25"/>
          </w:tcPr>
          <w:p>
            <w:pPr>
              <w:jc w:val="center"/>
              <w:ind w:right="10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3"/>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5"/>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800" w:type="dxa"/>
            <w:vAlign w:val="bottom"/>
            <w:gridSpan w:val="21"/>
          </w:tcPr>
          <w:p>
            <w:pPr>
              <w:ind w:left="20"/>
              <w:spacing w:after="0"/>
              <w:rPr>
                <w:sz w:val="20"/>
                <w:szCs w:val="20"/>
                <w:color w:val="auto"/>
              </w:rPr>
            </w:pPr>
            <w:r>
              <w:rPr>
                <w:rFonts w:ascii="Arial" w:cs="Arial" w:eastAsia="Arial" w:hAnsi="Arial"/>
                <w:sz w:val="14"/>
                <w:szCs w:val="14"/>
                <w:color w:val="008000"/>
                <w:w w:val="94"/>
              </w:rPr>
              <w:t>1. Represents a grant of restricted stock units with respect to shares of the issuer's common stock that vests on the date of the grant.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Arial" w:cs="Arial" w:eastAsia="Arial" w:hAnsi="Arial"/>
                <w:sz w:val="18"/>
                <w:szCs w:val="18"/>
                <w:color w:val="0000FF"/>
                <w:w w:val="88"/>
              </w:rPr>
              <w:t>/s/ Justin Vartanian, Attorney-</w:t>
            </w:r>
          </w:p>
        </w:tc>
        <w:tc>
          <w:tcPr>
            <w:tcW w:w="1680" w:type="dxa"/>
            <w:vAlign w:val="bottom"/>
            <w:gridSpan w:val="4"/>
            <w:vMerge w:val="restart"/>
          </w:tcPr>
          <w:p>
            <w:pPr>
              <w:ind w:left="180"/>
              <w:spacing w:after="0"/>
              <w:rPr>
                <w:sz w:val="20"/>
                <w:szCs w:val="20"/>
                <w:color w:val="auto"/>
              </w:rPr>
            </w:pPr>
            <w:r>
              <w:rPr>
                <w:rFonts w:ascii="Arial" w:cs="Arial" w:eastAsia="Arial" w:hAnsi="Arial"/>
                <w:sz w:val="18"/>
                <w:szCs w:val="18"/>
                <w:color w:val="0000FF"/>
              </w:rPr>
              <w:t>01/04/2018</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Arial" w:cs="Arial" w:eastAsia="Arial" w:hAnsi="Arial"/>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7"/>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9"/>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left="1700" w:right="1359" w:hanging="842"/>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2319" w:hanging="849"/>
        <w:spacing w:after="0" w:line="268"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w:t>
      </w:r>
    </w:p>
    <w:p>
      <w:pPr>
        <w:ind w:left="1700" w:right="1879"/>
        <w:spacing w:after="0" w:line="268" w:lineRule="auto"/>
        <w:rPr>
          <w:sz w:val="20"/>
          <w:szCs w:val="20"/>
          <w:color w:val="auto"/>
        </w:rPr>
      </w:pPr>
      <w:r>
        <w:rPr>
          <w:rFonts w:ascii="Courier New" w:cs="Courier New" w:eastAsia="Courier New" w:hAnsi="Courier New"/>
          <w:sz w:val="16"/>
          <w:szCs w:val="16"/>
          <w:color w:val="auto"/>
        </w:rPr>
        <w:t>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w:t>
      </w:r>
    </w:p>
    <w:p>
      <w:pPr>
        <w:jc w:val="center"/>
        <w:ind w:right="-120"/>
        <w:spacing w:after="0" w:line="234" w:lineRule="auto"/>
        <w:rPr>
          <w:sz w:val="20"/>
          <w:szCs w:val="20"/>
          <w:color w:val="auto"/>
        </w:rPr>
      </w:pPr>
      <w:r>
        <w:rPr>
          <w:rFonts w:ascii="Courier New" w:cs="Courier New" w:eastAsia="Courier New" w:hAnsi="Courier New"/>
          <w:sz w:val="18"/>
          <w:szCs w:val="18"/>
          <w:color w:val="auto"/>
        </w:rPr>
        <w:t>any rule or regulation of the SEC;</w:t>
      </w:r>
    </w:p>
    <w:p>
      <w:pPr>
        <w:spacing w:after="0" w:line="207" w:lineRule="exact"/>
        <w:rPr>
          <w:sz w:val="20"/>
          <w:szCs w:val="20"/>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78" w:lineRule="exact"/>
        <w:rPr>
          <w:rFonts w:ascii="Courier New" w:cs="Courier New" w:eastAsia="Courier New" w:hAnsi="Courier New"/>
          <w:sz w:val="16"/>
          <w:szCs w:val="16"/>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w:t>
      </w:r>
    </w:p>
    <w:p>
      <w:pPr>
        <w:ind w:left="1700"/>
        <w:spacing w:after="0" w:line="238" w:lineRule="auto"/>
        <w:rPr>
          <w:sz w:val="20"/>
          <w:szCs w:val="20"/>
          <w:color w:val="auto"/>
        </w:rPr>
      </w:pPr>
      <w:r>
        <w:rPr>
          <w:rFonts w:ascii="Courier New" w:cs="Courier New" w:eastAsia="Courier New" w:hAnsi="Courier New"/>
          <w:sz w:val="18"/>
          <w:szCs w:val="18"/>
          <w:color w:val="auto"/>
        </w:rPr>
        <w:t>the foregoing that, in the opinion of such attorney-in-fact,</w:t>
      </w:r>
    </w:p>
    <w:p>
      <w:pPr>
        <w:spacing w:after="0" w:line="5" w:lineRule="exact"/>
        <w:rPr>
          <w:sz w:val="20"/>
          <w:szCs w:val="20"/>
          <w:color w:val="auto"/>
        </w:rPr>
      </w:pPr>
    </w:p>
    <w:p>
      <w:pPr>
        <w:ind w:left="3380" w:right="199"/>
        <w:spacing w:after="0" w:line="237" w:lineRule="auto"/>
        <w:rPr>
          <w:sz w:val="20"/>
          <w:szCs w:val="20"/>
          <w:color w:val="auto"/>
        </w:rPr>
      </w:pPr>
      <w:r>
        <w:rPr>
          <w:rFonts w:ascii="Courier New" w:cs="Courier New" w:eastAsia="Courier New" w:hAnsi="Courier New"/>
          <w:sz w:val="18"/>
          <w:szCs w:val="18"/>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Stephen Spinelli, Jr.</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Stephen Spinelli, Jr.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194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2020-01-13T22:08:02Z</dcterms:created>
  <dcterms:modified xsi:type="dcterms:W3CDTF">2020-01-13T22:08:02Z</dcterms:modified>
</cp:coreProperties>
</file>