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295910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SCHEDULE 13G</w:t>
      </w:r>
    </w:p>
    <w:p>
      <w:pPr>
        <w:spacing w:after="0" w:line="34" w:lineRule="exact"/>
        <w:rPr>
          <w:sz w:val="24"/>
          <w:szCs w:val="24"/>
          <w:color w:val="auto"/>
        </w:rPr>
      </w:pPr>
    </w:p>
    <w:p>
      <w:pPr>
        <w:ind w:left="5040"/>
        <w:spacing w:after="0"/>
        <w:rPr>
          <w:sz w:val="20"/>
          <w:szCs w:val="20"/>
          <w:color w:val="auto"/>
        </w:rPr>
      </w:pPr>
      <w:r>
        <w:rPr>
          <w:rFonts w:ascii="Arial" w:cs="Arial" w:eastAsia="Arial" w:hAnsi="Arial"/>
          <w:sz w:val="22"/>
          <w:szCs w:val="22"/>
          <w:b w:val="1"/>
          <w:bCs w:val="1"/>
          <w:color w:val="auto"/>
        </w:rPr>
        <w:t>(Rule 13d-102)</w:t>
      </w:r>
    </w:p>
    <w:p>
      <w:pPr>
        <w:spacing w:after="0" w:line="182" w:lineRule="exact"/>
        <w:rPr>
          <w:sz w:val="24"/>
          <w:szCs w:val="24"/>
          <w:color w:val="auto"/>
        </w:rPr>
      </w:pPr>
    </w:p>
    <w:p>
      <w:pPr>
        <w:ind w:left="3020"/>
        <w:spacing w:after="0"/>
        <w:rPr>
          <w:sz w:val="20"/>
          <w:szCs w:val="20"/>
          <w:color w:val="auto"/>
        </w:rPr>
      </w:pPr>
      <w:r>
        <w:rPr>
          <w:rFonts w:ascii="Arial" w:cs="Arial" w:eastAsia="Arial" w:hAnsi="Arial"/>
          <w:sz w:val="22"/>
          <w:szCs w:val="22"/>
          <w:b w:val="1"/>
          <w:bCs w:val="1"/>
          <w:color w:val="auto"/>
        </w:rPr>
        <w:t>Information Statement Pursuant to Rules 13d-1 and 13d-2</w:t>
      </w:r>
    </w:p>
    <w:p>
      <w:pPr>
        <w:spacing w:after="0" w:line="4"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Under the Securities Exchange Act of 1934</w:t>
      </w:r>
    </w:p>
    <w:p>
      <w:pPr>
        <w:jc w:val="center"/>
        <w:ind w:right="-119"/>
        <w:spacing w:after="0"/>
        <w:tabs>
          <w:tab w:leader="none" w:pos="260" w:val="left"/>
        </w:tabs>
        <w:rPr>
          <w:sz w:val="20"/>
          <w:szCs w:val="20"/>
          <w:color w:val="auto"/>
        </w:rPr>
      </w:pPr>
      <w:r>
        <w:rPr>
          <w:rFonts w:ascii="Arial" w:cs="Arial" w:eastAsia="Arial" w:hAnsi="Arial"/>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304800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99"/>
        <w:spacing w:after="0"/>
        <w:rPr>
          <w:sz w:val="20"/>
          <w:szCs w:val="20"/>
          <w:color w:val="auto"/>
        </w:rPr>
      </w:pPr>
      <w:r>
        <w:rPr>
          <w:rFonts w:ascii="Arial" w:cs="Arial" w:eastAsia="Arial" w:hAnsi="Arial"/>
          <w:sz w:val="40"/>
          <w:szCs w:val="40"/>
          <w:b w:val="1"/>
          <w:bCs w:val="1"/>
          <w:color w:val="auto"/>
        </w:rPr>
        <w:t>Planet Fitness, Inc.</w:t>
      </w:r>
    </w:p>
    <w:p>
      <w:pPr>
        <w:spacing w:after="0" w:line="3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Class A common stock, par value $0.0001 per share</w:t>
      </w:r>
    </w:p>
    <w:p>
      <w:pPr>
        <w:spacing w:after="0" w:line="2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72703H101</w:t>
      </w:r>
    </w:p>
    <w:p>
      <w:pPr>
        <w:spacing w:after="0" w:line="2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December 31, 2015</w:t>
      </w:r>
    </w:p>
    <w:p>
      <w:pPr>
        <w:spacing w:after="0" w:line="2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296545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left="46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1120" w:hanging="199"/>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25" w:lineRule="exact"/>
        <w:rPr>
          <w:rFonts w:ascii="MS PGothic" w:cs="MS PGothic" w:eastAsia="MS PGothic" w:hAnsi="MS PGothic"/>
          <w:sz w:val="18"/>
          <w:szCs w:val="18"/>
          <w:color w:val="auto"/>
        </w:rPr>
      </w:pPr>
    </w:p>
    <w:p>
      <w:pPr>
        <w:ind w:left="1120" w:hanging="199"/>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25" w:lineRule="exact"/>
        <w:rPr>
          <w:sz w:val="24"/>
          <w:szCs w:val="24"/>
          <w:color w:val="auto"/>
        </w:rPr>
      </w:pPr>
    </w:p>
    <w:p>
      <w:pPr>
        <w:ind w:left="1120" w:hanging="199"/>
        <w:spacing w:after="0"/>
        <w:tabs>
          <w:tab w:leader="none" w:pos="112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52" w:lineRule="exact"/>
        <w:rPr>
          <w:rFonts w:ascii="MS PGothic" w:cs="MS PGothic" w:eastAsia="MS PGothic" w:hAnsi="MS PGothic"/>
          <w:sz w:val="18"/>
          <w:szCs w:val="18"/>
          <w:color w:val="auto"/>
        </w:rPr>
      </w:pPr>
    </w:p>
    <w:p>
      <w:pPr>
        <w:ind w:left="460" w:right="40" w:hanging="446"/>
        <w:spacing w:after="0" w:line="277" w:lineRule="auto"/>
        <w:rPr>
          <w:rFonts w:ascii="MS PGothic" w:cs="MS PGothic" w:eastAsia="MS PGothic" w:hAnsi="MS PGothic"/>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113665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156210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40" w:top="517" w:right="3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458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3500" w:type="dxa"/>
            <w:vAlign w:val="bottom"/>
          </w:tcPr>
          <w:p>
            <w:pPr>
              <w:ind w:left="1220"/>
              <w:spacing w:after="0"/>
              <w:rPr>
                <w:sz w:val="20"/>
                <w:szCs w:val="20"/>
                <w:color w:val="auto"/>
              </w:rPr>
            </w:pPr>
            <w:r>
              <w:rPr>
                <w:rFonts w:ascii="Arial" w:cs="Arial" w:eastAsia="Arial" w:hAnsi="Arial"/>
                <w:sz w:val="18"/>
                <w:szCs w:val="18"/>
                <w:b w:val="1"/>
                <w:bCs w:val="1"/>
                <w:color w:val="auto"/>
              </w:rPr>
              <w:t>13G</w:t>
            </w:r>
          </w:p>
        </w:tc>
        <w:tc>
          <w:tcPr>
            <w:tcW w:w="3360" w:type="dxa"/>
            <w:vAlign w:val="bottom"/>
          </w:tcPr>
          <w:p>
            <w:pPr>
              <w:ind w:left="1980"/>
              <w:spacing w:after="0"/>
              <w:rPr>
                <w:sz w:val="20"/>
                <w:szCs w:val="20"/>
                <w:color w:val="auto"/>
              </w:rPr>
            </w:pPr>
            <w:r>
              <w:rPr>
                <w:rFonts w:ascii="Arial" w:cs="Arial" w:eastAsia="Arial" w:hAnsi="Arial"/>
                <w:sz w:val="18"/>
                <w:szCs w:val="18"/>
                <w:color w:val="auto"/>
                <w:w w:val="85"/>
              </w:rPr>
              <w:t>Page 2 of 13 Pages</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60" w:type="dxa"/>
            <w:vAlign w:val="bottom"/>
            <w:tcBorders>
              <w:bottom w:val="single" w:sz="8" w:color="auto"/>
            </w:tcBorders>
          </w:tcPr>
          <w:p>
            <w:pPr>
              <w:spacing w:after="0"/>
              <w:rPr>
                <w:sz w:val="12"/>
                <w:szCs w:val="12"/>
                <w:color w:val="auto"/>
              </w:rPr>
            </w:pPr>
          </w:p>
        </w:tc>
        <w:tc>
          <w:tcPr>
            <w:tcW w:w="4000" w:type="dxa"/>
            <w:vAlign w:val="bottom"/>
            <w:tcBorders>
              <w:bottom w:val="single" w:sz="8" w:color="auto"/>
            </w:tcBorders>
          </w:tcPr>
          <w:p>
            <w:pPr>
              <w:spacing w:after="0"/>
              <w:rPr>
                <w:sz w:val="12"/>
                <w:szCs w:val="12"/>
                <w:color w:val="auto"/>
              </w:rPr>
            </w:pPr>
          </w:p>
        </w:tc>
        <w:tc>
          <w:tcPr>
            <w:tcW w:w="350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400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350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52400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52400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TSG6 Management L.L.C.</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4"/>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0000" w:type="dxa"/>
            <w:vAlign w:val="bottom"/>
            <w:gridSpan w:val="2"/>
          </w:tcPr>
          <w:p>
            <w:pPr>
              <w:ind w:left="14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280" w:type="dxa"/>
            <w:vAlign w:val="bottom"/>
            <w:tcBorders>
              <w:bottom w:val="single" w:sz="8" w:color="auto"/>
            </w:tcBorders>
            <w:gridSpan w:val="3"/>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0280" w:type="dxa"/>
            <w:vAlign w:val="bottom"/>
            <w:tcBorders>
              <w:bottom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Delaware</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96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82"/>
        </w:trPr>
        <w:tc>
          <w:tcPr>
            <w:tcW w:w="1440" w:type="dxa"/>
            <w:vAlign w:val="bottom"/>
            <w:tcBorders>
              <w:right w:val="single" w:sz="8" w:color="auto"/>
            </w:tcBorders>
            <w:gridSpan w:val="4"/>
            <w:vMerge w:val="restart"/>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440" w:type="dxa"/>
            <w:vAlign w:val="bottom"/>
            <w:tcBorders>
              <w:right w:val="single" w:sz="8" w:color="auto"/>
            </w:tcBorders>
            <w:gridSpan w:val="4"/>
            <w:vMerge w:val="continue"/>
          </w:tcPr>
          <w:p>
            <w:pPr>
              <w:spacing w:after="0"/>
              <w:rPr>
                <w:sz w:val="4"/>
                <w:szCs w:val="4"/>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6.</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w w:val="91"/>
              </w:rPr>
              <w:t>SHARES</w:t>
            </w:r>
          </w:p>
        </w:tc>
        <w:tc>
          <w:tcPr>
            <w:tcW w:w="320" w:type="dxa"/>
            <w:vAlign w:val="bottom"/>
            <w:tcBorders>
              <w:right w:val="single" w:sz="8" w:color="auto"/>
            </w:tcBorders>
            <w:vMerge w:val="continue"/>
          </w:tcPr>
          <w:p>
            <w:pPr>
              <w:spacing w:after="0"/>
              <w:rPr>
                <w:sz w:val="15"/>
                <w:szCs w:val="15"/>
                <w:color w:val="auto"/>
              </w:rPr>
            </w:pPr>
          </w:p>
        </w:tc>
        <w:tc>
          <w:tcPr>
            <w:tcW w:w="9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20" w:type="dxa"/>
            <w:vAlign w:val="bottom"/>
            <w:tcBorders>
              <w:right w:val="single" w:sz="8" w:color="auto"/>
            </w:tcBorders>
            <w:gridSpan w:val="3"/>
            <w:vMerge w:val="continue"/>
          </w:tcPr>
          <w:p>
            <w:pPr>
              <w:spacing w:after="0"/>
              <w:rPr>
                <w:sz w:val="3"/>
                <w:szCs w:val="3"/>
                <w:color w:val="auto"/>
              </w:rPr>
            </w:pPr>
          </w:p>
        </w:tc>
        <w:tc>
          <w:tcPr>
            <w:tcW w:w="320" w:type="dxa"/>
            <w:vAlign w:val="bottom"/>
            <w:tcBorders>
              <w:right w:val="single" w:sz="8" w:color="auto"/>
            </w:tcBorders>
          </w:tcPr>
          <w:p>
            <w:pPr>
              <w:spacing w:after="0"/>
              <w:rPr>
                <w:sz w:val="3"/>
                <w:szCs w:val="3"/>
                <w:color w:val="auto"/>
              </w:rPr>
            </w:pPr>
          </w:p>
        </w:tc>
        <w:tc>
          <w:tcPr>
            <w:tcW w:w="96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40" w:type="dxa"/>
            <w:vAlign w:val="bottom"/>
            <w:tcBorders>
              <w:right w:val="single" w:sz="8" w:color="auto"/>
            </w:tcBorders>
            <w:gridSpan w:val="4"/>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spacing w:after="0"/>
              <w:rPr>
                <w:sz w:val="18"/>
                <w:szCs w:val="18"/>
                <w:color w:val="auto"/>
              </w:rPr>
            </w:pPr>
          </w:p>
        </w:tc>
        <w:tc>
          <w:tcPr>
            <w:tcW w:w="9680" w:type="dxa"/>
            <w:vAlign w:val="bottom"/>
            <w:vMerge w:val="restart"/>
          </w:tcPr>
          <w:p>
            <w:pPr>
              <w:ind w:left="100"/>
              <w:spacing w:after="0"/>
              <w:rPr>
                <w:sz w:val="20"/>
                <w:szCs w:val="20"/>
                <w:color w:val="auto"/>
              </w:rPr>
            </w:pPr>
            <w:r>
              <w:rPr>
                <w:rFonts w:ascii="Arial" w:cs="Arial" w:eastAsia="Arial" w:hAnsi="Arial"/>
                <w:sz w:val="22"/>
                <w:szCs w:val="22"/>
                <w:color w:val="auto"/>
              </w:rPr>
              <w:t>64,990,396 (a)</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9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968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9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420" w:type="dxa"/>
            <w:vAlign w:val="bottom"/>
          </w:tcPr>
          <w:p>
            <w:pPr>
              <w:spacing w:after="0"/>
              <w:rPr>
                <w:sz w:val="20"/>
                <w:szCs w:val="20"/>
                <w:color w:val="auto"/>
              </w:rPr>
            </w:pPr>
          </w:p>
        </w:tc>
        <w:tc>
          <w:tcPr>
            <w:tcW w:w="1020" w:type="dxa"/>
            <w:vAlign w:val="bottom"/>
            <w:tcBorders>
              <w:right w:val="single" w:sz="8" w:color="auto"/>
            </w:tcBorders>
            <w:gridSpan w:val="3"/>
          </w:tcPr>
          <w:p>
            <w:pPr>
              <w:jc w:val="center"/>
              <w:ind w:right="260"/>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0"/>
                <w:szCs w:val="20"/>
                <w:color w:val="auto"/>
              </w:rPr>
            </w:pPr>
          </w:p>
        </w:tc>
        <w:tc>
          <w:tcPr>
            <w:tcW w:w="9680" w:type="dxa"/>
            <w:vAlign w:val="bottom"/>
          </w:tcPr>
          <w:p>
            <w:pPr>
              <w:ind w:left="100"/>
              <w:spacing w:after="0" w:line="232"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79"/>
        </w:trPr>
        <w:tc>
          <w:tcPr>
            <w:tcW w:w="420" w:type="dxa"/>
            <w:vAlign w:val="bottom"/>
          </w:tcPr>
          <w:p>
            <w:pPr>
              <w:spacing w:after="0"/>
              <w:rPr>
                <w:sz w:val="6"/>
                <w:szCs w:val="6"/>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6"/>
                <w:szCs w:val="6"/>
                <w:color w:val="auto"/>
              </w:rPr>
            </w:pPr>
          </w:p>
        </w:tc>
        <w:tc>
          <w:tcPr>
            <w:tcW w:w="9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420" w:type="dxa"/>
            <w:vAlign w:val="bottom"/>
          </w:tcPr>
          <w:p>
            <w:pPr>
              <w:spacing w:after="0"/>
              <w:rPr>
                <w:sz w:val="11"/>
                <w:szCs w:val="11"/>
                <w:color w:val="auto"/>
              </w:rPr>
            </w:pPr>
          </w:p>
        </w:tc>
        <w:tc>
          <w:tcPr>
            <w:tcW w:w="1020" w:type="dxa"/>
            <w:vAlign w:val="bottom"/>
            <w:tcBorders>
              <w:right w:val="single" w:sz="8" w:color="auto"/>
            </w:tcBorders>
            <w:gridSpan w:val="3"/>
            <w:vMerge w:val="continue"/>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3"/>
        </w:trPr>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96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64,990,396 (a)</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3"/>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64,990,396 (a)</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4"/>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80.7%(b)</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rPr>
              <w:t>OO</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6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right="540" w:hanging="452"/>
        <w:spacing w:after="0" w:line="274" w:lineRule="auto"/>
        <w:tabs>
          <w:tab w:leader="none" w:pos="460" w:val="left"/>
        </w:tabs>
        <w:numPr>
          <w:ilvl w:val="0"/>
          <w:numId w:val="3"/>
        </w:numPr>
        <w:rPr>
          <w:rFonts w:ascii="Arial" w:cs="Arial" w:eastAsia="Arial" w:hAnsi="Arial"/>
          <w:sz w:val="17"/>
          <w:szCs w:val="17"/>
          <w:color w:val="auto"/>
        </w:rPr>
      </w:pPr>
      <w:r>
        <w:rPr>
          <w:rFonts w:ascii="Arial" w:cs="Arial" w:eastAsia="Arial" w:hAnsi="Arial"/>
          <w:sz w:val="17"/>
          <w:szCs w:val="17"/>
          <w:color w:val="auto"/>
        </w:rPr>
        <w:t>Includes 43,917,411 Common Units of Pla-Fit Holdings, LLC (“Holding Units”) and shares of Class B common stock of Planet Fitness, Inc. (the “Company”) that are immediately convertible on a one-to-one basis for shares of Class A common stock of the Company.</w:t>
      </w:r>
    </w:p>
    <w:p>
      <w:pPr>
        <w:ind w:left="460" w:right="180" w:hanging="452"/>
        <w:spacing w:after="0" w:line="253"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calculation assumes that there is a total of 80,515,396 shares of Class A common stock of the Company outstanding, which is the sum of (i) 36,597,985 shares of Class A common stock outstanding as of as of November 6, 2015, as reported in the Company’s Quarterly Report on Form 10-Q filed with the Securities and Exchange Commission (the “Commission”) on November 13, 2015, and (ii) 43,917,411 shares of Class A common stock that are issuable in exchange for the 43,917,411 Holding Units and corresponding shares of Class B common stock beneficially owned by TSG6 Management L.L.C.</w:t>
      </w:r>
    </w:p>
    <w:p>
      <w:pPr>
        <w:sectPr>
          <w:pgSz w:w="11900" w:h="16838" w:orient="portrait"/>
          <w:cols w:equalWidth="0" w:num="1">
            <w:col w:w="11440"/>
          </w:cols>
          <w:pgMar w:left="240" w:top="270" w:right="2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458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3500" w:type="dxa"/>
            <w:vAlign w:val="bottom"/>
          </w:tcPr>
          <w:p>
            <w:pPr>
              <w:ind w:left="1220"/>
              <w:spacing w:after="0"/>
              <w:rPr>
                <w:sz w:val="20"/>
                <w:szCs w:val="20"/>
                <w:color w:val="auto"/>
              </w:rPr>
            </w:pPr>
            <w:r>
              <w:rPr>
                <w:rFonts w:ascii="Arial" w:cs="Arial" w:eastAsia="Arial" w:hAnsi="Arial"/>
                <w:sz w:val="18"/>
                <w:szCs w:val="18"/>
                <w:b w:val="1"/>
                <w:bCs w:val="1"/>
                <w:color w:val="auto"/>
              </w:rPr>
              <w:t>13G</w:t>
            </w:r>
          </w:p>
        </w:tc>
        <w:tc>
          <w:tcPr>
            <w:tcW w:w="3360" w:type="dxa"/>
            <w:vAlign w:val="bottom"/>
          </w:tcPr>
          <w:p>
            <w:pPr>
              <w:ind w:left="1980"/>
              <w:spacing w:after="0"/>
              <w:rPr>
                <w:sz w:val="20"/>
                <w:szCs w:val="20"/>
                <w:color w:val="auto"/>
              </w:rPr>
            </w:pPr>
            <w:r>
              <w:rPr>
                <w:rFonts w:ascii="Arial" w:cs="Arial" w:eastAsia="Arial" w:hAnsi="Arial"/>
                <w:sz w:val="18"/>
                <w:szCs w:val="18"/>
                <w:color w:val="auto"/>
                <w:w w:val="85"/>
              </w:rPr>
              <w:t>Page 3 of 13 Pages</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60" w:type="dxa"/>
            <w:vAlign w:val="bottom"/>
            <w:tcBorders>
              <w:bottom w:val="single" w:sz="8" w:color="auto"/>
            </w:tcBorders>
          </w:tcPr>
          <w:p>
            <w:pPr>
              <w:spacing w:after="0"/>
              <w:rPr>
                <w:sz w:val="12"/>
                <w:szCs w:val="12"/>
                <w:color w:val="auto"/>
              </w:rPr>
            </w:pPr>
          </w:p>
        </w:tc>
        <w:tc>
          <w:tcPr>
            <w:tcW w:w="4000" w:type="dxa"/>
            <w:vAlign w:val="bottom"/>
            <w:tcBorders>
              <w:bottom w:val="single" w:sz="8" w:color="auto"/>
            </w:tcBorders>
          </w:tcPr>
          <w:p>
            <w:pPr>
              <w:spacing w:after="0"/>
              <w:rPr>
                <w:sz w:val="12"/>
                <w:szCs w:val="12"/>
                <w:color w:val="auto"/>
              </w:rPr>
            </w:pPr>
          </w:p>
        </w:tc>
        <w:tc>
          <w:tcPr>
            <w:tcW w:w="350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400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350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52400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52400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TSG6 AIV II-A, L.P.</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3"/>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0000" w:type="dxa"/>
            <w:vAlign w:val="bottom"/>
            <w:gridSpan w:val="2"/>
          </w:tcPr>
          <w:p>
            <w:pPr>
              <w:ind w:left="14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760" w:type="dxa"/>
            <w:vAlign w:val="bottom"/>
            <w:tcBorders>
              <w:bottom w:val="single" w:sz="8" w:color="auto"/>
            </w:tcBorders>
            <w:gridSpan w:val="3"/>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760" w:type="dxa"/>
            <w:vAlign w:val="bottom"/>
            <w:tcBorders>
              <w:bottom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rPr>
              <w:t>Delaware</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96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84"/>
        </w:trPr>
        <w:tc>
          <w:tcPr>
            <w:tcW w:w="1440" w:type="dxa"/>
            <w:vAlign w:val="bottom"/>
            <w:tcBorders>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48"/>
        </w:trPr>
        <w:tc>
          <w:tcPr>
            <w:tcW w:w="1440" w:type="dxa"/>
            <w:vAlign w:val="bottom"/>
            <w:tcBorders>
              <w:right w:val="single" w:sz="8" w:color="auto"/>
            </w:tcBorders>
            <w:gridSpan w:val="3"/>
            <w:vMerge w:val="continue"/>
          </w:tcPr>
          <w:p>
            <w:pPr>
              <w:spacing w:after="0"/>
              <w:rPr>
                <w:sz w:val="4"/>
                <w:szCs w:val="4"/>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6.</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2"/>
            <w:vMerge w:val="restart"/>
          </w:tcPr>
          <w:p>
            <w:pPr>
              <w:jc w:val="center"/>
              <w:ind w:right="163"/>
              <w:spacing w:after="0"/>
              <w:rPr>
                <w:sz w:val="20"/>
                <w:szCs w:val="20"/>
                <w:color w:val="auto"/>
              </w:rPr>
            </w:pPr>
            <w:r>
              <w:rPr>
                <w:rFonts w:ascii="Arial" w:cs="Arial" w:eastAsia="Arial" w:hAnsi="Arial"/>
                <w:sz w:val="18"/>
                <w:szCs w:val="18"/>
                <w:color w:val="auto"/>
                <w:w w:val="91"/>
              </w:rPr>
              <w:t>SHARES</w:t>
            </w:r>
          </w:p>
        </w:tc>
        <w:tc>
          <w:tcPr>
            <w:tcW w:w="320" w:type="dxa"/>
            <w:vAlign w:val="bottom"/>
            <w:tcBorders>
              <w:right w:val="single" w:sz="8" w:color="auto"/>
            </w:tcBorders>
            <w:vMerge w:val="continue"/>
          </w:tcPr>
          <w:p>
            <w:pPr>
              <w:spacing w:after="0"/>
              <w:rPr>
                <w:sz w:val="15"/>
                <w:szCs w:val="15"/>
                <w:color w:val="auto"/>
              </w:rPr>
            </w:pPr>
          </w:p>
        </w:tc>
        <w:tc>
          <w:tcPr>
            <w:tcW w:w="9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20" w:type="dxa"/>
            <w:vAlign w:val="bottom"/>
            <w:tcBorders>
              <w:right w:val="single" w:sz="8" w:color="auto"/>
            </w:tcBorders>
            <w:gridSpan w:val="2"/>
            <w:vMerge w:val="continue"/>
          </w:tcPr>
          <w:p>
            <w:pPr>
              <w:spacing w:after="0"/>
              <w:rPr>
                <w:sz w:val="3"/>
                <w:szCs w:val="3"/>
                <w:color w:val="auto"/>
              </w:rPr>
            </w:pPr>
          </w:p>
        </w:tc>
        <w:tc>
          <w:tcPr>
            <w:tcW w:w="320" w:type="dxa"/>
            <w:vAlign w:val="bottom"/>
            <w:tcBorders>
              <w:right w:val="single" w:sz="8" w:color="auto"/>
            </w:tcBorders>
          </w:tcPr>
          <w:p>
            <w:pPr>
              <w:spacing w:after="0"/>
              <w:rPr>
                <w:sz w:val="3"/>
                <w:szCs w:val="3"/>
                <w:color w:val="auto"/>
              </w:rPr>
            </w:pPr>
          </w:p>
        </w:tc>
        <w:tc>
          <w:tcPr>
            <w:tcW w:w="96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40" w:type="dxa"/>
            <w:vAlign w:val="bottom"/>
            <w:tcBorders>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spacing w:after="0"/>
              <w:rPr>
                <w:sz w:val="18"/>
                <w:szCs w:val="18"/>
                <w:color w:val="auto"/>
              </w:rPr>
            </w:pPr>
          </w:p>
        </w:tc>
        <w:tc>
          <w:tcPr>
            <w:tcW w:w="9680" w:type="dxa"/>
            <w:vAlign w:val="bottom"/>
            <w:vMerge w:val="restart"/>
          </w:tcPr>
          <w:p>
            <w:pPr>
              <w:ind w:left="100"/>
              <w:spacing w:after="0"/>
              <w:rPr>
                <w:sz w:val="20"/>
                <w:szCs w:val="20"/>
                <w:color w:val="auto"/>
              </w:rPr>
            </w:pPr>
            <w:r>
              <w:rPr>
                <w:rFonts w:ascii="Arial" w:cs="Arial" w:eastAsia="Arial" w:hAnsi="Arial"/>
                <w:sz w:val="22"/>
                <w:szCs w:val="22"/>
                <w:color w:val="auto"/>
              </w:rPr>
              <w:t>9,985,179</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9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2"/>
          </w:tcPr>
          <w:p>
            <w:pPr>
              <w:jc w:val="center"/>
              <w:ind w:right="163"/>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968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9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420" w:type="dxa"/>
            <w:vAlign w:val="bottom"/>
          </w:tcPr>
          <w:p>
            <w:pPr>
              <w:spacing w:after="0"/>
              <w:rPr>
                <w:sz w:val="20"/>
                <w:szCs w:val="20"/>
                <w:color w:val="auto"/>
              </w:rPr>
            </w:pPr>
          </w:p>
        </w:tc>
        <w:tc>
          <w:tcPr>
            <w:tcW w:w="1020" w:type="dxa"/>
            <w:vAlign w:val="bottom"/>
            <w:tcBorders>
              <w:right w:val="single" w:sz="8" w:color="auto"/>
            </w:tcBorders>
            <w:gridSpan w:val="2"/>
          </w:tcPr>
          <w:p>
            <w:pPr>
              <w:jc w:val="center"/>
              <w:ind w:right="163"/>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0"/>
                <w:szCs w:val="20"/>
                <w:color w:val="auto"/>
              </w:rPr>
            </w:pPr>
          </w:p>
        </w:tc>
        <w:tc>
          <w:tcPr>
            <w:tcW w:w="9680" w:type="dxa"/>
            <w:vAlign w:val="bottom"/>
          </w:tcPr>
          <w:p>
            <w:pPr>
              <w:ind w:left="100"/>
              <w:spacing w:after="0" w:line="232"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79"/>
        </w:trPr>
        <w:tc>
          <w:tcPr>
            <w:tcW w:w="420" w:type="dxa"/>
            <w:vAlign w:val="bottom"/>
          </w:tcPr>
          <w:p>
            <w:pPr>
              <w:spacing w:after="0"/>
              <w:rPr>
                <w:sz w:val="6"/>
                <w:szCs w:val="6"/>
                <w:color w:val="auto"/>
              </w:rPr>
            </w:pPr>
          </w:p>
        </w:tc>
        <w:tc>
          <w:tcPr>
            <w:tcW w:w="1020" w:type="dxa"/>
            <w:vAlign w:val="bottom"/>
            <w:tcBorders>
              <w:right w:val="single" w:sz="8" w:color="auto"/>
            </w:tcBorders>
            <w:gridSpan w:val="2"/>
            <w:vMerge w:val="restart"/>
          </w:tcPr>
          <w:p>
            <w:pPr>
              <w:jc w:val="center"/>
              <w:ind w:right="163"/>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6"/>
                <w:szCs w:val="6"/>
                <w:color w:val="auto"/>
              </w:rPr>
            </w:pPr>
          </w:p>
        </w:tc>
        <w:tc>
          <w:tcPr>
            <w:tcW w:w="9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420" w:type="dxa"/>
            <w:vAlign w:val="bottom"/>
          </w:tcPr>
          <w:p>
            <w:pPr>
              <w:spacing w:after="0"/>
              <w:rPr>
                <w:sz w:val="11"/>
                <w:szCs w:val="11"/>
                <w:color w:val="auto"/>
              </w:rPr>
            </w:pPr>
          </w:p>
        </w:tc>
        <w:tc>
          <w:tcPr>
            <w:tcW w:w="1020" w:type="dxa"/>
            <w:vAlign w:val="bottom"/>
            <w:tcBorders>
              <w:right w:val="single" w:sz="8" w:color="auto"/>
            </w:tcBorders>
            <w:gridSpan w:val="2"/>
            <w:vMerge w:val="continue"/>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3"/>
        </w:trPr>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96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9,985,179</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2"/>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w w:val="96"/>
              </w:rPr>
              <w:t>9,985,179</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3"/>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w w:val="99"/>
              </w:rPr>
              <w:t>27.3%</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PN</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70" w:right="219" w:bottom="1440" w:gutter="0" w:footer="0" w:header="0"/>
        </w:sectPr>
      </w:pPr>
    </w:p>
    <w:bookmarkStart w:id="3" w:name="page4"/>
    <w:bookmarkEnd w:id="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4"/>
        </w:trPr>
        <w:tc>
          <w:tcPr>
            <w:tcW w:w="458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3500" w:type="dxa"/>
            <w:vAlign w:val="bottom"/>
          </w:tcPr>
          <w:p>
            <w:pPr>
              <w:ind w:left="1220"/>
              <w:spacing w:after="0"/>
              <w:rPr>
                <w:sz w:val="20"/>
                <w:szCs w:val="20"/>
                <w:color w:val="auto"/>
              </w:rPr>
            </w:pPr>
            <w:r>
              <w:rPr>
                <w:rFonts w:ascii="Arial" w:cs="Arial" w:eastAsia="Arial" w:hAnsi="Arial"/>
                <w:sz w:val="18"/>
                <w:szCs w:val="18"/>
                <w:b w:val="1"/>
                <w:bCs w:val="1"/>
                <w:color w:val="auto"/>
              </w:rPr>
              <w:t>13G</w:t>
            </w:r>
          </w:p>
        </w:tc>
        <w:tc>
          <w:tcPr>
            <w:tcW w:w="3360" w:type="dxa"/>
            <w:vAlign w:val="bottom"/>
          </w:tcPr>
          <w:p>
            <w:pPr>
              <w:ind w:left="1980"/>
              <w:spacing w:after="0"/>
              <w:rPr>
                <w:sz w:val="20"/>
                <w:szCs w:val="20"/>
                <w:color w:val="auto"/>
              </w:rPr>
            </w:pPr>
            <w:r>
              <w:rPr>
                <w:rFonts w:ascii="Arial" w:cs="Arial" w:eastAsia="Arial" w:hAnsi="Arial"/>
                <w:sz w:val="18"/>
                <w:szCs w:val="18"/>
                <w:color w:val="auto"/>
                <w:w w:val="85"/>
              </w:rPr>
              <w:t>Page 4 of 13 Pages</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60" w:type="dxa"/>
            <w:vAlign w:val="bottom"/>
            <w:tcBorders>
              <w:bottom w:val="single" w:sz="8" w:color="auto"/>
            </w:tcBorders>
          </w:tcPr>
          <w:p>
            <w:pPr>
              <w:spacing w:after="0"/>
              <w:rPr>
                <w:sz w:val="12"/>
                <w:szCs w:val="12"/>
                <w:color w:val="auto"/>
              </w:rPr>
            </w:pPr>
          </w:p>
        </w:tc>
        <w:tc>
          <w:tcPr>
            <w:tcW w:w="4000" w:type="dxa"/>
            <w:vAlign w:val="bottom"/>
            <w:tcBorders>
              <w:bottom w:val="single" w:sz="8" w:color="auto"/>
            </w:tcBorders>
          </w:tcPr>
          <w:p>
            <w:pPr>
              <w:spacing w:after="0"/>
              <w:rPr>
                <w:sz w:val="12"/>
                <w:szCs w:val="12"/>
                <w:color w:val="auto"/>
              </w:rPr>
            </w:pPr>
          </w:p>
        </w:tc>
        <w:tc>
          <w:tcPr>
            <w:tcW w:w="350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400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350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52400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52400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TSG6 PF Co-Investors A, L.P.</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3"/>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0000" w:type="dxa"/>
            <w:vAlign w:val="bottom"/>
            <w:gridSpan w:val="2"/>
          </w:tcPr>
          <w:p>
            <w:pPr>
              <w:ind w:left="14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760" w:type="dxa"/>
            <w:vAlign w:val="bottom"/>
            <w:tcBorders>
              <w:bottom w:val="single" w:sz="8" w:color="auto"/>
            </w:tcBorders>
            <w:gridSpan w:val="3"/>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760" w:type="dxa"/>
            <w:vAlign w:val="bottom"/>
            <w:tcBorders>
              <w:bottom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rPr>
              <w:t>Delaware</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96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84"/>
        </w:trPr>
        <w:tc>
          <w:tcPr>
            <w:tcW w:w="1440" w:type="dxa"/>
            <w:vAlign w:val="bottom"/>
            <w:tcBorders>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48"/>
        </w:trPr>
        <w:tc>
          <w:tcPr>
            <w:tcW w:w="1440" w:type="dxa"/>
            <w:vAlign w:val="bottom"/>
            <w:tcBorders>
              <w:right w:val="single" w:sz="8" w:color="auto"/>
            </w:tcBorders>
            <w:gridSpan w:val="3"/>
            <w:vMerge w:val="continue"/>
          </w:tcPr>
          <w:p>
            <w:pPr>
              <w:spacing w:after="0"/>
              <w:rPr>
                <w:sz w:val="4"/>
                <w:szCs w:val="4"/>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6.</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2"/>
            <w:vMerge w:val="restart"/>
          </w:tcPr>
          <w:p>
            <w:pPr>
              <w:jc w:val="center"/>
              <w:ind w:right="163"/>
              <w:spacing w:after="0"/>
              <w:rPr>
                <w:sz w:val="20"/>
                <w:szCs w:val="20"/>
                <w:color w:val="auto"/>
              </w:rPr>
            </w:pPr>
            <w:r>
              <w:rPr>
                <w:rFonts w:ascii="Arial" w:cs="Arial" w:eastAsia="Arial" w:hAnsi="Arial"/>
                <w:sz w:val="18"/>
                <w:szCs w:val="18"/>
                <w:color w:val="auto"/>
                <w:w w:val="91"/>
              </w:rPr>
              <w:t>SHARES</w:t>
            </w:r>
          </w:p>
        </w:tc>
        <w:tc>
          <w:tcPr>
            <w:tcW w:w="320" w:type="dxa"/>
            <w:vAlign w:val="bottom"/>
            <w:tcBorders>
              <w:right w:val="single" w:sz="8" w:color="auto"/>
            </w:tcBorders>
            <w:vMerge w:val="continue"/>
          </w:tcPr>
          <w:p>
            <w:pPr>
              <w:spacing w:after="0"/>
              <w:rPr>
                <w:sz w:val="15"/>
                <w:szCs w:val="15"/>
                <w:color w:val="auto"/>
              </w:rPr>
            </w:pPr>
          </w:p>
        </w:tc>
        <w:tc>
          <w:tcPr>
            <w:tcW w:w="9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20" w:type="dxa"/>
            <w:vAlign w:val="bottom"/>
            <w:tcBorders>
              <w:right w:val="single" w:sz="8" w:color="auto"/>
            </w:tcBorders>
            <w:gridSpan w:val="2"/>
            <w:vMerge w:val="continue"/>
          </w:tcPr>
          <w:p>
            <w:pPr>
              <w:spacing w:after="0"/>
              <w:rPr>
                <w:sz w:val="3"/>
                <w:szCs w:val="3"/>
                <w:color w:val="auto"/>
              </w:rPr>
            </w:pPr>
          </w:p>
        </w:tc>
        <w:tc>
          <w:tcPr>
            <w:tcW w:w="320" w:type="dxa"/>
            <w:vAlign w:val="bottom"/>
            <w:tcBorders>
              <w:right w:val="single" w:sz="8" w:color="auto"/>
            </w:tcBorders>
          </w:tcPr>
          <w:p>
            <w:pPr>
              <w:spacing w:after="0"/>
              <w:rPr>
                <w:sz w:val="3"/>
                <w:szCs w:val="3"/>
                <w:color w:val="auto"/>
              </w:rPr>
            </w:pPr>
          </w:p>
        </w:tc>
        <w:tc>
          <w:tcPr>
            <w:tcW w:w="96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40" w:type="dxa"/>
            <w:vAlign w:val="bottom"/>
            <w:tcBorders>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spacing w:after="0"/>
              <w:rPr>
                <w:sz w:val="18"/>
                <w:szCs w:val="18"/>
                <w:color w:val="auto"/>
              </w:rPr>
            </w:pPr>
          </w:p>
        </w:tc>
        <w:tc>
          <w:tcPr>
            <w:tcW w:w="9680" w:type="dxa"/>
            <w:vAlign w:val="bottom"/>
            <w:vMerge w:val="restart"/>
          </w:tcPr>
          <w:p>
            <w:pPr>
              <w:ind w:left="100"/>
              <w:spacing w:after="0"/>
              <w:rPr>
                <w:sz w:val="20"/>
                <w:szCs w:val="20"/>
                <w:color w:val="auto"/>
              </w:rPr>
            </w:pPr>
            <w:r>
              <w:rPr>
                <w:rFonts w:ascii="Arial" w:cs="Arial" w:eastAsia="Arial" w:hAnsi="Arial"/>
                <w:sz w:val="22"/>
                <w:szCs w:val="22"/>
                <w:color w:val="auto"/>
              </w:rPr>
              <w:t>11,087,806</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9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2"/>
          </w:tcPr>
          <w:p>
            <w:pPr>
              <w:jc w:val="center"/>
              <w:ind w:right="163"/>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968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9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420" w:type="dxa"/>
            <w:vAlign w:val="bottom"/>
          </w:tcPr>
          <w:p>
            <w:pPr>
              <w:spacing w:after="0"/>
              <w:rPr>
                <w:sz w:val="20"/>
                <w:szCs w:val="20"/>
                <w:color w:val="auto"/>
              </w:rPr>
            </w:pPr>
          </w:p>
        </w:tc>
        <w:tc>
          <w:tcPr>
            <w:tcW w:w="1020" w:type="dxa"/>
            <w:vAlign w:val="bottom"/>
            <w:tcBorders>
              <w:right w:val="single" w:sz="8" w:color="auto"/>
            </w:tcBorders>
            <w:gridSpan w:val="2"/>
          </w:tcPr>
          <w:p>
            <w:pPr>
              <w:jc w:val="center"/>
              <w:ind w:right="163"/>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0"/>
                <w:szCs w:val="20"/>
                <w:color w:val="auto"/>
              </w:rPr>
            </w:pPr>
          </w:p>
        </w:tc>
        <w:tc>
          <w:tcPr>
            <w:tcW w:w="9680" w:type="dxa"/>
            <w:vAlign w:val="bottom"/>
          </w:tcPr>
          <w:p>
            <w:pPr>
              <w:ind w:left="100"/>
              <w:spacing w:after="0" w:line="232"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79"/>
        </w:trPr>
        <w:tc>
          <w:tcPr>
            <w:tcW w:w="420" w:type="dxa"/>
            <w:vAlign w:val="bottom"/>
          </w:tcPr>
          <w:p>
            <w:pPr>
              <w:spacing w:after="0"/>
              <w:rPr>
                <w:sz w:val="6"/>
                <w:szCs w:val="6"/>
                <w:color w:val="auto"/>
              </w:rPr>
            </w:pPr>
          </w:p>
        </w:tc>
        <w:tc>
          <w:tcPr>
            <w:tcW w:w="1020" w:type="dxa"/>
            <w:vAlign w:val="bottom"/>
            <w:tcBorders>
              <w:right w:val="single" w:sz="8" w:color="auto"/>
            </w:tcBorders>
            <w:gridSpan w:val="2"/>
            <w:vMerge w:val="restart"/>
          </w:tcPr>
          <w:p>
            <w:pPr>
              <w:jc w:val="center"/>
              <w:ind w:right="163"/>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6"/>
                <w:szCs w:val="6"/>
                <w:color w:val="auto"/>
              </w:rPr>
            </w:pPr>
          </w:p>
        </w:tc>
        <w:tc>
          <w:tcPr>
            <w:tcW w:w="9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420" w:type="dxa"/>
            <w:vAlign w:val="bottom"/>
          </w:tcPr>
          <w:p>
            <w:pPr>
              <w:spacing w:after="0"/>
              <w:rPr>
                <w:sz w:val="11"/>
                <w:szCs w:val="11"/>
                <w:color w:val="auto"/>
              </w:rPr>
            </w:pPr>
          </w:p>
        </w:tc>
        <w:tc>
          <w:tcPr>
            <w:tcW w:w="1020" w:type="dxa"/>
            <w:vAlign w:val="bottom"/>
            <w:tcBorders>
              <w:right w:val="single" w:sz="8" w:color="auto"/>
            </w:tcBorders>
            <w:gridSpan w:val="2"/>
            <w:vMerge w:val="continue"/>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3"/>
        </w:trPr>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96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11,087,806</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2"/>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w w:val="85"/>
              </w:rPr>
              <w:t>11,087,806</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3"/>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w w:val="99"/>
              </w:rPr>
              <w:t>30.3%</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3"/>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PN</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270" w:right="219" w:bottom="1440" w:gutter="0" w:footer="0" w:header="0"/>
        </w:sectPr>
      </w:pPr>
    </w:p>
    <w:bookmarkStart w:id="4" w:name="page5"/>
    <w:bookmarkEnd w:id="4"/>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4"/>
        </w:trPr>
        <w:tc>
          <w:tcPr>
            <w:tcW w:w="458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3500" w:type="dxa"/>
            <w:vAlign w:val="bottom"/>
          </w:tcPr>
          <w:p>
            <w:pPr>
              <w:ind w:left="1220"/>
              <w:spacing w:after="0"/>
              <w:rPr>
                <w:sz w:val="20"/>
                <w:szCs w:val="20"/>
                <w:color w:val="auto"/>
              </w:rPr>
            </w:pPr>
            <w:r>
              <w:rPr>
                <w:rFonts w:ascii="Arial" w:cs="Arial" w:eastAsia="Arial" w:hAnsi="Arial"/>
                <w:sz w:val="18"/>
                <w:szCs w:val="18"/>
                <w:b w:val="1"/>
                <w:bCs w:val="1"/>
                <w:color w:val="auto"/>
              </w:rPr>
              <w:t>13G</w:t>
            </w:r>
          </w:p>
        </w:tc>
        <w:tc>
          <w:tcPr>
            <w:tcW w:w="3360" w:type="dxa"/>
            <w:vAlign w:val="bottom"/>
          </w:tcPr>
          <w:p>
            <w:pPr>
              <w:ind w:left="1980"/>
              <w:spacing w:after="0"/>
              <w:rPr>
                <w:sz w:val="20"/>
                <w:szCs w:val="20"/>
                <w:color w:val="auto"/>
              </w:rPr>
            </w:pPr>
            <w:r>
              <w:rPr>
                <w:rFonts w:ascii="Arial" w:cs="Arial" w:eastAsia="Arial" w:hAnsi="Arial"/>
                <w:sz w:val="18"/>
                <w:szCs w:val="18"/>
                <w:color w:val="auto"/>
                <w:w w:val="85"/>
              </w:rPr>
              <w:t>Page 5 of 13 Pages</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60" w:type="dxa"/>
            <w:vAlign w:val="bottom"/>
            <w:tcBorders>
              <w:bottom w:val="single" w:sz="8" w:color="auto"/>
            </w:tcBorders>
          </w:tcPr>
          <w:p>
            <w:pPr>
              <w:spacing w:after="0"/>
              <w:rPr>
                <w:sz w:val="12"/>
                <w:szCs w:val="12"/>
                <w:color w:val="auto"/>
              </w:rPr>
            </w:pPr>
          </w:p>
        </w:tc>
        <w:tc>
          <w:tcPr>
            <w:tcW w:w="4000" w:type="dxa"/>
            <w:vAlign w:val="bottom"/>
            <w:tcBorders>
              <w:bottom w:val="single" w:sz="8" w:color="auto"/>
            </w:tcBorders>
          </w:tcPr>
          <w:p>
            <w:pPr>
              <w:spacing w:after="0"/>
              <w:rPr>
                <w:sz w:val="12"/>
                <w:szCs w:val="12"/>
                <w:color w:val="auto"/>
              </w:rPr>
            </w:pPr>
          </w:p>
        </w:tc>
        <w:tc>
          <w:tcPr>
            <w:tcW w:w="350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400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350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52400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52400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TSG6 AIV II L.P.</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4"/>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0000" w:type="dxa"/>
            <w:vAlign w:val="bottom"/>
            <w:gridSpan w:val="2"/>
          </w:tcPr>
          <w:p>
            <w:pPr>
              <w:ind w:left="14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280" w:type="dxa"/>
            <w:vAlign w:val="bottom"/>
            <w:tcBorders>
              <w:bottom w:val="single" w:sz="8" w:color="auto"/>
            </w:tcBorders>
            <w:gridSpan w:val="3"/>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0280" w:type="dxa"/>
            <w:vAlign w:val="bottom"/>
            <w:tcBorders>
              <w:bottom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Delaware</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96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82"/>
        </w:trPr>
        <w:tc>
          <w:tcPr>
            <w:tcW w:w="1440" w:type="dxa"/>
            <w:vAlign w:val="bottom"/>
            <w:tcBorders>
              <w:right w:val="single" w:sz="8" w:color="auto"/>
            </w:tcBorders>
            <w:gridSpan w:val="4"/>
            <w:vMerge w:val="restart"/>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440" w:type="dxa"/>
            <w:vAlign w:val="bottom"/>
            <w:tcBorders>
              <w:right w:val="single" w:sz="8" w:color="auto"/>
            </w:tcBorders>
            <w:gridSpan w:val="4"/>
            <w:vMerge w:val="continue"/>
          </w:tcPr>
          <w:p>
            <w:pPr>
              <w:spacing w:after="0"/>
              <w:rPr>
                <w:sz w:val="4"/>
                <w:szCs w:val="4"/>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6.</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w w:val="91"/>
              </w:rPr>
              <w:t>SHARES</w:t>
            </w:r>
          </w:p>
        </w:tc>
        <w:tc>
          <w:tcPr>
            <w:tcW w:w="320" w:type="dxa"/>
            <w:vAlign w:val="bottom"/>
            <w:tcBorders>
              <w:right w:val="single" w:sz="8" w:color="auto"/>
            </w:tcBorders>
            <w:vMerge w:val="continue"/>
          </w:tcPr>
          <w:p>
            <w:pPr>
              <w:spacing w:after="0"/>
              <w:rPr>
                <w:sz w:val="15"/>
                <w:szCs w:val="15"/>
                <w:color w:val="auto"/>
              </w:rPr>
            </w:pPr>
          </w:p>
        </w:tc>
        <w:tc>
          <w:tcPr>
            <w:tcW w:w="9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20" w:type="dxa"/>
            <w:vAlign w:val="bottom"/>
            <w:tcBorders>
              <w:right w:val="single" w:sz="8" w:color="auto"/>
            </w:tcBorders>
            <w:gridSpan w:val="3"/>
            <w:vMerge w:val="continue"/>
          </w:tcPr>
          <w:p>
            <w:pPr>
              <w:spacing w:after="0"/>
              <w:rPr>
                <w:sz w:val="3"/>
                <w:szCs w:val="3"/>
                <w:color w:val="auto"/>
              </w:rPr>
            </w:pPr>
          </w:p>
        </w:tc>
        <w:tc>
          <w:tcPr>
            <w:tcW w:w="320" w:type="dxa"/>
            <w:vAlign w:val="bottom"/>
            <w:tcBorders>
              <w:right w:val="single" w:sz="8" w:color="auto"/>
            </w:tcBorders>
          </w:tcPr>
          <w:p>
            <w:pPr>
              <w:spacing w:after="0"/>
              <w:rPr>
                <w:sz w:val="3"/>
                <w:szCs w:val="3"/>
                <w:color w:val="auto"/>
              </w:rPr>
            </w:pPr>
          </w:p>
        </w:tc>
        <w:tc>
          <w:tcPr>
            <w:tcW w:w="96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40" w:type="dxa"/>
            <w:vAlign w:val="bottom"/>
            <w:tcBorders>
              <w:right w:val="single" w:sz="8" w:color="auto"/>
            </w:tcBorders>
            <w:gridSpan w:val="4"/>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spacing w:after="0"/>
              <w:rPr>
                <w:sz w:val="18"/>
                <w:szCs w:val="18"/>
                <w:color w:val="auto"/>
              </w:rPr>
            </w:pPr>
          </w:p>
        </w:tc>
        <w:tc>
          <w:tcPr>
            <w:tcW w:w="9680" w:type="dxa"/>
            <w:vAlign w:val="bottom"/>
            <w:vMerge w:val="restart"/>
          </w:tcPr>
          <w:p>
            <w:pPr>
              <w:ind w:left="100"/>
              <w:spacing w:after="0"/>
              <w:rPr>
                <w:sz w:val="20"/>
                <w:szCs w:val="20"/>
                <w:color w:val="auto"/>
              </w:rPr>
            </w:pPr>
            <w:r>
              <w:rPr>
                <w:rFonts w:ascii="Arial" w:cs="Arial" w:eastAsia="Arial" w:hAnsi="Arial"/>
                <w:sz w:val="22"/>
                <w:szCs w:val="22"/>
                <w:color w:val="auto"/>
              </w:rPr>
              <w:t>43,917,411(a)</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9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968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9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420" w:type="dxa"/>
            <w:vAlign w:val="bottom"/>
          </w:tcPr>
          <w:p>
            <w:pPr>
              <w:spacing w:after="0"/>
              <w:rPr>
                <w:sz w:val="20"/>
                <w:szCs w:val="20"/>
                <w:color w:val="auto"/>
              </w:rPr>
            </w:pPr>
          </w:p>
        </w:tc>
        <w:tc>
          <w:tcPr>
            <w:tcW w:w="1020" w:type="dxa"/>
            <w:vAlign w:val="bottom"/>
            <w:tcBorders>
              <w:right w:val="single" w:sz="8" w:color="auto"/>
            </w:tcBorders>
            <w:gridSpan w:val="3"/>
          </w:tcPr>
          <w:p>
            <w:pPr>
              <w:jc w:val="center"/>
              <w:ind w:right="260"/>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0"/>
                <w:szCs w:val="20"/>
                <w:color w:val="auto"/>
              </w:rPr>
            </w:pPr>
          </w:p>
        </w:tc>
        <w:tc>
          <w:tcPr>
            <w:tcW w:w="9680" w:type="dxa"/>
            <w:vAlign w:val="bottom"/>
          </w:tcPr>
          <w:p>
            <w:pPr>
              <w:ind w:left="100"/>
              <w:spacing w:after="0" w:line="232"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79"/>
        </w:trPr>
        <w:tc>
          <w:tcPr>
            <w:tcW w:w="420" w:type="dxa"/>
            <w:vAlign w:val="bottom"/>
          </w:tcPr>
          <w:p>
            <w:pPr>
              <w:spacing w:after="0"/>
              <w:rPr>
                <w:sz w:val="6"/>
                <w:szCs w:val="6"/>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6"/>
                <w:szCs w:val="6"/>
                <w:color w:val="auto"/>
              </w:rPr>
            </w:pPr>
          </w:p>
        </w:tc>
        <w:tc>
          <w:tcPr>
            <w:tcW w:w="9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420" w:type="dxa"/>
            <w:vAlign w:val="bottom"/>
          </w:tcPr>
          <w:p>
            <w:pPr>
              <w:spacing w:after="0"/>
              <w:rPr>
                <w:sz w:val="11"/>
                <w:szCs w:val="11"/>
                <w:color w:val="auto"/>
              </w:rPr>
            </w:pPr>
          </w:p>
        </w:tc>
        <w:tc>
          <w:tcPr>
            <w:tcW w:w="1020" w:type="dxa"/>
            <w:vAlign w:val="bottom"/>
            <w:tcBorders>
              <w:right w:val="single" w:sz="8" w:color="auto"/>
            </w:tcBorders>
            <w:gridSpan w:val="3"/>
            <w:vMerge w:val="continue"/>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3"/>
        </w:trPr>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96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43,917,411(a)</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3"/>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43,917,441(a)</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4"/>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54.5%(b)</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rPr>
              <w:t>PN</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6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right="80" w:hanging="452"/>
        <w:spacing w:after="0" w:line="269" w:lineRule="auto"/>
        <w:tabs>
          <w:tab w:leader="none" w:pos="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Represents Holding Units and an equal number of shares of Class B common stock of the Company. Pursuant to the terms of the Exchange Agreement dated as of August 5, 2015, by and among the Company, Pla-Fit Holdings, LLC and the holders from time to time of Holding Units and shares of Class B common stock, each Holding Unit of Pla-Fit Holdings, LLC is convertible (along with an equal number of its shares of Class B common stock) for shares of Class A common stock of the Company on a one-to-one basis and has no expiration date.</w:t>
      </w:r>
    </w:p>
    <w:p>
      <w:pPr>
        <w:spacing w:after="0" w:line="2" w:lineRule="exact"/>
        <w:rPr>
          <w:rFonts w:ascii="Arial" w:cs="Arial" w:eastAsia="Arial" w:hAnsi="Arial"/>
          <w:sz w:val="17"/>
          <w:szCs w:val="17"/>
          <w:color w:val="auto"/>
        </w:rPr>
      </w:pPr>
    </w:p>
    <w:p>
      <w:pPr>
        <w:ind w:left="460" w:right="20" w:hanging="452"/>
        <w:spacing w:after="0" w:line="273" w:lineRule="auto"/>
        <w:tabs>
          <w:tab w:leader="none" w:pos="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calculation assumes that there is a total of 80,515,396 shares of Class A common stock of the Company outstanding, which is the sum of (i) 36,597,985 shares of Class A common stock outstanding as of as of November 6, 2015, as reported in the Company’s Quarterly Report on Form 10-Q filed with the Commission on November 13, 2015, and (ii) 43,917,411 shares of Class A common stock that are issuable in exchange for the 43,917,411 Holding Units and corresponding shares of Class B common stock beneficially owned by TSG6 AIV II L.P.</w:t>
      </w:r>
    </w:p>
    <w:p>
      <w:pPr>
        <w:sectPr>
          <w:pgSz w:w="11900" w:h="16838" w:orient="portrait"/>
          <w:cols w:equalWidth="0" w:num="1">
            <w:col w:w="11440"/>
          </w:cols>
          <w:pgMar w:left="240" w:top="270" w:right="21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4"/>
        </w:trPr>
        <w:tc>
          <w:tcPr>
            <w:tcW w:w="458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3500" w:type="dxa"/>
            <w:vAlign w:val="bottom"/>
          </w:tcPr>
          <w:p>
            <w:pPr>
              <w:ind w:left="1220"/>
              <w:spacing w:after="0"/>
              <w:rPr>
                <w:sz w:val="20"/>
                <w:szCs w:val="20"/>
                <w:color w:val="auto"/>
              </w:rPr>
            </w:pPr>
            <w:r>
              <w:rPr>
                <w:rFonts w:ascii="Arial" w:cs="Arial" w:eastAsia="Arial" w:hAnsi="Arial"/>
                <w:sz w:val="18"/>
                <w:szCs w:val="18"/>
                <w:b w:val="1"/>
                <w:bCs w:val="1"/>
                <w:color w:val="auto"/>
              </w:rPr>
              <w:t>13G</w:t>
            </w:r>
          </w:p>
        </w:tc>
        <w:tc>
          <w:tcPr>
            <w:tcW w:w="3360" w:type="dxa"/>
            <w:vAlign w:val="bottom"/>
          </w:tcPr>
          <w:p>
            <w:pPr>
              <w:ind w:left="1980"/>
              <w:spacing w:after="0"/>
              <w:rPr>
                <w:sz w:val="20"/>
                <w:szCs w:val="20"/>
                <w:color w:val="auto"/>
              </w:rPr>
            </w:pPr>
            <w:r>
              <w:rPr>
                <w:rFonts w:ascii="Arial" w:cs="Arial" w:eastAsia="Arial" w:hAnsi="Arial"/>
                <w:sz w:val="18"/>
                <w:szCs w:val="18"/>
                <w:color w:val="auto"/>
                <w:w w:val="85"/>
              </w:rPr>
              <w:t>Page 6 of 13 Pages</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60" w:type="dxa"/>
            <w:vAlign w:val="bottom"/>
            <w:tcBorders>
              <w:bottom w:val="single" w:sz="8" w:color="auto"/>
            </w:tcBorders>
          </w:tcPr>
          <w:p>
            <w:pPr>
              <w:spacing w:after="0"/>
              <w:rPr>
                <w:sz w:val="12"/>
                <w:szCs w:val="12"/>
                <w:color w:val="auto"/>
              </w:rPr>
            </w:pPr>
          </w:p>
        </w:tc>
        <w:tc>
          <w:tcPr>
            <w:tcW w:w="4000" w:type="dxa"/>
            <w:vAlign w:val="bottom"/>
            <w:tcBorders>
              <w:bottom w:val="single" w:sz="8" w:color="auto"/>
            </w:tcBorders>
          </w:tcPr>
          <w:p>
            <w:pPr>
              <w:spacing w:after="0"/>
              <w:rPr>
                <w:sz w:val="12"/>
                <w:szCs w:val="12"/>
                <w:color w:val="auto"/>
              </w:rPr>
            </w:pPr>
          </w:p>
        </w:tc>
        <w:tc>
          <w:tcPr>
            <w:tcW w:w="350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400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350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52400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52400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TSG PF Investment LLC</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4"/>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0000" w:type="dxa"/>
            <w:vAlign w:val="bottom"/>
            <w:gridSpan w:val="2"/>
          </w:tcPr>
          <w:p>
            <w:pPr>
              <w:ind w:left="14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280" w:type="dxa"/>
            <w:vAlign w:val="bottom"/>
            <w:tcBorders>
              <w:bottom w:val="single" w:sz="8" w:color="auto"/>
            </w:tcBorders>
            <w:gridSpan w:val="3"/>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0280" w:type="dxa"/>
            <w:vAlign w:val="bottom"/>
            <w:tcBorders>
              <w:bottom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Delaware</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96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82"/>
        </w:trPr>
        <w:tc>
          <w:tcPr>
            <w:tcW w:w="1440" w:type="dxa"/>
            <w:vAlign w:val="bottom"/>
            <w:tcBorders>
              <w:right w:val="single" w:sz="8" w:color="auto"/>
            </w:tcBorders>
            <w:gridSpan w:val="4"/>
            <w:vMerge w:val="restart"/>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440" w:type="dxa"/>
            <w:vAlign w:val="bottom"/>
            <w:tcBorders>
              <w:right w:val="single" w:sz="8" w:color="auto"/>
            </w:tcBorders>
            <w:gridSpan w:val="4"/>
            <w:vMerge w:val="continue"/>
          </w:tcPr>
          <w:p>
            <w:pPr>
              <w:spacing w:after="0"/>
              <w:rPr>
                <w:sz w:val="4"/>
                <w:szCs w:val="4"/>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6.</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w w:val="91"/>
              </w:rPr>
              <w:t>SHARES</w:t>
            </w:r>
          </w:p>
        </w:tc>
        <w:tc>
          <w:tcPr>
            <w:tcW w:w="320" w:type="dxa"/>
            <w:vAlign w:val="bottom"/>
            <w:tcBorders>
              <w:right w:val="single" w:sz="8" w:color="auto"/>
            </w:tcBorders>
            <w:vMerge w:val="continue"/>
          </w:tcPr>
          <w:p>
            <w:pPr>
              <w:spacing w:after="0"/>
              <w:rPr>
                <w:sz w:val="15"/>
                <w:szCs w:val="15"/>
                <w:color w:val="auto"/>
              </w:rPr>
            </w:pPr>
          </w:p>
        </w:tc>
        <w:tc>
          <w:tcPr>
            <w:tcW w:w="9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20" w:type="dxa"/>
            <w:vAlign w:val="bottom"/>
            <w:tcBorders>
              <w:right w:val="single" w:sz="8" w:color="auto"/>
            </w:tcBorders>
            <w:gridSpan w:val="3"/>
            <w:vMerge w:val="continue"/>
          </w:tcPr>
          <w:p>
            <w:pPr>
              <w:spacing w:after="0"/>
              <w:rPr>
                <w:sz w:val="3"/>
                <w:szCs w:val="3"/>
                <w:color w:val="auto"/>
              </w:rPr>
            </w:pPr>
          </w:p>
        </w:tc>
        <w:tc>
          <w:tcPr>
            <w:tcW w:w="320" w:type="dxa"/>
            <w:vAlign w:val="bottom"/>
            <w:tcBorders>
              <w:right w:val="single" w:sz="8" w:color="auto"/>
            </w:tcBorders>
          </w:tcPr>
          <w:p>
            <w:pPr>
              <w:spacing w:after="0"/>
              <w:rPr>
                <w:sz w:val="3"/>
                <w:szCs w:val="3"/>
                <w:color w:val="auto"/>
              </w:rPr>
            </w:pPr>
          </w:p>
        </w:tc>
        <w:tc>
          <w:tcPr>
            <w:tcW w:w="96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40" w:type="dxa"/>
            <w:vAlign w:val="bottom"/>
            <w:tcBorders>
              <w:right w:val="single" w:sz="8" w:color="auto"/>
            </w:tcBorders>
            <w:gridSpan w:val="4"/>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spacing w:after="0"/>
              <w:rPr>
                <w:sz w:val="18"/>
                <w:szCs w:val="18"/>
                <w:color w:val="auto"/>
              </w:rPr>
            </w:pPr>
          </w:p>
        </w:tc>
        <w:tc>
          <w:tcPr>
            <w:tcW w:w="9680" w:type="dxa"/>
            <w:vAlign w:val="bottom"/>
            <w:vMerge w:val="restart"/>
          </w:tcPr>
          <w:p>
            <w:pPr>
              <w:ind w:left="100"/>
              <w:spacing w:after="0"/>
              <w:rPr>
                <w:sz w:val="20"/>
                <w:szCs w:val="20"/>
                <w:color w:val="auto"/>
              </w:rPr>
            </w:pPr>
            <w:r>
              <w:rPr>
                <w:rFonts w:ascii="Arial" w:cs="Arial" w:eastAsia="Arial" w:hAnsi="Arial"/>
                <w:sz w:val="22"/>
                <w:szCs w:val="22"/>
                <w:color w:val="auto"/>
              </w:rPr>
              <w:t>37,858,904 (a)</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9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968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9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420" w:type="dxa"/>
            <w:vAlign w:val="bottom"/>
          </w:tcPr>
          <w:p>
            <w:pPr>
              <w:spacing w:after="0"/>
              <w:rPr>
                <w:sz w:val="20"/>
                <w:szCs w:val="20"/>
                <w:color w:val="auto"/>
              </w:rPr>
            </w:pPr>
          </w:p>
        </w:tc>
        <w:tc>
          <w:tcPr>
            <w:tcW w:w="1020" w:type="dxa"/>
            <w:vAlign w:val="bottom"/>
            <w:tcBorders>
              <w:right w:val="single" w:sz="8" w:color="auto"/>
            </w:tcBorders>
            <w:gridSpan w:val="3"/>
          </w:tcPr>
          <w:p>
            <w:pPr>
              <w:jc w:val="center"/>
              <w:ind w:right="260"/>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0"/>
                <w:szCs w:val="20"/>
                <w:color w:val="auto"/>
              </w:rPr>
            </w:pPr>
          </w:p>
        </w:tc>
        <w:tc>
          <w:tcPr>
            <w:tcW w:w="9680" w:type="dxa"/>
            <w:vAlign w:val="bottom"/>
          </w:tcPr>
          <w:p>
            <w:pPr>
              <w:ind w:left="100"/>
              <w:spacing w:after="0" w:line="232"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79"/>
        </w:trPr>
        <w:tc>
          <w:tcPr>
            <w:tcW w:w="420" w:type="dxa"/>
            <w:vAlign w:val="bottom"/>
          </w:tcPr>
          <w:p>
            <w:pPr>
              <w:spacing w:after="0"/>
              <w:rPr>
                <w:sz w:val="6"/>
                <w:szCs w:val="6"/>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6"/>
                <w:szCs w:val="6"/>
                <w:color w:val="auto"/>
              </w:rPr>
            </w:pPr>
          </w:p>
        </w:tc>
        <w:tc>
          <w:tcPr>
            <w:tcW w:w="9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420" w:type="dxa"/>
            <w:vAlign w:val="bottom"/>
          </w:tcPr>
          <w:p>
            <w:pPr>
              <w:spacing w:after="0"/>
              <w:rPr>
                <w:sz w:val="11"/>
                <w:szCs w:val="11"/>
                <w:color w:val="auto"/>
              </w:rPr>
            </w:pPr>
          </w:p>
        </w:tc>
        <w:tc>
          <w:tcPr>
            <w:tcW w:w="1020" w:type="dxa"/>
            <w:vAlign w:val="bottom"/>
            <w:tcBorders>
              <w:right w:val="single" w:sz="8" w:color="auto"/>
            </w:tcBorders>
            <w:gridSpan w:val="3"/>
            <w:vMerge w:val="continue"/>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3"/>
        </w:trPr>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96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37,858,904 (a)</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3"/>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37,858,904 (a)</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4"/>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50.8%(b)</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rPr>
              <w:t>OO</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6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right="80" w:hanging="452"/>
        <w:spacing w:after="0" w:line="269" w:lineRule="auto"/>
        <w:tabs>
          <w:tab w:leader="none" w:pos="460" w:val="left"/>
        </w:tabs>
        <w:numPr>
          <w:ilvl w:val="0"/>
          <w:numId w:val="5"/>
        </w:numPr>
        <w:rPr>
          <w:rFonts w:ascii="Arial" w:cs="Arial" w:eastAsia="Arial" w:hAnsi="Arial"/>
          <w:sz w:val="17"/>
          <w:szCs w:val="17"/>
          <w:color w:val="auto"/>
        </w:rPr>
      </w:pPr>
      <w:r>
        <w:rPr>
          <w:rFonts w:ascii="Arial" w:cs="Arial" w:eastAsia="Arial" w:hAnsi="Arial"/>
          <w:sz w:val="17"/>
          <w:szCs w:val="17"/>
          <w:color w:val="auto"/>
        </w:rPr>
        <w:t>Represents Holding Units and an equal number of shares of Class B common stock of the Company. Pursuant to the terms of the Exchange Agreement dated as of August 5, 2015, by and among the Company, Pla-Fit Holdings, LLC and the holders from time to time of Holding Units and shares of Class B common stock, each Holding Unit of Pla-Fit Holdings, LLC is convertible (along with an equal number of its shares of Class B common stock) for shares of Class A common stock of the Company on a one-to-one basis and has no expiration date.</w:t>
      </w:r>
    </w:p>
    <w:p>
      <w:pPr>
        <w:spacing w:after="0" w:line="2" w:lineRule="exact"/>
        <w:rPr>
          <w:rFonts w:ascii="Arial" w:cs="Arial" w:eastAsia="Arial" w:hAnsi="Arial"/>
          <w:sz w:val="17"/>
          <w:szCs w:val="17"/>
          <w:color w:val="auto"/>
        </w:rPr>
      </w:pPr>
    </w:p>
    <w:p>
      <w:pPr>
        <w:ind w:left="460" w:right="180" w:hanging="452"/>
        <w:spacing w:after="0" w:line="273" w:lineRule="auto"/>
        <w:tabs>
          <w:tab w:leader="none" w:pos="46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calculation assumes that there is a total of 74,456,889 shares of Class A common stock of the Company outstanding, which is the sum of (i) 36,597,985 shares of Class A common stock outstanding as of as of November 6, 2015, as reported in the Company’s Quarterly Report on Form 10-Q filed with the Commission on November 13, 2015, and (ii) 37,858,904 shares of Class A common stock that are issuable in exchange for the 37,858,904 Holding Units and corresponding shares of Class B common stock held by TSG PF Investment LLC.</w:t>
      </w:r>
    </w:p>
    <w:p>
      <w:pPr>
        <w:sectPr>
          <w:pgSz w:w="11900" w:h="16838" w:orient="portrait"/>
          <w:cols w:equalWidth="0" w:num="1">
            <w:col w:w="11440"/>
          </w:cols>
          <w:pgMar w:left="240" w:top="270" w:right="21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4"/>
        </w:trPr>
        <w:tc>
          <w:tcPr>
            <w:tcW w:w="4580" w:type="dxa"/>
            <w:vAlign w:val="bottom"/>
            <w:gridSpan w:val="3"/>
          </w:tcPr>
          <w:p>
            <w:pPr>
              <w:spacing w:after="0"/>
              <w:rPr>
                <w:sz w:val="20"/>
                <w:szCs w:val="20"/>
                <w:color w:val="auto"/>
              </w:rPr>
            </w:pPr>
            <w:r>
              <w:rPr>
                <w:rFonts w:ascii="Arial" w:cs="Arial" w:eastAsia="Arial" w:hAnsi="Arial"/>
                <w:sz w:val="18"/>
                <w:szCs w:val="18"/>
                <w:color w:val="auto"/>
              </w:rPr>
              <w:t>CUSIP No. 72703H101</w:t>
            </w:r>
          </w:p>
        </w:tc>
        <w:tc>
          <w:tcPr>
            <w:tcW w:w="3500" w:type="dxa"/>
            <w:vAlign w:val="bottom"/>
          </w:tcPr>
          <w:p>
            <w:pPr>
              <w:ind w:left="1220"/>
              <w:spacing w:after="0"/>
              <w:rPr>
                <w:sz w:val="20"/>
                <w:szCs w:val="20"/>
                <w:color w:val="auto"/>
              </w:rPr>
            </w:pPr>
            <w:r>
              <w:rPr>
                <w:rFonts w:ascii="Arial" w:cs="Arial" w:eastAsia="Arial" w:hAnsi="Arial"/>
                <w:sz w:val="18"/>
                <w:szCs w:val="18"/>
                <w:b w:val="1"/>
                <w:bCs w:val="1"/>
                <w:color w:val="auto"/>
              </w:rPr>
              <w:t>13G</w:t>
            </w:r>
          </w:p>
        </w:tc>
        <w:tc>
          <w:tcPr>
            <w:tcW w:w="3360" w:type="dxa"/>
            <w:vAlign w:val="bottom"/>
          </w:tcPr>
          <w:p>
            <w:pPr>
              <w:ind w:left="1980"/>
              <w:spacing w:after="0"/>
              <w:rPr>
                <w:sz w:val="20"/>
                <w:szCs w:val="20"/>
                <w:color w:val="auto"/>
              </w:rPr>
            </w:pPr>
            <w:r>
              <w:rPr>
                <w:rFonts w:ascii="Arial" w:cs="Arial" w:eastAsia="Arial" w:hAnsi="Arial"/>
                <w:sz w:val="18"/>
                <w:szCs w:val="18"/>
                <w:color w:val="auto"/>
                <w:w w:val="85"/>
              </w:rPr>
              <w:t>Page 7 of 13 Pages</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60" w:type="dxa"/>
            <w:vAlign w:val="bottom"/>
            <w:tcBorders>
              <w:bottom w:val="single" w:sz="8" w:color="auto"/>
            </w:tcBorders>
          </w:tcPr>
          <w:p>
            <w:pPr>
              <w:spacing w:after="0"/>
              <w:rPr>
                <w:sz w:val="12"/>
                <w:szCs w:val="12"/>
                <w:color w:val="auto"/>
              </w:rPr>
            </w:pPr>
          </w:p>
        </w:tc>
        <w:tc>
          <w:tcPr>
            <w:tcW w:w="4000" w:type="dxa"/>
            <w:vAlign w:val="bottom"/>
            <w:tcBorders>
              <w:bottom w:val="single" w:sz="8" w:color="auto"/>
            </w:tcBorders>
          </w:tcPr>
          <w:p>
            <w:pPr>
              <w:spacing w:after="0"/>
              <w:rPr>
                <w:sz w:val="12"/>
                <w:szCs w:val="12"/>
                <w:color w:val="auto"/>
              </w:rPr>
            </w:pPr>
          </w:p>
        </w:tc>
        <w:tc>
          <w:tcPr>
            <w:tcW w:w="350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4000" w:type="dxa"/>
            <w:vAlign w:val="bottom"/>
          </w:tcPr>
          <w:p>
            <w:pPr>
              <w:ind w:left="200"/>
              <w:spacing w:after="0"/>
              <w:rPr>
                <w:sz w:val="20"/>
                <w:szCs w:val="20"/>
                <w:color w:val="auto"/>
              </w:rPr>
            </w:pPr>
            <w:r>
              <w:rPr>
                <w:rFonts w:ascii="Arial" w:cs="Arial" w:eastAsia="Arial" w:hAnsi="Arial"/>
                <w:sz w:val="18"/>
                <w:szCs w:val="18"/>
                <w:color w:val="auto"/>
              </w:rPr>
              <w:t>NAME OF REPORTING PERSON</w:t>
            </w:r>
          </w:p>
        </w:tc>
        <w:tc>
          <w:tcPr>
            <w:tcW w:w="350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7251700</wp:posOffset>
            </wp:positionH>
            <wp:positionV relativeFrom="paragraph">
              <wp:posOffset>-154305</wp:posOffset>
            </wp:positionV>
            <wp:extent cx="8890" cy="52400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-154305</wp:posOffset>
            </wp:positionV>
            <wp:extent cx="8890" cy="52400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8890" cy="524002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-154305</wp:posOffset>
            </wp:positionV>
            <wp:extent cx="8890" cy="1689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8890" cy="1689735"/>
                    </a:xfrm>
                    <a:prstGeom prst="rect">
                      <a:avLst/>
                    </a:prstGeom>
                    <a:noFill/>
                  </pic:spPr>
                </pic:pic>
              </a:graphicData>
            </a:graphic>
          </wp:anchor>
        </w:drawing>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TSG PF Investment II LLC</w:t>
            </w:r>
          </w:p>
        </w:tc>
        <w:tc>
          <w:tcPr>
            <w:tcW w:w="0" w:type="dxa"/>
            <w:vAlign w:val="bottom"/>
          </w:tcPr>
          <w:p>
            <w:pPr>
              <w:spacing w:after="0"/>
              <w:rPr>
                <w:sz w:val="1"/>
                <w:szCs w:val="1"/>
                <w:color w:val="auto"/>
              </w:rPr>
            </w:pPr>
          </w:p>
        </w:tc>
      </w:tr>
      <w:tr>
        <w:trPr>
          <w:trHeight w:val="164"/>
        </w:trPr>
        <w:tc>
          <w:tcPr>
            <w:tcW w:w="420" w:type="dxa"/>
            <w:vAlign w:val="bottom"/>
          </w:tcPr>
          <w:p>
            <w:pPr>
              <w:jc w:val="right"/>
              <w:spacing w:after="0" w:line="164" w:lineRule="exact"/>
              <w:rPr>
                <w:sz w:val="20"/>
                <w:szCs w:val="20"/>
                <w:color w:val="auto"/>
              </w:rPr>
            </w:pPr>
            <w:r>
              <w:rPr>
                <w:rFonts w:ascii="Arial" w:cs="Arial" w:eastAsia="Arial" w:hAnsi="Arial"/>
                <w:sz w:val="18"/>
                <w:szCs w:val="18"/>
                <w:color w:val="auto"/>
              </w:rPr>
              <w:t>2.</w:t>
            </w:r>
          </w:p>
        </w:tc>
        <w:tc>
          <w:tcPr>
            <w:tcW w:w="260" w:type="dxa"/>
            <w:vAlign w:val="bottom"/>
          </w:tcPr>
          <w:p>
            <w:pPr>
              <w:spacing w:after="0"/>
              <w:rPr>
                <w:sz w:val="14"/>
                <w:szCs w:val="14"/>
                <w:color w:val="auto"/>
              </w:rPr>
            </w:pPr>
          </w:p>
        </w:tc>
        <w:tc>
          <w:tcPr>
            <w:tcW w:w="10760" w:type="dxa"/>
            <w:vAlign w:val="bottom"/>
            <w:gridSpan w:val="4"/>
          </w:tcPr>
          <w:p>
            <w:pPr>
              <w:ind w:left="100"/>
              <w:spacing w:after="0" w:line="164"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ind w:left="10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0000" w:type="dxa"/>
            <w:vAlign w:val="bottom"/>
            <w:gridSpan w:val="2"/>
          </w:tcPr>
          <w:p>
            <w:pPr>
              <w:ind w:left="14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280" w:type="dxa"/>
            <w:vAlign w:val="bottom"/>
            <w:tcBorders>
              <w:bottom w:val="single" w:sz="8" w:color="auto"/>
            </w:tcBorders>
            <w:gridSpan w:val="3"/>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10280" w:type="dxa"/>
            <w:vAlign w:val="bottom"/>
            <w:tcBorders>
              <w:bottom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Delaware</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96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82"/>
        </w:trPr>
        <w:tc>
          <w:tcPr>
            <w:tcW w:w="1440" w:type="dxa"/>
            <w:vAlign w:val="bottom"/>
            <w:tcBorders>
              <w:right w:val="single" w:sz="8" w:color="auto"/>
            </w:tcBorders>
            <w:gridSpan w:val="4"/>
            <w:vMerge w:val="restart"/>
          </w:tcPr>
          <w:p>
            <w:pPr>
              <w:jc w:val="center"/>
              <w:ind w:left="70"/>
              <w:spacing w:after="0"/>
              <w:rPr>
                <w:sz w:val="20"/>
                <w:szCs w:val="20"/>
                <w:color w:val="auto"/>
              </w:rPr>
            </w:pPr>
            <w:r>
              <w:rPr>
                <w:rFonts w:ascii="Arial" w:cs="Arial" w:eastAsia="Arial" w:hAnsi="Arial"/>
                <w:sz w:val="18"/>
                <w:szCs w:val="18"/>
                <w:color w:val="auto"/>
                <w:w w:val="96"/>
              </w:rPr>
              <w:t>NUMBER OF</w:t>
            </w: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440" w:type="dxa"/>
            <w:vAlign w:val="bottom"/>
            <w:tcBorders>
              <w:right w:val="single" w:sz="8" w:color="auto"/>
            </w:tcBorders>
            <w:gridSpan w:val="4"/>
            <w:vMerge w:val="continue"/>
          </w:tcPr>
          <w:p>
            <w:pPr>
              <w:spacing w:after="0"/>
              <w:rPr>
                <w:sz w:val="4"/>
                <w:szCs w:val="4"/>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6.</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420" w:type="dxa"/>
            <w:vAlign w:val="bottom"/>
          </w:tcPr>
          <w:p>
            <w:pPr>
              <w:spacing w:after="0"/>
              <w:rPr>
                <w:sz w:val="15"/>
                <w:szCs w:val="15"/>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w w:val="91"/>
              </w:rPr>
              <w:t>SHARES</w:t>
            </w:r>
          </w:p>
        </w:tc>
        <w:tc>
          <w:tcPr>
            <w:tcW w:w="320" w:type="dxa"/>
            <w:vAlign w:val="bottom"/>
            <w:tcBorders>
              <w:right w:val="single" w:sz="8" w:color="auto"/>
            </w:tcBorders>
            <w:vMerge w:val="continue"/>
          </w:tcPr>
          <w:p>
            <w:pPr>
              <w:spacing w:after="0"/>
              <w:rPr>
                <w:sz w:val="15"/>
                <w:szCs w:val="15"/>
                <w:color w:val="auto"/>
              </w:rPr>
            </w:pPr>
          </w:p>
        </w:tc>
        <w:tc>
          <w:tcPr>
            <w:tcW w:w="9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20" w:type="dxa"/>
            <w:vAlign w:val="bottom"/>
          </w:tcPr>
          <w:p>
            <w:pPr>
              <w:spacing w:after="0"/>
              <w:rPr>
                <w:sz w:val="3"/>
                <w:szCs w:val="3"/>
                <w:color w:val="auto"/>
              </w:rPr>
            </w:pPr>
          </w:p>
        </w:tc>
        <w:tc>
          <w:tcPr>
            <w:tcW w:w="1020" w:type="dxa"/>
            <w:vAlign w:val="bottom"/>
            <w:tcBorders>
              <w:right w:val="single" w:sz="8" w:color="auto"/>
            </w:tcBorders>
            <w:gridSpan w:val="3"/>
            <w:vMerge w:val="continue"/>
          </w:tcPr>
          <w:p>
            <w:pPr>
              <w:spacing w:after="0"/>
              <w:rPr>
                <w:sz w:val="3"/>
                <w:szCs w:val="3"/>
                <w:color w:val="auto"/>
              </w:rPr>
            </w:pPr>
          </w:p>
        </w:tc>
        <w:tc>
          <w:tcPr>
            <w:tcW w:w="320" w:type="dxa"/>
            <w:vAlign w:val="bottom"/>
            <w:tcBorders>
              <w:right w:val="single" w:sz="8" w:color="auto"/>
            </w:tcBorders>
          </w:tcPr>
          <w:p>
            <w:pPr>
              <w:spacing w:after="0"/>
              <w:rPr>
                <w:sz w:val="3"/>
                <w:szCs w:val="3"/>
                <w:color w:val="auto"/>
              </w:rPr>
            </w:pPr>
          </w:p>
        </w:tc>
        <w:tc>
          <w:tcPr>
            <w:tcW w:w="96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1440" w:type="dxa"/>
            <w:vAlign w:val="bottom"/>
            <w:tcBorders>
              <w:right w:val="single" w:sz="8" w:color="auto"/>
            </w:tcBorders>
            <w:gridSpan w:val="4"/>
          </w:tcPr>
          <w:p>
            <w:pPr>
              <w:jc w:val="center"/>
              <w:ind w:left="50"/>
              <w:spacing w:after="0"/>
              <w:rPr>
                <w:sz w:val="20"/>
                <w:szCs w:val="20"/>
                <w:color w:val="auto"/>
              </w:rPr>
            </w:pPr>
            <w:r>
              <w:rPr>
                <w:rFonts w:ascii="Arial" w:cs="Arial" w:eastAsia="Arial" w:hAnsi="Arial"/>
                <w:sz w:val="18"/>
                <w:szCs w:val="18"/>
                <w:color w:val="auto"/>
                <w:w w:val="99"/>
              </w:rPr>
              <w:t>BENEFICIALLY</w:t>
            </w:r>
          </w:p>
        </w:tc>
        <w:tc>
          <w:tcPr>
            <w:tcW w:w="320" w:type="dxa"/>
            <w:vAlign w:val="bottom"/>
            <w:tcBorders>
              <w:right w:val="single" w:sz="8" w:color="auto"/>
            </w:tcBorders>
          </w:tcPr>
          <w:p>
            <w:pPr>
              <w:spacing w:after="0"/>
              <w:rPr>
                <w:sz w:val="18"/>
                <w:szCs w:val="18"/>
                <w:color w:val="auto"/>
              </w:rPr>
            </w:pPr>
          </w:p>
        </w:tc>
        <w:tc>
          <w:tcPr>
            <w:tcW w:w="9680" w:type="dxa"/>
            <w:vAlign w:val="bottom"/>
            <w:vMerge w:val="restart"/>
          </w:tcPr>
          <w:p>
            <w:pPr>
              <w:ind w:left="100"/>
              <w:spacing w:after="0"/>
              <w:rPr>
                <w:sz w:val="20"/>
                <w:szCs w:val="20"/>
                <w:color w:val="auto"/>
              </w:rPr>
            </w:pPr>
            <w:r>
              <w:rPr>
                <w:rFonts w:ascii="Arial" w:cs="Arial" w:eastAsia="Arial" w:hAnsi="Arial"/>
                <w:sz w:val="22"/>
                <w:szCs w:val="22"/>
                <w:color w:val="auto"/>
              </w:rPr>
              <w:t>6,058,507 (a)</w:t>
            </w:r>
          </w:p>
        </w:tc>
        <w:tc>
          <w:tcPr>
            <w:tcW w:w="0" w:type="dxa"/>
            <w:vAlign w:val="bottom"/>
          </w:tcPr>
          <w:p>
            <w:pPr>
              <w:spacing w:after="0"/>
              <w:rPr>
                <w:sz w:val="1"/>
                <w:szCs w:val="1"/>
                <w:color w:val="auto"/>
              </w:rPr>
            </w:pPr>
          </w:p>
        </w:tc>
      </w:tr>
      <w:tr>
        <w:trPr>
          <w:trHeight w:val="230"/>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7"/>
              </w:rPr>
              <w:t>OWNED BY</w:t>
            </w:r>
          </w:p>
        </w:tc>
        <w:tc>
          <w:tcPr>
            <w:tcW w:w="320" w:type="dxa"/>
            <w:vAlign w:val="bottom"/>
            <w:tcBorders>
              <w:bottom w:val="single" w:sz="8" w:color="auto"/>
              <w:right w:val="single" w:sz="8" w:color="auto"/>
            </w:tcBorders>
          </w:tcPr>
          <w:p>
            <w:pPr>
              <w:spacing w:after="0"/>
              <w:rPr>
                <w:sz w:val="20"/>
                <w:szCs w:val="20"/>
                <w:color w:val="auto"/>
              </w:rPr>
            </w:pPr>
          </w:p>
        </w:tc>
        <w:tc>
          <w:tcPr>
            <w:tcW w:w="9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20" w:type="dxa"/>
            <w:vAlign w:val="bottom"/>
          </w:tcPr>
          <w:p>
            <w:pPr>
              <w:spacing w:after="0"/>
              <w:rPr>
                <w:sz w:val="15"/>
                <w:szCs w:val="15"/>
                <w:color w:val="auto"/>
              </w:rPr>
            </w:pPr>
          </w:p>
        </w:tc>
        <w:tc>
          <w:tcPr>
            <w:tcW w:w="1020" w:type="dxa"/>
            <w:vAlign w:val="bottom"/>
            <w:tcBorders>
              <w:right w:val="single" w:sz="8" w:color="auto"/>
            </w:tcBorders>
            <w:gridSpan w:val="3"/>
          </w:tcPr>
          <w:p>
            <w:pPr>
              <w:jc w:val="center"/>
              <w:ind w:right="260"/>
              <w:spacing w:after="0" w:line="182" w:lineRule="exact"/>
              <w:rPr>
                <w:sz w:val="20"/>
                <w:szCs w:val="20"/>
                <w:color w:val="auto"/>
              </w:rPr>
            </w:pPr>
            <w:r>
              <w:rPr>
                <w:rFonts w:ascii="Arial" w:cs="Arial" w:eastAsia="Arial" w:hAnsi="Arial"/>
                <w:sz w:val="18"/>
                <w:szCs w:val="18"/>
                <w:color w:val="auto"/>
                <w:w w:val="95"/>
              </w:rPr>
              <w:t>EACH</w:t>
            </w:r>
          </w:p>
        </w:tc>
        <w:tc>
          <w:tcPr>
            <w:tcW w:w="320" w:type="dxa"/>
            <w:vAlign w:val="bottom"/>
            <w:tcBorders>
              <w:right w:val="single" w:sz="8" w:color="auto"/>
            </w:tcBorders>
          </w:tcPr>
          <w:p>
            <w:pPr>
              <w:jc w:val="right"/>
              <w:spacing w:after="0" w:line="182" w:lineRule="exact"/>
              <w:rPr>
                <w:sz w:val="20"/>
                <w:szCs w:val="20"/>
                <w:color w:val="auto"/>
              </w:rPr>
            </w:pPr>
            <w:r>
              <w:rPr>
                <w:rFonts w:ascii="Arial" w:cs="Arial" w:eastAsia="Arial" w:hAnsi="Arial"/>
                <w:sz w:val="18"/>
                <w:szCs w:val="18"/>
                <w:color w:val="auto"/>
              </w:rPr>
              <w:t>7.</w:t>
            </w:r>
          </w:p>
        </w:tc>
        <w:tc>
          <w:tcPr>
            <w:tcW w:w="968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440" w:type="dxa"/>
            <w:vAlign w:val="bottom"/>
            <w:tcBorders>
              <w:right w:val="single" w:sz="8" w:color="auto"/>
            </w:tcBorders>
            <w:gridSpan w:val="4"/>
          </w:tcPr>
          <w:p>
            <w:pPr>
              <w:jc w:val="center"/>
              <w:ind w:left="70"/>
              <w:spacing w:after="0"/>
              <w:rPr>
                <w:sz w:val="20"/>
                <w:szCs w:val="20"/>
                <w:color w:val="auto"/>
              </w:rPr>
            </w:pPr>
            <w:r>
              <w:rPr>
                <w:rFonts w:ascii="Arial" w:cs="Arial" w:eastAsia="Arial" w:hAnsi="Arial"/>
                <w:sz w:val="18"/>
                <w:szCs w:val="18"/>
                <w:color w:val="auto"/>
                <w:w w:val="93"/>
              </w:rPr>
              <w:t>REPORTING</w:t>
            </w:r>
          </w:p>
        </w:tc>
        <w:tc>
          <w:tcPr>
            <w:tcW w:w="320" w:type="dxa"/>
            <w:vAlign w:val="bottom"/>
            <w:tcBorders>
              <w:right w:val="single" w:sz="8" w:color="auto"/>
            </w:tcBorders>
          </w:tcPr>
          <w:p>
            <w:pPr>
              <w:spacing w:after="0"/>
              <w:rPr>
                <w:sz w:val="18"/>
                <w:szCs w:val="18"/>
                <w:color w:val="auto"/>
              </w:rPr>
            </w:pPr>
          </w:p>
        </w:tc>
        <w:tc>
          <w:tcPr>
            <w:tcW w:w="9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420" w:type="dxa"/>
            <w:vAlign w:val="bottom"/>
          </w:tcPr>
          <w:p>
            <w:pPr>
              <w:spacing w:after="0"/>
              <w:rPr>
                <w:sz w:val="20"/>
                <w:szCs w:val="20"/>
                <w:color w:val="auto"/>
              </w:rPr>
            </w:pPr>
          </w:p>
        </w:tc>
        <w:tc>
          <w:tcPr>
            <w:tcW w:w="1020" w:type="dxa"/>
            <w:vAlign w:val="bottom"/>
            <w:tcBorders>
              <w:right w:val="single" w:sz="8" w:color="auto"/>
            </w:tcBorders>
            <w:gridSpan w:val="3"/>
          </w:tcPr>
          <w:p>
            <w:pPr>
              <w:jc w:val="center"/>
              <w:ind w:right="260"/>
              <w:spacing w:after="0"/>
              <w:rPr>
                <w:sz w:val="20"/>
                <w:szCs w:val="20"/>
                <w:color w:val="auto"/>
              </w:rPr>
            </w:pPr>
            <w:r>
              <w:rPr>
                <w:rFonts w:ascii="Arial" w:cs="Arial" w:eastAsia="Arial" w:hAnsi="Arial"/>
                <w:sz w:val="18"/>
                <w:szCs w:val="18"/>
                <w:color w:val="auto"/>
                <w:w w:val="89"/>
              </w:rPr>
              <w:t>PERSON</w:t>
            </w:r>
          </w:p>
        </w:tc>
        <w:tc>
          <w:tcPr>
            <w:tcW w:w="320" w:type="dxa"/>
            <w:vAlign w:val="bottom"/>
            <w:tcBorders>
              <w:right w:val="single" w:sz="8" w:color="auto"/>
            </w:tcBorders>
          </w:tcPr>
          <w:p>
            <w:pPr>
              <w:spacing w:after="0"/>
              <w:rPr>
                <w:sz w:val="20"/>
                <w:szCs w:val="20"/>
                <w:color w:val="auto"/>
              </w:rPr>
            </w:pPr>
          </w:p>
        </w:tc>
        <w:tc>
          <w:tcPr>
            <w:tcW w:w="9680" w:type="dxa"/>
            <w:vAlign w:val="bottom"/>
          </w:tcPr>
          <w:p>
            <w:pPr>
              <w:ind w:left="100"/>
              <w:spacing w:after="0" w:line="232"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79"/>
        </w:trPr>
        <w:tc>
          <w:tcPr>
            <w:tcW w:w="420" w:type="dxa"/>
            <w:vAlign w:val="bottom"/>
          </w:tcPr>
          <w:p>
            <w:pPr>
              <w:spacing w:after="0"/>
              <w:rPr>
                <w:sz w:val="6"/>
                <w:szCs w:val="6"/>
                <w:color w:val="auto"/>
              </w:rPr>
            </w:pPr>
          </w:p>
        </w:tc>
        <w:tc>
          <w:tcPr>
            <w:tcW w:w="1020" w:type="dxa"/>
            <w:vAlign w:val="bottom"/>
            <w:tcBorders>
              <w:right w:val="single" w:sz="8" w:color="auto"/>
            </w:tcBorders>
            <w:gridSpan w:val="3"/>
            <w:vMerge w:val="restart"/>
          </w:tcPr>
          <w:p>
            <w:pPr>
              <w:jc w:val="center"/>
              <w:ind w:right="260"/>
              <w:spacing w:after="0"/>
              <w:rPr>
                <w:sz w:val="20"/>
                <w:szCs w:val="20"/>
                <w:color w:val="auto"/>
              </w:rPr>
            </w:pPr>
            <w:r>
              <w:rPr>
                <w:rFonts w:ascii="Arial" w:cs="Arial" w:eastAsia="Arial" w:hAnsi="Arial"/>
                <w:sz w:val="18"/>
                <w:szCs w:val="18"/>
                <w:color w:val="auto"/>
              </w:rPr>
              <w:t>WITH</w:t>
            </w:r>
          </w:p>
        </w:tc>
        <w:tc>
          <w:tcPr>
            <w:tcW w:w="320" w:type="dxa"/>
            <w:vAlign w:val="bottom"/>
            <w:tcBorders>
              <w:bottom w:val="single" w:sz="8" w:color="auto"/>
              <w:right w:val="single" w:sz="8" w:color="auto"/>
            </w:tcBorders>
          </w:tcPr>
          <w:p>
            <w:pPr>
              <w:spacing w:after="0"/>
              <w:rPr>
                <w:sz w:val="6"/>
                <w:szCs w:val="6"/>
                <w:color w:val="auto"/>
              </w:rPr>
            </w:pPr>
          </w:p>
        </w:tc>
        <w:tc>
          <w:tcPr>
            <w:tcW w:w="9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420" w:type="dxa"/>
            <w:vAlign w:val="bottom"/>
          </w:tcPr>
          <w:p>
            <w:pPr>
              <w:spacing w:after="0"/>
              <w:rPr>
                <w:sz w:val="11"/>
                <w:szCs w:val="11"/>
                <w:color w:val="auto"/>
              </w:rPr>
            </w:pPr>
          </w:p>
        </w:tc>
        <w:tc>
          <w:tcPr>
            <w:tcW w:w="1020" w:type="dxa"/>
            <w:vAlign w:val="bottom"/>
            <w:tcBorders>
              <w:right w:val="single" w:sz="8" w:color="auto"/>
            </w:tcBorders>
            <w:gridSpan w:val="3"/>
            <w:vMerge w:val="continue"/>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8.</w:t>
            </w:r>
          </w:p>
        </w:tc>
        <w:tc>
          <w:tcPr>
            <w:tcW w:w="968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3"/>
        </w:trPr>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96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680" w:type="dxa"/>
            <w:vAlign w:val="bottom"/>
            <w:tcBorders>
              <w:bottom w:val="single" w:sz="8" w:color="auto"/>
            </w:tcBorders>
          </w:tcPr>
          <w:p>
            <w:pPr>
              <w:ind w:left="100"/>
              <w:spacing w:after="0"/>
              <w:rPr>
                <w:sz w:val="20"/>
                <w:szCs w:val="20"/>
                <w:color w:val="auto"/>
              </w:rPr>
            </w:pPr>
            <w:r>
              <w:rPr>
                <w:rFonts w:ascii="Arial" w:cs="Arial" w:eastAsia="Arial" w:hAnsi="Arial"/>
                <w:sz w:val="22"/>
                <w:szCs w:val="22"/>
                <w:color w:val="auto"/>
              </w:rPr>
              <w:t>6,058,507 (a)</w:t>
            </w: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9.</w:t>
            </w:r>
          </w:p>
        </w:tc>
        <w:tc>
          <w:tcPr>
            <w:tcW w:w="260" w:type="dxa"/>
            <w:vAlign w:val="bottom"/>
            <w:tcBorders>
              <w:right w:val="single" w:sz="8" w:color="auto"/>
            </w:tcBorders>
          </w:tcPr>
          <w:p>
            <w:pPr>
              <w:spacing w:after="0"/>
              <w:rPr>
                <w:sz w:val="19"/>
                <w:szCs w:val="19"/>
                <w:color w:val="auto"/>
              </w:rPr>
            </w:pPr>
          </w:p>
        </w:tc>
        <w:tc>
          <w:tcPr>
            <w:tcW w:w="1080" w:type="dxa"/>
            <w:vAlign w:val="bottom"/>
            <w:gridSpan w:val="3"/>
          </w:tcPr>
          <w:p>
            <w:pPr>
              <w:ind w:left="100"/>
              <w:spacing w:after="0"/>
              <w:rPr>
                <w:sz w:val="20"/>
                <w:szCs w:val="20"/>
                <w:color w:val="auto"/>
              </w:rPr>
            </w:pPr>
            <w:r>
              <w:rPr>
                <w:rFonts w:ascii="Arial" w:cs="Arial" w:eastAsia="Arial" w:hAnsi="Arial"/>
                <w:sz w:val="18"/>
                <w:szCs w:val="18"/>
                <w:color w:val="auto"/>
                <w:w w:val="82"/>
              </w:rPr>
              <w:t>AGGREGATE</w:t>
            </w:r>
          </w:p>
        </w:tc>
        <w:tc>
          <w:tcPr>
            <w:tcW w:w="9680" w:type="dxa"/>
            <w:vAlign w:val="bottom"/>
          </w:tcPr>
          <w:p>
            <w:pPr>
              <w:ind w:left="140"/>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tcBorders>
            <w:gridSpan w:val="4"/>
          </w:tcPr>
          <w:p>
            <w:pPr>
              <w:ind w:left="100"/>
              <w:spacing w:after="0"/>
              <w:rPr>
                <w:sz w:val="20"/>
                <w:szCs w:val="20"/>
                <w:color w:val="auto"/>
              </w:rPr>
            </w:pPr>
            <w:r>
              <w:rPr>
                <w:rFonts w:ascii="Arial" w:cs="Arial" w:eastAsia="Arial" w:hAnsi="Arial"/>
                <w:sz w:val="22"/>
                <w:szCs w:val="22"/>
                <w:color w:val="auto"/>
              </w:rPr>
              <w:t>6,058,507 (a)</w:t>
            </w:r>
          </w:p>
        </w:tc>
        <w:tc>
          <w:tcPr>
            <w:tcW w:w="0" w:type="dxa"/>
            <w:vAlign w:val="bottom"/>
          </w:tcPr>
          <w:p>
            <w:pPr>
              <w:spacing w:after="0"/>
              <w:rPr>
                <w:sz w:val="1"/>
                <w:szCs w:val="1"/>
                <w:color w:val="auto"/>
              </w:rPr>
            </w:pPr>
          </w:p>
        </w:tc>
      </w:tr>
      <w:tr>
        <w:trPr>
          <w:trHeight w:val="278"/>
        </w:trPr>
        <w:tc>
          <w:tcPr>
            <w:tcW w:w="420" w:type="dxa"/>
            <w:vAlign w:val="bottom"/>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right w:val="single" w:sz="8" w:color="auto"/>
            </w:tcBorders>
          </w:tcPr>
          <w:p>
            <w:pPr>
              <w:spacing w:after="0"/>
              <w:rPr>
                <w:sz w:val="24"/>
                <w:szCs w:val="24"/>
                <w:color w:val="auto"/>
              </w:rPr>
            </w:pPr>
          </w:p>
        </w:tc>
        <w:tc>
          <w:tcPr>
            <w:tcW w:w="10760" w:type="dxa"/>
            <w:vAlign w:val="bottom"/>
            <w:gridSpan w:val="4"/>
          </w:tcPr>
          <w:p>
            <w:pPr>
              <w:ind w:left="1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20" w:type="dxa"/>
            <w:vAlign w:val="bottom"/>
            <w:tcBorders>
              <w:bottom w:val="single" w:sz="8" w:color="auto"/>
            </w:tcBorders>
          </w:tcPr>
          <w:p>
            <w:pPr>
              <w:spacing w:after="0"/>
              <w:rPr>
                <w:sz w:val="16"/>
                <w:szCs w:val="16"/>
                <w:color w:val="auto"/>
              </w:rPr>
            </w:pPr>
          </w:p>
        </w:tc>
        <w:tc>
          <w:tcPr>
            <w:tcW w:w="26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gridSpan w:val="3"/>
          </w:tcPr>
          <w:p>
            <w:pPr>
              <w:ind w:left="100"/>
              <w:spacing w:after="0"/>
              <w:rPr>
                <w:sz w:val="20"/>
                <w:szCs w:val="20"/>
                <w:color w:val="auto"/>
              </w:rPr>
            </w:pPr>
            <w:r>
              <w:rPr>
                <w:rFonts w:ascii="Arial" w:cs="Arial" w:eastAsia="Arial" w:hAnsi="Arial"/>
                <w:sz w:val="22"/>
                <w:szCs w:val="22"/>
                <w:color w:val="auto"/>
              </w:rPr>
              <w:t>14.2%(b)</w:t>
            </w: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right w:val="single" w:sz="8" w:color="auto"/>
            </w:tcBorders>
          </w:tcPr>
          <w:p>
            <w:pPr>
              <w:spacing w:after="0"/>
              <w:rPr>
                <w:sz w:val="19"/>
                <w:szCs w:val="19"/>
                <w:color w:val="auto"/>
              </w:rPr>
            </w:pPr>
          </w:p>
        </w:tc>
        <w:tc>
          <w:tcPr>
            <w:tcW w:w="1076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484"/>
        </w:trPr>
        <w:tc>
          <w:tcPr>
            <w:tcW w:w="4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gridSpan w:val="2"/>
          </w:tcPr>
          <w:p>
            <w:pPr>
              <w:ind w:left="100"/>
              <w:spacing w:after="0"/>
              <w:rPr>
                <w:sz w:val="20"/>
                <w:szCs w:val="20"/>
                <w:color w:val="auto"/>
              </w:rPr>
            </w:pPr>
            <w:r>
              <w:rPr>
                <w:rFonts w:ascii="Arial" w:cs="Arial" w:eastAsia="Arial" w:hAnsi="Arial"/>
                <w:sz w:val="22"/>
                <w:szCs w:val="22"/>
                <w:color w:val="auto"/>
              </w:rPr>
              <w:t>OO</w:t>
            </w:r>
          </w:p>
        </w:tc>
        <w:tc>
          <w:tcPr>
            <w:tcW w:w="320" w:type="dxa"/>
            <w:vAlign w:val="bottom"/>
            <w:tcBorders>
              <w:bottom w:val="single" w:sz="8" w:color="auto"/>
            </w:tcBorders>
          </w:tcPr>
          <w:p>
            <w:pPr>
              <w:spacing w:after="0"/>
              <w:rPr>
                <w:sz w:val="24"/>
                <w:szCs w:val="24"/>
                <w:color w:val="auto"/>
              </w:rPr>
            </w:pPr>
          </w:p>
        </w:tc>
        <w:tc>
          <w:tcPr>
            <w:tcW w:w="9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4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6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right="80" w:hanging="452"/>
        <w:spacing w:after="0" w:line="269" w:lineRule="auto"/>
        <w:tabs>
          <w:tab w:leader="none" w:pos="460" w:val="left"/>
        </w:tabs>
        <w:numPr>
          <w:ilvl w:val="0"/>
          <w:numId w:val="6"/>
        </w:numPr>
        <w:rPr>
          <w:rFonts w:ascii="Arial" w:cs="Arial" w:eastAsia="Arial" w:hAnsi="Arial"/>
          <w:sz w:val="17"/>
          <w:szCs w:val="17"/>
          <w:color w:val="auto"/>
        </w:rPr>
      </w:pPr>
      <w:r>
        <w:rPr>
          <w:rFonts w:ascii="Arial" w:cs="Arial" w:eastAsia="Arial" w:hAnsi="Arial"/>
          <w:sz w:val="17"/>
          <w:szCs w:val="17"/>
          <w:color w:val="auto"/>
        </w:rPr>
        <w:t>Represents Holding Units and an equal number of shares of Class B common stock of the Company. Pursuant to the terms of the Exchange Agreement dated as of August 5, 2015, by and among the Company, Pla-Fit Holdings, LLC and the holders from time to time of Holding Units and shares of Class B common stock, each Holding Unit of Pla-Fit Holdings, LLC is convertible (along with an equal number of its shares of Class B common stock) for shares of Class A common stock of the Company on a one-to-one basis and has no expiration date..</w:t>
      </w:r>
    </w:p>
    <w:p>
      <w:pPr>
        <w:spacing w:after="0" w:line="2" w:lineRule="exact"/>
        <w:rPr>
          <w:rFonts w:ascii="Arial" w:cs="Arial" w:eastAsia="Arial" w:hAnsi="Arial"/>
          <w:sz w:val="17"/>
          <w:szCs w:val="17"/>
          <w:color w:val="auto"/>
        </w:rPr>
      </w:pPr>
    </w:p>
    <w:p>
      <w:pPr>
        <w:ind w:left="460" w:right="180" w:hanging="452"/>
        <w:spacing w:after="0" w:line="273" w:lineRule="auto"/>
        <w:tabs>
          <w:tab w:leader="none" w:pos="46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calculation assumes that there is a total of 42,656,492 shares of Class A common stock of the Company outstanding, which is the sum of (i) 36,597,985 shares of Class A common stock outstanding as of as of November 6, 2015, as reported in the Company’s Quarterly Report on Form 10-Q filed with the Commission on November 13, 2015, and (ii) 6,058,507 shares of Class A common stock that are issuable in exchange for the 6,058,507 Holding Units and corresponding shares of Class B common stock held by TSG PF Investment II LLC.</w:t>
      </w:r>
    </w:p>
    <w:p>
      <w:pPr>
        <w:sectPr>
          <w:pgSz w:w="11900" w:h="16838" w:orient="portrait"/>
          <w:cols w:equalWidth="0" w:num="1">
            <w:col w:w="11440"/>
          </w:cols>
          <w:pgMar w:left="240" w:top="270" w:right="219" w:bottom="1440" w:gutter="0" w:footer="0" w:header="0"/>
        </w:sectPr>
      </w:pPr>
    </w:p>
    <w:bookmarkStart w:id="7" w:name="page8"/>
    <w:bookmarkEnd w:id="7"/>
    <w:p>
      <w:pPr>
        <w:spacing w:after="0"/>
        <w:tabs>
          <w:tab w:leader="none" w:pos="11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1(a).</w:t>
      </w:r>
      <w:r>
        <w:rPr>
          <w:sz w:val="20"/>
          <w:szCs w:val="20"/>
          <w:color w:val="auto"/>
        </w:rPr>
        <w:tab/>
      </w:r>
      <w:r>
        <w:rPr>
          <w:rFonts w:ascii="Arial" w:cs="Arial" w:eastAsia="Arial" w:hAnsi="Arial"/>
          <w:sz w:val="16"/>
          <w:szCs w:val="16"/>
          <w:b w:val="1"/>
          <w:bCs w:val="1"/>
          <w:color w:val="auto"/>
        </w:rPr>
        <w:t>Name of Issuer</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name of the issuer to which this filing on Schedule 13G relates is Planet Fitness, Inc. (the “Company”).</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1(b).</w:t>
      </w:r>
      <w:r>
        <w:rPr>
          <w:sz w:val="20"/>
          <w:szCs w:val="20"/>
          <w:color w:val="auto"/>
        </w:rPr>
        <w:tab/>
      </w:r>
      <w:r>
        <w:rPr>
          <w:rFonts w:ascii="Arial" w:cs="Arial" w:eastAsia="Arial" w:hAnsi="Arial"/>
          <w:sz w:val="16"/>
          <w:szCs w:val="16"/>
          <w:b w:val="1"/>
          <w:bCs w:val="1"/>
          <w:color w:val="auto"/>
        </w:rPr>
        <w:t>Address of Issuer’s Principal Executive Offices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principal executive offices of the Company are located at 26 Fox Run Road, Newington, New Hampshire 03801.</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2(a).</w:t>
      </w:r>
      <w:r>
        <w:rPr>
          <w:sz w:val="20"/>
          <w:szCs w:val="20"/>
          <w:color w:val="auto"/>
        </w:rPr>
        <w:tab/>
      </w:r>
      <w:r>
        <w:rPr>
          <w:rFonts w:ascii="Arial" w:cs="Arial" w:eastAsia="Arial" w:hAnsi="Arial"/>
          <w:sz w:val="16"/>
          <w:szCs w:val="16"/>
          <w:b w:val="1"/>
          <w:bCs w:val="1"/>
          <w:color w:val="auto"/>
        </w:rPr>
        <w:t>Name of Person Filing</w:t>
      </w:r>
    </w:p>
    <w:p>
      <w:pPr>
        <w:spacing w:after="0" w:line="121"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This statement is being filed on behalf of the following (collectively, the “Reporting Persons”): (1) TSG6 Management L.L.C. (“TSG6 Management”), a Delaware limited liability company; (2) TSG6 AIV II-A L.P. (“AIV II-A”), a Delaware limited partnership; (3) TSG6 PF Co-Investors A L.P. (“Co-Investors A”), a Delaware limited partnership; (4) TSG6 AIV II L.P. (“AIV II”), a Delaware limited partnership; (5) TSG PF Investment LLC (“Investment”), a Delaware limited liability company; and (6) TSG PF Investment II LLC (“Investment II”), a Delaware limited liability company.</w:t>
      </w:r>
    </w:p>
    <w:p>
      <w:pPr>
        <w:spacing w:after="0" w:line="171" w:lineRule="exact"/>
        <w:rPr>
          <w:sz w:val="20"/>
          <w:szCs w:val="20"/>
          <w:color w:val="auto"/>
        </w:rPr>
      </w:pPr>
    </w:p>
    <w:p>
      <w:pPr>
        <w:ind w:right="740" w:firstLine="456"/>
        <w:spacing w:after="0" w:line="277" w:lineRule="auto"/>
        <w:rPr>
          <w:sz w:val="20"/>
          <w:szCs w:val="20"/>
          <w:color w:val="auto"/>
        </w:rPr>
      </w:pPr>
      <w:r>
        <w:rPr>
          <w:rFonts w:ascii="Arial" w:cs="Arial" w:eastAsia="Arial" w:hAnsi="Arial"/>
          <w:sz w:val="18"/>
          <w:szCs w:val="18"/>
          <w:color w:val="auto"/>
        </w:rPr>
        <w:t>TSG6 Management is the general partner of each of AIV II-A, Co-Investors A and AIV II, which is the managing member of Investment and Investment II.</w:t>
      </w:r>
    </w:p>
    <w:p>
      <w:pPr>
        <w:spacing w:after="0" w:line="170"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The Reporting Persons have entered into a Joint Filing Agreement, dated February 16, 2016, pursuant to which the Reporting Persons have agreed to file this statement jointly in accordance with the provisions of Rule 13d-1(k)(1) under the Securities Exchange Act of 1934.</w:t>
      </w:r>
    </w:p>
    <w:p>
      <w:pPr>
        <w:spacing w:after="0" w:line="31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2(b).</w:t>
      </w:r>
      <w:r>
        <w:rPr>
          <w:sz w:val="20"/>
          <w:szCs w:val="20"/>
          <w:color w:val="auto"/>
        </w:rPr>
        <w:tab/>
      </w:r>
      <w:r>
        <w:rPr>
          <w:rFonts w:ascii="Arial" w:cs="Arial" w:eastAsia="Arial" w:hAnsi="Arial"/>
          <w:sz w:val="15"/>
          <w:szCs w:val="15"/>
          <w:b w:val="1"/>
          <w:bCs w:val="1"/>
          <w:color w:val="auto"/>
        </w:rPr>
        <w:t>Address of Principal Business Office or, if none, Residence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principal business address of each of the Reporting Persons is 600 Montgomery Street, Suite 2900, San Francisco, California 94111.</w:t>
      </w:r>
    </w:p>
    <w:p>
      <w:pPr>
        <w:spacing w:after="0" w:line="38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2(c).</w:t>
      </w:r>
      <w:r>
        <w:rPr>
          <w:sz w:val="20"/>
          <w:szCs w:val="20"/>
          <w:color w:val="auto"/>
        </w:rPr>
        <w:tab/>
      </w:r>
      <w:r>
        <w:rPr>
          <w:rFonts w:ascii="Arial" w:cs="Arial" w:eastAsia="Arial" w:hAnsi="Arial"/>
          <w:sz w:val="16"/>
          <w:szCs w:val="16"/>
          <w:b w:val="1"/>
          <w:bCs w:val="1"/>
          <w:color w:val="auto"/>
        </w:rPr>
        <w:t>Citizenship</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Each of TSG6 Management, AIV II-A, Co-Investors A, AIV II, Investment and Investment II is organized under the laws of the State of Delaware.</w:t>
      </w:r>
    </w:p>
    <w:p>
      <w:pPr>
        <w:spacing w:after="0" w:line="38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2(d).</w:t>
      </w:r>
      <w:r>
        <w:rPr>
          <w:sz w:val="20"/>
          <w:szCs w:val="20"/>
          <w:color w:val="auto"/>
        </w:rPr>
        <w:tab/>
      </w:r>
      <w:r>
        <w:rPr>
          <w:rFonts w:ascii="Arial" w:cs="Arial" w:eastAsia="Arial" w:hAnsi="Arial"/>
          <w:sz w:val="15"/>
          <w:szCs w:val="15"/>
          <w:b w:val="1"/>
          <w:bCs w:val="1"/>
          <w:color w:val="auto"/>
        </w:rPr>
        <w:t>Title of Class of Securities</w:t>
      </w:r>
    </w:p>
    <w:p>
      <w:pPr>
        <w:spacing w:after="0" w:line="121" w:lineRule="exact"/>
        <w:rPr>
          <w:sz w:val="20"/>
          <w:szCs w:val="20"/>
          <w:color w:val="auto"/>
        </w:rPr>
      </w:pPr>
    </w:p>
    <w:p>
      <w:pPr>
        <w:ind w:right="460" w:firstLine="456"/>
        <w:spacing w:after="0" w:line="277" w:lineRule="auto"/>
        <w:rPr>
          <w:sz w:val="20"/>
          <w:szCs w:val="20"/>
          <w:color w:val="auto"/>
        </w:rPr>
      </w:pPr>
      <w:r>
        <w:rPr>
          <w:rFonts w:ascii="Arial" w:cs="Arial" w:eastAsia="Arial" w:hAnsi="Arial"/>
          <w:sz w:val="18"/>
          <w:szCs w:val="18"/>
          <w:color w:val="auto"/>
        </w:rPr>
        <w:t>The class of equity securities of the Company to which this filing on Schedule 13G relates is Class A common stock, par value $0.0001 per share (“Common Stock”).</w:t>
      </w:r>
    </w:p>
    <w:p>
      <w:pPr>
        <w:spacing w:after="0" w:line="31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2(e).</w:t>
      </w:r>
      <w:r>
        <w:rPr>
          <w:sz w:val="20"/>
          <w:szCs w:val="20"/>
          <w:color w:val="auto"/>
        </w:rPr>
        <w:tab/>
      </w:r>
      <w:r>
        <w:rPr>
          <w:rFonts w:ascii="Arial" w:cs="Arial" w:eastAsia="Arial" w:hAnsi="Arial"/>
          <w:sz w:val="17"/>
          <w:szCs w:val="17"/>
          <w:b w:val="1"/>
          <w:bCs w:val="1"/>
          <w:color w:val="auto"/>
        </w:rPr>
        <w:t>CUSIP Number</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CUSIP number of the Company’s Common Stock is 72703H101.</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270" w:right="279" w:bottom="1440" w:gutter="0" w:footer="0" w:header="0"/>
        </w:sectPr>
      </w:pPr>
    </w:p>
    <w:bookmarkStart w:id="8" w:name="page9"/>
    <w:bookmarkEnd w:id="8"/>
    <w:p>
      <w:pPr>
        <w:spacing w:after="0"/>
        <w:tabs>
          <w:tab w:leader="none" w:pos="11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3.</w:t>
      </w:r>
      <w:r>
        <w:rPr>
          <w:sz w:val="20"/>
          <w:szCs w:val="20"/>
          <w:color w:val="auto"/>
        </w:rPr>
        <w:tab/>
      </w:r>
      <w:r>
        <w:rPr>
          <w:rFonts w:ascii="Arial" w:cs="Arial" w:eastAsia="Arial" w:hAnsi="Arial"/>
          <w:sz w:val="16"/>
          <w:szCs w:val="16"/>
          <w:b w:val="1"/>
          <w:bCs w:val="1"/>
          <w:color w:val="auto"/>
        </w:rPr>
        <w:t xml:space="preserve">If this statement is filed pursuant to §§ 240.13d-1(b) or 240.13d-2(b) or (c), check whether the person filing is a: </w:t>
      </w:r>
      <w:r>
        <w:rPr>
          <w:rFonts w:ascii="Arial" w:cs="Arial" w:eastAsia="Arial" w:hAnsi="Arial"/>
          <w:sz w:val="16"/>
          <w:szCs w:val="16"/>
          <w:color w:val="auto"/>
        </w:rPr>
        <w:t>Not applicable.</w:t>
      </w:r>
    </w:p>
    <w:p>
      <w:pPr>
        <w:spacing w:after="0" w:line="102" w:lineRule="exact"/>
        <w:rPr>
          <w:sz w:val="20"/>
          <w:szCs w:val="20"/>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17"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73c).</w:t>
      </w:r>
    </w:p>
    <w:p>
      <w:pPr>
        <w:spacing w:after="0" w:line="117"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17"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17"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§13d-1(b)(1)(ii)(E).</w:t>
      </w:r>
    </w:p>
    <w:p>
      <w:pPr>
        <w:spacing w:after="0" w:line="117"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§240.13d 1(b)(1)(ii)(F).</w:t>
      </w:r>
    </w:p>
    <w:p>
      <w:pPr>
        <w:spacing w:after="0" w:line="117"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§240.13d-1(b)(1)(ii)(G).</w:t>
      </w:r>
    </w:p>
    <w:p>
      <w:pPr>
        <w:spacing w:after="0" w:line="117"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 as defined in Section 3(b) of the Federal Deposit Insurance Act (12 U.S.C. 1813).</w:t>
      </w:r>
    </w:p>
    <w:p>
      <w:pPr>
        <w:spacing w:after="0" w:line="117" w:lineRule="exact"/>
        <w:rPr>
          <w:rFonts w:ascii="Arial" w:cs="Arial" w:eastAsia="Arial" w:hAnsi="Arial"/>
          <w:sz w:val="18"/>
          <w:szCs w:val="18"/>
          <w:color w:val="auto"/>
        </w:rPr>
      </w:pPr>
    </w:p>
    <w:p>
      <w:pPr>
        <w:ind w:left="700" w:right="260" w:hanging="597"/>
        <w:spacing w:after="0" w:line="239" w:lineRule="exact"/>
        <w:tabs>
          <w:tab w:leader="none" w:pos="43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62" w:lineRule="exact"/>
        <w:rPr>
          <w:rFonts w:ascii="Arial" w:cs="Arial" w:eastAsia="Arial" w:hAnsi="Arial"/>
          <w:sz w:val="18"/>
          <w:szCs w:val="18"/>
          <w:color w:val="auto"/>
        </w:rPr>
      </w:pPr>
    </w:p>
    <w:p>
      <w:pPr>
        <w:ind w:left="420" w:hanging="317"/>
        <w:spacing w:after="0" w:line="207" w:lineRule="exact"/>
        <w:tabs>
          <w:tab w:leader="none" w:pos="420" w:val="left"/>
        </w:tabs>
        <w:numPr>
          <w:ilvl w:val="0"/>
          <w:numId w:val="7"/>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§240.13d-1(b)(1)(ii)(J).</w:t>
      </w:r>
    </w:p>
    <w:p>
      <w:pPr>
        <w:spacing w:after="0" w:line="117" w:lineRule="exact"/>
        <w:rPr>
          <w:rFonts w:ascii="Arial" w:cs="Arial" w:eastAsia="Arial" w:hAnsi="Arial"/>
          <w:sz w:val="18"/>
          <w:szCs w:val="18"/>
          <w:color w:val="auto"/>
        </w:rPr>
      </w:pPr>
    </w:p>
    <w:p>
      <w:pPr>
        <w:ind w:left="420"/>
        <w:spacing w:after="0" w:line="207" w:lineRule="exact"/>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 xml:space="preserve"> If this statement is filed pursuant to §240.13d-1(c), check this box.</w:t>
      </w:r>
    </w:p>
    <w:p>
      <w:pPr>
        <w:spacing w:after="0" w:line="200" w:lineRule="exact"/>
        <w:rPr>
          <w:sz w:val="20"/>
          <w:szCs w:val="20"/>
          <w:color w:val="auto"/>
        </w:rPr>
      </w:pPr>
    </w:p>
    <w:p>
      <w:pPr>
        <w:spacing w:after="0" w:line="202"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w:t>
      </w:r>
      <w:r>
        <w:rPr>
          <w:sz w:val="20"/>
          <w:szCs w:val="20"/>
          <w:color w:val="auto"/>
        </w:rPr>
        <w:tab/>
      </w:r>
      <w:r>
        <w:rPr>
          <w:rFonts w:ascii="Arial" w:cs="Arial" w:eastAsia="Arial" w:hAnsi="Arial"/>
          <w:sz w:val="16"/>
          <w:szCs w:val="16"/>
          <w:b w:val="1"/>
          <w:bCs w:val="1"/>
          <w:color w:val="auto"/>
        </w:rPr>
        <w:t>Ownership</w:t>
      </w:r>
    </w:p>
    <w:p>
      <w:pPr>
        <w:spacing w:after="0" w:line="13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4(a).</w:t>
      </w:r>
      <w:r>
        <w:rPr>
          <w:sz w:val="20"/>
          <w:szCs w:val="20"/>
          <w:color w:val="auto"/>
        </w:rPr>
        <w:tab/>
      </w:r>
      <w:r>
        <w:rPr>
          <w:rFonts w:ascii="Arial" w:cs="Arial" w:eastAsia="Arial" w:hAnsi="Arial"/>
          <w:sz w:val="16"/>
          <w:szCs w:val="16"/>
          <w:b w:val="1"/>
          <w:bCs w:val="1"/>
          <w:color w:val="auto"/>
        </w:rPr>
        <w:t>Amount beneficially owned</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This Schedule 13G is being filed on behalf of the Reporting Persons. As of the close of business on December 31, 2015, the following shares were held by the Reporting Persons:</w:t>
      </w:r>
    </w:p>
    <w:p>
      <w:pPr>
        <w:spacing w:after="0" w:line="170"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AIV II-A held 9,985,179 shares of Class A common stock of the Company, representing approximately 27.3% of the Company’s outstanding shares of Class A common stock.</w:t>
      </w:r>
    </w:p>
    <w:p>
      <w:pPr>
        <w:spacing w:after="0" w:line="170" w:lineRule="exact"/>
        <w:rPr>
          <w:sz w:val="20"/>
          <w:szCs w:val="20"/>
          <w:color w:val="auto"/>
        </w:rPr>
      </w:pPr>
    </w:p>
    <w:p>
      <w:pPr>
        <w:ind w:right="240" w:firstLine="456"/>
        <w:spacing w:after="0" w:line="277" w:lineRule="auto"/>
        <w:rPr>
          <w:sz w:val="20"/>
          <w:szCs w:val="20"/>
          <w:color w:val="auto"/>
        </w:rPr>
      </w:pPr>
      <w:r>
        <w:rPr>
          <w:rFonts w:ascii="Arial" w:cs="Arial" w:eastAsia="Arial" w:hAnsi="Arial"/>
          <w:sz w:val="18"/>
          <w:szCs w:val="18"/>
          <w:color w:val="auto"/>
        </w:rPr>
        <w:t>Co-Investors A held 11,087,806 shares of Class A common stock of the Company, representing approximately 30.3% of the Company’s outstanding shares of Class A common stock.</w:t>
      </w:r>
    </w:p>
    <w:p>
      <w:pPr>
        <w:spacing w:after="0" w:line="170" w:lineRule="exact"/>
        <w:rPr>
          <w:sz w:val="20"/>
          <w:szCs w:val="20"/>
          <w:color w:val="auto"/>
        </w:rPr>
      </w:pPr>
    </w:p>
    <w:p>
      <w:pPr>
        <w:ind w:right="240" w:firstLine="456"/>
        <w:spacing w:after="0" w:line="264" w:lineRule="auto"/>
        <w:rPr>
          <w:sz w:val="20"/>
          <w:szCs w:val="20"/>
          <w:color w:val="auto"/>
        </w:rPr>
      </w:pPr>
      <w:r>
        <w:rPr>
          <w:rFonts w:ascii="Arial" w:cs="Arial" w:eastAsia="Arial" w:hAnsi="Arial"/>
          <w:sz w:val="18"/>
          <w:szCs w:val="18"/>
          <w:color w:val="auto"/>
        </w:rPr>
        <w:t>Investment held 37,858,904 Holding Units of Pla-Fit Holdings, LLC and 37,858,904 shares of Class B common stock of the Company, representing approximately 50.8% of the Company’s outstanding shares of Class A common stock, and shares of Class A common stock issuable in exchange for the Holding Units and shares of Class B common stock directly held by Investment.</w:t>
      </w:r>
    </w:p>
    <w:p>
      <w:pPr>
        <w:spacing w:after="0" w:line="181"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Investment II held 6,058,507 Holding Units of Pla-Fit Holdings, LLC and 6,058,507 shares of Class B common stock of the Company, representing 14.2% of the Company’s outstanding shares of Class A common stock, and shares of Class A common stock issuable in exchange for the Holding Units and shares of Class B common stock directly held by Investment II.</w:t>
      </w:r>
    </w:p>
    <w:p>
      <w:pPr>
        <w:spacing w:after="0" w:line="18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Pursuant to the terms of the Exchange Agreement dated as of August 5, 2015, by and among the Company, Pla-Fit Holdings, LLC and the holders from time to time of Holding Units and shares of Class B common stock (the “Exchange Agreement”), each Holding Unit of Pla-Fit Holdings, LLC is convertible (along with an equal number of its shares of Class B common stock) for shares of Class A common stock of the Company on a one-to-one basis and has no expiration date.</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270" w:right="279" w:bottom="1440" w:gutter="0" w:footer="0" w:header="0"/>
        </w:sectPr>
      </w:pPr>
    </w:p>
    <w:bookmarkStart w:id="9" w:name="page10"/>
    <w:bookmarkEnd w:id="9"/>
    <w:p>
      <w:pPr>
        <w:ind w:firstLine="456"/>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As a result of the foregoing and the relationships described in Item 2(a), the Reporting Persons may be deemed to beneficially own in the aggregate 64,990,396 shares of Class A common stock of the Company, which represents the number of shares of Class A common stock that would be received in the aggregate by the Reporting Persons upon exchange of all of the Holding Units and shares of Class B common stock directly held by the Reporting Persons. The 64,990,396 shares of Class A common stock represents 80.7% of the total number of outstanding shares of Class A common stock of the Company (based on a total of 80,515,396 shares of Class A common stock of the Company outstanding, which is the sum of (i) 36,597,985 shares of Class A common stock outstanding as of November 6, 2015, as reported in the Company’s Quarterly Report on Form 10-Q filed with the Commission on November 13, 2015, and (ii) 43,917,411 shares of Class A common stock that are issuable in exchange for the 43,917,411 Holding Units and corresponding shares of Class B common stock held by the Reporting Persons).</w:t>
      </w:r>
    </w:p>
    <w:p>
      <w:pPr>
        <w:spacing w:after="0" w:line="179"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No person other than the respective owners referred to herein of shares of Class A common stock, Holding Units and Class B common stock is known to have the right to receive or the power to direct the receipt of dividends from or the proceeds from the sale of such shares of Common Stock of the Company.</w:t>
      </w:r>
    </w:p>
    <w:p>
      <w:pPr>
        <w:spacing w:after="0" w:line="326"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4(b).</w:t>
      </w:r>
      <w:r>
        <w:rPr>
          <w:sz w:val="20"/>
          <w:szCs w:val="20"/>
          <w:color w:val="auto"/>
        </w:rPr>
        <w:tab/>
      </w:r>
      <w:r>
        <w:rPr>
          <w:rFonts w:ascii="Arial" w:cs="Arial" w:eastAsia="Arial" w:hAnsi="Arial"/>
          <w:sz w:val="15"/>
          <w:szCs w:val="15"/>
          <w:b w:val="1"/>
          <w:bCs w:val="1"/>
          <w:color w:val="auto"/>
        </w:rPr>
        <w:t>Percent of Class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See Item 4(a) hereof.</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4(c).</w:t>
      </w:r>
      <w:r>
        <w:rPr>
          <w:sz w:val="20"/>
          <w:szCs w:val="20"/>
          <w:color w:val="auto"/>
        </w:rPr>
        <w:tab/>
      </w:r>
      <w:r>
        <w:rPr>
          <w:rFonts w:ascii="Arial" w:cs="Arial" w:eastAsia="Arial" w:hAnsi="Arial"/>
          <w:sz w:val="15"/>
          <w:szCs w:val="15"/>
          <w:b w:val="1"/>
          <w:bCs w:val="1"/>
          <w:color w:val="auto"/>
        </w:rPr>
        <w:t>Number of shares as to which such person has</w:t>
      </w:r>
      <w:r>
        <w:rPr>
          <w:rFonts w:ascii="Arial" w:cs="Arial" w:eastAsia="Arial" w:hAnsi="Arial"/>
          <w:sz w:val="15"/>
          <w:szCs w:val="15"/>
          <w:color w:val="auto"/>
        </w:rPr>
        <w:t>:</w:t>
      </w:r>
    </w:p>
    <w:p>
      <w:pPr>
        <w:spacing w:after="0" w:line="135" w:lineRule="exact"/>
        <w:rPr>
          <w:sz w:val="20"/>
          <w:szCs w:val="20"/>
          <w:color w:val="auto"/>
        </w:rPr>
      </w:pPr>
    </w:p>
    <w:p>
      <w:pPr>
        <w:ind w:left="1380" w:hanging="575"/>
        <w:spacing w:after="0"/>
        <w:tabs>
          <w:tab w:leader="none" w:pos="13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130" w:lineRule="exact"/>
        <w:rPr>
          <w:rFonts w:ascii="Arial" w:cs="Arial" w:eastAsia="Arial" w:hAnsi="Arial"/>
          <w:sz w:val="18"/>
          <w:szCs w:val="18"/>
          <w:color w:val="auto"/>
        </w:rPr>
      </w:pPr>
    </w:p>
    <w:p>
      <w:pPr>
        <w:ind w:left="1380" w:hanging="575"/>
        <w:spacing w:after="0"/>
        <w:tabs>
          <w:tab w:leader="none" w:pos="13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ectPr>
          <w:pgSz w:w="11900" w:h="16838" w:orient="portrait"/>
          <w:cols w:equalWidth="0" w:num="1">
            <w:col w:w="11300"/>
          </w:cols>
          <w:pgMar w:left="240" w:top="274" w:right="359" w:bottom="1440" w:gutter="0" w:footer="0" w:header="0"/>
        </w:sectPr>
      </w:pPr>
    </w:p>
    <w:p>
      <w:pPr>
        <w:spacing w:after="0" w:line="131" w:lineRule="exact"/>
        <w:rPr>
          <w:sz w:val="20"/>
          <w:szCs w:val="20"/>
          <w:color w:val="auto"/>
        </w:rPr>
      </w:pPr>
    </w:p>
    <w:p>
      <w:pPr>
        <w:ind w:left="860"/>
        <w:spacing w:after="0"/>
        <w:rPr>
          <w:sz w:val="20"/>
          <w:szCs w:val="20"/>
          <w:color w:val="auto"/>
        </w:rPr>
      </w:pPr>
      <w:r>
        <w:rPr>
          <w:rFonts w:ascii="Arial" w:cs="Arial" w:eastAsia="Arial" w:hAnsi="Arial"/>
          <w:sz w:val="16"/>
          <w:szCs w:val="16"/>
          <w:color w:val="auto"/>
        </w:rPr>
        <w:t>TSG6 Management</w:t>
      </w:r>
    </w:p>
    <w:p>
      <w:pPr>
        <w:spacing w:after="0" w:line="248"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AIV II-A</w:t>
      </w:r>
    </w:p>
    <w:p>
      <w:pPr>
        <w:spacing w:after="0" w:line="23" w:lineRule="exact"/>
        <w:rPr>
          <w:sz w:val="20"/>
          <w:szCs w:val="20"/>
          <w:color w:val="auto"/>
        </w:rPr>
      </w:pPr>
    </w:p>
    <w:p>
      <w:pPr>
        <w:ind w:left="860"/>
        <w:spacing w:after="0"/>
        <w:rPr>
          <w:sz w:val="20"/>
          <w:szCs w:val="20"/>
          <w:color w:val="auto"/>
        </w:rPr>
      </w:pPr>
      <w:r>
        <w:rPr>
          <w:rFonts w:ascii="Arial" w:cs="Arial" w:eastAsia="Arial" w:hAnsi="Arial"/>
          <w:sz w:val="18"/>
          <w:szCs w:val="18"/>
          <w:color w:val="auto"/>
        </w:rPr>
        <w:t>Co-Investors A</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AIV II</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Investment</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Investment II</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rPr>
          <w:sz w:val="20"/>
          <w:szCs w:val="20"/>
          <w:color w:val="auto"/>
        </w:rPr>
      </w:pPr>
      <w:r>
        <w:rPr>
          <w:rFonts w:ascii="Arial" w:cs="Arial" w:eastAsia="Arial" w:hAnsi="Arial"/>
          <w:sz w:val="16"/>
          <w:szCs w:val="16"/>
          <w:color w:val="auto"/>
        </w:rPr>
        <w:t>21,072,985 shares of Class A common stock and 43,917,411 Holding Units and shares of Class B common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9,985,179 shares of Class A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11,087,806 shares of Class A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43,917,411 Holding Units and shares of Class B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37,858,904 Holding Units and shares of Class B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6,058,507 Holding Units and shares of Class B common stock</w:t>
      </w:r>
    </w:p>
    <w:p>
      <w:pPr>
        <w:spacing w:after="0" w:line="116" w:lineRule="exact"/>
        <w:rPr>
          <w:sz w:val="20"/>
          <w:szCs w:val="20"/>
          <w:color w:val="auto"/>
        </w:rPr>
      </w:pPr>
    </w:p>
    <w:p>
      <w:pPr>
        <w:sectPr>
          <w:pgSz w:w="11900" w:h="16838" w:orient="portrait"/>
          <w:cols w:equalWidth="0" w:num="2">
            <w:col w:w="2280" w:space="280"/>
            <w:col w:w="8740"/>
          </w:cols>
          <w:pgMar w:left="240" w:top="274" w:right="359" w:bottom="1440" w:gutter="0" w:footer="0" w:header="0"/>
          <w:type w:val="continuous"/>
        </w:sectPr>
      </w:pPr>
    </w:p>
    <w:p>
      <w:pPr>
        <w:ind w:left="1380" w:hanging="575"/>
        <w:spacing w:after="0"/>
        <w:tabs>
          <w:tab w:leader="none" w:pos="1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dispose or to direct the disposition of:</w:t>
      </w:r>
    </w:p>
    <w:p>
      <w:pPr>
        <w:spacing w:after="0" w:line="142" w:lineRule="exact"/>
        <w:rPr>
          <w:rFonts w:ascii="Arial" w:cs="Arial" w:eastAsia="Arial" w:hAnsi="Arial"/>
          <w:sz w:val="17"/>
          <w:szCs w:val="17"/>
          <w:color w:val="auto"/>
        </w:rPr>
      </w:pPr>
    </w:p>
    <w:p>
      <w:pPr>
        <w:ind w:left="1380" w:hanging="575"/>
        <w:spacing w:after="0"/>
        <w:tabs>
          <w:tab w:leader="none" w:pos="1380" w:val="left"/>
        </w:tabs>
        <w:numPr>
          <w:ilvl w:val="0"/>
          <w:numId w:val="9"/>
        </w:numPr>
        <w:rPr>
          <w:rFonts w:ascii="Arial" w:cs="Arial" w:eastAsia="Arial" w:hAnsi="Arial"/>
          <w:sz w:val="16"/>
          <w:szCs w:val="16"/>
          <w:color w:val="auto"/>
        </w:rPr>
      </w:pPr>
      <w:r>
        <w:rPr>
          <w:rFonts w:ascii="Arial" w:cs="Arial" w:eastAsia="Arial" w:hAnsi="Arial"/>
          <w:sz w:val="16"/>
          <w:szCs w:val="16"/>
          <w:color w:val="auto"/>
        </w:rPr>
        <w:t>shared power to dispose or to direct the disposition of:</w:t>
      </w:r>
    </w:p>
    <w:p>
      <w:pPr>
        <w:sectPr>
          <w:pgSz w:w="11900" w:h="16838" w:orient="portrait"/>
          <w:cols w:equalWidth="0" w:num="1">
            <w:col w:w="11300"/>
          </w:cols>
          <w:pgMar w:left="240" w:top="274" w:right="359" w:bottom="1440" w:gutter="0" w:footer="0" w:header="0"/>
          <w:type w:val="continuous"/>
        </w:sectPr>
      </w:pPr>
    </w:p>
    <w:p>
      <w:pPr>
        <w:spacing w:after="0" w:line="154" w:lineRule="exact"/>
        <w:rPr>
          <w:sz w:val="20"/>
          <w:szCs w:val="20"/>
          <w:color w:val="auto"/>
        </w:rPr>
      </w:pPr>
    </w:p>
    <w:p>
      <w:pPr>
        <w:ind w:left="860"/>
        <w:spacing w:after="0"/>
        <w:rPr>
          <w:sz w:val="20"/>
          <w:szCs w:val="20"/>
          <w:color w:val="auto"/>
        </w:rPr>
      </w:pPr>
      <w:r>
        <w:rPr>
          <w:rFonts w:ascii="Arial" w:cs="Arial" w:eastAsia="Arial" w:hAnsi="Arial"/>
          <w:sz w:val="16"/>
          <w:szCs w:val="16"/>
          <w:color w:val="auto"/>
        </w:rPr>
        <w:t>TSG6 Management</w:t>
      </w:r>
    </w:p>
    <w:p>
      <w:pPr>
        <w:spacing w:after="0" w:line="46"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AIV II-A</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Co-Investors A</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AIV II</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Investment</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Investment II</w:t>
      </w:r>
    </w:p>
    <w:p>
      <w:pPr>
        <w:spacing w:after="0" w:line="20" w:lineRule="exact"/>
        <w:rPr>
          <w:sz w:val="20"/>
          <w:szCs w:val="20"/>
          <w:color w:val="auto"/>
        </w:rPr>
      </w:pPr>
      <w:r>
        <w:rPr>
          <w:sz w:val="20"/>
          <w:szCs w:val="20"/>
          <w:color w:val="auto"/>
        </w:rPr>
        <w:br w:type="column"/>
      </w:r>
    </w:p>
    <w:p>
      <w:pPr>
        <w:spacing w:after="0" w:line="134" w:lineRule="exact"/>
        <w:rPr>
          <w:sz w:val="20"/>
          <w:szCs w:val="20"/>
          <w:color w:val="auto"/>
        </w:rPr>
      </w:pPr>
    </w:p>
    <w:p>
      <w:pPr>
        <w:spacing w:after="0"/>
        <w:rPr>
          <w:sz w:val="20"/>
          <w:szCs w:val="20"/>
          <w:color w:val="auto"/>
        </w:rPr>
      </w:pPr>
      <w:r>
        <w:rPr>
          <w:rFonts w:ascii="Arial" w:cs="Arial" w:eastAsia="Arial" w:hAnsi="Arial"/>
          <w:sz w:val="16"/>
          <w:szCs w:val="16"/>
          <w:color w:val="auto"/>
        </w:rPr>
        <w:t>21,072,985 shares of Class A common stock and 43,917,411 Holding Units and shares Class B common stock</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9,985,179 shares of Class A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11,087,806 shares of Class A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43,917,411 Holding Units and shares of Class B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37,858,904 Holding Units and shares of Class B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6,058,507 Holding Units and shares of Class B common stock</w:t>
      </w:r>
    </w:p>
    <w:p>
      <w:pPr>
        <w:spacing w:after="0" w:line="143" w:lineRule="exact"/>
        <w:rPr>
          <w:sz w:val="20"/>
          <w:szCs w:val="20"/>
          <w:color w:val="auto"/>
        </w:rPr>
      </w:pPr>
    </w:p>
    <w:p>
      <w:pPr>
        <w:sectPr>
          <w:pgSz w:w="11900" w:h="16838" w:orient="portrait"/>
          <w:cols w:equalWidth="0" w:num="2">
            <w:col w:w="2280" w:space="280"/>
            <w:col w:w="8740"/>
          </w:cols>
          <w:pgMar w:left="240" w:top="274" w:right="359" w:bottom="1440" w:gutter="0" w:footer="0" w:header="0"/>
          <w:type w:val="continuous"/>
        </w:sectPr>
      </w:pPr>
    </w:p>
    <w:p>
      <w:pPr>
        <w:jc w:val="center"/>
        <w:ind w:right="-119"/>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300"/>
          </w:cols>
          <w:pgMar w:left="240" w:top="274" w:right="359" w:bottom="1440" w:gutter="0" w:footer="0" w:header="0"/>
          <w:type w:val="continuous"/>
        </w:sectPr>
      </w:pPr>
    </w:p>
    <w:bookmarkStart w:id="10" w:name="page11"/>
    <w:bookmarkEnd w:id="10"/>
    <w:p>
      <w:pPr>
        <w:spacing w:after="0"/>
        <w:tabs>
          <w:tab w:leader="none" w:pos="112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121"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21"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6"/>
          <w:szCs w:val="16"/>
          <w:b w:val="1"/>
          <w:bCs w:val="1"/>
          <w:color w:val="auto"/>
        </w:rPr>
        <w:t>Identification and Classification of the Subsidiary which Acquired the Security Being Reported on by the Parent Holding Company</w:t>
      </w:r>
      <w:r>
        <w:rPr>
          <w:rFonts w:ascii="Arial" w:cs="Arial" w:eastAsia="Arial" w:hAnsi="Arial"/>
          <w:sz w:val="16"/>
          <w:szCs w:val="16"/>
          <w:color w:val="auto"/>
        </w:rPr>
        <w:t>:</w:t>
      </w:r>
    </w:p>
    <w:p>
      <w:pPr>
        <w:spacing w:after="0" w:line="121"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21"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21"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10.</w:t>
      </w:r>
      <w:r>
        <w:rPr>
          <w:sz w:val="20"/>
          <w:szCs w:val="20"/>
          <w:color w:val="auto"/>
        </w:rPr>
        <w:tab/>
      </w:r>
      <w:r>
        <w:rPr>
          <w:rFonts w:ascii="Arial" w:cs="Arial" w:eastAsia="Arial" w:hAnsi="Arial"/>
          <w:sz w:val="16"/>
          <w:szCs w:val="16"/>
          <w:b w:val="1"/>
          <w:bCs w:val="1"/>
          <w:color w:val="auto"/>
        </w:rPr>
        <w:t>Certification</w:t>
      </w:r>
    </w:p>
    <w:p>
      <w:pPr>
        <w:spacing w:after="0" w:line="121"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Not Applicable</w:t>
      </w:r>
    </w:p>
    <w:p>
      <w:pPr>
        <w:spacing w:after="0" w:line="15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80"/>
          </w:cols>
          <w:pgMar w:left="240" w:top="270" w:right="37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After reasonable inquiry and to the best of my knowledge and belief,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16, 2016</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Management L.L.C.</w:t>
      </w:r>
    </w:p>
    <w:p>
      <w:pPr>
        <w:spacing w:after="0" w:line="23" w:lineRule="exact"/>
        <w:rPr>
          <w:sz w:val="20"/>
          <w:szCs w:val="20"/>
          <w:color w:val="auto"/>
        </w:rPr>
      </w:pPr>
    </w:p>
    <w:tbl>
      <w:tblPr>
        <w:tblLayout w:type="fixed"/>
        <w:tblInd w:w="6860" w:type="dxa"/>
        <w:tblCellMar>
          <w:top w:w="0" w:type="dxa"/>
          <w:left w:w="0" w:type="dxa"/>
          <w:bottom w:w="0" w:type="dxa"/>
          <w:right w:w="0" w:type="dxa"/>
        </w:tblCellMar>
      </w:tblPr>
      <w:tr>
        <w:trPr>
          <w:trHeight w:val="216"/>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40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 Wallace Wertsch</w:t>
            </w:r>
          </w:p>
        </w:tc>
      </w:tr>
      <w:tr>
        <w:trPr>
          <w:trHeight w:val="209"/>
        </w:trPr>
        <w:tc>
          <w:tcPr>
            <w:tcW w:w="540" w:type="dxa"/>
            <w:vAlign w:val="bottom"/>
          </w:tcPr>
          <w:p>
            <w:pPr>
              <w:spacing w:after="0"/>
              <w:rPr>
                <w:sz w:val="20"/>
                <w:szCs w:val="20"/>
                <w:color w:val="auto"/>
              </w:rPr>
            </w:pPr>
            <w:r>
              <w:rPr>
                <w:rFonts w:ascii="Arial" w:cs="Arial" w:eastAsia="Arial" w:hAnsi="Arial"/>
                <w:sz w:val="18"/>
                <w:szCs w:val="18"/>
                <w:color w:val="auto"/>
                <w:w w:val="98"/>
              </w:rPr>
              <w:t>Name:</w:t>
            </w:r>
          </w:p>
        </w:tc>
        <w:tc>
          <w:tcPr>
            <w:tcW w:w="4020" w:type="dxa"/>
            <w:vAlign w:val="bottom"/>
          </w:tcPr>
          <w:p>
            <w:pPr>
              <w:spacing w:after="0"/>
              <w:rPr>
                <w:sz w:val="20"/>
                <w:szCs w:val="20"/>
                <w:color w:val="auto"/>
              </w:rPr>
            </w:pPr>
            <w:r>
              <w:rPr>
                <w:rFonts w:ascii="Arial" w:cs="Arial" w:eastAsia="Arial" w:hAnsi="Arial"/>
                <w:sz w:val="18"/>
                <w:szCs w:val="18"/>
                <w:color w:val="auto"/>
              </w:rPr>
              <w:t>R. Wallace Wertsch</w:t>
            </w:r>
          </w:p>
        </w:tc>
      </w:t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Title:</w:t>
            </w:r>
          </w:p>
        </w:tc>
        <w:tc>
          <w:tcPr>
            <w:tcW w:w="402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pacing w:after="0" w:line="20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AIV II-A, L.P.</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tabs>
          <w:tab w:leader="none" w:pos="73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4704715</wp:posOffset>
            </wp:positionH>
            <wp:positionV relativeFrom="paragraph">
              <wp:posOffset>5715</wp:posOffset>
            </wp:positionV>
            <wp:extent cx="254698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PF Co-Investors A, L.P.</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tabs>
          <w:tab w:leader="none" w:pos="73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4704715</wp:posOffset>
            </wp:positionH>
            <wp:positionV relativeFrom="paragraph">
              <wp:posOffset>5715</wp:posOffset>
            </wp:positionV>
            <wp:extent cx="254698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AIV II L.P.</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tabs>
          <w:tab w:leader="none" w:pos="73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4704715</wp:posOffset>
            </wp:positionH>
            <wp:positionV relativeFrom="paragraph">
              <wp:posOffset>5715</wp:posOffset>
            </wp:positionV>
            <wp:extent cx="254698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 PF Investment LLC</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AIV II L.P., its general manager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tabs>
          <w:tab w:leader="none" w:pos="73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4704715</wp:posOffset>
            </wp:positionH>
            <wp:positionV relativeFrom="paragraph">
              <wp:posOffset>5715</wp:posOffset>
            </wp:positionV>
            <wp:extent cx="254698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 PF Investment II LLC</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AIV II L.P., its general manager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tabs>
          <w:tab w:leader="none" w:pos="73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4704715</wp:posOffset>
            </wp:positionH>
            <wp:positionV relativeFrom="paragraph">
              <wp:posOffset>5715</wp:posOffset>
            </wp:positionV>
            <wp:extent cx="254698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70" w:right="239" w:bottom="1440" w:gutter="0" w:footer="0" w:header="0"/>
        </w:sectPr>
      </w:pPr>
    </w:p>
    <w:bookmarkStart w:id="12" w:name="page13"/>
    <w:bookmarkEnd w:id="12"/>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A</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Agreement Regarding the Joint Filing of Schedule 13G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undersigned hereby agree as follows:</w:t>
      </w:r>
    </w:p>
    <w:p>
      <w:pPr>
        <w:spacing w:after="0" w:line="225" w:lineRule="exact"/>
        <w:rPr>
          <w:sz w:val="20"/>
          <w:szCs w:val="20"/>
          <w:color w:val="auto"/>
        </w:rPr>
      </w:pPr>
    </w:p>
    <w:p>
      <w:pPr>
        <w:ind w:right="160" w:firstLine="464"/>
        <w:spacing w:after="0" w:line="277" w:lineRule="auto"/>
        <w:tabs>
          <w:tab w:leader="none" w:pos="671" w:val="left"/>
        </w:tabs>
        <w:numPr>
          <w:ilvl w:val="0"/>
          <w:numId w:val="10"/>
        </w:numPr>
        <w:rPr>
          <w:rFonts w:ascii="Arial" w:cs="Arial" w:eastAsia="Arial" w:hAnsi="Arial"/>
          <w:sz w:val="18"/>
          <w:szCs w:val="18"/>
          <w:color w:val="auto"/>
        </w:rPr>
      </w:pPr>
      <w:r>
        <w:rPr>
          <w:rFonts w:ascii="Arial" w:cs="Arial" w:eastAsia="Arial" w:hAnsi="Arial"/>
          <w:sz w:val="18"/>
          <w:szCs w:val="18"/>
          <w:color w:val="auto"/>
        </w:rPr>
        <w:t>Each of them is individually eligible to use the Schedule 13G to which this Exhibit is attached, and such Schedule 13G is filed on behalf of each of them; and</w:t>
      </w:r>
    </w:p>
    <w:p>
      <w:pPr>
        <w:spacing w:after="0" w:line="170" w:lineRule="exact"/>
        <w:rPr>
          <w:rFonts w:ascii="Arial" w:cs="Arial" w:eastAsia="Arial" w:hAnsi="Arial"/>
          <w:sz w:val="18"/>
          <w:szCs w:val="18"/>
          <w:color w:val="auto"/>
        </w:rPr>
      </w:pPr>
    </w:p>
    <w:p>
      <w:pPr>
        <w:ind w:right="160" w:firstLine="464"/>
        <w:spacing w:after="0" w:line="286" w:lineRule="auto"/>
        <w:tabs>
          <w:tab w:leader="none" w:pos="721" w:val="left"/>
        </w:tabs>
        <w:numPr>
          <w:ilvl w:val="0"/>
          <w:numId w:val="10"/>
        </w:numPr>
        <w:rPr>
          <w:rFonts w:ascii="Arial" w:cs="Arial" w:eastAsia="Arial" w:hAnsi="Arial"/>
          <w:sz w:val="17"/>
          <w:szCs w:val="17"/>
          <w:color w:val="auto"/>
        </w:rPr>
      </w:pPr>
      <w:r>
        <w:rPr>
          <w:rFonts w:ascii="Arial" w:cs="Arial" w:eastAsia="Arial" w:hAnsi="Arial"/>
          <w:sz w:val="17"/>
          <w:szCs w:val="17"/>
          <w:color w:val="auto"/>
        </w:rPr>
        <w:t>Each of them is responsible for the timely filing of such Schedule 13G and any amendments thereto, and for the completeness and accuracy of the information concerning such person contained therein; but none of them is responsible for the completeness or accuracy of the information concerning the other persons making the filing, unless such person knows or has reason to believe that such information is inaccurate.</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16, 2016</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Management L.L.C.</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5715</wp:posOffset>
            </wp:positionV>
            <wp:extent cx="265874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AIV II-A, L.P.</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5715</wp:posOffset>
            </wp:positionV>
            <wp:extent cx="265874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PF Co-Investors A, L.P.</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5715</wp:posOffset>
            </wp:positionV>
            <wp:extent cx="265874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TSG6 AIV II L.P.</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5715</wp:posOffset>
            </wp:positionV>
            <wp:extent cx="265874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 PF Investment LLC</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AIV II L.P., its general manager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5715</wp:posOffset>
            </wp:positionV>
            <wp:extent cx="265874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TSG PF Investment II LLC</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AIV II L.P., its general manager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TSG6 Management L.L.C., its general partner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R. Wallace Wertsch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5715</wp:posOffset>
            </wp:positionV>
            <wp:extent cx="265874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 Wallace Wertsch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 Chief Financial Officer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lvl w:ilvl="1">
      <w:lvlJc w:val="left"/>
      <w:lvlText w:val="☒"/>
      <w:numFmt w:val="bullet"/>
      <w:start w:val="1"/>
    </w:lvl>
  </w:abstractNum>
  <w:abstractNum w:abstractNumId="2">
    <w:nsid w:val="2EB141F2"/>
    <w:multiLevelType w:val="hybridMultilevel"/>
    <w:lvl w:ilvl="0">
      <w:lvlJc w:val="left"/>
      <w:lvlText w:val="(%1)"/>
      <w:numFmt w:val="lowerLetter"/>
      <w:start w:val="1"/>
    </w:lvl>
  </w:abstractNum>
  <w:abstractNum w:abstractNumId="3">
    <w:nsid w:val="41B71EFB"/>
    <w:multiLevelType w:val="hybridMultilevel"/>
    <w:lvl w:ilvl="0">
      <w:lvlJc w:val="left"/>
      <w:lvlText w:val="(%1)"/>
      <w:numFmt w:val="lowerLetter"/>
      <w:start w:val="1"/>
    </w:lvl>
  </w:abstractNum>
  <w:abstractNum w:abstractNumId="4">
    <w:nsid w:val="79E2A9E3"/>
    <w:multiLevelType w:val="hybridMultilevel"/>
    <w:lvl w:ilvl="0">
      <w:lvlJc w:val="left"/>
      <w:lvlText w:val="(%1)"/>
      <w:numFmt w:val="lowerLetter"/>
      <w:start w:val="1"/>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1"/>
    </w:lvl>
  </w:abstractNum>
  <w:abstractNum w:abstractNumId="7">
    <w:nsid w:val="5BD062C2"/>
    <w:multiLevelType w:val="hybridMultilevel"/>
    <w:lvl w:ilvl="0">
      <w:lvlJc w:val="left"/>
      <w:lvlText w:val="(%1)"/>
      <w:numFmt w:val="lowerRoman"/>
      <w:start w:val="1"/>
    </w:lvl>
  </w:abstractNum>
  <w:abstractNum w:abstractNumId="8">
    <w:nsid w:val="12200854"/>
    <w:multiLevelType w:val="hybridMultilevel"/>
    <w:lvl w:ilvl="0">
      <w:lvlJc w:val="left"/>
      <w:lvlText w:val="(%1)"/>
      <w:numFmt w:val="lowerRoman"/>
      <w:start w:val="3"/>
    </w:lvl>
  </w:abstractNum>
  <w:abstractNum w:abstractNumId="9">
    <w:nsid w:val="4DB127F8"/>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2020-01-19T13:45:03Z</dcterms:created>
  <dcterms:modified xsi:type="dcterms:W3CDTF">2020-01-19T13:45:03Z</dcterms:modified>
</cp:coreProperties>
</file>