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
        <w:spacing w:after="0"/>
        <w:rPr>
          <w:sz w:val="20"/>
          <w:szCs w:val="20"/>
          <w:color w:val="auto"/>
        </w:rPr>
      </w:pPr>
      <w:r>
        <w:rPr>
          <w:rFonts w:ascii="Arial" w:cs="Arial" w:eastAsia="Arial" w:hAnsi="Arial"/>
          <w:sz w:val="16"/>
          <w:szCs w:val="16"/>
          <w:b w:val="1"/>
          <w:bCs w:val="1"/>
          <w:color w:val="auto"/>
        </w:rPr>
        <w:t>UNITED STATES</w:t>
      </w:r>
    </w:p>
    <w:p>
      <w:pPr>
        <w:spacing w:after="0" w:line="25" w:lineRule="exact"/>
        <w:rPr>
          <w:sz w:val="24"/>
          <w:szCs w:val="24"/>
          <w:color w:val="auto"/>
        </w:rPr>
      </w:pPr>
    </w:p>
    <w:p>
      <w:pPr>
        <w:jc w:val="center"/>
        <w:ind w:right="-3"/>
        <w:spacing w:after="0"/>
        <w:rPr>
          <w:sz w:val="20"/>
          <w:szCs w:val="20"/>
          <w:color w:val="auto"/>
        </w:rPr>
      </w:pPr>
      <w:r>
        <w:rPr>
          <w:rFonts w:ascii="Arial" w:cs="Arial" w:eastAsia="Arial" w:hAnsi="Arial"/>
          <w:sz w:val="16"/>
          <w:szCs w:val="16"/>
          <w:b w:val="1"/>
          <w:bCs w:val="1"/>
          <w:color w:val="auto"/>
        </w:rPr>
        <w:t>SECURITIES AND EXCHANGE COMMISSION</w:t>
      </w:r>
    </w:p>
    <w:p>
      <w:pPr>
        <w:spacing w:after="0" w:line="8" w:lineRule="exact"/>
        <w:rPr>
          <w:sz w:val="24"/>
          <w:szCs w:val="24"/>
          <w:color w:val="auto"/>
        </w:rPr>
      </w:pPr>
    </w:p>
    <w:p>
      <w:pPr>
        <w:jc w:val="center"/>
        <w:ind w:right="-3"/>
        <w:spacing w:after="0"/>
        <w:rPr>
          <w:sz w:val="20"/>
          <w:szCs w:val="20"/>
          <w:color w:val="auto"/>
        </w:rPr>
      </w:pPr>
      <w:r>
        <w:rPr>
          <w:rFonts w:ascii="Arial" w:cs="Arial" w:eastAsia="Arial" w:hAnsi="Arial"/>
          <w:sz w:val="16"/>
          <w:szCs w:val="16"/>
          <w:b w:val="1"/>
          <w:bCs w:val="1"/>
          <w:color w:val="auto"/>
        </w:rPr>
        <w:t>Washington, D.C. 20549</w:t>
      </w:r>
    </w:p>
    <w:p>
      <w:pPr>
        <w:spacing w:after="0" w:line="136" w:lineRule="exact"/>
        <w:rPr>
          <w:sz w:val="24"/>
          <w:szCs w:val="24"/>
          <w:color w:val="auto"/>
        </w:rPr>
      </w:pPr>
    </w:p>
    <w:p>
      <w:pPr>
        <w:jc w:val="center"/>
        <w:ind w:right="-3"/>
        <w:spacing w:after="0"/>
        <w:rPr>
          <w:sz w:val="20"/>
          <w:szCs w:val="20"/>
          <w:color w:val="auto"/>
        </w:rPr>
      </w:pPr>
      <w:r>
        <w:rPr>
          <w:rFonts w:ascii="Arial" w:cs="Arial" w:eastAsia="Arial" w:hAnsi="Arial"/>
          <w:sz w:val="16"/>
          <w:szCs w:val="16"/>
          <w:b w:val="1"/>
          <w:bCs w:val="1"/>
          <w:color w:val="auto"/>
        </w:rPr>
        <w:t>SCHEDULE 14A</w:t>
      </w:r>
    </w:p>
    <w:p>
      <w:pPr>
        <w:spacing w:after="0" w:line="156" w:lineRule="exact"/>
        <w:rPr>
          <w:sz w:val="24"/>
          <w:szCs w:val="24"/>
          <w:color w:val="auto"/>
        </w:rPr>
      </w:pPr>
    </w:p>
    <w:p>
      <w:pPr>
        <w:jc w:val="center"/>
        <w:ind w:right="-3"/>
        <w:spacing w:after="0"/>
        <w:rPr>
          <w:sz w:val="20"/>
          <w:szCs w:val="20"/>
          <w:color w:val="auto"/>
        </w:rPr>
      </w:pPr>
      <w:r>
        <w:rPr>
          <w:rFonts w:ascii="Arial" w:cs="Arial" w:eastAsia="Arial" w:hAnsi="Arial"/>
          <w:sz w:val="16"/>
          <w:szCs w:val="16"/>
          <w:color w:val="auto"/>
        </w:rPr>
        <w:t>Proxy Statement Pursuant to Section 14(a) of the Securities</w:t>
      </w:r>
    </w:p>
    <w:p>
      <w:pPr>
        <w:spacing w:after="0" w:line="21" w:lineRule="exact"/>
        <w:rPr>
          <w:sz w:val="24"/>
          <w:szCs w:val="24"/>
          <w:color w:val="auto"/>
        </w:rPr>
      </w:pPr>
    </w:p>
    <w:p>
      <w:pPr>
        <w:ind w:left="4164"/>
        <w:spacing w:after="0"/>
        <w:tabs>
          <w:tab w:leader="none" w:pos="7184" w:val="left"/>
        </w:tabs>
        <w:rPr>
          <w:sz w:val="20"/>
          <w:szCs w:val="20"/>
          <w:color w:val="auto"/>
        </w:rPr>
      </w:pPr>
      <w:r>
        <w:rPr>
          <w:rFonts w:ascii="Arial" w:cs="Arial" w:eastAsia="Arial" w:hAnsi="Arial"/>
          <w:sz w:val="16"/>
          <w:szCs w:val="16"/>
          <w:color w:val="auto"/>
        </w:rPr>
        <w:t>Exchange Act of 1934 (Amendment No.</w:t>
      </w:r>
      <w:r>
        <w:rPr>
          <w:sz w:val="20"/>
          <w:szCs w:val="20"/>
          <w:color w:val="auto"/>
        </w:rPr>
        <w:tab/>
      </w:r>
      <w:r>
        <w:rPr>
          <w:rFonts w:ascii="Arial" w:cs="Arial" w:eastAsia="Arial" w:hAnsi="Arial"/>
          <w:sz w:val="16"/>
          <w:szCs w:val="16"/>
          <w:color w:val="auto"/>
        </w:rPr>
        <w:t>)</w:t>
      </w:r>
    </w:p>
    <w:p>
      <w:pPr>
        <w:spacing w:after="0" w:line="62" w:lineRule="exact"/>
        <w:rPr>
          <w:sz w:val="24"/>
          <w:szCs w:val="24"/>
          <w:color w:val="auto"/>
        </w:rPr>
      </w:pPr>
    </w:p>
    <w:p>
      <w:pPr>
        <w:ind w:left="4"/>
        <w:spacing w:after="0" w:line="184" w:lineRule="exact"/>
        <w:rPr>
          <w:sz w:val="20"/>
          <w:szCs w:val="20"/>
          <w:color w:val="auto"/>
        </w:rPr>
      </w:pPr>
      <w:r>
        <w:rPr>
          <w:rFonts w:ascii="Arial" w:cs="Arial" w:eastAsia="Arial" w:hAnsi="Arial"/>
          <w:sz w:val="16"/>
          <w:szCs w:val="16"/>
          <w:color w:val="auto"/>
        </w:rPr>
        <w:t xml:space="preserve">Filed by the Registrant </w:t>
      </w:r>
      <w:r>
        <w:rPr>
          <w:rFonts w:ascii="MS PGothic" w:cs="MS PGothic" w:eastAsia="MS PGothic" w:hAnsi="MS PGothic"/>
          <w:sz w:val="16"/>
          <w:szCs w:val="16"/>
          <w:color w:val="auto"/>
        </w:rPr>
        <w:t>☒</w:t>
      </w:r>
    </w:p>
    <w:p>
      <w:pPr>
        <w:spacing w:after="0" w:line="46" w:lineRule="exact"/>
        <w:rPr>
          <w:sz w:val="24"/>
          <w:szCs w:val="24"/>
          <w:color w:val="auto"/>
        </w:rPr>
      </w:pPr>
    </w:p>
    <w:p>
      <w:pPr>
        <w:ind w:left="4"/>
        <w:spacing w:after="0" w:line="184" w:lineRule="exact"/>
        <w:rPr>
          <w:sz w:val="20"/>
          <w:szCs w:val="20"/>
          <w:color w:val="auto"/>
        </w:rPr>
      </w:pPr>
      <w:r>
        <w:rPr>
          <w:rFonts w:ascii="Arial" w:cs="Arial" w:eastAsia="Arial" w:hAnsi="Arial"/>
          <w:sz w:val="16"/>
          <w:szCs w:val="16"/>
          <w:color w:val="auto"/>
        </w:rPr>
        <w:t xml:space="preserve">Filed by a Party other than the Registrant </w:t>
      </w:r>
      <w:r>
        <w:rPr>
          <w:rFonts w:ascii="MS PGothic" w:cs="MS PGothic" w:eastAsia="MS PGothic" w:hAnsi="MS PGothic"/>
          <w:sz w:val="16"/>
          <w:szCs w:val="16"/>
          <w:color w:val="auto"/>
        </w:rPr>
        <w:t>☐</w:t>
      </w:r>
    </w:p>
    <w:p>
      <w:pPr>
        <w:spacing w:after="0" w:line="96" w:lineRule="exact"/>
        <w:rPr>
          <w:sz w:val="24"/>
          <w:szCs w:val="24"/>
          <w:color w:val="auto"/>
        </w:rPr>
      </w:pPr>
    </w:p>
    <w:p>
      <w:pPr>
        <w:ind w:left="4"/>
        <w:spacing w:after="0"/>
        <w:rPr>
          <w:sz w:val="20"/>
          <w:szCs w:val="20"/>
          <w:color w:val="auto"/>
        </w:rPr>
      </w:pPr>
      <w:r>
        <w:rPr>
          <w:rFonts w:ascii="Arial" w:cs="Arial" w:eastAsia="Arial" w:hAnsi="Arial"/>
          <w:sz w:val="16"/>
          <w:szCs w:val="16"/>
          <w:color w:val="auto"/>
        </w:rPr>
        <w:t>Check the appropriate box:</w:t>
      </w:r>
    </w:p>
    <w:p>
      <w:pPr>
        <w:spacing w:after="0" w:line="56" w:lineRule="exact"/>
        <w:rPr>
          <w:sz w:val="24"/>
          <w:szCs w:val="24"/>
          <w:color w:val="auto"/>
        </w:rPr>
      </w:pPr>
    </w:p>
    <w:p>
      <w:pPr>
        <w:ind w:left="504" w:hanging="504"/>
        <w:spacing w:after="0"/>
        <w:tabs>
          <w:tab w:leader="none" w:pos="50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Preliminary Proxy Statement</w:t>
      </w:r>
    </w:p>
    <w:p>
      <w:pPr>
        <w:spacing w:after="0" w:line="22" w:lineRule="exact"/>
        <w:rPr>
          <w:rFonts w:ascii="MS PGothic" w:cs="MS PGothic" w:eastAsia="MS PGothic" w:hAnsi="MS PGothic"/>
          <w:sz w:val="16"/>
          <w:szCs w:val="16"/>
          <w:color w:val="auto"/>
        </w:rPr>
      </w:pPr>
    </w:p>
    <w:p>
      <w:pPr>
        <w:ind w:left="504" w:hanging="504"/>
        <w:spacing w:after="0"/>
        <w:tabs>
          <w:tab w:leader="none" w:pos="50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Confidential, for Use of the Commission Only (as permitted by Rule 14a-6(e)(2))</w:t>
      </w:r>
    </w:p>
    <w:p>
      <w:pPr>
        <w:spacing w:after="0" w:line="8" w:lineRule="exact"/>
        <w:rPr>
          <w:rFonts w:ascii="MS PGothic" w:cs="MS PGothic" w:eastAsia="MS PGothic" w:hAnsi="MS PGothic"/>
          <w:sz w:val="16"/>
          <w:szCs w:val="16"/>
          <w:color w:val="auto"/>
        </w:rPr>
      </w:pPr>
    </w:p>
    <w:p>
      <w:pPr>
        <w:ind w:left="504" w:hanging="504"/>
        <w:spacing w:after="0"/>
        <w:tabs>
          <w:tab w:leader="none" w:pos="504" w:val="left"/>
        </w:tabs>
        <w:numPr>
          <w:ilvl w:val="0"/>
          <w:numId w:val="1"/>
        </w:numPr>
        <w:rPr>
          <w:rFonts w:ascii="MS PGothic" w:cs="MS PGothic" w:eastAsia="MS PGothic" w:hAnsi="MS PGothic"/>
          <w:sz w:val="16"/>
          <w:szCs w:val="16"/>
          <w:color w:val="auto"/>
        </w:rPr>
      </w:pPr>
      <w:r>
        <w:rPr>
          <w:rFonts w:ascii="Arial" w:cs="Arial" w:eastAsia="Arial" w:hAnsi="Arial"/>
          <w:sz w:val="16"/>
          <w:szCs w:val="16"/>
          <w:color w:val="auto"/>
        </w:rPr>
        <w:t>Definitive Proxy Statement</w:t>
      </w:r>
    </w:p>
    <w:p>
      <w:pPr>
        <w:spacing w:after="0" w:line="2" w:lineRule="exact"/>
        <w:rPr>
          <w:sz w:val="24"/>
          <w:szCs w:val="24"/>
          <w:color w:val="auto"/>
        </w:rPr>
      </w:pPr>
    </w:p>
    <w:p>
      <w:pPr>
        <w:ind w:left="504" w:hanging="504"/>
        <w:spacing w:after="0"/>
        <w:tabs>
          <w:tab w:leader="none" w:pos="504" w:val="left"/>
        </w:tabs>
        <w:numPr>
          <w:ilvl w:val="0"/>
          <w:numId w:val="2"/>
        </w:numPr>
        <w:rPr>
          <w:rFonts w:ascii="MS PGothic" w:cs="MS PGothic" w:eastAsia="MS PGothic" w:hAnsi="MS PGothic"/>
          <w:sz w:val="16"/>
          <w:szCs w:val="16"/>
          <w:color w:val="auto"/>
        </w:rPr>
      </w:pPr>
      <w:r>
        <w:rPr>
          <w:rFonts w:ascii="Arial" w:cs="Arial" w:eastAsia="Arial" w:hAnsi="Arial"/>
          <w:sz w:val="16"/>
          <w:szCs w:val="16"/>
          <w:color w:val="auto"/>
        </w:rPr>
        <w:t>Definitive Additional Materials</w:t>
      </w:r>
    </w:p>
    <w:p>
      <w:pPr>
        <w:spacing w:after="0" w:line="8" w:lineRule="exact"/>
        <w:rPr>
          <w:sz w:val="24"/>
          <w:szCs w:val="24"/>
          <w:color w:val="auto"/>
        </w:rPr>
      </w:pPr>
    </w:p>
    <w:p>
      <w:pPr>
        <w:ind w:left="504" w:hanging="504"/>
        <w:spacing w:after="0"/>
        <w:tabs>
          <w:tab w:leader="none" w:pos="504" w:val="left"/>
        </w:tabs>
        <w:numPr>
          <w:ilvl w:val="0"/>
          <w:numId w:val="3"/>
        </w:numPr>
        <w:rPr>
          <w:rFonts w:ascii="MS PGothic" w:cs="MS PGothic" w:eastAsia="MS PGothic" w:hAnsi="MS PGothic"/>
          <w:sz w:val="16"/>
          <w:szCs w:val="16"/>
          <w:color w:val="auto"/>
        </w:rPr>
      </w:pPr>
      <w:r>
        <w:rPr>
          <w:rFonts w:ascii="Arial" w:cs="Arial" w:eastAsia="Arial" w:hAnsi="Arial"/>
          <w:sz w:val="16"/>
          <w:szCs w:val="16"/>
          <w:color w:val="auto"/>
        </w:rPr>
        <w:t>Soliciting Material Pursuant to §240.14a-12</w:t>
      </w:r>
    </w:p>
    <w:p>
      <w:pPr>
        <w:spacing w:after="0" w:line="140" w:lineRule="exact"/>
        <w:rPr>
          <w:sz w:val="24"/>
          <w:szCs w:val="24"/>
          <w:color w:val="auto"/>
        </w:rPr>
      </w:pPr>
    </w:p>
    <w:p>
      <w:pPr>
        <w:jc w:val="center"/>
        <w:ind w:right="-3"/>
        <w:spacing w:after="0"/>
        <w:rPr>
          <w:sz w:val="20"/>
          <w:szCs w:val="20"/>
          <w:color w:val="auto"/>
        </w:rPr>
      </w:pPr>
      <w:r>
        <w:rPr>
          <w:rFonts w:ascii="Arial" w:cs="Arial" w:eastAsia="Arial" w:hAnsi="Arial"/>
          <w:sz w:val="16"/>
          <w:szCs w:val="16"/>
          <w:b w:val="1"/>
          <w:bCs w:val="1"/>
          <w:color w:val="auto"/>
        </w:rPr>
        <w:t>Planet Fitness, Inc.</w:t>
      </w:r>
    </w:p>
    <w:p>
      <w:pPr>
        <w:spacing w:after="0" w:line="36" w:lineRule="exact"/>
        <w:rPr>
          <w:sz w:val="24"/>
          <w:szCs w:val="24"/>
          <w:color w:val="auto"/>
        </w:rPr>
      </w:pPr>
    </w:p>
    <w:p>
      <w:pPr>
        <w:jc w:val="center"/>
        <w:ind w:right="-3"/>
        <w:spacing w:after="0"/>
        <w:rPr>
          <w:sz w:val="20"/>
          <w:szCs w:val="20"/>
          <w:color w:val="auto"/>
        </w:rPr>
      </w:pPr>
      <w:r>
        <w:rPr>
          <w:rFonts w:ascii="Arial" w:cs="Arial" w:eastAsia="Arial" w:hAnsi="Arial"/>
          <w:sz w:val="16"/>
          <w:szCs w:val="16"/>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-115570</wp:posOffset>
            </wp:positionV>
            <wp:extent cx="7261860" cy="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1860" cy="7620"/>
                    </a:xfrm>
                    <a:prstGeom prst="rect">
                      <a:avLst/>
                    </a:prstGeom>
                    <a:noFill/>
                  </pic:spPr>
                </pic:pic>
              </a:graphicData>
            </a:graphic>
          </wp:anchor>
        </w:drawing>
      </w:r>
    </w:p>
    <w:p>
      <w:pPr>
        <w:spacing w:after="0" w:line="313" w:lineRule="exact"/>
        <w:rPr>
          <w:sz w:val="24"/>
          <w:szCs w:val="24"/>
          <w:color w:val="auto"/>
        </w:rPr>
      </w:pPr>
    </w:p>
    <w:p>
      <w:pPr>
        <w:jc w:val="center"/>
        <w:ind w:right="-3"/>
        <w:spacing w:after="0"/>
        <w:rPr>
          <w:sz w:val="20"/>
          <w:szCs w:val="20"/>
          <w:color w:val="auto"/>
        </w:rPr>
      </w:pPr>
      <w:r>
        <w:rPr>
          <w:rFonts w:ascii="Arial" w:cs="Arial" w:eastAsia="Arial" w:hAnsi="Arial"/>
          <w:sz w:val="16"/>
          <w:szCs w:val="16"/>
          <w:color w:val="auto"/>
        </w:rPr>
        <w:t>(Name of Person(s) Filing Proxy Statement, if other than the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-115570</wp:posOffset>
            </wp:positionV>
            <wp:extent cx="7261860"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1860" cy="7620"/>
                    </a:xfrm>
                    <a:prstGeom prst="rect">
                      <a:avLst/>
                    </a:prstGeom>
                    <a:noFill/>
                  </pic:spPr>
                </pic:pic>
              </a:graphicData>
            </a:graphic>
          </wp:anchor>
        </w:drawing>
      </w:r>
    </w:p>
    <w:p>
      <w:pPr>
        <w:spacing w:after="0" w:line="84" w:lineRule="exact"/>
        <w:rPr>
          <w:sz w:val="24"/>
          <w:szCs w:val="24"/>
          <w:color w:val="auto"/>
        </w:rPr>
      </w:pPr>
    </w:p>
    <w:p>
      <w:pPr>
        <w:ind w:left="4"/>
        <w:spacing w:after="0"/>
        <w:rPr>
          <w:sz w:val="20"/>
          <w:szCs w:val="20"/>
          <w:color w:val="auto"/>
        </w:rPr>
      </w:pPr>
      <w:r>
        <w:rPr>
          <w:rFonts w:ascii="Arial" w:cs="Arial" w:eastAsia="Arial" w:hAnsi="Arial"/>
          <w:sz w:val="16"/>
          <w:szCs w:val="16"/>
          <w:color w:val="auto"/>
        </w:rPr>
        <w:t>Payment of Filing Fee (Check the appropriate box):</w:t>
      </w:r>
    </w:p>
    <w:p>
      <w:pPr>
        <w:spacing w:after="0" w:line="16" w:lineRule="exact"/>
        <w:rPr>
          <w:sz w:val="24"/>
          <w:szCs w:val="24"/>
          <w:color w:val="auto"/>
        </w:rPr>
      </w:pPr>
    </w:p>
    <w:p>
      <w:pPr>
        <w:ind w:left="504" w:hanging="504"/>
        <w:spacing w:after="0"/>
        <w:tabs>
          <w:tab w:leader="none" w:pos="504" w:val="left"/>
        </w:tabs>
        <w:numPr>
          <w:ilvl w:val="0"/>
          <w:numId w:val="4"/>
        </w:numPr>
        <w:rPr>
          <w:rFonts w:ascii="MS PGothic" w:cs="MS PGothic" w:eastAsia="MS PGothic" w:hAnsi="MS PGothic"/>
          <w:sz w:val="16"/>
          <w:szCs w:val="16"/>
          <w:color w:val="auto"/>
        </w:rPr>
      </w:pPr>
      <w:r>
        <w:rPr>
          <w:rFonts w:ascii="Arial" w:cs="Arial" w:eastAsia="Arial" w:hAnsi="Arial"/>
          <w:sz w:val="16"/>
          <w:szCs w:val="16"/>
          <w:color w:val="auto"/>
        </w:rPr>
        <w:t>No fee required.</w:t>
      </w:r>
    </w:p>
    <w:p>
      <w:pPr>
        <w:spacing w:after="0" w:line="8" w:lineRule="exact"/>
        <w:rPr>
          <w:sz w:val="24"/>
          <w:szCs w:val="24"/>
          <w:color w:val="auto"/>
        </w:rPr>
      </w:pPr>
    </w:p>
    <w:p>
      <w:pPr>
        <w:ind w:left="504" w:hanging="504"/>
        <w:spacing w:after="0"/>
        <w:tabs>
          <w:tab w:leader="none" w:pos="504"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computed on table below per Exchange Act Rules 14a-6(i)(1) and 0-11.</w:t>
      </w:r>
    </w:p>
    <w:p>
      <w:pPr>
        <w:spacing w:after="0" w:line="48" w:lineRule="exact"/>
        <w:rPr>
          <w:rFonts w:ascii="MS PGothic" w:cs="MS PGothic" w:eastAsia="MS PGothic" w:hAnsi="MS PGothic"/>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Title of each class of securities to which transaction applies:</w:t>
      </w:r>
    </w:p>
    <w:p>
      <w:pPr>
        <w:spacing w:after="0" w:line="320"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Aggregate number of securities to which transaction applies:</w:t>
      </w:r>
    </w:p>
    <w:p>
      <w:pPr>
        <w:spacing w:after="0" w:line="320" w:lineRule="exact"/>
        <w:rPr>
          <w:rFonts w:ascii="Arial" w:cs="Arial" w:eastAsia="Arial" w:hAnsi="Arial"/>
          <w:sz w:val="16"/>
          <w:szCs w:val="16"/>
          <w:color w:val="auto"/>
        </w:rPr>
      </w:pPr>
    </w:p>
    <w:p>
      <w:pPr>
        <w:ind w:left="1004" w:hanging="499"/>
        <w:spacing w:after="0" w:line="277" w:lineRule="auto"/>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Per unit price or other underlying value of transaction computed pursuant to Exchange Act Rule 0-11 (set forth the amount on which the filing fee is calculated and state how it was determined):</w:t>
      </w:r>
    </w:p>
    <w:p>
      <w:pPr>
        <w:spacing w:after="0" w:line="284"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Proposed maximum aggregate value of transaction:</w:t>
      </w:r>
    </w:p>
    <w:p>
      <w:pPr>
        <w:spacing w:after="0" w:line="320"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Total fee paid:</w:t>
      </w:r>
    </w:p>
    <w:p>
      <w:pPr>
        <w:spacing w:after="0" w:line="320" w:lineRule="exact"/>
        <w:rPr>
          <w:rFonts w:ascii="Arial" w:cs="Arial" w:eastAsia="Arial" w:hAnsi="Arial"/>
          <w:sz w:val="16"/>
          <w:szCs w:val="16"/>
          <w:color w:val="auto"/>
        </w:rPr>
      </w:pPr>
    </w:p>
    <w:p>
      <w:pPr>
        <w:ind w:left="504" w:hanging="504"/>
        <w:spacing w:after="0"/>
        <w:tabs>
          <w:tab w:leader="none" w:pos="504"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Fee paid previously with preliminary materials.</w:t>
      </w:r>
    </w:p>
    <w:p>
      <w:pPr>
        <w:spacing w:after="0" w:line="22" w:lineRule="exact"/>
        <w:rPr>
          <w:rFonts w:ascii="MS PGothic" w:cs="MS PGothic" w:eastAsia="MS PGothic" w:hAnsi="MS PGothic"/>
          <w:sz w:val="16"/>
          <w:szCs w:val="16"/>
          <w:color w:val="auto"/>
        </w:rPr>
      </w:pPr>
    </w:p>
    <w:p>
      <w:pPr>
        <w:ind w:left="504" w:hanging="504"/>
        <w:spacing w:after="0" w:line="259" w:lineRule="auto"/>
        <w:tabs>
          <w:tab w:leader="none" w:pos="504" w:val="left"/>
        </w:tabs>
        <w:numPr>
          <w:ilvl w:val="0"/>
          <w:numId w:val="5"/>
        </w:numPr>
        <w:rPr>
          <w:rFonts w:ascii="MS PGothic" w:cs="MS PGothic" w:eastAsia="MS PGothic" w:hAnsi="MS PGothic"/>
          <w:sz w:val="16"/>
          <w:szCs w:val="16"/>
          <w:color w:val="auto"/>
        </w:rPr>
      </w:pPr>
      <w:r>
        <w:rPr>
          <w:rFonts w:ascii="Arial" w:cs="Arial" w:eastAsia="Arial" w:hAnsi="Arial"/>
          <w:sz w:val="16"/>
          <w:szCs w:val="16"/>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1" w:lineRule="exact"/>
        <w:rPr>
          <w:rFonts w:ascii="MS PGothic" w:cs="MS PGothic" w:eastAsia="MS PGothic" w:hAnsi="MS PGothic"/>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Amount Previously Paid:</w:t>
      </w:r>
    </w:p>
    <w:p>
      <w:pPr>
        <w:spacing w:after="0" w:line="332"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Form, Schedule or Registration Statement No.:</w:t>
      </w:r>
    </w:p>
    <w:p>
      <w:pPr>
        <w:spacing w:after="0" w:line="320"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Filing Party:</w:t>
      </w:r>
    </w:p>
    <w:p>
      <w:pPr>
        <w:spacing w:after="0" w:line="320" w:lineRule="exact"/>
        <w:rPr>
          <w:rFonts w:ascii="Arial" w:cs="Arial" w:eastAsia="Arial" w:hAnsi="Arial"/>
          <w:sz w:val="16"/>
          <w:szCs w:val="16"/>
          <w:color w:val="auto"/>
        </w:rPr>
      </w:pPr>
    </w:p>
    <w:p>
      <w:pPr>
        <w:ind w:left="1004" w:hanging="499"/>
        <w:spacing w:after="0"/>
        <w:tabs>
          <w:tab w:leader="none" w:pos="1004" w:val="left"/>
        </w:tabs>
        <w:numPr>
          <w:ilvl w:val="1"/>
          <w:numId w:val="5"/>
        </w:numPr>
        <w:rPr>
          <w:rFonts w:ascii="Arial" w:cs="Arial" w:eastAsia="Arial" w:hAnsi="Arial"/>
          <w:sz w:val="16"/>
          <w:szCs w:val="16"/>
          <w:color w:val="auto"/>
        </w:rPr>
      </w:pPr>
      <w:r>
        <w:rPr>
          <w:rFonts w:ascii="Arial" w:cs="Arial" w:eastAsia="Arial" w:hAnsi="Arial"/>
          <w:sz w:val="16"/>
          <w:szCs w:val="16"/>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648335</wp:posOffset>
            </wp:positionH>
            <wp:positionV relativeFrom="paragraph">
              <wp:posOffset>-2922905</wp:posOffset>
            </wp:positionV>
            <wp:extent cx="6613525"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-2602865</wp:posOffset>
            </wp:positionV>
            <wp:extent cx="6613525" cy="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-2152650</wp:posOffset>
            </wp:positionV>
            <wp:extent cx="6613525" cy="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-1831975</wp:posOffset>
            </wp:positionV>
            <wp:extent cx="6613525" cy="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-1511935</wp:posOffset>
            </wp:positionV>
            <wp:extent cx="6613525" cy="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-787400</wp:posOffset>
            </wp:positionV>
            <wp:extent cx="6613525" cy="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-466725</wp:posOffset>
            </wp:positionV>
            <wp:extent cx="6613525" cy="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-146685</wp:posOffset>
            </wp:positionV>
            <wp:extent cx="6613525"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648335</wp:posOffset>
            </wp:positionH>
            <wp:positionV relativeFrom="paragraph">
              <wp:posOffset>180975</wp:posOffset>
            </wp:positionV>
            <wp:extent cx="6613525"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613525" cy="7620"/>
                    </a:xfrm>
                    <a:prstGeom prst="rect">
                      <a:avLst/>
                    </a:prstGeom>
                    <a:noFill/>
                  </pic:spPr>
                </pic:pic>
              </a:graphicData>
            </a:graphic>
          </wp:anchor>
        </w:drawing>
        <w:drawing>
          <wp:anchor simplePos="0" relativeHeight="251657728" behindDoc="1" locked="0" layoutInCell="0" allowOverlap="1">
            <wp:simplePos x="0" y="0"/>
            <wp:positionH relativeFrom="column">
              <wp:posOffset>-12065</wp:posOffset>
            </wp:positionH>
            <wp:positionV relativeFrom="paragraph">
              <wp:posOffset>358775</wp:posOffset>
            </wp:positionV>
            <wp:extent cx="7302500" cy="406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302500" cy="40640"/>
                    </a:xfrm>
                    <a:prstGeom prst="rect">
                      <a:avLst/>
                    </a:prstGeom>
                    <a:noFill/>
                  </pic:spPr>
                </pic:pic>
              </a:graphicData>
            </a:graphic>
          </wp:anchor>
        </w:drawing>
      </w:r>
    </w:p>
    <w:p>
      <w:pPr>
        <w:sectPr>
          <w:pgSz w:w="11900" w:h="16838" w:orient="portrait"/>
          <w:cols w:equalWidth="0" w:num="1">
            <w:col w:w="11424"/>
          </w:cols>
          <w:pgMar w:left="236" w:top="219" w:right="239" w:bottom="1440" w:gutter="0" w:footer="0" w:header="0"/>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137160</wp:posOffset>
            </wp:positionH>
            <wp:positionV relativeFrom="page">
              <wp:posOffset>210820</wp:posOffset>
            </wp:positionV>
            <wp:extent cx="7302500" cy="47345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302500" cy="473456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137160</wp:posOffset>
            </wp:positionH>
            <wp:positionV relativeFrom="page">
              <wp:posOffset>88900</wp:posOffset>
            </wp:positionV>
            <wp:extent cx="7330440" cy="5001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30440" cy="500126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3" w:name="page4"/>
    <w:bookmarkEnd w:id="3"/>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137160</wp:posOffset>
            </wp:positionH>
            <wp:positionV relativeFrom="page">
              <wp:posOffset>88900</wp:posOffset>
            </wp:positionV>
            <wp:extent cx="7302500" cy="2186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302500" cy="21869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4" w:name="page5"/>
    <w:bookmarkEnd w:id="4"/>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241300</wp:posOffset>
            </wp:positionH>
            <wp:positionV relativeFrom="page">
              <wp:posOffset>1858645</wp:posOffset>
            </wp:positionV>
            <wp:extent cx="7078980" cy="30587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7078980" cy="305879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2020-01-20T03:10:52Z</dcterms:created>
  <dcterms:modified xsi:type="dcterms:W3CDTF">2020-01-20T03:10:52Z</dcterms:modified>
</cp:coreProperties>
</file>