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22"/>
          <w:szCs w:val="22"/>
          <w:b w:val="1"/>
          <w:bCs w:val="1"/>
          <w:color w:val="auto"/>
        </w:rPr>
        <w:t>UNITED STATES</w:t>
      </w:r>
    </w:p>
    <w:p>
      <w:pPr>
        <w:spacing w:after="0" w:line="4"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79"/>
        <w:spacing w:after="0"/>
        <w:rPr>
          <w:sz w:val="20"/>
          <w:szCs w:val="20"/>
          <w:color w:val="auto"/>
        </w:rPr>
      </w:pPr>
      <w:r>
        <w:rPr>
          <w:rFonts w:ascii="Arial" w:cs="Arial" w:eastAsia="Arial" w:hAnsi="Arial"/>
          <w:sz w:val="22"/>
          <w:szCs w:val="22"/>
          <w:b w:val="1"/>
          <w:bCs w:val="1"/>
          <w:color w:val="auto"/>
        </w:rPr>
        <w:t>Washington, D.C. 20549</w:t>
      </w:r>
    </w:p>
    <w:p>
      <w:pPr>
        <w:spacing w:after="0" w:line="254" w:lineRule="exact"/>
        <w:rPr>
          <w:sz w:val="24"/>
          <w:szCs w:val="24"/>
          <w:color w:val="auto"/>
        </w:rPr>
      </w:pPr>
    </w:p>
    <w:p>
      <w:pPr>
        <w:jc w:val="center"/>
        <w:ind w:right="-79"/>
        <w:spacing w:after="0"/>
        <w:rPr>
          <w:sz w:val="20"/>
          <w:szCs w:val="20"/>
          <w:color w:val="auto"/>
        </w:rPr>
      </w:pPr>
      <w:r>
        <w:rPr>
          <w:rFonts w:ascii="Arial" w:cs="Arial" w:eastAsia="Arial" w:hAnsi="Arial"/>
          <w:sz w:val="25"/>
          <w:szCs w:val="25"/>
          <w:b w:val="1"/>
          <w:bCs w:val="1"/>
          <w:color w:val="auto"/>
        </w:rPr>
        <w:t>SCHEDULE 13G</w:t>
      </w:r>
    </w:p>
    <w:p>
      <w:pPr>
        <w:spacing w:after="0" w:line="30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83" w:lineRule="exact"/>
        <w:rPr>
          <w:sz w:val="24"/>
          <w:szCs w:val="24"/>
          <w:color w:val="auto"/>
        </w:rPr>
      </w:pPr>
    </w:p>
    <w:p>
      <w:pPr>
        <w:jc w:val="center"/>
        <w:ind w:right="-79"/>
        <w:spacing w:after="0"/>
        <w:rPr>
          <w:sz w:val="20"/>
          <w:szCs w:val="20"/>
          <w:color w:val="auto"/>
        </w:rPr>
      </w:pPr>
      <w:r>
        <w:rPr>
          <w:rFonts w:ascii="Arial" w:cs="Arial" w:eastAsia="Arial" w:hAnsi="Arial"/>
          <w:sz w:val="22"/>
          <w:szCs w:val="22"/>
          <w:b w:val="1"/>
          <w:bCs w:val="1"/>
          <w:color w:val="auto"/>
        </w:rPr>
        <w:t>(Amendment No. 1 )</w:t>
      </w:r>
      <w:r>
        <w:rPr>
          <w:rFonts w:ascii="Arial" w:cs="Arial" w:eastAsia="Arial" w:hAnsi="Arial"/>
          <w:sz w:val="36"/>
          <w:szCs w:val="36"/>
          <w:b w:val="1"/>
          <w:bCs w:val="1"/>
          <w:color w:val="auto"/>
          <w:vertAlign w:val="superscript"/>
        </w:rPr>
        <w:t>*</w:t>
      </w:r>
    </w:p>
    <w:p>
      <w:pPr>
        <w:spacing w:after="0" w:line="200" w:lineRule="exact"/>
        <w:rPr>
          <w:sz w:val="24"/>
          <w:szCs w:val="24"/>
          <w:color w:val="auto"/>
        </w:rPr>
      </w:pPr>
    </w:p>
    <w:p>
      <w:pPr>
        <w:spacing w:after="0" w:line="382"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Planet Fitness,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80"/>
        <w:spacing w:after="0"/>
        <w:rPr>
          <w:sz w:val="20"/>
          <w:szCs w:val="20"/>
          <w:color w:val="auto"/>
        </w:rPr>
      </w:pPr>
      <w:r>
        <w:rPr>
          <w:rFonts w:ascii="Arial" w:cs="Arial" w:eastAsia="Arial" w:hAnsi="Arial"/>
          <w:sz w:val="22"/>
          <w:szCs w:val="22"/>
          <w:color w:val="auto"/>
        </w:rPr>
        <w:t>(Name of Issuer)</w:t>
      </w:r>
    </w:p>
    <w:p>
      <w:pPr>
        <w:spacing w:after="0" w:line="206" w:lineRule="exact"/>
        <w:rPr>
          <w:sz w:val="24"/>
          <w:szCs w:val="24"/>
          <w:color w:val="auto"/>
        </w:rPr>
      </w:pPr>
    </w:p>
    <w:p>
      <w:pPr>
        <w:ind w:left="5040"/>
        <w:spacing w:after="0"/>
        <w:rPr>
          <w:sz w:val="20"/>
          <w:szCs w:val="20"/>
          <w:color w:val="auto"/>
        </w:rPr>
      </w:pPr>
      <w:r>
        <w:rPr>
          <w:rFonts w:ascii="Arial" w:cs="Arial" w:eastAsia="Arial" w:hAnsi="Arial"/>
          <w:sz w:val="22"/>
          <w:szCs w:val="22"/>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(Title of Class of Securities)</w:t>
      </w:r>
    </w:p>
    <w:p>
      <w:pPr>
        <w:spacing w:after="0" w:line="206" w:lineRule="exact"/>
        <w:rPr>
          <w:sz w:val="24"/>
          <w:szCs w:val="24"/>
          <w:color w:val="auto"/>
        </w:rPr>
      </w:pPr>
    </w:p>
    <w:p>
      <w:pPr>
        <w:jc w:val="center"/>
        <w:ind w:right="-79"/>
        <w:spacing w:after="0"/>
        <w:rPr>
          <w:sz w:val="20"/>
          <w:szCs w:val="20"/>
          <w:color w:val="auto"/>
        </w:rPr>
      </w:pPr>
      <w:r>
        <w:rPr>
          <w:rFonts w:ascii="Arial" w:cs="Arial" w:eastAsia="Arial" w:hAnsi="Arial"/>
          <w:sz w:val="22"/>
          <w:szCs w:val="22"/>
          <w:color w:val="auto"/>
        </w:rPr>
        <w:t>72703H101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4960"/>
        <w:spacing w:after="0"/>
        <w:rPr>
          <w:sz w:val="20"/>
          <w:szCs w:val="20"/>
          <w:color w:val="auto"/>
        </w:rPr>
      </w:pPr>
      <w:r>
        <w:rPr>
          <w:rFonts w:ascii="Arial" w:cs="Arial" w:eastAsia="Arial" w:hAnsi="Arial"/>
          <w:sz w:val="22"/>
          <w:szCs w:val="22"/>
          <w:color w:val="auto"/>
        </w:rPr>
        <w:t>(CUSIP Number)</w:t>
      </w:r>
    </w:p>
    <w:p>
      <w:pPr>
        <w:spacing w:after="0" w:line="206" w:lineRule="exact"/>
        <w:rPr>
          <w:sz w:val="24"/>
          <w:szCs w:val="24"/>
          <w:color w:val="auto"/>
        </w:rPr>
      </w:pPr>
    </w:p>
    <w:p>
      <w:pPr>
        <w:ind w:left="4840"/>
        <w:spacing w:after="0"/>
        <w:rPr>
          <w:sz w:val="20"/>
          <w:szCs w:val="20"/>
          <w:color w:val="auto"/>
        </w:rPr>
      </w:pPr>
      <w:r>
        <w:rPr>
          <w:rFonts w:ascii="Arial" w:cs="Arial" w:eastAsia="Arial" w:hAnsi="Arial"/>
          <w:sz w:val="22"/>
          <w:szCs w:val="22"/>
          <w:color w:val="auto"/>
        </w:rPr>
        <w:t>December 29, 2017</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723265</wp:posOffset>
            </wp:positionH>
            <wp:positionV relativeFrom="paragraph">
              <wp:posOffset>142240</wp:posOffset>
            </wp:positionV>
            <wp:extent cx="5818505"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321" w:lineRule="exact"/>
        <w:rPr>
          <w:sz w:val="24"/>
          <w:szCs w:val="24"/>
          <w:color w:val="auto"/>
        </w:rPr>
      </w:pPr>
    </w:p>
    <w:p>
      <w:pPr>
        <w:ind w:left="3280"/>
        <w:spacing w:after="0"/>
        <w:rPr>
          <w:sz w:val="20"/>
          <w:szCs w:val="20"/>
          <w:color w:val="auto"/>
        </w:rPr>
      </w:pPr>
      <w:r>
        <w:rPr>
          <w:rFonts w:ascii="Arial" w:cs="Arial" w:eastAsia="Arial" w:hAnsi="Arial"/>
          <w:sz w:val="22"/>
          <w:szCs w:val="22"/>
          <w:color w:val="auto"/>
        </w:rPr>
        <w:t>(Date of Event Which Requires Filing of this Statement)</w:t>
      </w:r>
    </w:p>
    <w:p>
      <w:pPr>
        <w:spacing w:after="0" w:line="206" w:lineRule="exact"/>
        <w:rPr>
          <w:sz w:val="24"/>
          <w:szCs w:val="24"/>
          <w:color w:val="auto"/>
        </w:rPr>
      </w:pPr>
    </w:p>
    <w:p>
      <w:pPr>
        <w:spacing w:after="0"/>
        <w:rPr>
          <w:sz w:val="20"/>
          <w:szCs w:val="20"/>
          <w:color w:val="auto"/>
        </w:rPr>
      </w:pPr>
      <w:r>
        <w:rPr>
          <w:rFonts w:ascii="Arial" w:cs="Arial" w:eastAsia="Arial" w:hAnsi="Arial"/>
          <w:sz w:val="22"/>
          <w:szCs w:val="22"/>
          <w:color w:val="auto"/>
        </w:rPr>
        <w:t>Check the appropriate box to designate the rule pursuant to which this Schedule is filed:</w:t>
      </w:r>
    </w:p>
    <w:p>
      <w:pPr>
        <w:spacing w:after="0" w:line="287" w:lineRule="exact"/>
        <w:rPr>
          <w:sz w:val="24"/>
          <w:szCs w:val="24"/>
          <w:color w:val="auto"/>
        </w:rPr>
      </w:pPr>
    </w:p>
    <w:p>
      <w:pPr>
        <w:jc w:val="both"/>
        <w:ind w:left="60" w:right="9660" w:firstLine="2"/>
        <w:spacing w:after="0" w:line="385" w:lineRule="auto"/>
        <w:tabs>
          <w:tab w:leader="none" w:pos="479" w:val="left"/>
        </w:tabs>
        <w:numPr>
          <w:ilvl w:val="1"/>
          <w:numId w:val="1"/>
        </w:numPr>
        <w:rPr>
          <w:rFonts w:ascii="Arial" w:cs="Arial" w:eastAsia="Arial" w:hAnsi="Arial"/>
          <w:sz w:val="19"/>
          <w:szCs w:val="19"/>
          <w:color w:val="auto"/>
        </w:rPr>
      </w:pPr>
      <w:r>
        <w:rPr>
          <w:rFonts w:ascii="Arial" w:cs="Arial" w:eastAsia="Arial" w:hAnsi="Arial"/>
          <w:sz w:val="19"/>
          <w:szCs w:val="19"/>
          <w:color w:val="auto"/>
        </w:rPr>
        <w:t>Rule 13d-1(b) [ ] Rule 13d-1(c)</w:t>
      </w:r>
    </w:p>
    <w:p>
      <w:pPr>
        <w:spacing w:after="0" w:line="1" w:lineRule="exact"/>
        <w:rPr>
          <w:rFonts w:ascii="Arial" w:cs="Arial" w:eastAsia="Arial" w:hAnsi="Arial"/>
          <w:sz w:val="19"/>
          <w:szCs w:val="19"/>
          <w:color w:val="auto"/>
        </w:rPr>
      </w:pPr>
    </w:p>
    <w:p>
      <w:pPr>
        <w:ind w:left="60"/>
        <w:spacing w:after="0"/>
        <w:rPr>
          <w:rFonts w:ascii="Arial" w:cs="Arial" w:eastAsia="Arial" w:hAnsi="Arial"/>
          <w:sz w:val="19"/>
          <w:szCs w:val="19"/>
          <w:color w:val="auto"/>
        </w:rPr>
      </w:pPr>
      <w:r>
        <w:rPr>
          <w:rFonts w:ascii="Arial" w:cs="Arial" w:eastAsia="Arial" w:hAnsi="Arial"/>
          <w:sz w:val="22"/>
          <w:szCs w:val="22"/>
          <w:color w:val="auto"/>
        </w:rPr>
        <w:t>[ ]  Rule 13d-1(d)</w:t>
      </w:r>
    </w:p>
    <w:p>
      <w:pPr>
        <w:spacing w:after="0" w:line="267" w:lineRule="exact"/>
        <w:rPr>
          <w:rFonts w:ascii="Arial" w:cs="Arial" w:eastAsia="Arial" w:hAnsi="Arial"/>
          <w:sz w:val="19"/>
          <w:szCs w:val="19"/>
          <w:color w:val="auto"/>
        </w:rPr>
      </w:pPr>
    </w:p>
    <w:p>
      <w:pPr>
        <w:spacing w:after="0" w:line="210" w:lineRule="auto"/>
        <w:rPr>
          <w:rFonts w:ascii="Arial" w:cs="Arial" w:eastAsia="Arial" w:hAnsi="Arial"/>
          <w:sz w:val="19"/>
          <w:szCs w:val="19"/>
          <w:color w:val="auto"/>
        </w:rPr>
      </w:pPr>
      <w:r>
        <w:rPr>
          <w:rFonts w:ascii="Arial" w:cs="Arial" w:eastAsia="Arial" w:hAnsi="Arial"/>
          <w:sz w:val="36"/>
          <w:szCs w:val="36"/>
          <w:color w:val="auto"/>
          <w:vertAlign w:val="superscript"/>
        </w:rPr>
        <w:t>*</w:t>
      </w:r>
      <w:r>
        <w:rPr>
          <w:rFonts w:ascii="Arial" w:cs="Arial" w:eastAsia="Arial" w:hAnsi="Arial"/>
          <w:sz w:val="22"/>
          <w:szCs w:val="22"/>
          <w:color w:val="auto"/>
        </w:rPr>
        <w:t xml:space="preserve">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87" w:lineRule="exact"/>
        <w:rPr>
          <w:sz w:val="24"/>
          <w:szCs w:val="24"/>
          <w:color w:val="auto"/>
        </w:rPr>
      </w:pPr>
    </w:p>
    <w:p>
      <w:pPr>
        <w:jc w:val="both"/>
        <w:ind w:right="100"/>
        <w:spacing w:after="0"/>
        <w:rPr>
          <w:sz w:val="20"/>
          <w:szCs w:val="20"/>
          <w:color w:val="auto"/>
        </w:rPr>
      </w:pPr>
      <w:r>
        <w:rPr>
          <w:rFonts w:ascii="Arial" w:cs="Arial" w:eastAsia="Arial" w:hAnsi="Arial"/>
          <w:sz w:val="22"/>
          <w:szCs w:val="22"/>
          <w:color w:val="auto"/>
        </w:rPr>
        <w:t>The information required in the remainder of this cover page shall not be deemed to be "filed" for the purpose of Section 18 of the Securities Exchange Act of 1934 (the "Act") or otherwise subject to the liabilities of that section of the Act, but shall be subject to all other provisions of the Act (however, see the Notes.)</w:t>
      </w:r>
    </w:p>
    <w:p>
      <w:pPr>
        <w:sectPr>
          <w:pgSz w:w="11900" w:h="16838" w:orient="portrait"/>
          <w:cols w:equalWidth="0" w:num="1">
            <w:col w:w="11360"/>
          </w:cols>
          <w:pgMar w:left="240" w:top="220" w:right="299" w:bottom="1440" w:gutter="0" w:footer="0" w:header="0"/>
        </w:sectPr>
      </w:pPr>
    </w:p>
    <w:bookmarkStart w:id="1" w:name="page2"/>
    <w:bookmarkEnd w:id="1"/>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72703H101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Management Group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Massachusetts</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3,458,113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3,974,575</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3,974,575</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4.63%</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2" w:name="page3"/>
    <w:bookmarkEnd w:id="2"/>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72703H101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Group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3,458,113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3,974,575</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3,974,575</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4.63%</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3" w:name="page4"/>
    <w:bookmarkEnd w:id="3"/>
    <w:p>
      <w:pPr>
        <w:ind w:left="40"/>
        <w:spacing w:after="0"/>
        <w:rPr>
          <w:sz w:val="20"/>
          <w:szCs w:val="20"/>
          <w:color w:val="auto"/>
        </w:rPr>
      </w:pPr>
      <w:r>
        <w:rPr>
          <w:rFonts w:ascii="Arial" w:cs="Arial" w:eastAsia="Arial" w:hAnsi="Arial"/>
          <w:sz w:val="22"/>
          <w:szCs w:val="22"/>
          <w:color w:val="auto"/>
        </w:rPr>
        <w:drawing>
          <wp:anchor simplePos="0" relativeHeight="251657728" behindDoc="1" locked="0" layoutInCell="0" allowOverlap="1">
            <wp:simplePos x="0" y="0"/>
            <wp:positionH relativeFrom="page">
              <wp:posOffset>157480</wp:posOffset>
            </wp:positionH>
            <wp:positionV relativeFrom="page">
              <wp:posOffset>88900</wp:posOffset>
            </wp:positionV>
            <wp:extent cx="7263765"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3765" cy="8890"/>
                    </a:xfrm>
                    <a:prstGeom prst="rect">
                      <a:avLst/>
                    </a:prstGeom>
                    <a:noFill/>
                  </pic:spPr>
                </pic:pic>
              </a:graphicData>
            </a:graphic>
          </wp:anchor>
        </w:drawing>
        <w:t>CUSIP No. 72703H101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170180</wp:posOffset>
            </wp:positionV>
            <wp:extent cx="72466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48" w:lineRule="exact"/>
        <w:rPr>
          <w:sz w:val="20"/>
          <w:szCs w:val="20"/>
          <w:color w:val="auto"/>
        </w:rPr>
      </w:pPr>
    </w:p>
    <w:tbl>
      <w:tblPr>
        <w:tblLayout w:type="fixed"/>
        <w:tblInd w:w="120" w:type="dxa"/>
        <w:tblCellMar>
          <w:top w:w="0" w:type="dxa"/>
          <w:left w:w="0" w:type="dxa"/>
          <w:bottom w:w="0" w:type="dxa"/>
          <w:right w:w="0" w:type="dxa"/>
        </w:tblCellMar>
      </w:tblPr>
      <w:tr>
        <w:trPr>
          <w:trHeight w:val="275"/>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1.</w:t>
            </w:r>
          </w:p>
        </w:tc>
        <w:tc>
          <w:tcPr>
            <w:tcW w:w="6760" w:type="dxa"/>
            <w:vAlign w:val="bottom"/>
          </w:tcPr>
          <w:p>
            <w:pPr>
              <w:ind w:left="780"/>
              <w:spacing w:after="0"/>
              <w:rPr>
                <w:sz w:val="20"/>
                <w:szCs w:val="20"/>
                <w:color w:val="auto"/>
              </w:rPr>
            </w:pPr>
            <w:r>
              <w:rPr>
                <w:rFonts w:ascii="Arial" w:cs="Arial" w:eastAsia="Arial" w:hAnsi="Arial"/>
                <w:sz w:val="22"/>
                <w:szCs w:val="22"/>
                <w:color w:val="auto"/>
              </w:rPr>
              <w:t>NAMES OF REPORTING PERSONS</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Wellington Investment Advisors Holdings LLP</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2.</w:t>
            </w:r>
          </w:p>
        </w:tc>
        <w:tc>
          <w:tcPr>
            <w:tcW w:w="6760" w:type="dxa"/>
            <w:vAlign w:val="bottom"/>
          </w:tcPr>
          <w:p>
            <w:pPr>
              <w:ind w:left="780"/>
              <w:spacing w:after="0"/>
              <w:rPr>
                <w:sz w:val="20"/>
                <w:szCs w:val="20"/>
                <w:color w:val="auto"/>
              </w:rPr>
            </w:pPr>
            <w:r>
              <w:rPr>
                <w:rFonts w:ascii="Arial" w:cs="Arial" w:eastAsia="Arial" w:hAnsi="Arial"/>
                <w:sz w:val="22"/>
                <w:szCs w:val="22"/>
                <w:color w:val="auto"/>
                <w:w w:val="93"/>
              </w:rPr>
              <w:t>CHECK THE APPROPRIATE BOX IF A MEMBER OF A GROUP</w:t>
            </w:r>
          </w:p>
        </w:tc>
      </w:tr>
      <w:tr>
        <w:trPr>
          <w:trHeight w:val="455"/>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(a) [ ]</w:t>
            </w:r>
          </w:p>
        </w:tc>
      </w:tr>
      <w:tr>
        <w:trPr>
          <w:trHeight w:val="275"/>
        </w:trPr>
        <w:tc>
          <w:tcPr>
            <w:tcW w:w="920" w:type="dxa"/>
            <w:vAlign w:val="bottom"/>
          </w:tcPr>
          <w:p>
            <w:pPr>
              <w:spacing w:after="0"/>
              <w:rPr>
                <w:sz w:val="23"/>
                <w:szCs w:val="23"/>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(b) [ ]</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3.</w:t>
            </w:r>
          </w:p>
        </w:tc>
        <w:tc>
          <w:tcPr>
            <w:tcW w:w="6760" w:type="dxa"/>
            <w:vAlign w:val="bottom"/>
          </w:tcPr>
          <w:p>
            <w:pPr>
              <w:ind w:left="780"/>
              <w:spacing w:after="0"/>
              <w:rPr>
                <w:sz w:val="20"/>
                <w:szCs w:val="20"/>
                <w:color w:val="auto"/>
              </w:rPr>
            </w:pPr>
            <w:r>
              <w:rPr>
                <w:rFonts w:ascii="Arial" w:cs="Arial" w:eastAsia="Arial" w:hAnsi="Arial"/>
                <w:sz w:val="22"/>
                <w:szCs w:val="22"/>
                <w:color w:val="auto"/>
              </w:rPr>
              <w:t>SEC USE ONLY</w:t>
            </w:r>
          </w:p>
        </w:tc>
      </w:tr>
      <w:tr>
        <w:trPr>
          <w:trHeight w:val="459"/>
        </w:trPr>
        <w:tc>
          <w:tcPr>
            <w:tcW w:w="920" w:type="dxa"/>
            <w:vAlign w:val="bottom"/>
          </w:tcPr>
          <w:p>
            <w:pPr>
              <w:jc w:val="right"/>
              <w:ind w:right="652"/>
              <w:spacing w:after="0"/>
              <w:rPr>
                <w:sz w:val="20"/>
                <w:szCs w:val="20"/>
                <w:color w:val="auto"/>
              </w:rPr>
            </w:pPr>
            <w:r>
              <w:rPr>
                <w:rFonts w:ascii="Arial" w:cs="Arial" w:eastAsia="Arial" w:hAnsi="Arial"/>
                <w:sz w:val="22"/>
                <w:szCs w:val="22"/>
                <w:color w:val="auto"/>
                <w:w w:val="76"/>
              </w:rPr>
              <w:t>4.</w:t>
            </w:r>
          </w:p>
        </w:tc>
        <w:tc>
          <w:tcPr>
            <w:tcW w:w="6760" w:type="dxa"/>
            <w:vAlign w:val="bottom"/>
          </w:tcPr>
          <w:p>
            <w:pPr>
              <w:ind w:left="780"/>
              <w:spacing w:after="0"/>
              <w:rPr>
                <w:sz w:val="20"/>
                <w:szCs w:val="20"/>
                <w:color w:val="auto"/>
              </w:rPr>
            </w:pPr>
            <w:r>
              <w:rPr>
                <w:rFonts w:ascii="Arial" w:cs="Arial" w:eastAsia="Arial" w:hAnsi="Arial"/>
                <w:sz w:val="22"/>
                <w:szCs w:val="22"/>
                <w:color w:val="auto"/>
              </w:rPr>
              <w:t>CITIZENSHIP OR PLACE OF ORGANIZATION</w:t>
            </w:r>
          </w:p>
        </w:tc>
      </w:tr>
      <w:tr>
        <w:trPr>
          <w:trHeight w:val="486"/>
        </w:trPr>
        <w:tc>
          <w:tcPr>
            <w:tcW w:w="920" w:type="dxa"/>
            <w:vAlign w:val="bottom"/>
          </w:tcPr>
          <w:p>
            <w:pPr>
              <w:spacing w:after="0"/>
              <w:rPr>
                <w:sz w:val="24"/>
                <w:szCs w:val="24"/>
                <w:color w:val="auto"/>
              </w:rPr>
            </w:pPr>
          </w:p>
        </w:tc>
        <w:tc>
          <w:tcPr>
            <w:tcW w:w="6760" w:type="dxa"/>
            <w:vAlign w:val="bottom"/>
          </w:tcPr>
          <w:p>
            <w:pPr>
              <w:ind w:left="780"/>
              <w:spacing w:after="0"/>
              <w:rPr>
                <w:sz w:val="20"/>
                <w:szCs w:val="20"/>
                <w:color w:val="auto"/>
              </w:rPr>
            </w:pPr>
            <w:r>
              <w:rPr>
                <w:rFonts w:ascii="Arial" w:cs="Arial" w:eastAsia="Arial" w:hAnsi="Arial"/>
                <w:sz w:val="22"/>
                <w:szCs w:val="22"/>
                <w:color w:val="auto"/>
              </w:rPr>
              <w:t>Delaware</w:t>
            </w:r>
          </w:p>
        </w:tc>
      </w:tr>
    </w:tbl>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75"/>
        </w:trPr>
        <w:tc>
          <w:tcPr>
            <w:tcW w:w="1740" w:type="dxa"/>
            <w:vAlign w:val="bottom"/>
            <w:vMerge w:val="restart"/>
          </w:tcPr>
          <w:p>
            <w:pPr>
              <w:ind w:left="120"/>
              <w:spacing w:after="0"/>
              <w:rPr>
                <w:sz w:val="20"/>
                <w:szCs w:val="20"/>
                <w:color w:val="auto"/>
              </w:rPr>
            </w:pPr>
            <w:r>
              <w:rPr>
                <w:rFonts w:ascii="Arial" w:cs="Arial" w:eastAsia="Arial" w:hAnsi="Arial"/>
                <w:sz w:val="22"/>
                <w:szCs w:val="22"/>
                <w:color w:val="auto"/>
              </w:rPr>
              <w:t>NUMBER OF</w:t>
            </w:r>
          </w:p>
        </w:tc>
        <w:tc>
          <w:tcPr>
            <w:tcW w:w="640" w:type="dxa"/>
            <w:vAlign w:val="bottom"/>
          </w:tcPr>
          <w:p>
            <w:pPr>
              <w:spacing w:after="0"/>
              <w:rPr>
                <w:sz w:val="23"/>
                <w:szCs w:val="23"/>
                <w:color w:val="auto"/>
              </w:rPr>
            </w:pPr>
          </w:p>
        </w:tc>
        <w:tc>
          <w:tcPr>
            <w:tcW w:w="6220" w:type="dxa"/>
            <w:vAlign w:val="bottom"/>
          </w:tcPr>
          <w:p>
            <w:pPr>
              <w:spacing w:after="0"/>
              <w:rPr>
                <w:sz w:val="20"/>
                <w:szCs w:val="20"/>
                <w:color w:val="auto"/>
              </w:rPr>
            </w:pPr>
            <w:r>
              <w:rPr>
                <w:rFonts w:ascii="Arial" w:cs="Arial" w:eastAsia="Arial" w:hAnsi="Arial"/>
                <w:sz w:val="22"/>
                <w:szCs w:val="22"/>
                <w:color w:val="auto"/>
              </w:rPr>
              <w:t>5. SOLE VOTING POWER</w:t>
            </w:r>
          </w:p>
        </w:tc>
        <w:tc>
          <w:tcPr>
            <w:tcW w:w="2820" w:type="dxa"/>
            <w:vAlign w:val="bottom"/>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50"/>
        </w:trPr>
        <w:tc>
          <w:tcPr>
            <w:tcW w:w="1740" w:type="dxa"/>
            <w:vAlign w:val="bottom"/>
            <w:vMerge w:val="continue"/>
          </w:tcPr>
          <w:p>
            <w:pPr>
              <w:spacing w:after="0"/>
              <w:rPr>
                <w:sz w:val="4"/>
                <w:szCs w:val="4"/>
                <w:color w:val="auto"/>
              </w:rPr>
            </w:pPr>
          </w:p>
        </w:tc>
        <w:tc>
          <w:tcPr>
            <w:tcW w:w="640" w:type="dxa"/>
            <w:vAlign w:val="bottom"/>
          </w:tcPr>
          <w:p>
            <w:pPr>
              <w:spacing w:after="0"/>
              <w:rPr>
                <w:sz w:val="4"/>
                <w:szCs w:val="4"/>
                <w:color w:val="auto"/>
              </w:rPr>
            </w:pPr>
          </w:p>
        </w:tc>
        <w:tc>
          <w:tcPr>
            <w:tcW w:w="6220" w:type="dxa"/>
            <w:vAlign w:val="bottom"/>
          </w:tcPr>
          <w:p>
            <w:pPr>
              <w:spacing w:after="0"/>
              <w:rPr>
                <w:sz w:val="4"/>
                <w:szCs w:val="4"/>
                <w:color w:val="auto"/>
              </w:rPr>
            </w:pPr>
          </w:p>
        </w:tc>
        <w:tc>
          <w:tcPr>
            <w:tcW w:w="28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3"/>
        </w:trPr>
        <w:tc>
          <w:tcPr>
            <w:tcW w:w="1740" w:type="dxa"/>
            <w:vAlign w:val="bottom"/>
          </w:tcPr>
          <w:p>
            <w:pPr>
              <w:ind w:left="120"/>
              <w:spacing w:after="0" w:line="243" w:lineRule="exact"/>
              <w:rPr>
                <w:sz w:val="20"/>
                <w:szCs w:val="20"/>
                <w:color w:val="auto"/>
              </w:rPr>
            </w:pPr>
            <w:r>
              <w:rPr>
                <w:rFonts w:ascii="Arial" w:cs="Arial" w:eastAsia="Arial" w:hAnsi="Arial"/>
                <w:sz w:val="22"/>
                <w:szCs w:val="22"/>
                <w:color w:val="auto"/>
              </w:rPr>
              <w:t>SHARES</w:t>
            </w:r>
          </w:p>
        </w:tc>
        <w:tc>
          <w:tcPr>
            <w:tcW w:w="640" w:type="dxa"/>
            <w:vAlign w:val="bottom"/>
          </w:tcPr>
          <w:p>
            <w:pPr>
              <w:spacing w:after="0"/>
              <w:rPr>
                <w:sz w:val="21"/>
                <w:szCs w:val="21"/>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6. SHARED VOTING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3,458,113</w:t>
            </w:r>
          </w:p>
        </w:tc>
        <w:tc>
          <w:tcPr>
            <w:tcW w:w="0" w:type="dxa"/>
            <w:vAlign w:val="bottom"/>
          </w:tcPr>
          <w:p>
            <w:pPr>
              <w:spacing w:after="0"/>
              <w:rPr>
                <w:sz w:val="1"/>
                <w:szCs w:val="1"/>
                <w:color w:val="auto"/>
              </w:rPr>
            </w:pPr>
          </w:p>
        </w:tc>
      </w:tr>
      <w:tr>
        <w:trPr>
          <w:trHeight w:val="166"/>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BENEFICIALLY</w:t>
            </w:r>
          </w:p>
        </w:tc>
        <w:tc>
          <w:tcPr>
            <w:tcW w:w="640" w:type="dxa"/>
            <w:vAlign w:val="bottom"/>
          </w:tcPr>
          <w:p>
            <w:pPr>
              <w:spacing w:after="0"/>
              <w:rPr>
                <w:sz w:val="14"/>
                <w:szCs w:val="14"/>
                <w:color w:val="auto"/>
              </w:rPr>
            </w:pPr>
          </w:p>
        </w:tc>
        <w:tc>
          <w:tcPr>
            <w:tcW w:w="6220" w:type="dxa"/>
            <w:vAlign w:val="bottom"/>
            <w:vMerge w:val="continue"/>
          </w:tcPr>
          <w:p>
            <w:pPr>
              <w:spacing w:after="0"/>
              <w:rPr>
                <w:sz w:val="14"/>
                <w:szCs w:val="14"/>
                <w:color w:val="auto"/>
              </w:rPr>
            </w:pPr>
          </w:p>
        </w:tc>
        <w:tc>
          <w:tcPr>
            <w:tcW w:w="28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7"/>
        </w:trPr>
        <w:tc>
          <w:tcPr>
            <w:tcW w:w="1740" w:type="dxa"/>
            <w:vAlign w:val="bottom"/>
            <w:vMerge w:val="continue"/>
          </w:tcPr>
          <w:p>
            <w:pPr>
              <w:spacing w:after="0"/>
              <w:rPr>
                <w:sz w:val="6"/>
                <w:szCs w:val="6"/>
                <w:color w:val="auto"/>
              </w:rPr>
            </w:pPr>
          </w:p>
        </w:tc>
        <w:tc>
          <w:tcPr>
            <w:tcW w:w="640" w:type="dxa"/>
            <w:vAlign w:val="bottom"/>
          </w:tcPr>
          <w:p>
            <w:pPr>
              <w:spacing w:after="0"/>
              <w:rPr>
                <w:sz w:val="6"/>
                <w:szCs w:val="6"/>
                <w:color w:val="auto"/>
              </w:rPr>
            </w:pPr>
          </w:p>
        </w:tc>
        <w:tc>
          <w:tcPr>
            <w:tcW w:w="6220" w:type="dxa"/>
            <w:vAlign w:val="bottom"/>
          </w:tcPr>
          <w:p>
            <w:pPr>
              <w:spacing w:after="0"/>
              <w:rPr>
                <w:sz w:val="6"/>
                <w:szCs w:val="6"/>
                <w:color w:val="auto"/>
              </w:rPr>
            </w:pPr>
          </w:p>
        </w:tc>
        <w:tc>
          <w:tcPr>
            <w:tcW w:w="28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2380" w:type="dxa"/>
            <w:vAlign w:val="bottom"/>
            <w:gridSpan w:val="2"/>
          </w:tcPr>
          <w:p>
            <w:pPr>
              <w:ind w:left="120"/>
              <w:spacing w:after="0" w:line="243" w:lineRule="exact"/>
              <w:rPr>
                <w:sz w:val="20"/>
                <w:szCs w:val="20"/>
                <w:color w:val="auto"/>
              </w:rPr>
            </w:pPr>
            <w:r>
              <w:rPr>
                <w:rFonts w:ascii="Arial" w:cs="Arial" w:eastAsia="Arial" w:hAnsi="Arial"/>
                <w:sz w:val="22"/>
                <w:szCs w:val="22"/>
                <w:color w:val="auto"/>
              </w:rPr>
              <w:t>OWNED BY EACH</w:t>
            </w:r>
          </w:p>
        </w:tc>
        <w:tc>
          <w:tcPr>
            <w:tcW w:w="6220" w:type="dxa"/>
            <w:vAlign w:val="bottom"/>
            <w:vMerge w:val="restart"/>
          </w:tcPr>
          <w:p>
            <w:pPr>
              <w:spacing w:after="0"/>
              <w:rPr>
                <w:sz w:val="20"/>
                <w:szCs w:val="20"/>
                <w:color w:val="auto"/>
              </w:rPr>
            </w:pPr>
            <w:r>
              <w:rPr>
                <w:rFonts w:ascii="Arial" w:cs="Arial" w:eastAsia="Arial" w:hAnsi="Arial"/>
                <w:sz w:val="22"/>
                <w:szCs w:val="22"/>
                <w:color w:val="auto"/>
              </w:rPr>
              <w:t>7. SOLE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139"/>
        </w:trPr>
        <w:tc>
          <w:tcPr>
            <w:tcW w:w="1740" w:type="dxa"/>
            <w:vAlign w:val="bottom"/>
            <w:vMerge w:val="restart"/>
          </w:tcPr>
          <w:p>
            <w:pPr>
              <w:ind w:left="120"/>
              <w:spacing w:after="0" w:line="243" w:lineRule="exact"/>
              <w:rPr>
                <w:sz w:val="20"/>
                <w:szCs w:val="20"/>
                <w:color w:val="auto"/>
              </w:rPr>
            </w:pPr>
            <w:r>
              <w:rPr>
                <w:rFonts w:ascii="Arial" w:cs="Arial" w:eastAsia="Arial" w:hAnsi="Arial"/>
                <w:sz w:val="22"/>
                <w:szCs w:val="22"/>
                <w:color w:val="auto"/>
              </w:rPr>
              <w:t>REPORTING</w:t>
            </w:r>
          </w:p>
        </w:tc>
        <w:tc>
          <w:tcPr>
            <w:tcW w:w="640" w:type="dxa"/>
            <w:vAlign w:val="bottom"/>
          </w:tcPr>
          <w:p>
            <w:pPr>
              <w:spacing w:after="0"/>
              <w:rPr>
                <w:sz w:val="12"/>
                <w:szCs w:val="12"/>
                <w:color w:val="auto"/>
              </w:rPr>
            </w:pPr>
          </w:p>
        </w:tc>
        <w:tc>
          <w:tcPr>
            <w:tcW w:w="6220" w:type="dxa"/>
            <w:vAlign w:val="bottom"/>
            <w:vMerge w:val="continue"/>
          </w:tcPr>
          <w:p>
            <w:pPr>
              <w:spacing w:after="0"/>
              <w:rPr>
                <w:sz w:val="12"/>
                <w:szCs w:val="12"/>
                <w:color w:val="auto"/>
              </w:rPr>
            </w:pPr>
          </w:p>
        </w:tc>
        <w:tc>
          <w:tcPr>
            <w:tcW w:w="2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04"/>
        </w:trPr>
        <w:tc>
          <w:tcPr>
            <w:tcW w:w="1740" w:type="dxa"/>
            <w:vAlign w:val="bottom"/>
            <w:vMerge w:val="continue"/>
          </w:tcPr>
          <w:p>
            <w:pPr>
              <w:spacing w:after="0"/>
              <w:rPr>
                <w:sz w:val="9"/>
                <w:szCs w:val="9"/>
                <w:color w:val="auto"/>
              </w:rPr>
            </w:pPr>
          </w:p>
        </w:tc>
        <w:tc>
          <w:tcPr>
            <w:tcW w:w="640" w:type="dxa"/>
            <w:vAlign w:val="bottom"/>
          </w:tcPr>
          <w:p>
            <w:pPr>
              <w:spacing w:after="0"/>
              <w:rPr>
                <w:sz w:val="9"/>
                <w:szCs w:val="9"/>
                <w:color w:val="auto"/>
              </w:rPr>
            </w:pPr>
          </w:p>
        </w:tc>
        <w:tc>
          <w:tcPr>
            <w:tcW w:w="6220" w:type="dxa"/>
            <w:vAlign w:val="bottom"/>
          </w:tcPr>
          <w:p>
            <w:pPr>
              <w:spacing w:after="0"/>
              <w:rPr>
                <w:sz w:val="9"/>
                <w:szCs w:val="9"/>
                <w:color w:val="auto"/>
              </w:rPr>
            </w:pPr>
          </w:p>
        </w:tc>
        <w:tc>
          <w:tcPr>
            <w:tcW w:w="28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75"/>
        </w:trPr>
        <w:tc>
          <w:tcPr>
            <w:tcW w:w="1740" w:type="dxa"/>
            <w:vAlign w:val="bottom"/>
          </w:tcPr>
          <w:p>
            <w:pPr>
              <w:ind w:left="120"/>
              <w:spacing w:after="0"/>
              <w:rPr>
                <w:sz w:val="20"/>
                <w:szCs w:val="20"/>
                <w:color w:val="auto"/>
              </w:rPr>
            </w:pPr>
            <w:r>
              <w:rPr>
                <w:rFonts w:ascii="Arial" w:cs="Arial" w:eastAsia="Arial" w:hAnsi="Arial"/>
                <w:sz w:val="22"/>
                <w:szCs w:val="22"/>
                <w:color w:val="auto"/>
              </w:rPr>
              <w:t>PERSON WITH</w:t>
            </w:r>
          </w:p>
        </w:tc>
        <w:tc>
          <w:tcPr>
            <w:tcW w:w="640" w:type="dxa"/>
            <w:vAlign w:val="bottom"/>
          </w:tcPr>
          <w:p>
            <w:pPr>
              <w:spacing w:after="0"/>
              <w:rPr>
                <w:sz w:val="23"/>
                <w:szCs w:val="23"/>
                <w:color w:val="auto"/>
              </w:rPr>
            </w:pPr>
          </w:p>
        </w:tc>
        <w:tc>
          <w:tcPr>
            <w:tcW w:w="6220" w:type="dxa"/>
            <w:vAlign w:val="bottom"/>
            <w:vMerge w:val="restart"/>
          </w:tcPr>
          <w:p>
            <w:pPr>
              <w:spacing w:after="0"/>
              <w:rPr>
                <w:sz w:val="20"/>
                <w:szCs w:val="20"/>
                <w:color w:val="auto"/>
              </w:rPr>
            </w:pPr>
            <w:r>
              <w:rPr>
                <w:rFonts w:ascii="Arial" w:cs="Arial" w:eastAsia="Arial" w:hAnsi="Arial"/>
                <w:sz w:val="22"/>
                <w:szCs w:val="22"/>
                <w:color w:val="auto"/>
              </w:rPr>
              <w:t>8. SHARED DISPOSITIVE POWER</w:t>
            </w:r>
          </w:p>
        </w:tc>
        <w:tc>
          <w:tcPr>
            <w:tcW w:w="2820" w:type="dxa"/>
            <w:vAlign w:val="bottom"/>
            <w:vMerge w:val="restart"/>
          </w:tcPr>
          <w:p>
            <w:pPr>
              <w:ind w:left="720"/>
              <w:spacing w:after="0"/>
              <w:rPr>
                <w:sz w:val="20"/>
                <w:szCs w:val="20"/>
                <w:color w:val="auto"/>
              </w:rPr>
            </w:pPr>
            <w:r>
              <w:rPr>
                <w:rFonts w:ascii="Arial" w:cs="Arial" w:eastAsia="Arial" w:hAnsi="Arial"/>
                <w:sz w:val="22"/>
                <w:szCs w:val="22"/>
                <w:color w:val="auto"/>
              </w:rPr>
              <w:t>3,974,575</w:t>
            </w:r>
          </w:p>
        </w:tc>
        <w:tc>
          <w:tcPr>
            <w:tcW w:w="0" w:type="dxa"/>
            <w:vAlign w:val="bottom"/>
          </w:tcPr>
          <w:p>
            <w:pPr>
              <w:spacing w:after="0"/>
              <w:rPr>
                <w:sz w:val="1"/>
                <w:szCs w:val="1"/>
                <w:color w:val="auto"/>
              </w:rPr>
            </w:pPr>
          </w:p>
        </w:tc>
      </w:tr>
      <w:tr>
        <w:trPr>
          <w:trHeight w:val="81"/>
        </w:trPr>
        <w:tc>
          <w:tcPr>
            <w:tcW w:w="1740" w:type="dxa"/>
            <w:vAlign w:val="bottom"/>
          </w:tcPr>
          <w:p>
            <w:pPr>
              <w:spacing w:after="0"/>
              <w:rPr>
                <w:sz w:val="7"/>
                <w:szCs w:val="7"/>
                <w:color w:val="auto"/>
              </w:rPr>
            </w:pPr>
          </w:p>
        </w:tc>
        <w:tc>
          <w:tcPr>
            <w:tcW w:w="640" w:type="dxa"/>
            <w:vAlign w:val="bottom"/>
          </w:tcPr>
          <w:p>
            <w:pPr>
              <w:spacing w:after="0"/>
              <w:rPr>
                <w:sz w:val="7"/>
                <w:szCs w:val="7"/>
                <w:color w:val="auto"/>
              </w:rPr>
            </w:pPr>
          </w:p>
        </w:tc>
        <w:tc>
          <w:tcPr>
            <w:tcW w:w="6220" w:type="dxa"/>
            <w:vAlign w:val="bottom"/>
            <w:vMerge w:val="continue"/>
          </w:tcPr>
          <w:p>
            <w:pPr>
              <w:spacing w:after="0"/>
              <w:rPr>
                <w:sz w:val="7"/>
                <w:szCs w:val="7"/>
                <w:color w:val="auto"/>
              </w:rPr>
            </w:pPr>
          </w:p>
        </w:tc>
        <w:tc>
          <w:tcPr>
            <w:tcW w:w="282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9.</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AGGREGATE AMOUNT BENEFICIALLY OWNED BY EACH REPORTING PERSON</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3,974,575</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10.</w:t>
            </w:r>
          </w:p>
        </w:tc>
        <w:tc>
          <w:tcPr>
            <w:tcW w:w="9680" w:type="dxa"/>
            <w:vAlign w:val="bottom"/>
            <w:gridSpan w:val="3"/>
          </w:tcPr>
          <w:p>
            <w:pPr>
              <w:ind w:left="80"/>
              <w:spacing w:after="0"/>
              <w:rPr>
                <w:sz w:val="20"/>
                <w:szCs w:val="20"/>
                <w:color w:val="auto"/>
              </w:rPr>
            </w:pPr>
            <w:r>
              <w:rPr>
                <w:rFonts w:ascii="Arial" w:cs="Arial" w:eastAsia="Arial" w:hAnsi="Arial"/>
                <w:sz w:val="22"/>
                <w:szCs w:val="22"/>
                <w:color w:val="auto"/>
              </w:rPr>
              <w:t>CHECK IF THE AGGREGATE AMOUNT IN ROW (9) EXCLUDES CERTAIN SHARES</w:t>
            </w: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 ]</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11.</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PERCENT OF CLASS REPRESENTED BY AMOUNT IN ROW (9)</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w w:val="86"/>
              </w:rPr>
              <w:t>4.63%</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1740" w:type="dxa"/>
            <w:vAlign w:val="bottom"/>
          </w:tcPr>
          <w:p>
            <w:pPr>
              <w:ind w:left="120"/>
              <w:spacing w:after="0"/>
              <w:rPr>
                <w:sz w:val="20"/>
                <w:szCs w:val="20"/>
                <w:color w:val="auto"/>
              </w:rPr>
            </w:pPr>
            <w:r>
              <w:rPr>
                <w:rFonts w:ascii="Arial" w:cs="Arial" w:eastAsia="Arial" w:hAnsi="Arial"/>
                <w:sz w:val="22"/>
                <w:szCs w:val="22"/>
                <w:color w:val="auto"/>
              </w:rPr>
              <w:t>12.</w:t>
            </w:r>
          </w:p>
        </w:tc>
        <w:tc>
          <w:tcPr>
            <w:tcW w:w="6860" w:type="dxa"/>
            <w:vAlign w:val="bottom"/>
            <w:gridSpan w:val="2"/>
          </w:tcPr>
          <w:p>
            <w:pPr>
              <w:ind w:left="80"/>
              <w:spacing w:after="0"/>
              <w:rPr>
                <w:sz w:val="20"/>
                <w:szCs w:val="20"/>
                <w:color w:val="auto"/>
              </w:rPr>
            </w:pPr>
            <w:r>
              <w:rPr>
                <w:rFonts w:ascii="Arial" w:cs="Arial" w:eastAsia="Arial" w:hAnsi="Arial"/>
                <w:sz w:val="22"/>
                <w:szCs w:val="22"/>
                <w:color w:val="auto"/>
              </w:rPr>
              <w:t>TYPE OF REPORTING PERSON</w:t>
            </w: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86"/>
        </w:trPr>
        <w:tc>
          <w:tcPr>
            <w:tcW w:w="1740" w:type="dxa"/>
            <w:vAlign w:val="bottom"/>
          </w:tcPr>
          <w:p>
            <w:pPr>
              <w:spacing w:after="0"/>
              <w:rPr>
                <w:sz w:val="24"/>
                <w:szCs w:val="24"/>
                <w:color w:val="auto"/>
              </w:rPr>
            </w:pPr>
          </w:p>
        </w:tc>
        <w:tc>
          <w:tcPr>
            <w:tcW w:w="640" w:type="dxa"/>
            <w:vAlign w:val="bottom"/>
          </w:tcPr>
          <w:p>
            <w:pPr>
              <w:ind w:left="80"/>
              <w:spacing w:after="0"/>
              <w:rPr>
                <w:sz w:val="20"/>
                <w:szCs w:val="20"/>
                <w:color w:val="auto"/>
              </w:rPr>
            </w:pPr>
            <w:r>
              <w:rPr>
                <w:rFonts w:ascii="Arial" w:cs="Arial" w:eastAsia="Arial" w:hAnsi="Arial"/>
                <w:sz w:val="22"/>
                <w:szCs w:val="22"/>
                <w:color w:val="auto"/>
              </w:rPr>
              <w:t>HC</w:t>
            </w:r>
          </w:p>
        </w:tc>
        <w:tc>
          <w:tcPr>
            <w:tcW w:w="622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740" w:type="dxa"/>
            <w:vAlign w:val="bottom"/>
            <w:tcBorders>
              <w:bottom w:val="single" w:sz="8" w:color="808080"/>
            </w:tcBorders>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6220" w:type="dxa"/>
            <w:vAlign w:val="bottom"/>
            <w:tcBorders>
              <w:bottom w:val="single" w:sz="8" w:color="808080"/>
            </w:tcBorders>
          </w:tcPr>
          <w:p>
            <w:pPr>
              <w:spacing w:after="0"/>
              <w:rPr>
                <w:sz w:val="8"/>
                <w:szCs w:val="8"/>
                <w:color w:val="auto"/>
              </w:rPr>
            </w:pPr>
          </w:p>
        </w:tc>
        <w:tc>
          <w:tcPr>
            <w:tcW w:w="2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388" w:right="239" w:bottom="1440" w:gutter="0" w:footer="0" w:header="0"/>
        </w:sectPr>
      </w:pPr>
    </w:p>
    <w:bookmarkStart w:id="4" w:name="page5"/>
    <w:bookmarkEnd w:id="4"/>
    <w:p>
      <w:pPr>
        <w:spacing w:after="0" w:line="15"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1.</w:t>
      </w:r>
    </w:p>
    <w:p>
      <w:pPr>
        <w:spacing w:after="0" w:line="125" w:lineRule="exact"/>
        <w:rPr>
          <w:sz w:val="20"/>
          <w:szCs w:val="20"/>
          <w:color w:val="auto"/>
        </w:rPr>
      </w:pPr>
    </w:p>
    <w:p>
      <w:pPr>
        <w:ind w:left="1780" w:right="7840" w:hanging="407"/>
        <w:spacing w:after="0" w:line="335" w:lineRule="auto"/>
        <w:tabs>
          <w:tab w:leader="none" w:pos="1780" w:val="left"/>
        </w:tabs>
        <w:numPr>
          <w:ilvl w:val="0"/>
          <w:numId w:val="2"/>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Name of Issuer </w:t>
      </w:r>
      <w:r>
        <w:rPr>
          <w:rFonts w:ascii="Arial" w:cs="Arial" w:eastAsia="Arial" w:hAnsi="Arial"/>
          <w:sz w:val="19"/>
          <w:szCs w:val="19"/>
          <w:color w:val="auto"/>
        </w:rPr>
        <w:t>Planet Fitness, Inc.</w:t>
      </w:r>
    </w:p>
    <w:p>
      <w:pPr>
        <w:spacing w:after="0" w:line="11" w:lineRule="exact"/>
        <w:rPr>
          <w:rFonts w:ascii="Arial" w:cs="Arial" w:eastAsia="Arial" w:hAnsi="Arial"/>
          <w:sz w:val="19"/>
          <w:szCs w:val="19"/>
          <w:b w:val="1"/>
          <w:bCs w:val="1"/>
          <w:color w:val="auto"/>
        </w:rPr>
      </w:pPr>
    </w:p>
    <w:p>
      <w:pPr>
        <w:ind w:left="1780" w:right="5180" w:hanging="407"/>
        <w:spacing w:after="0" w:line="242" w:lineRule="auto"/>
        <w:tabs>
          <w:tab w:leader="none" w:pos="178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Issuer's Principal Executive Offices </w:t>
      </w:r>
      <w:r>
        <w:rPr>
          <w:rFonts w:ascii="Arial" w:cs="Arial" w:eastAsia="Arial" w:hAnsi="Arial"/>
          <w:sz w:val="22"/>
          <w:szCs w:val="22"/>
          <w:color w:val="auto"/>
        </w:rPr>
        <w:t>26 Fox Run Road</w:t>
      </w:r>
    </w:p>
    <w:p>
      <w:pPr>
        <w:ind w:left="1780"/>
        <w:spacing w:after="0"/>
        <w:rPr>
          <w:rFonts w:ascii="Arial" w:cs="Arial" w:eastAsia="Arial" w:hAnsi="Arial"/>
          <w:sz w:val="22"/>
          <w:szCs w:val="22"/>
          <w:b w:val="1"/>
          <w:bCs w:val="1"/>
          <w:color w:val="auto"/>
        </w:rPr>
      </w:pPr>
      <w:r>
        <w:rPr>
          <w:rFonts w:ascii="Arial" w:cs="Arial" w:eastAsia="Arial" w:hAnsi="Arial"/>
          <w:sz w:val="22"/>
          <w:szCs w:val="22"/>
          <w:color w:val="auto"/>
        </w:rPr>
        <w:t>Newington, NH 03801</w:t>
      </w:r>
    </w:p>
    <w:p>
      <w:pPr>
        <w:spacing w:after="0" w:line="101"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Item 2.</w:t>
      </w:r>
    </w:p>
    <w:p>
      <w:pPr>
        <w:spacing w:after="0" w:line="125" w:lineRule="exact"/>
        <w:rPr>
          <w:sz w:val="20"/>
          <w:szCs w:val="20"/>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Name of Person Filing</w:t>
      </w:r>
    </w:p>
    <w:p>
      <w:pPr>
        <w:spacing w:after="0" w:line="14" w:lineRule="exact"/>
        <w:rPr>
          <w:rFonts w:ascii="Arial" w:cs="Arial" w:eastAsia="Arial" w:hAnsi="Arial"/>
          <w:sz w:val="22"/>
          <w:szCs w:val="22"/>
          <w:b w:val="1"/>
          <w:bCs w:val="1"/>
          <w:color w:val="auto"/>
        </w:rPr>
      </w:pPr>
    </w:p>
    <w:p>
      <w:pPr>
        <w:ind w:left="1780" w:right="5400"/>
        <w:spacing w:after="0" w:line="249"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Wellington Group Holdings LLP Wellington Investment Advisors Holdings LLP</w:t>
      </w:r>
    </w:p>
    <w:p>
      <w:pPr>
        <w:spacing w:after="0" w:line="88" w:lineRule="exact"/>
        <w:rPr>
          <w:rFonts w:ascii="Arial" w:cs="Arial" w:eastAsia="Arial" w:hAnsi="Arial"/>
          <w:sz w:val="22"/>
          <w:szCs w:val="22"/>
          <w:b w:val="1"/>
          <w:bCs w:val="1"/>
          <w:color w:val="auto"/>
        </w:rPr>
      </w:pPr>
    </w:p>
    <w:p>
      <w:pPr>
        <w:ind w:left="1780" w:right="4080" w:hanging="407"/>
        <w:spacing w:after="0" w:line="242" w:lineRule="auto"/>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Address of Principal Business Office or, if None, Residence </w:t>
      </w:r>
      <w:r>
        <w:rPr>
          <w:rFonts w:ascii="Arial" w:cs="Arial" w:eastAsia="Arial" w:hAnsi="Arial"/>
          <w:sz w:val="22"/>
          <w:szCs w:val="22"/>
          <w:color w:val="auto"/>
        </w:rPr>
        <w:t>c/o Wellington Management Company LLP</w:t>
      </w:r>
    </w:p>
    <w:p>
      <w:pPr>
        <w:ind w:left="1780" w:right="7740"/>
        <w:spacing w:after="0" w:line="339" w:lineRule="auto"/>
        <w:rPr>
          <w:rFonts w:ascii="Arial" w:cs="Arial" w:eastAsia="Arial" w:hAnsi="Arial"/>
          <w:sz w:val="22"/>
          <w:szCs w:val="22"/>
          <w:b w:val="1"/>
          <w:bCs w:val="1"/>
          <w:color w:val="auto"/>
        </w:rPr>
      </w:pPr>
      <w:r>
        <w:rPr>
          <w:rFonts w:ascii="Arial" w:cs="Arial" w:eastAsia="Arial" w:hAnsi="Arial"/>
          <w:sz w:val="18"/>
          <w:szCs w:val="18"/>
          <w:color w:val="auto"/>
        </w:rPr>
        <w:t>280 Congress Street Boston, MA 02210</w:t>
      </w:r>
    </w:p>
    <w:p>
      <w:pPr>
        <w:spacing w:after="0" w:line="12" w:lineRule="exact"/>
        <w:rPr>
          <w:rFonts w:ascii="Arial" w:cs="Arial" w:eastAsia="Arial" w:hAnsi="Arial"/>
          <w:sz w:val="22"/>
          <w:szCs w:val="22"/>
          <w:b w:val="1"/>
          <w:bCs w:val="1"/>
          <w:color w:val="auto"/>
        </w:rPr>
      </w:pPr>
    </w:p>
    <w:p>
      <w:pPr>
        <w:ind w:left="1780" w:hanging="407"/>
        <w:spacing w:after="0"/>
        <w:tabs>
          <w:tab w:leader="none" w:pos="1780" w:val="left"/>
        </w:tabs>
        <w:numPr>
          <w:ilvl w:val="0"/>
          <w:numId w:val="3"/>
        </w:numPr>
        <w:rPr>
          <w:rFonts w:ascii="Arial" w:cs="Arial" w:eastAsia="Arial" w:hAnsi="Arial"/>
          <w:sz w:val="22"/>
          <w:szCs w:val="22"/>
          <w:b w:val="1"/>
          <w:bCs w:val="1"/>
          <w:color w:val="auto"/>
        </w:rPr>
      </w:pPr>
      <w:r>
        <w:rPr>
          <w:rFonts w:ascii="Arial" w:cs="Arial" w:eastAsia="Arial" w:hAnsi="Arial"/>
          <w:sz w:val="22"/>
          <w:szCs w:val="22"/>
          <w:b w:val="1"/>
          <w:bCs w:val="1"/>
          <w:color w:val="auto"/>
        </w:rPr>
        <w:t>Citizenship</w:t>
      </w:r>
    </w:p>
    <w:p>
      <w:pPr>
        <w:spacing w:after="0" w:line="14" w:lineRule="exact"/>
        <w:rPr>
          <w:rFonts w:ascii="Arial" w:cs="Arial" w:eastAsia="Arial" w:hAnsi="Arial"/>
          <w:sz w:val="22"/>
          <w:szCs w:val="22"/>
          <w:b w:val="1"/>
          <w:bCs w:val="1"/>
          <w:color w:val="auto"/>
        </w:rPr>
      </w:pPr>
    </w:p>
    <w:p>
      <w:pPr>
        <w:ind w:left="1780" w:right="4380"/>
        <w:spacing w:after="0" w:line="249" w:lineRule="auto"/>
        <w:rPr>
          <w:rFonts w:ascii="Arial" w:cs="Arial" w:eastAsia="Arial" w:hAnsi="Arial"/>
          <w:sz w:val="22"/>
          <w:szCs w:val="22"/>
          <w:b w:val="1"/>
          <w:bCs w:val="1"/>
          <w:color w:val="auto"/>
        </w:rPr>
      </w:pPr>
      <w:r>
        <w:rPr>
          <w:rFonts w:ascii="Arial" w:cs="Arial" w:eastAsia="Arial" w:hAnsi="Arial"/>
          <w:sz w:val="21"/>
          <w:szCs w:val="21"/>
          <w:color w:val="auto"/>
        </w:rPr>
        <w:t>Wellington Management Group LLP - Massachusetts Wellington Group Holdings LLP - Delaware Wellington Investment Advisors Holdings LLP - Delaware</w:t>
      </w:r>
    </w:p>
    <w:p>
      <w:pPr>
        <w:spacing w:after="0" w:line="88" w:lineRule="exact"/>
        <w:rPr>
          <w:rFonts w:ascii="Arial" w:cs="Arial" w:eastAsia="Arial" w:hAnsi="Arial"/>
          <w:sz w:val="22"/>
          <w:szCs w:val="22"/>
          <w:b w:val="1"/>
          <w:bCs w:val="1"/>
          <w:color w:val="auto"/>
        </w:rPr>
      </w:pPr>
    </w:p>
    <w:p>
      <w:pPr>
        <w:ind w:left="1780" w:right="708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Title of Class of Securities </w:t>
      </w:r>
      <w:r>
        <w:rPr>
          <w:rFonts w:ascii="Arial" w:cs="Arial" w:eastAsia="Arial" w:hAnsi="Arial"/>
          <w:sz w:val="19"/>
          <w:szCs w:val="19"/>
          <w:color w:val="auto"/>
        </w:rPr>
        <w:t>Common Stock</w:t>
      </w:r>
    </w:p>
    <w:p>
      <w:pPr>
        <w:spacing w:after="0" w:line="11" w:lineRule="exact"/>
        <w:rPr>
          <w:rFonts w:ascii="Arial" w:cs="Arial" w:eastAsia="Arial" w:hAnsi="Arial"/>
          <w:sz w:val="19"/>
          <w:szCs w:val="19"/>
          <w:b w:val="1"/>
          <w:bCs w:val="1"/>
          <w:color w:val="auto"/>
        </w:rPr>
      </w:pPr>
    </w:p>
    <w:p>
      <w:pPr>
        <w:ind w:left="1780" w:right="8020" w:hanging="407"/>
        <w:spacing w:after="0" w:line="335" w:lineRule="auto"/>
        <w:tabs>
          <w:tab w:leader="none" w:pos="1780" w:val="left"/>
        </w:tabs>
        <w:numPr>
          <w:ilvl w:val="0"/>
          <w:numId w:val="3"/>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CUSIP Number </w:t>
      </w:r>
      <w:r>
        <w:rPr>
          <w:rFonts w:ascii="Arial" w:cs="Arial" w:eastAsia="Arial" w:hAnsi="Arial"/>
          <w:sz w:val="19"/>
          <w:szCs w:val="19"/>
          <w:color w:val="auto"/>
        </w:rPr>
        <w:t>72703H101</w:t>
      </w:r>
    </w:p>
    <w:p>
      <w:pPr>
        <w:spacing w:after="0" w:line="11" w:lineRule="exact"/>
        <w:rPr>
          <w:sz w:val="20"/>
          <w:szCs w:val="20"/>
          <w:color w:val="auto"/>
        </w:rPr>
      </w:pPr>
    </w:p>
    <w:p>
      <w:pPr>
        <w:ind w:left="1380" w:hanging="1363"/>
        <w:spacing w:after="0" w:line="256" w:lineRule="auto"/>
        <w:tabs>
          <w:tab w:leader="none" w:pos="1360" w:val="left"/>
        </w:tabs>
        <w:rPr>
          <w:sz w:val="20"/>
          <w:szCs w:val="20"/>
          <w:color w:val="auto"/>
        </w:rPr>
      </w:pPr>
      <w:r>
        <w:rPr>
          <w:rFonts w:ascii="Arial" w:cs="Arial" w:eastAsia="Arial" w:hAnsi="Arial"/>
          <w:sz w:val="22"/>
          <w:szCs w:val="22"/>
          <w:b w:val="1"/>
          <w:bCs w:val="1"/>
          <w:color w:val="auto"/>
        </w:rPr>
        <w:t>Item 3.</w:t>
      </w:r>
      <w:r>
        <w:rPr>
          <w:sz w:val="20"/>
          <w:szCs w:val="20"/>
          <w:color w:val="auto"/>
        </w:rPr>
        <w:tab/>
      </w:r>
      <w:r>
        <w:rPr>
          <w:rFonts w:ascii="Arial" w:cs="Arial" w:eastAsia="Arial" w:hAnsi="Arial"/>
          <w:sz w:val="22"/>
          <w:szCs w:val="22"/>
          <w:b w:val="1"/>
          <w:bCs w:val="1"/>
          <w:color w:val="auto"/>
        </w:rPr>
        <w:t>If This Statement is Filed Pursuant to Rule 13d-1(b), or 13d-2(b) or (c), Check Whether the Person Filing is a:</w:t>
      </w:r>
    </w:p>
    <w:p>
      <w:pPr>
        <w:spacing w:after="0" w:line="88" w:lineRule="exact"/>
        <w:rPr>
          <w:sz w:val="20"/>
          <w:szCs w:val="20"/>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Broker or dealer registered under Section 15 of the Act (15 U.S.C. 78o).</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Bank as defined in Section 3(a)(6) of the Act (15 U.S.C. 78c).</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Insurance Company as defined in Section 3(a)(19) of the Act (15 U.S.C. 78c).</w:t>
      </w:r>
    </w:p>
    <w:p>
      <w:pPr>
        <w:spacing w:after="0" w:line="125" w:lineRule="exact"/>
        <w:rPr>
          <w:rFonts w:ascii="Arial" w:cs="Arial" w:eastAsia="Arial" w:hAnsi="Arial"/>
          <w:sz w:val="22"/>
          <w:szCs w:val="22"/>
          <w:color w:val="auto"/>
        </w:rPr>
      </w:pPr>
    </w:p>
    <w:p>
      <w:pPr>
        <w:ind w:left="2240" w:right="3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Investment Company registered under Section 8 of the Investment Company Act of 1940 (15 U.S.C. 80a-8).</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investment adviser in accordance with Rule 240.13d-1(b)(1)(ii)(E);</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An employee benefit plan or endowment fund in accordance with Rule 240.13d-1(b)(1)(ii)(F);</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[X]  A parent holding company or control person in accordance with Rule 240.13d-1(b)(1)(ii)(G);</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19"/>
          <w:szCs w:val="19"/>
          <w:color w:val="auto"/>
        </w:rPr>
      </w:pPr>
      <w:r>
        <w:rPr>
          <w:rFonts w:ascii="Arial" w:cs="Arial" w:eastAsia="Arial" w:hAnsi="Arial"/>
          <w:sz w:val="19"/>
          <w:szCs w:val="19"/>
          <w:color w:val="auto"/>
        </w:rPr>
        <w:t>[ ]   A savings association as defined in Section 3(b) of the Federal Deposit Insurance Act (12 U.S.C. 1813);</w:t>
      </w:r>
    </w:p>
    <w:p>
      <w:pPr>
        <w:spacing w:after="0" w:line="159" w:lineRule="exact"/>
        <w:rPr>
          <w:rFonts w:ascii="Arial" w:cs="Arial" w:eastAsia="Arial" w:hAnsi="Arial"/>
          <w:sz w:val="19"/>
          <w:szCs w:val="19"/>
          <w:color w:val="auto"/>
        </w:rPr>
      </w:pPr>
    </w:p>
    <w:p>
      <w:pPr>
        <w:ind w:left="2240" w:right="120" w:hanging="867"/>
        <w:spacing w:after="0" w:line="251" w:lineRule="auto"/>
        <w:tabs>
          <w:tab w:leader="none" w:pos="1781" w:val="left"/>
        </w:tabs>
        <w:numPr>
          <w:ilvl w:val="0"/>
          <w:numId w:val="4"/>
        </w:numPr>
        <w:rPr>
          <w:rFonts w:ascii="Arial" w:cs="Arial" w:eastAsia="Arial" w:hAnsi="Arial"/>
          <w:sz w:val="22"/>
          <w:szCs w:val="22"/>
          <w:color w:val="auto"/>
        </w:rPr>
      </w:pPr>
      <w:r>
        <w:rPr>
          <w:rFonts w:ascii="Arial" w:cs="Arial" w:eastAsia="Arial" w:hAnsi="Arial"/>
          <w:sz w:val="22"/>
          <w:szCs w:val="22"/>
          <w:color w:val="auto"/>
        </w:rPr>
        <w:t>[ ] A church plan that is excluded from the definition of an investment company under Section 3(c)(14) of the Investment Company Act of 1940 (15 U.S.C. 80a-3);</w:t>
      </w:r>
    </w:p>
    <w:p>
      <w:pPr>
        <w:spacing w:after="0" w:line="92" w:lineRule="exact"/>
        <w:rPr>
          <w:rFonts w:ascii="Arial" w:cs="Arial" w:eastAsia="Arial" w:hAnsi="Arial"/>
          <w:sz w:val="22"/>
          <w:szCs w:val="22"/>
          <w:color w:val="auto"/>
        </w:rPr>
      </w:pPr>
    </w:p>
    <w:p>
      <w:pPr>
        <w:ind w:left="1780" w:hanging="407"/>
        <w:spacing w:after="0"/>
        <w:tabs>
          <w:tab w:leader="none" w:pos="1780" w:val="left"/>
        </w:tabs>
        <w:numPr>
          <w:ilvl w:val="0"/>
          <w:numId w:val="4"/>
        </w:numPr>
        <w:rPr>
          <w:rFonts w:ascii="Arial" w:cs="Arial" w:eastAsia="Arial" w:hAnsi="Arial"/>
          <w:sz w:val="22"/>
          <w:szCs w:val="22"/>
          <w:color w:val="auto"/>
        </w:rPr>
      </w:pPr>
      <w:r>
        <w:rPr>
          <w:rFonts w:ascii="Arial" w:cs="Arial" w:eastAsia="Arial" w:hAnsi="Arial"/>
          <w:sz w:val="22"/>
          <w:szCs w:val="22"/>
          <w:color w:val="auto"/>
        </w:rPr>
        <w:t>[ ]   Group, in accordance with Rule 240.13d-1(b)(1)(ii)(J).</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If this statement is filed pursuant to Rule 13d-1(c), check this box [ ]</w:t>
      </w:r>
    </w:p>
    <w:p>
      <w:pPr>
        <w:spacing w:after="0" w:line="119" w:lineRule="exact"/>
        <w:rPr>
          <w:sz w:val="20"/>
          <w:szCs w:val="20"/>
          <w:color w:val="auto"/>
        </w:rPr>
      </w:pPr>
    </w:p>
    <w:p>
      <w:pPr>
        <w:spacing w:after="0"/>
        <w:tabs>
          <w:tab w:leader="none" w:pos="1360" w:val="left"/>
        </w:tabs>
        <w:rPr>
          <w:sz w:val="20"/>
          <w:szCs w:val="20"/>
          <w:color w:val="auto"/>
        </w:rPr>
      </w:pPr>
      <w:r>
        <w:rPr>
          <w:rFonts w:ascii="Arial" w:cs="Arial" w:eastAsia="Arial" w:hAnsi="Arial"/>
          <w:sz w:val="22"/>
          <w:szCs w:val="22"/>
          <w:b w:val="1"/>
          <w:bCs w:val="1"/>
          <w:color w:val="auto"/>
        </w:rPr>
        <w:t>Item 4.</w:t>
      </w:r>
      <w:r>
        <w:rPr>
          <w:sz w:val="20"/>
          <w:szCs w:val="20"/>
          <w:color w:val="auto"/>
        </w:rPr>
        <w:tab/>
      </w:r>
      <w:r>
        <w:rPr>
          <w:rFonts w:ascii="Arial" w:cs="Arial" w:eastAsia="Arial" w:hAnsi="Arial"/>
          <w:sz w:val="19"/>
          <w:szCs w:val="19"/>
          <w:b w:val="1"/>
          <w:bCs w:val="1"/>
          <w:color w:val="auto"/>
        </w:rPr>
        <w:t>Ownership.</w:t>
      </w:r>
    </w:p>
    <w:p>
      <w:pPr>
        <w:spacing w:after="0" w:line="131" w:lineRule="exact"/>
        <w:rPr>
          <w:sz w:val="20"/>
          <w:szCs w:val="20"/>
          <w:color w:val="auto"/>
        </w:rPr>
      </w:pPr>
    </w:p>
    <w:p>
      <w:pPr>
        <w:spacing w:after="0" w:line="251" w:lineRule="auto"/>
        <w:rPr>
          <w:sz w:val="20"/>
          <w:szCs w:val="20"/>
          <w:color w:val="auto"/>
        </w:rPr>
      </w:pPr>
      <w:r>
        <w:rPr>
          <w:rFonts w:ascii="Arial" w:cs="Arial" w:eastAsia="Arial" w:hAnsi="Arial"/>
          <w:sz w:val="22"/>
          <w:szCs w:val="22"/>
          <w:color w:val="auto"/>
        </w:rPr>
        <w:t>Provide the following information regarding the aggregate number and percentage of the class of securities of the issuer identified in Item 1.</w:t>
      </w:r>
    </w:p>
    <w:p>
      <w:pPr>
        <w:spacing w:after="0" w:line="92" w:lineRule="exact"/>
        <w:rPr>
          <w:sz w:val="20"/>
          <w:szCs w:val="20"/>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Amount Beneficially Owned:</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9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Percent of Class:</w:t>
      </w:r>
    </w:p>
    <w:p>
      <w:pPr>
        <w:spacing w:after="0" w:line="125" w:lineRule="exact"/>
        <w:rPr>
          <w:rFonts w:ascii="Arial" w:cs="Arial" w:eastAsia="Arial" w:hAnsi="Arial"/>
          <w:sz w:val="22"/>
          <w:szCs w:val="22"/>
          <w:color w:val="auto"/>
        </w:rPr>
      </w:pPr>
    </w:p>
    <w:p>
      <w:pPr>
        <w:ind w:left="1780"/>
        <w:spacing w:after="0"/>
        <w:rPr>
          <w:rFonts w:ascii="Arial" w:cs="Arial" w:eastAsia="Arial" w:hAnsi="Arial"/>
          <w:sz w:val="22"/>
          <w:szCs w:val="22"/>
          <w:color w:val="auto"/>
        </w:rPr>
      </w:pPr>
      <w:r>
        <w:rPr>
          <w:rFonts w:ascii="Arial" w:cs="Arial" w:eastAsia="Arial" w:hAnsi="Arial"/>
          <w:sz w:val="22"/>
          <w:szCs w:val="22"/>
          <w:color w:val="auto"/>
        </w:rPr>
        <w:t>See the responses to Item 11 on the attached cover pages.</w:t>
      </w:r>
    </w:p>
    <w:p>
      <w:pPr>
        <w:spacing w:after="0" w:line="125" w:lineRule="exact"/>
        <w:rPr>
          <w:rFonts w:ascii="Arial" w:cs="Arial" w:eastAsia="Arial" w:hAnsi="Arial"/>
          <w:sz w:val="22"/>
          <w:szCs w:val="22"/>
          <w:color w:val="auto"/>
        </w:rPr>
      </w:pPr>
    </w:p>
    <w:p>
      <w:pPr>
        <w:ind w:left="1780" w:hanging="407"/>
        <w:spacing w:after="0"/>
        <w:tabs>
          <w:tab w:leader="none" w:pos="1780" w:val="left"/>
        </w:tabs>
        <w:numPr>
          <w:ilvl w:val="0"/>
          <w:numId w:val="5"/>
        </w:numPr>
        <w:rPr>
          <w:rFonts w:ascii="Arial" w:cs="Arial" w:eastAsia="Arial" w:hAnsi="Arial"/>
          <w:sz w:val="22"/>
          <w:szCs w:val="22"/>
          <w:color w:val="auto"/>
        </w:rPr>
      </w:pPr>
      <w:r>
        <w:rPr>
          <w:rFonts w:ascii="Arial" w:cs="Arial" w:eastAsia="Arial" w:hAnsi="Arial"/>
          <w:sz w:val="22"/>
          <w:szCs w:val="22"/>
          <w:color w:val="auto"/>
        </w:rPr>
        <w:t>Number of shares as to which such person has:</w:t>
      </w:r>
    </w:p>
    <w:p>
      <w:pPr>
        <w:spacing w:after="0" w:line="125" w:lineRule="exact"/>
        <w:rPr>
          <w:sz w:val="20"/>
          <w:szCs w:val="20"/>
          <w:color w:val="auto"/>
        </w:rPr>
      </w:pPr>
    </w:p>
    <w:tbl>
      <w:tblPr>
        <w:tblLayout w:type="fixed"/>
        <w:tblInd w:w="1780" w:type="dxa"/>
        <w:tblCellMar>
          <w:top w:w="0" w:type="dxa"/>
          <w:left w:w="0" w:type="dxa"/>
          <w:bottom w:w="0" w:type="dxa"/>
          <w:right w:w="0" w:type="dxa"/>
        </w:tblCellMar>
      </w:tblPr>
      <w:tr>
        <w:trPr>
          <w:trHeight w:val="275"/>
        </w:trPr>
        <w:tc>
          <w:tcPr>
            <w:tcW w:w="380" w:type="dxa"/>
            <w:vAlign w:val="bottom"/>
          </w:tcPr>
          <w:p>
            <w:pPr>
              <w:spacing w:after="0"/>
              <w:rPr>
                <w:sz w:val="20"/>
                <w:szCs w:val="20"/>
                <w:color w:val="auto"/>
              </w:rPr>
            </w:pPr>
            <w:r>
              <w:rPr>
                <w:rFonts w:ascii="Arial" w:cs="Arial" w:eastAsia="Arial" w:hAnsi="Arial"/>
                <w:sz w:val="22"/>
                <w:szCs w:val="22"/>
                <w:color w:val="auto"/>
              </w:rPr>
              <w:t>(i)</w:t>
            </w:r>
          </w:p>
        </w:tc>
        <w:tc>
          <w:tcPr>
            <w:tcW w:w="4400" w:type="dxa"/>
            <w:vAlign w:val="bottom"/>
          </w:tcPr>
          <w:p>
            <w:pPr>
              <w:ind w:left="80"/>
              <w:spacing w:after="0"/>
              <w:rPr>
                <w:sz w:val="20"/>
                <w:szCs w:val="20"/>
                <w:color w:val="auto"/>
              </w:rPr>
            </w:pPr>
            <w:r>
              <w:rPr>
                <w:rFonts w:ascii="Arial" w:cs="Arial" w:eastAsia="Arial" w:hAnsi="Arial"/>
                <w:sz w:val="22"/>
                <w:szCs w:val="22"/>
                <w:color w:val="auto"/>
              </w:rPr>
              <w:t>sole power to vote or to direct the vote</w:t>
            </w:r>
          </w:p>
        </w:tc>
        <w:tc>
          <w:tcPr>
            <w:tcW w:w="4380" w:type="dxa"/>
            <w:vAlign w:val="bottom"/>
          </w:tcPr>
          <w:p>
            <w:pPr>
              <w:ind w:left="1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r>
        <w:trPr>
          <w:trHeight w:val="347"/>
        </w:trPr>
        <w:tc>
          <w:tcPr>
            <w:tcW w:w="380" w:type="dxa"/>
            <w:vAlign w:val="bottom"/>
            <w:vMerge w:val="restart"/>
          </w:tcPr>
          <w:p>
            <w:pPr>
              <w:spacing w:after="0"/>
              <w:rPr>
                <w:sz w:val="20"/>
                <w:szCs w:val="20"/>
                <w:color w:val="auto"/>
              </w:rPr>
            </w:pPr>
            <w:r>
              <w:rPr>
                <w:rFonts w:ascii="Arial" w:cs="Arial" w:eastAsia="Arial" w:hAnsi="Arial"/>
                <w:sz w:val="22"/>
                <w:szCs w:val="22"/>
                <w:color w:val="auto"/>
              </w:rPr>
              <w:t>(ii)</w:t>
            </w:r>
          </w:p>
        </w:tc>
        <w:tc>
          <w:tcPr>
            <w:tcW w:w="4400" w:type="dxa"/>
            <w:vAlign w:val="bottom"/>
            <w:vMerge w:val="restart"/>
          </w:tcPr>
          <w:p>
            <w:pPr>
              <w:ind w:left="80"/>
              <w:spacing w:after="0"/>
              <w:rPr>
                <w:sz w:val="20"/>
                <w:szCs w:val="20"/>
                <w:color w:val="auto"/>
              </w:rPr>
            </w:pPr>
            <w:r>
              <w:rPr>
                <w:rFonts w:ascii="Arial" w:cs="Arial" w:eastAsia="Arial" w:hAnsi="Arial"/>
                <w:sz w:val="22"/>
                <w:szCs w:val="22"/>
                <w:color w:val="auto"/>
              </w:rPr>
              <w:t>shared power to vote or to direct the vote</w:t>
            </w:r>
          </w:p>
        </w:tc>
        <w:tc>
          <w:tcPr>
            <w:tcW w:w="4380" w:type="dxa"/>
            <w:vAlign w:val="bottom"/>
          </w:tcPr>
          <w:p>
            <w:pPr>
              <w:ind w:left="140"/>
              <w:spacing w:after="0"/>
              <w:rPr>
                <w:sz w:val="20"/>
                <w:szCs w:val="20"/>
                <w:color w:val="auto"/>
              </w:rPr>
            </w:pPr>
            <w:r>
              <w:rPr>
                <w:rFonts w:ascii="Arial" w:cs="Arial" w:eastAsia="Arial" w:hAnsi="Arial"/>
                <w:sz w:val="22"/>
                <w:szCs w:val="22"/>
                <w:color w:val="auto"/>
                <w:w w:val="85"/>
              </w:rPr>
              <w:t>See the responses to Item 6 on the attached cover</w:t>
            </w:r>
          </w:p>
        </w:tc>
        <w:tc>
          <w:tcPr>
            <w:tcW w:w="0" w:type="dxa"/>
            <w:vAlign w:val="bottom"/>
          </w:tcPr>
          <w:p>
            <w:pPr>
              <w:spacing w:after="0"/>
              <w:rPr>
                <w:sz w:val="1"/>
                <w:szCs w:val="1"/>
                <w:color w:val="auto"/>
              </w:rPr>
            </w:pPr>
          </w:p>
        </w:tc>
      </w:tr>
      <w:tr>
        <w:trPr>
          <w:trHeight w:val="153"/>
        </w:trPr>
        <w:tc>
          <w:tcPr>
            <w:tcW w:w="380" w:type="dxa"/>
            <w:vAlign w:val="bottom"/>
            <w:vMerge w:val="continue"/>
          </w:tcPr>
          <w:p>
            <w:pPr>
              <w:spacing w:after="0"/>
              <w:rPr>
                <w:sz w:val="13"/>
                <w:szCs w:val="13"/>
                <w:color w:val="auto"/>
              </w:rPr>
            </w:pPr>
          </w:p>
        </w:tc>
        <w:tc>
          <w:tcPr>
            <w:tcW w:w="4400" w:type="dxa"/>
            <w:vAlign w:val="bottom"/>
            <w:vMerge w:val="continue"/>
          </w:tcPr>
          <w:p>
            <w:pPr>
              <w:spacing w:after="0"/>
              <w:rPr>
                <w:sz w:val="13"/>
                <w:szCs w:val="13"/>
                <w:color w:val="auto"/>
              </w:rPr>
            </w:pPr>
          </w:p>
        </w:tc>
        <w:tc>
          <w:tcPr>
            <w:tcW w:w="4380" w:type="dxa"/>
            <w:vAlign w:val="bottom"/>
            <w:vMerge w:val="restart"/>
          </w:tcPr>
          <w:p>
            <w:pPr>
              <w:ind w:left="140"/>
              <w:spacing w:after="0"/>
              <w:rPr>
                <w:sz w:val="20"/>
                <w:szCs w:val="20"/>
                <w:color w:val="auto"/>
              </w:rPr>
            </w:pPr>
            <w:r>
              <w:rPr>
                <w:rFonts w:ascii="Arial" w:cs="Arial" w:eastAsia="Arial" w:hAnsi="Arial"/>
                <w:sz w:val="22"/>
                <w:szCs w:val="22"/>
                <w:color w:val="auto"/>
              </w:rPr>
              <w:t>pages.</w:t>
            </w:r>
          </w:p>
        </w:tc>
        <w:tc>
          <w:tcPr>
            <w:tcW w:w="0" w:type="dxa"/>
            <w:vAlign w:val="bottom"/>
          </w:tcPr>
          <w:p>
            <w:pPr>
              <w:spacing w:after="0"/>
              <w:rPr>
                <w:sz w:val="1"/>
                <w:szCs w:val="1"/>
                <w:color w:val="auto"/>
              </w:rPr>
            </w:pPr>
          </w:p>
        </w:tc>
      </w:tr>
      <w:tr>
        <w:trPr>
          <w:trHeight w:val="122"/>
        </w:trPr>
        <w:tc>
          <w:tcPr>
            <w:tcW w:w="380" w:type="dxa"/>
            <w:vAlign w:val="bottom"/>
          </w:tcPr>
          <w:p>
            <w:pPr>
              <w:spacing w:after="0"/>
              <w:rPr>
                <w:sz w:val="10"/>
                <w:szCs w:val="10"/>
                <w:color w:val="auto"/>
              </w:rPr>
            </w:pPr>
          </w:p>
        </w:tc>
        <w:tc>
          <w:tcPr>
            <w:tcW w:w="4400" w:type="dxa"/>
            <w:vAlign w:val="bottom"/>
          </w:tcPr>
          <w:p>
            <w:pPr>
              <w:spacing w:after="0"/>
              <w:rPr>
                <w:sz w:val="10"/>
                <w:szCs w:val="10"/>
                <w:color w:val="auto"/>
              </w:rPr>
            </w:pPr>
          </w:p>
        </w:tc>
        <w:tc>
          <w:tcPr>
            <w:tcW w:w="438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78"/>
        </w:trPr>
        <w:tc>
          <w:tcPr>
            <w:tcW w:w="380" w:type="dxa"/>
            <w:vAlign w:val="bottom"/>
          </w:tcPr>
          <w:p>
            <w:pPr>
              <w:spacing w:after="0"/>
              <w:rPr>
                <w:sz w:val="20"/>
                <w:szCs w:val="20"/>
                <w:color w:val="auto"/>
              </w:rPr>
            </w:pPr>
            <w:r>
              <w:rPr>
                <w:rFonts w:ascii="Arial" w:cs="Arial" w:eastAsia="Arial" w:hAnsi="Arial"/>
                <w:sz w:val="22"/>
                <w:szCs w:val="22"/>
                <w:color w:val="auto"/>
              </w:rPr>
              <w:t>(iii)</w:t>
            </w:r>
          </w:p>
        </w:tc>
        <w:tc>
          <w:tcPr>
            <w:tcW w:w="4400" w:type="dxa"/>
            <w:vAlign w:val="bottom"/>
          </w:tcPr>
          <w:p>
            <w:pPr>
              <w:ind w:left="80"/>
              <w:spacing w:after="0"/>
              <w:rPr>
                <w:sz w:val="20"/>
                <w:szCs w:val="20"/>
                <w:color w:val="auto"/>
              </w:rPr>
            </w:pPr>
            <w:r>
              <w:rPr>
                <w:rFonts w:ascii="Arial" w:cs="Arial" w:eastAsia="Arial" w:hAnsi="Arial"/>
                <w:sz w:val="22"/>
                <w:szCs w:val="22"/>
                <w:color w:val="auto"/>
                <w:w w:val="91"/>
              </w:rPr>
              <w:t>sole power to dispose or to direct the disposition</w:t>
            </w:r>
          </w:p>
        </w:tc>
        <w:tc>
          <w:tcPr>
            <w:tcW w:w="4380" w:type="dxa"/>
            <w:vAlign w:val="bottom"/>
          </w:tcPr>
          <w:p>
            <w:pPr>
              <w:ind w:left="140"/>
              <w:spacing w:after="0"/>
              <w:rPr>
                <w:sz w:val="20"/>
                <w:szCs w:val="20"/>
                <w:color w:val="auto"/>
              </w:rPr>
            </w:pPr>
            <w:r>
              <w:rPr>
                <w:rFonts w:ascii="Arial" w:cs="Arial" w:eastAsia="Arial" w:hAnsi="Arial"/>
                <w:sz w:val="22"/>
                <w:szCs w:val="22"/>
                <w:color w:val="auto"/>
              </w:rPr>
              <w:t>0</w:t>
            </w:r>
          </w:p>
        </w:tc>
        <w:tc>
          <w:tcPr>
            <w:tcW w:w="0" w:type="dxa"/>
            <w:vAlign w:val="bottom"/>
          </w:tcPr>
          <w:p>
            <w:pPr>
              <w:spacing w:after="0"/>
              <w:rPr>
                <w:sz w:val="1"/>
                <w:szCs w:val="1"/>
                <w:color w:val="auto"/>
              </w:rPr>
            </w:pPr>
          </w:p>
        </w:tc>
      </w:tr>
    </w:tbl>
    <w:p>
      <w:pPr>
        <w:sectPr>
          <w:pgSz w:w="11900" w:h="16853" w:orient="portrait"/>
          <w:cols w:equalWidth="0" w:num="1">
            <w:col w:w="11260"/>
          </w:cols>
          <w:pgMar w:left="320" w:top="409" w:right="319" w:bottom="0" w:gutter="0" w:footer="0" w:header="0"/>
        </w:sectPr>
      </w:pPr>
    </w:p>
    <w:bookmarkStart w:id="5" w:name="page6"/>
    <w:bookmarkEnd w:id="5"/>
    <w:p>
      <w:pPr>
        <w:ind w:left="2240"/>
        <w:spacing w:after="0"/>
        <w:rPr>
          <w:sz w:val="20"/>
          <w:szCs w:val="20"/>
          <w:color w:val="auto"/>
        </w:rPr>
      </w:pPr>
      <w:r>
        <w:rPr>
          <w:rFonts w:ascii="Arial" w:cs="Arial" w:eastAsia="Arial" w:hAnsi="Arial"/>
          <w:sz w:val="22"/>
          <w:szCs w:val="22"/>
          <w:color w:val="auto"/>
        </w:rPr>
        <w:t>of</w:t>
      </w:r>
    </w:p>
    <w:p>
      <w:pPr>
        <w:spacing w:after="0" w:line="126" w:lineRule="exact"/>
        <w:rPr>
          <w:sz w:val="20"/>
          <w:szCs w:val="20"/>
          <w:color w:val="auto"/>
        </w:rPr>
      </w:pPr>
    </w:p>
    <w:p>
      <w:pPr>
        <w:ind w:left="2240" w:right="340" w:hanging="462"/>
        <w:spacing w:after="0" w:line="183" w:lineRule="auto"/>
        <w:tabs>
          <w:tab w:leader="none" w:pos="2240" w:val="left"/>
        </w:tabs>
        <w:numPr>
          <w:ilvl w:val="0"/>
          <w:numId w:val="6"/>
        </w:numPr>
        <w:rPr>
          <w:rFonts w:ascii="Arial" w:cs="Arial" w:eastAsia="Arial" w:hAnsi="Arial"/>
          <w:sz w:val="39"/>
          <w:szCs w:val="39"/>
          <w:color w:val="auto"/>
          <w:vertAlign w:val="subscript"/>
        </w:rPr>
      </w:pPr>
      <w:r>
        <w:rPr>
          <w:rFonts w:ascii="Arial" w:cs="Arial" w:eastAsia="Arial" w:hAnsi="Arial"/>
          <w:sz w:val="20"/>
          <w:szCs w:val="20"/>
          <w:color w:val="auto"/>
        </w:rPr>
        <w:t>shared power to dispose or to direct the disposition of</w:t>
      </w:r>
    </w:p>
    <w:p>
      <w:pPr>
        <w:spacing w:after="0" w:line="20" w:lineRule="exact"/>
        <w:rPr>
          <w:sz w:val="20"/>
          <w:szCs w:val="20"/>
          <w:color w:val="auto"/>
        </w:rPr>
      </w:pPr>
      <w:r>
        <w:rPr>
          <w:sz w:val="20"/>
          <w:szCs w:val="20"/>
          <w:color w:val="auto"/>
        </w:rPr>
        <w:br w:type="column"/>
      </w:r>
    </w:p>
    <w:p>
      <w:pPr>
        <w:spacing w:after="0" w:line="359" w:lineRule="exact"/>
        <w:rPr>
          <w:sz w:val="20"/>
          <w:szCs w:val="20"/>
          <w:color w:val="auto"/>
        </w:rPr>
      </w:pPr>
    </w:p>
    <w:p>
      <w:pPr>
        <w:ind w:right="320"/>
        <w:spacing w:after="0" w:line="251" w:lineRule="auto"/>
        <w:rPr>
          <w:sz w:val="20"/>
          <w:szCs w:val="20"/>
          <w:color w:val="auto"/>
        </w:rPr>
      </w:pPr>
      <w:r>
        <w:rPr>
          <w:rFonts w:ascii="Arial" w:cs="Arial" w:eastAsia="Arial" w:hAnsi="Arial"/>
          <w:sz w:val="22"/>
          <w:szCs w:val="22"/>
          <w:color w:val="auto"/>
        </w:rPr>
        <w:t>See the responses to Item 8 on the attached cover pages.</w:t>
      </w:r>
    </w:p>
    <w:p>
      <w:pPr>
        <w:spacing w:after="0" w:line="86" w:lineRule="exact"/>
        <w:rPr>
          <w:sz w:val="20"/>
          <w:szCs w:val="20"/>
          <w:color w:val="auto"/>
        </w:rPr>
      </w:pPr>
    </w:p>
    <w:p>
      <w:pPr>
        <w:sectPr>
          <w:pgSz w:w="11900" w:h="16838" w:orient="portrait"/>
          <w:cols w:equalWidth="0" w:num="2">
            <w:col w:w="5980" w:space="720"/>
            <w:col w:w="4560"/>
          </w:cols>
          <w:pgMar w:left="320" w:top="118" w:right="319" w:bottom="0" w:gutter="0" w:footer="0" w:header="0"/>
        </w:sectPr>
      </w:pPr>
    </w:p>
    <w:tbl>
      <w:tblPr>
        <w:tblLayout w:type="fixed"/>
        <w:tblInd w:w="0" w:type="dxa"/>
        <w:tblCellMar>
          <w:top w:w="0" w:type="dxa"/>
          <w:left w:w="0" w:type="dxa"/>
          <w:bottom w:w="0" w:type="dxa"/>
          <w:right w:w="0" w:type="dxa"/>
        </w:tblCellMar>
      </w:tblPr>
      <w:tr>
        <w:trPr>
          <w:trHeight w:val="281"/>
        </w:trPr>
        <w:tc>
          <w:tcPr>
            <w:tcW w:w="940" w:type="dxa"/>
            <w:vAlign w:val="bottom"/>
          </w:tcPr>
          <w:p>
            <w:pPr>
              <w:spacing w:after="0"/>
              <w:rPr>
                <w:sz w:val="20"/>
                <w:szCs w:val="20"/>
                <w:color w:val="auto"/>
              </w:rPr>
            </w:pPr>
            <w:r>
              <w:rPr>
                <w:rFonts w:ascii="Arial" w:cs="Arial" w:eastAsia="Arial" w:hAnsi="Arial"/>
                <w:sz w:val="22"/>
                <w:szCs w:val="22"/>
                <w:b w:val="1"/>
                <w:bCs w:val="1"/>
                <w:color w:val="auto"/>
              </w:rPr>
              <w:t>Item 5.</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Five Percent or Less of Class.</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If this statement is being filed to report the fact that as of the date hereof the reporting person has ceased to be the</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beneficial owner of more than five percent of the class of securities, check the following: [X]</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6.</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Ownership of More than Five Percent on Behalf of Another Person.</w:t>
            </w:r>
          </w:p>
        </w:tc>
      </w:tr>
      <w:tr>
        <w:trPr>
          <w:trHeight w:val="347"/>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88"/>
              </w:rPr>
              <w:t>The securities as to which this Schedule is filed are owned of record by clients of one or more investment advisers</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3"/>
              </w:rPr>
              <w:t>identified in Exhibit A directly or indirectly owned by Wellington Management Group LLP. Those clients have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2"/>
              </w:rPr>
              <w:t>the right to receive, or the power to direct the receipt of, dividends from, or the proceeds from the sale of, such</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9"/>
              </w:rPr>
              <w:t>securities. No such client is known to have such right or power with respect to more than five percent of this class</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of securities, except as follows:</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41"/>
        </w:trPr>
        <w:tc>
          <w:tcPr>
            <w:tcW w:w="940" w:type="dxa"/>
            <w:vAlign w:val="bottom"/>
          </w:tcPr>
          <w:p>
            <w:pPr>
              <w:spacing w:after="0"/>
              <w:rPr>
                <w:sz w:val="20"/>
                <w:szCs w:val="20"/>
                <w:color w:val="auto"/>
              </w:rPr>
            </w:pPr>
            <w:r>
              <w:rPr>
                <w:rFonts w:ascii="Arial" w:cs="Arial" w:eastAsia="Arial" w:hAnsi="Arial"/>
                <w:sz w:val="22"/>
                <w:szCs w:val="22"/>
                <w:b w:val="1"/>
                <w:bCs w:val="1"/>
                <w:color w:val="auto"/>
              </w:rPr>
              <w:t>Item 7.</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w w:val="90"/>
              </w:rPr>
              <w:t>Identification and Classification of the Subsidiary Which Acquired the Security Being Reported on by the</w:t>
            </w:r>
          </w:p>
        </w:tc>
      </w:tr>
      <w:tr>
        <w:trPr>
          <w:trHeight w:val="28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Parent Holding Company.</w:t>
            </w:r>
          </w:p>
        </w:tc>
      </w:tr>
      <w:tr>
        <w:trPr>
          <w:trHeight w:val="621"/>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See attached Exhibit A.</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8.</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Identification and Classification of Members of the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9.</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Notice of Dissolution of Group.</w:t>
            </w:r>
          </w:p>
        </w:tc>
      </w:tr>
      <w:tr>
        <w:trPr>
          <w:trHeight w:val="486"/>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Not Applicable.</w:t>
            </w:r>
          </w:p>
        </w:tc>
      </w:tr>
      <w:tr>
        <w:trPr>
          <w:trHeight w:val="378"/>
        </w:trPr>
        <w:tc>
          <w:tcPr>
            <w:tcW w:w="940" w:type="dxa"/>
            <w:vAlign w:val="bottom"/>
          </w:tcPr>
          <w:p>
            <w:pPr>
              <w:spacing w:after="0"/>
              <w:rPr>
                <w:sz w:val="20"/>
                <w:szCs w:val="20"/>
                <w:color w:val="auto"/>
              </w:rPr>
            </w:pPr>
            <w:r>
              <w:rPr>
                <w:rFonts w:ascii="Arial" w:cs="Arial" w:eastAsia="Arial" w:hAnsi="Arial"/>
                <w:sz w:val="22"/>
                <w:szCs w:val="22"/>
                <w:b w:val="1"/>
                <w:bCs w:val="1"/>
                <w:color w:val="auto"/>
              </w:rPr>
              <w:t>Item 10.</w:t>
            </w:r>
          </w:p>
        </w:tc>
        <w:tc>
          <w:tcPr>
            <w:tcW w:w="10320" w:type="dxa"/>
            <w:vAlign w:val="bottom"/>
            <w:gridSpan w:val="3"/>
          </w:tcPr>
          <w:p>
            <w:pPr>
              <w:ind w:left="440"/>
              <w:spacing w:after="0"/>
              <w:rPr>
                <w:sz w:val="20"/>
                <w:szCs w:val="20"/>
                <w:color w:val="auto"/>
              </w:rPr>
            </w:pPr>
            <w:r>
              <w:rPr>
                <w:rFonts w:ascii="Arial" w:cs="Arial" w:eastAsia="Arial" w:hAnsi="Arial"/>
                <w:sz w:val="22"/>
                <w:szCs w:val="22"/>
                <w:b w:val="1"/>
                <w:bCs w:val="1"/>
                <w:color w:val="auto"/>
              </w:rPr>
              <w:t>Certification.</w:t>
            </w:r>
          </w:p>
        </w:tc>
      </w:tr>
      <w:tr>
        <w:trPr>
          <w:trHeight w:val="455"/>
        </w:trPr>
        <w:tc>
          <w:tcPr>
            <w:tcW w:w="940" w:type="dxa"/>
            <w:vAlign w:val="bottom"/>
          </w:tcPr>
          <w:p>
            <w:pPr>
              <w:spacing w:after="0"/>
              <w:rPr>
                <w:sz w:val="24"/>
                <w:szCs w:val="24"/>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w w:val="94"/>
              </w:rPr>
              <w:t>By signing below I certify that, to the best of my knowledge and belief, the securities referred to above were</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88"/>
              </w:rPr>
              <w:t>acquired and are held in the ordinary course of business and were not acquired and are not held for the purpose of</w:t>
            </w:r>
          </w:p>
        </w:tc>
      </w:tr>
      <w:tr>
        <w:trPr>
          <w:trHeight w:val="243"/>
        </w:trPr>
        <w:tc>
          <w:tcPr>
            <w:tcW w:w="940" w:type="dxa"/>
            <w:vAlign w:val="bottom"/>
          </w:tcPr>
          <w:p>
            <w:pPr>
              <w:spacing w:after="0"/>
              <w:rPr>
                <w:sz w:val="21"/>
                <w:szCs w:val="21"/>
                <w:color w:val="auto"/>
              </w:rPr>
            </w:pPr>
          </w:p>
        </w:tc>
        <w:tc>
          <w:tcPr>
            <w:tcW w:w="10320" w:type="dxa"/>
            <w:vAlign w:val="bottom"/>
            <w:gridSpan w:val="3"/>
          </w:tcPr>
          <w:p>
            <w:pPr>
              <w:ind w:left="440"/>
              <w:spacing w:after="0" w:line="243" w:lineRule="exact"/>
              <w:rPr>
                <w:sz w:val="20"/>
                <w:szCs w:val="20"/>
                <w:color w:val="auto"/>
              </w:rPr>
            </w:pPr>
            <w:r>
              <w:rPr>
                <w:rFonts w:ascii="Arial" w:cs="Arial" w:eastAsia="Arial" w:hAnsi="Arial"/>
                <w:sz w:val="22"/>
                <w:szCs w:val="22"/>
                <w:color w:val="auto"/>
                <w:w w:val="91"/>
              </w:rPr>
              <w:t>or with the effect of changing or influencing the control of the issuer of the securities and were not acquired and</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440"/>
              <w:spacing w:after="0"/>
              <w:rPr>
                <w:sz w:val="20"/>
                <w:szCs w:val="20"/>
                <w:color w:val="auto"/>
              </w:rPr>
            </w:pPr>
            <w:r>
              <w:rPr>
                <w:rFonts w:ascii="Arial" w:cs="Arial" w:eastAsia="Arial" w:hAnsi="Arial"/>
                <w:sz w:val="22"/>
                <w:szCs w:val="22"/>
                <w:color w:val="auto"/>
              </w:rPr>
              <w:t>are not held in connection with or as a participant in any transaction having that purpose or effect.</w:t>
            </w:r>
          </w:p>
        </w:tc>
      </w:tr>
      <w:tr>
        <w:trPr>
          <w:trHeight w:val="608"/>
        </w:trPr>
        <w:tc>
          <w:tcPr>
            <w:tcW w:w="94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6420" w:type="dxa"/>
            <w:vAlign w:val="bottom"/>
            <w:gridSpan w:val="2"/>
          </w:tcPr>
          <w:p>
            <w:pPr>
              <w:ind w:left="160"/>
              <w:spacing w:after="0"/>
              <w:rPr>
                <w:sz w:val="20"/>
                <w:szCs w:val="20"/>
                <w:color w:val="auto"/>
              </w:rPr>
            </w:pPr>
            <w:r>
              <w:rPr>
                <w:rFonts w:ascii="Arial" w:cs="Arial" w:eastAsia="Arial" w:hAnsi="Arial"/>
                <w:sz w:val="22"/>
                <w:szCs w:val="22"/>
                <w:b w:val="1"/>
                <w:bCs w:val="1"/>
                <w:color w:val="auto"/>
              </w:rPr>
              <w:t>SIGNATURE</w:t>
            </w:r>
          </w:p>
        </w:tc>
      </w:tr>
      <w:tr>
        <w:trPr>
          <w:trHeight w:val="549"/>
        </w:trPr>
        <w:tc>
          <w:tcPr>
            <w:tcW w:w="940" w:type="dxa"/>
            <w:vAlign w:val="bottom"/>
          </w:tcPr>
          <w:p>
            <w:pPr>
              <w:spacing w:after="0"/>
              <w:rPr>
                <w:sz w:val="24"/>
                <w:szCs w:val="24"/>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After reasonable inquiry and to the best of my knowledge and belief, I certify that the information set</w:t>
            </w:r>
          </w:p>
        </w:tc>
      </w:tr>
      <w:tr>
        <w:trPr>
          <w:trHeight w:val="275"/>
        </w:trPr>
        <w:tc>
          <w:tcPr>
            <w:tcW w:w="940" w:type="dxa"/>
            <w:vAlign w:val="bottom"/>
          </w:tcPr>
          <w:p>
            <w:pPr>
              <w:spacing w:after="0"/>
              <w:rPr>
                <w:sz w:val="23"/>
                <w:szCs w:val="23"/>
                <w:color w:val="auto"/>
              </w:rPr>
            </w:pPr>
          </w:p>
        </w:tc>
        <w:tc>
          <w:tcPr>
            <w:tcW w:w="10320" w:type="dxa"/>
            <w:vAlign w:val="bottom"/>
            <w:gridSpan w:val="3"/>
          </w:tcPr>
          <w:p>
            <w:pPr>
              <w:ind w:left="180"/>
              <w:spacing w:after="0"/>
              <w:rPr>
                <w:sz w:val="20"/>
                <w:szCs w:val="20"/>
                <w:color w:val="auto"/>
              </w:rPr>
            </w:pPr>
            <w:r>
              <w:rPr>
                <w:rFonts w:ascii="Arial" w:cs="Arial" w:eastAsia="Arial" w:hAnsi="Arial"/>
                <w:sz w:val="22"/>
                <w:szCs w:val="22"/>
                <w:color w:val="auto"/>
              </w:rPr>
              <w:t>forth in this statement is true, complete and correct.</w:t>
            </w:r>
          </w:p>
        </w:tc>
      </w:tr>
      <w:tr>
        <w:trPr>
          <w:trHeight w:val="56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Management Group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Silvestre A. Fontes</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Silvestre A. Fontes</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Signor</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2018</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Group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Silvestre A. Fontes</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Silvestre A. Fontes</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Signor</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2018</w:t>
            </w:r>
          </w:p>
        </w:tc>
      </w:tr>
      <w:tr>
        <w:trPr>
          <w:trHeight w:val="594"/>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By: Wellington Investment Advisors Holdings LLP</w:t>
            </w:r>
          </w:p>
        </w:tc>
      </w:tr>
      <w:tr>
        <w:trPr>
          <w:trHeight w:val="247"/>
        </w:trPr>
        <w:tc>
          <w:tcPr>
            <w:tcW w:w="940" w:type="dxa"/>
            <w:vAlign w:val="bottom"/>
          </w:tcPr>
          <w:p>
            <w:pPr>
              <w:spacing w:after="0"/>
              <w:rPr>
                <w:sz w:val="21"/>
                <w:szCs w:val="21"/>
                <w:color w:val="auto"/>
              </w:rPr>
            </w:pPr>
          </w:p>
        </w:tc>
        <w:tc>
          <w:tcPr>
            <w:tcW w:w="10320" w:type="dxa"/>
            <w:vAlign w:val="bottom"/>
            <w:gridSpan w:val="3"/>
          </w:tcPr>
          <w:p>
            <w:pPr>
              <w:ind w:left="3540"/>
              <w:spacing w:after="0" w:line="246" w:lineRule="exact"/>
              <w:rPr>
                <w:sz w:val="20"/>
                <w:szCs w:val="20"/>
                <w:color w:val="auto"/>
              </w:rPr>
            </w:pPr>
            <w:r>
              <w:rPr>
                <w:rFonts w:ascii="Arial" w:cs="Arial" w:eastAsia="Arial" w:hAnsi="Arial"/>
                <w:sz w:val="22"/>
                <w:szCs w:val="22"/>
                <w:color w:val="auto"/>
              </w:rPr>
              <w:t>By: /s/ Silvestre A. Fontes</w:t>
            </w:r>
          </w:p>
        </w:tc>
      </w:tr>
      <w:tr>
        <w:trPr>
          <w:trHeight w:val="20"/>
        </w:trPr>
        <w:tc>
          <w:tcPr>
            <w:tcW w:w="9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1920" w:type="dxa"/>
            <w:vAlign w:val="bottom"/>
            <w:shd w:val="clear" w:color="auto" w:fill="000000"/>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r>
      <w:tr>
        <w:trPr>
          <w:trHeight w:val="328"/>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Name: Silvestre A. Fontes</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Title: Authorized Signor</w:t>
            </w:r>
          </w:p>
        </w:tc>
      </w:tr>
      <w:tr>
        <w:trPr>
          <w:trHeight w:val="297"/>
        </w:trPr>
        <w:tc>
          <w:tcPr>
            <w:tcW w:w="940" w:type="dxa"/>
            <w:vAlign w:val="bottom"/>
          </w:tcPr>
          <w:p>
            <w:pPr>
              <w:spacing w:after="0"/>
              <w:rPr>
                <w:sz w:val="24"/>
                <w:szCs w:val="24"/>
                <w:color w:val="auto"/>
              </w:rPr>
            </w:pPr>
          </w:p>
        </w:tc>
        <w:tc>
          <w:tcPr>
            <w:tcW w:w="10320" w:type="dxa"/>
            <w:vAlign w:val="bottom"/>
            <w:gridSpan w:val="3"/>
          </w:tcPr>
          <w:p>
            <w:pPr>
              <w:ind w:left="3540"/>
              <w:spacing w:after="0"/>
              <w:rPr>
                <w:sz w:val="20"/>
                <w:szCs w:val="20"/>
                <w:color w:val="auto"/>
              </w:rPr>
            </w:pPr>
            <w:r>
              <w:rPr>
                <w:rFonts w:ascii="Arial" w:cs="Arial" w:eastAsia="Arial" w:hAnsi="Arial"/>
                <w:sz w:val="22"/>
                <w:szCs w:val="22"/>
                <w:color w:val="auto"/>
              </w:rPr>
              <w:t>Date: February 14, 2018</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672465</wp:posOffset>
            </wp:positionH>
            <wp:positionV relativeFrom="paragraph">
              <wp:posOffset>342900</wp:posOffset>
            </wp:positionV>
            <wp:extent cx="5818505"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ectPr>
          <w:pgSz w:w="11900" w:h="16838" w:orient="portrait"/>
          <w:cols w:equalWidth="0" w:num="1">
            <w:col w:w="11260"/>
          </w:cols>
          <w:pgMar w:left="320" w:top="118" w:right="319"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Arial" w:cs="Arial" w:eastAsia="Arial" w:hAnsi="Arial"/>
          <w:sz w:val="19"/>
          <w:szCs w:val="19"/>
          <w:b w:val="1"/>
          <w:bCs w:val="1"/>
          <w:u w:val="single" w:color="auto"/>
          <w:color w:val="auto"/>
        </w:rPr>
        <w:t>Exhibit A</w:t>
      </w:r>
    </w:p>
    <w:p>
      <w:pPr>
        <w:sectPr>
          <w:pgSz w:w="11900" w:h="16838" w:orient="portrait"/>
          <w:cols w:equalWidth="0" w:num="1">
            <w:col w:w="11260"/>
          </w:cols>
          <w:pgMar w:left="320" w:top="118" w:right="319" w:bottom="0" w:gutter="0" w:footer="0" w:header="0"/>
          <w:type w:val="continuous"/>
        </w:sectPr>
      </w:pPr>
    </w:p>
    <w:bookmarkStart w:id="6" w:name="page7"/>
    <w:bookmarkEnd w:id="6"/>
    <w:p>
      <w:pPr>
        <w:spacing w:after="0"/>
        <w:rPr>
          <w:sz w:val="20"/>
          <w:szCs w:val="20"/>
          <w:color w:val="auto"/>
        </w:rPr>
      </w:pPr>
      <w:r>
        <w:rPr>
          <w:rFonts w:ascii="Arial" w:cs="Arial" w:eastAsia="Arial" w:hAnsi="Arial"/>
          <w:sz w:val="22"/>
          <w:szCs w:val="22"/>
          <w:color w:val="auto"/>
        </w:rPr>
        <w:t>Pursuant to the instructions in Item 7 of Schedule 13G, the following lists the identity and Item 3 classification of each relevant entity that beneficially owns shares of the security class being reported on this Schedule 13G.</w:t>
      </w:r>
    </w:p>
    <w:p>
      <w:pPr>
        <w:spacing w:after="0" w:line="268" w:lineRule="exact"/>
        <w:rPr>
          <w:sz w:val="20"/>
          <w:szCs w:val="20"/>
          <w:color w:val="auto"/>
        </w:rPr>
      </w:pPr>
    </w:p>
    <w:p>
      <w:pPr>
        <w:ind w:right="4460"/>
        <w:spacing w:after="0" w:line="311" w:lineRule="auto"/>
        <w:rPr>
          <w:sz w:val="20"/>
          <w:szCs w:val="20"/>
          <w:color w:val="auto"/>
        </w:rPr>
      </w:pPr>
      <w:r>
        <w:rPr>
          <w:rFonts w:ascii="Arial" w:cs="Arial" w:eastAsia="Arial" w:hAnsi="Arial"/>
          <w:sz w:val="21"/>
          <w:szCs w:val="21"/>
          <w:color w:val="auto"/>
        </w:rPr>
        <w:t>Wellington Group Holdings LLP – HC Wellington Investment Advisors LLP – HC Wellington Management Global Holdings, Ltd. - HC</w:t>
      </w:r>
    </w:p>
    <w:p>
      <w:pPr>
        <w:spacing w:after="0" w:line="196" w:lineRule="exact"/>
        <w:rPr>
          <w:sz w:val="20"/>
          <w:szCs w:val="20"/>
          <w:color w:val="auto"/>
        </w:rPr>
      </w:pPr>
    </w:p>
    <w:p>
      <w:pPr>
        <w:spacing w:after="0"/>
        <w:rPr>
          <w:sz w:val="20"/>
          <w:szCs w:val="20"/>
          <w:color w:val="auto"/>
        </w:rPr>
      </w:pPr>
      <w:r>
        <w:rPr>
          <w:rFonts w:ascii="Arial" w:cs="Arial" w:eastAsia="Arial" w:hAnsi="Arial"/>
          <w:sz w:val="22"/>
          <w:szCs w:val="22"/>
          <w:color w:val="auto"/>
        </w:rPr>
        <w:t>One or more of the following investment advisers (the “Wellington Investment Advisers”):</w:t>
      </w:r>
    </w:p>
    <w:p>
      <w:pPr>
        <w:spacing w:after="0" w:line="287"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Company LLP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Canada LLC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Singapore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Hong Kong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International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Japan Pte Ltd – IA</w:t>
      </w:r>
    </w:p>
    <w:p>
      <w:pPr>
        <w:spacing w:after="0" w:line="44" w:lineRule="exact"/>
        <w:rPr>
          <w:sz w:val="20"/>
          <w:szCs w:val="20"/>
          <w:color w:val="auto"/>
        </w:rPr>
      </w:pPr>
    </w:p>
    <w:p>
      <w:pPr>
        <w:spacing w:after="0"/>
        <w:rPr>
          <w:sz w:val="20"/>
          <w:szCs w:val="20"/>
          <w:color w:val="auto"/>
        </w:rPr>
      </w:pPr>
      <w:r>
        <w:rPr>
          <w:rFonts w:ascii="Arial" w:cs="Arial" w:eastAsia="Arial" w:hAnsi="Arial"/>
          <w:sz w:val="22"/>
          <w:szCs w:val="22"/>
          <w:color w:val="auto"/>
        </w:rPr>
        <w:t>Wellington Management Australia Pty Ltd - IA</w:t>
      </w:r>
    </w:p>
    <w:p>
      <w:pPr>
        <w:spacing w:after="0" w:line="287" w:lineRule="exact"/>
        <w:rPr>
          <w:sz w:val="20"/>
          <w:szCs w:val="20"/>
          <w:color w:val="auto"/>
        </w:rPr>
      </w:pPr>
    </w:p>
    <w:p>
      <w:pPr>
        <w:spacing w:after="0" w:line="279" w:lineRule="auto"/>
        <w:rPr>
          <w:sz w:val="20"/>
          <w:szCs w:val="20"/>
          <w:color w:val="auto"/>
        </w:rPr>
      </w:pPr>
      <w:r>
        <w:rPr>
          <w:rFonts w:ascii="Arial" w:cs="Arial" w:eastAsia="Arial" w:hAnsi="Arial"/>
          <w:sz w:val="19"/>
          <w:szCs w:val="19"/>
          <w:color w:val="auto"/>
        </w:rPr>
        <w:t>The securities as to which this Schedule is filed by Wellington Management Group LLP, as parent holding company of certain holding companies and the Wellington Investment Advisers, are owned of record by clients of the Wellington Investment Advisers. Wellington Investment Advisors Holdings LLP controls directly, or indirectly through Wellington Management Global Holdings, Ltd., the Wellington Investment Advisers. Wellington Investment Advisors Holdings LLP is owned by Wellington Group Holdings LLP. Wellington Group Holdings LLP is owned by Wellington Management Group LLP.</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-38100</wp:posOffset>
            </wp:positionH>
            <wp:positionV relativeFrom="paragraph">
              <wp:posOffset>132715</wp:posOffset>
            </wp:positionV>
            <wp:extent cx="5818505"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18505" cy="21590"/>
                    </a:xfrm>
                    <a:prstGeom prst="rect">
                      <a:avLst/>
                    </a:prstGeom>
                    <a:noFill/>
                  </pic:spPr>
                </pic:pic>
              </a:graphicData>
            </a:graphic>
          </wp:anchor>
        </w:drawing>
      </w:r>
    </w:p>
    <w:p>
      <w:pPr>
        <w:spacing w:after="0" w:line="200" w:lineRule="exact"/>
        <w:rPr>
          <w:sz w:val="20"/>
          <w:szCs w:val="20"/>
          <w:color w:val="auto"/>
        </w:rPr>
      </w:pPr>
    </w:p>
    <w:p>
      <w:pPr>
        <w:spacing w:after="0" w:line="276"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EXHIBIT B</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JOINT FILING AGREEMENT</w:t>
      </w:r>
    </w:p>
    <w:p>
      <w:pPr>
        <w:spacing w:after="0" w:line="320" w:lineRule="exact"/>
        <w:rPr>
          <w:sz w:val="20"/>
          <w:szCs w:val="20"/>
          <w:color w:val="auto"/>
        </w:rPr>
      </w:pPr>
    </w:p>
    <w:p>
      <w:pPr>
        <w:spacing w:after="0" w:line="272" w:lineRule="auto"/>
        <w:rPr>
          <w:sz w:val="20"/>
          <w:szCs w:val="20"/>
          <w:color w:val="auto"/>
        </w:rPr>
      </w:pPr>
      <w:r>
        <w:rPr>
          <w:rFonts w:ascii="Arial" w:cs="Arial" w:eastAsia="Arial" w:hAnsi="Arial"/>
          <w:sz w:val="19"/>
          <w:szCs w:val="19"/>
          <w:color w:val="auto"/>
        </w:rPr>
        <w:t>The undersigned hereby agree that this Schedule 13G (the “Schedule 13G”) with respect to the common stock of Planet Fitness, Inc. is, and any additional amendment thereto signed by each of the undersigned shall be, filed on behalf of each undersigned pursuant to and in accordance with the provisions of 13d-1(k) under the Securities Exchange Act of 1934, as amended, and that all subsequent amendments to the Schedule 13G shall be filed on behalf of each of the undersigned without the necessity of filing additional joint filing agreements. The undersigned acknowledge that each shall be responsible for the timely filing of such amendments, and for the completeness and accuracy of the information concerning it contained therein, but shall not be responsible for the completeness and accuracy of the information concerning the other, except to the extent that it knows or has reason to believe that such information is inaccurate. It is understood and agreed that the joint filing of the Schedule 13G shall not be construed as an admission that the persons named herein constitute a group for purposes of Regulation 13D-G of the Securities Exchange Act of 1934, nor is a joint venture for purposes of the Investment Company Act of 1940.</w:t>
      </w: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Management Group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Silvestre A. Fontes</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Silvestre A. Fontes</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Signor</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Group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Silvestre A. Fontes</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Silvestre A. Fontes</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Title: Authorized Signor</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Date: February 14, 2018</w:t>
      </w:r>
    </w:p>
    <w:p>
      <w:pPr>
        <w:spacing w:after="0" w:line="341"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By: Wellington Investment Advisors Holdings LLP</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 xml:space="preserve">By: </w:t>
      </w:r>
      <w:r>
        <w:rPr>
          <w:rFonts w:ascii="Arial" w:cs="Arial" w:eastAsia="Arial" w:hAnsi="Arial"/>
          <w:sz w:val="22"/>
          <w:szCs w:val="22"/>
          <w:u w:val="single" w:color="auto"/>
          <w:color w:val="auto"/>
        </w:rPr>
        <w:t>/s/ Silvestre A. Fontes</w:t>
      </w:r>
    </w:p>
    <w:p>
      <w:pPr>
        <w:spacing w:after="0" w:line="44" w:lineRule="exact"/>
        <w:rPr>
          <w:sz w:val="20"/>
          <w:szCs w:val="20"/>
          <w:color w:val="auto"/>
        </w:rPr>
      </w:pPr>
    </w:p>
    <w:p>
      <w:pPr>
        <w:ind w:left="3360"/>
        <w:spacing w:after="0"/>
        <w:rPr>
          <w:sz w:val="20"/>
          <w:szCs w:val="20"/>
          <w:color w:val="auto"/>
        </w:rPr>
      </w:pPr>
      <w:r>
        <w:rPr>
          <w:rFonts w:ascii="Arial" w:cs="Arial" w:eastAsia="Arial" w:hAnsi="Arial"/>
          <w:sz w:val="22"/>
          <w:szCs w:val="22"/>
          <w:color w:val="auto"/>
        </w:rPr>
        <w:t>Name: Silvestre A. Fontes</w:t>
      </w:r>
    </w:p>
    <w:p>
      <w:pPr>
        <w:sectPr>
          <w:pgSz w:w="11900" w:h="16838" w:orient="portrait"/>
          <w:cols w:equalWidth="0" w:num="1">
            <w:col w:w="9020"/>
          </w:cols>
          <w:pgMar w:left="1440" w:top="159" w:right="1439" w:bottom="0" w:gutter="0" w:footer="0" w:header="0"/>
        </w:sectPr>
      </w:pPr>
    </w:p>
    <w:bookmarkStart w:id="7" w:name="page8"/>
    <w:bookmarkEnd w:id="7"/>
    <w:p>
      <w:pPr>
        <w:ind w:left="3360"/>
        <w:spacing w:after="0"/>
        <w:rPr>
          <w:sz w:val="20"/>
          <w:szCs w:val="20"/>
          <w:color w:val="auto"/>
        </w:rPr>
      </w:pPr>
      <w:r>
        <w:rPr>
          <w:rFonts w:ascii="Arial" w:cs="Arial" w:eastAsia="Arial" w:hAnsi="Arial"/>
          <w:sz w:val="19"/>
          <w:szCs w:val="19"/>
          <w:color w:val="auto"/>
        </w:rPr>
        <w:t>Title: Authorized Signor</w:t>
      </w:r>
    </w:p>
    <w:p>
      <w:pPr>
        <w:spacing w:after="0" w:line="79" w:lineRule="exact"/>
        <w:rPr>
          <w:sz w:val="20"/>
          <w:szCs w:val="20"/>
          <w:color w:val="auto"/>
        </w:rPr>
      </w:pPr>
    </w:p>
    <w:p>
      <w:pPr>
        <w:ind w:left="3360"/>
        <w:spacing w:after="0"/>
        <w:rPr>
          <w:sz w:val="20"/>
          <w:szCs w:val="20"/>
          <w:color w:val="auto"/>
        </w:rPr>
      </w:pPr>
      <w:r>
        <w:rPr>
          <w:rFonts w:ascii="Arial" w:cs="Arial" w:eastAsia="Arial" w:hAnsi="Arial"/>
          <w:sz w:val="19"/>
          <w:szCs w:val="19"/>
          <w:color w:val="auto"/>
        </w:rPr>
        <w:t>Date: February 14, 2018</w:t>
      </w:r>
    </w:p>
    <w:sectPr>
      <w:pgSz w:w="11900" w:h="16838" w:orient="portrait"/>
      <w:cols w:equalWidth="0" w:num="1">
        <w:col w:w="9019"/>
      </w:cols>
      <w:pgMar w:left="1440" w:top="118"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lvl w:ilvl="1">
      <w:lvlJc w:val="left"/>
      <w:lvlText w:val="[%2]"/>
      <w:numFmt w:val="upperLetter"/>
      <w:start w:val="24"/>
    </w:lvl>
  </w:abstractNum>
  <w:abstractNum w:abstractNumId="1">
    <w:nsid w:val="625558EC"/>
    <w:multiLevelType w:val="hybridMultilevel"/>
    <w:lvl w:ilvl="0">
      <w:lvlJc w:val="left"/>
      <w:lvlText w:val="(%1)"/>
      <w:numFmt w:val="lowerLetter"/>
      <w:start w:val="1"/>
    </w:lvl>
  </w:abstractNum>
  <w:abstractNum w:abstractNumId="2">
    <w:nsid w:val="238E1F29"/>
    <w:multiLevelType w:val="hybridMultilevel"/>
    <w:lvl w:ilvl="0">
      <w:lvlJc w:val="left"/>
      <w:lvlText w:val="(%1)"/>
      <w:numFmt w:val="lowerLetter"/>
      <w:start w:val="1"/>
    </w:lvl>
  </w:abstractNum>
  <w:abstractNum w:abstractNumId="3">
    <w:nsid w:val="46E87CCD"/>
    <w:multiLevelType w:val="hybridMultilevel"/>
    <w:lvl w:ilvl="0">
      <w:lvlJc w:val="left"/>
      <w:lvlText w:val="(%1)"/>
      <w:numFmt w:val="lowerLetter"/>
      <w:start w:val="1"/>
    </w:lvl>
  </w:abstractNum>
  <w:abstractNum w:abstractNumId="4">
    <w:nsid w:val="3D1B58BA"/>
    <w:multiLevelType w:val="hybridMultilevel"/>
    <w:lvl w:ilvl="0">
      <w:lvlJc w:val="left"/>
      <w:lvlText w:val="(%1)"/>
      <w:numFmt w:val="lowerLetter"/>
      <w:start w:val="1"/>
    </w:lvl>
  </w:abstractNum>
  <w:abstractNum w:abstractNumId="5">
    <w:nsid w:val="507ED7AB"/>
    <w:multiLevelType w:val="hybridMultilevel"/>
    <w:lvl w:ilvl="0">
      <w:lvlJc w:val="left"/>
      <w:lvlText w:val="(%1)"/>
      <w:numFmt w:val="lowerRoman"/>
      <w:start w:val="4"/>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2020-01-14T07:27:13Z</dcterms:created>
  <dcterms:modified xsi:type="dcterms:W3CDTF">2020-01-14T07:27:13Z</dcterms:modified>
</cp:coreProperties>
</file>