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t>UNITED STATES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167640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199390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9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9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May 9, 2017</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0"/>
          <w:szCs w:val="40"/>
          <w:b w:val="1"/>
          <w:bCs w:val="1"/>
          <w:color w:val="auto"/>
        </w:rPr>
        <w:t>Planet Fitness, Inc.</w:t>
      </w:r>
    </w:p>
    <w:p>
      <w:pPr>
        <w:spacing w:after="0" w:line="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p>
      <w:pPr>
        <w:spacing w:after="0" w:line="215"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402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640" w:type="dxa"/>
            <w:vAlign w:val="bottom"/>
          </w:tcPr>
          <w:p>
            <w:pPr>
              <w:jc w:val="right"/>
              <w:ind w:right="1339"/>
              <w:spacing w:after="0"/>
              <w:rPr>
                <w:sz w:val="20"/>
                <w:szCs w:val="20"/>
                <w:color w:val="auto"/>
              </w:rPr>
            </w:pPr>
            <w:r>
              <w:rPr>
                <w:rFonts w:ascii="Times New Roman" w:cs="Times New Roman" w:eastAsia="Times New Roman" w:hAnsi="Times New Roman"/>
                <w:sz w:val="18"/>
                <w:szCs w:val="18"/>
                <w:b w:val="1"/>
                <w:bCs w:val="1"/>
                <w:color w:val="auto"/>
              </w:rPr>
              <w:t>001-37534</w:t>
            </w:r>
          </w:p>
        </w:tc>
        <w:tc>
          <w:tcPr>
            <w:tcW w:w="120" w:type="dxa"/>
            <w:vAlign w:val="bottom"/>
          </w:tcPr>
          <w:p>
            <w:pPr>
              <w:spacing w:after="0"/>
              <w:rPr>
                <w:sz w:val="21"/>
                <w:szCs w:val="21"/>
                <w:color w:val="auto"/>
              </w:rPr>
            </w:pPr>
          </w:p>
        </w:tc>
        <w:tc>
          <w:tcPr>
            <w:tcW w:w="3640" w:type="dxa"/>
            <w:vAlign w:val="bottom"/>
          </w:tcPr>
          <w:p>
            <w:pPr>
              <w:jc w:val="right"/>
              <w:ind w:right="1299"/>
              <w:spacing w:after="0"/>
              <w:rPr>
                <w:sz w:val="20"/>
                <w:szCs w:val="20"/>
                <w:color w:val="auto"/>
              </w:rPr>
            </w:pPr>
            <w:r>
              <w:rPr>
                <w:rFonts w:ascii="Times New Roman" w:cs="Times New Roman" w:eastAsia="Times New Roman" w:hAnsi="Times New Roman"/>
                <w:sz w:val="18"/>
                <w:szCs w:val="18"/>
                <w:b w:val="1"/>
                <w:bCs w:val="1"/>
                <w:color w:val="auto"/>
              </w:rPr>
              <w:t>38-3942097</w:t>
            </w:r>
          </w:p>
        </w:tc>
      </w:tr>
      <w:tr>
        <w:trPr>
          <w:trHeight w:val="190"/>
        </w:trPr>
        <w:tc>
          <w:tcPr>
            <w:tcW w:w="3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w:t>
            </w:r>
          </w:p>
        </w:tc>
        <w:tc>
          <w:tcPr>
            <w:tcW w:w="140" w:type="dxa"/>
            <w:vAlign w:val="bottom"/>
          </w:tcPr>
          <w:p>
            <w:pPr>
              <w:spacing w:after="0"/>
              <w:rPr>
                <w:sz w:val="16"/>
                <w:szCs w:val="16"/>
                <w:color w:val="auto"/>
              </w:rPr>
            </w:pPr>
          </w:p>
        </w:tc>
        <w:tc>
          <w:tcPr>
            <w:tcW w:w="36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(Commission File Number)</w:t>
            </w:r>
          </w:p>
        </w:tc>
        <w:tc>
          <w:tcPr>
            <w:tcW w:w="120" w:type="dxa"/>
            <w:vAlign w:val="bottom"/>
          </w:tcPr>
          <w:p>
            <w:pPr>
              <w:spacing w:after="0"/>
              <w:rPr>
                <w:sz w:val="16"/>
                <w:szCs w:val="16"/>
                <w:color w:val="auto"/>
              </w:rPr>
            </w:pPr>
          </w:p>
        </w:tc>
        <w:tc>
          <w:tcPr>
            <w:tcW w:w="36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tc>
      </w:tr>
      <w:tr>
        <w:trPr>
          <w:trHeight w:val="368"/>
        </w:trPr>
        <w:tc>
          <w:tcPr>
            <w:tcW w:w="3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76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9"/>
              </w:rPr>
              <w:t>26 Fox Run Road</w:t>
            </w:r>
          </w:p>
        </w:tc>
        <w:tc>
          <w:tcPr>
            <w:tcW w:w="3640" w:type="dxa"/>
            <w:vAlign w:val="bottom"/>
          </w:tcPr>
          <w:p>
            <w:pPr>
              <w:spacing w:after="0"/>
              <w:rPr>
                <w:sz w:val="24"/>
                <w:szCs w:val="24"/>
                <w:color w:val="auto"/>
              </w:rPr>
            </w:pPr>
          </w:p>
        </w:tc>
      </w:tr>
      <w:tr>
        <w:trPr>
          <w:trHeight w:val="214"/>
        </w:trPr>
        <w:tc>
          <w:tcPr>
            <w:tcW w:w="3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76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Newington, NH 03801</w:t>
            </w:r>
          </w:p>
        </w:tc>
        <w:tc>
          <w:tcPr>
            <w:tcW w:w="3640" w:type="dxa"/>
            <w:vAlign w:val="bottom"/>
          </w:tcPr>
          <w:p>
            <w:pPr>
              <w:spacing w:after="0"/>
              <w:rPr>
                <w:sz w:val="18"/>
                <w:szCs w:val="18"/>
                <w:color w:val="auto"/>
              </w:rPr>
            </w:pPr>
          </w:p>
        </w:tc>
      </w:tr>
      <w:tr>
        <w:trPr>
          <w:trHeight w:val="149"/>
        </w:trPr>
        <w:tc>
          <w:tcPr>
            <w:tcW w:w="3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76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640" w:type="dxa"/>
            <w:vAlign w:val="bottom"/>
          </w:tcPr>
          <w:p>
            <w:pPr>
              <w:spacing w:after="0"/>
              <w:rPr>
                <w:sz w:val="12"/>
                <w:szCs w:val="12"/>
                <w:color w:val="auto"/>
              </w:rPr>
            </w:pPr>
          </w:p>
        </w:tc>
      </w:tr>
      <w:tr>
        <w:trPr>
          <w:trHeight w:val="190"/>
        </w:trPr>
        <w:tc>
          <w:tcPr>
            <w:tcW w:w="3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76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(Zip Code)</w:t>
            </w:r>
          </w:p>
        </w:tc>
        <w:tc>
          <w:tcPr>
            <w:tcW w:w="3640" w:type="dxa"/>
            <w:vAlign w:val="bottom"/>
          </w:tcPr>
          <w:p>
            <w:pPr>
              <w:spacing w:after="0"/>
              <w:rPr>
                <w:sz w:val="16"/>
                <w:szCs w:val="16"/>
                <w:color w:val="auto"/>
              </w:rPr>
            </w:pPr>
          </w:p>
        </w:tc>
      </w:tr>
    </w:tbl>
    <w:p>
      <w:pPr>
        <w:spacing w:after="0" w:line="17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(603) 750-0001</w:t>
      </w:r>
    </w:p>
    <w:p>
      <w:pPr>
        <w:spacing w:after="0" w:line="229"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3"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Pre-commencement communications pursuant to Rule 13e-4(c) under the Exchange Act (17 CFR 240.13e-4(c))</w:t>
      </w:r>
    </w:p>
    <w:p>
      <w:pPr>
        <w:spacing w:after="0" w:line="229"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20"/>
          </w:cols>
          <w:pgMar w:left="240" w:top="219" w:right="239" w:bottom="1440" w:gutter="0" w:footer="0" w:header="0"/>
        </w:sectPr>
      </w:pPr>
    </w:p>
    <w:bookmarkStart w:id="1" w:name="page2"/>
    <w:bookmarkEnd w:id="1"/>
    <w:p>
      <w:pPr>
        <w:spacing w:after="0"/>
        <w:tabs>
          <w:tab w:leader="none" w:pos="102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5.07</w:t>
      </w:r>
      <w:r>
        <w:rPr>
          <w:sz w:val="20"/>
          <w:szCs w:val="20"/>
          <w:color w:val="auto"/>
        </w:rPr>
        <w:tab/>
      </w:r>
      <w:r>
        <w:rPr>
          <w:rFonts w:ascii="Times New Roman" w:cs="Times New Roman" w:eastAsia="Times New Roman" w:hAnsi="Times New Roman"/>
          <w:sz w:val="17"/>
          <w:szCs w:val="17"/>
          <w:b w:val="1"/>
          <w:bCs w:val="1"/>
          <w:color w:val="auto"/>
        </w:rPr>
        <w:t>Submission of Matters to a Vote of Security Holders.</w:t>
      </w:r>
    </w:p>
    <w:p>
      <w:pPr>
        <w:spacing w:after="0" w:line="121" w:lineRule="exact"/>
        <w:rPr>
          <w:sz w:val="20"/>
          <w:szCs w:val="20"/>
          <w:color w:val="auto"/>
        </w:rPr>
      </w:pPr>
    </w:p>
    <w:p>
      <w:pPr>
        <w:ind w:right="460"/>
        <w:spacing w:after="0" w:line="282" w:lineRule="auto"/>
        <w:rPr>
          <w:sz w:val="20"/>
          <w:szCs w:val="20"/>
          <w:color w:val="auto"/>
        </w:rPr>
      </w:pPr>
      <w:r>
        <w:rPr>
          <w:rFonts w:ascii="Times New Roman" w:cs="Times New Roman" w:eastAsia="Times New Roman" w:hAnsi="Times New Roman"/>
          <w:sz w:val="18"/>
          <w:szCs w:val="18"/>
          <w:color w:val="auto"/>
        </w:rPr>
        <w:t>The 2017 Annual Meeting of Stockholders of Planet Fitness, Inc. (the “Company”) was held on May 9, 2017. At the meeting, stockholders voted on the matters presented at the meeting and the shares present, in person or by proxy, were voted as follows: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Proposal 1: </w:t>
      </w:r>
      <w:r>
        <w:rPr>
          <w:rFonts w:ascii="Times New Roman" w:cs="Times New Roman" w:eastAsia="Times New Roman" w:hAnsi="Times New Roman"/>
          <w:sz w:val="18"/>
          <w:szCs w:val="18"/>
          <w:color w:val="auto"/>
        </w:rPr>
        <w:t>The following nominees were elected to serve on the Board of Directors: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29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9"/>
              </w:rPr>
              <w:t>Nominee</w:t>
            </w:r>
          </w:p>
        </w:tc>
        <w:tc>
          <w:tcPr>
            <w:tcW w:w="28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7"/>
              </w:rPr>
              <w:t>Votes For</w:t>
            </w:r>
          </w:p>
        </w:tc>
        <w:tc>
          <w:tcPr>
            <w:tcW w:w="29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Votes Withheld</w:t>
            </w:r>
          </w:p>
        </w:tc>
        <w:tc>
          <w:tcPr>
            <w:tcW w:w="27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Broker Non-Votes</w:t>
            </w:r>
          </w:p>
        </w:tc>
      </w:tr>
      <w:tr>
        <w:trPr>
          <w:trHeight w:val="198"/>
        </w:trPr>
        <w:tc>
          <w:tcPr>
            <w:tcW w:w="274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Stephen Spinelli, Jr.</w:t>
            </w:r>
          </w:p>
        </w:tc>
        <w:tc>
          <w:tcPr>
            <w:tcW w:w="160" w:type="dxa"/>
            <w:vAlign w:val="bottom"/>
          </w:tcPr>
          <w:p>
            <w:pPr>
              <w:spacing w:after="0"/>
              <w:rPr>
                <w:sz w:val="17"/>
                <w:szCs w:val="17"/>
                <w:color w:val="auto"/>
              </w:rPr>
            </w:pPr>
          </w:p>
        </w:tc>
        <w:tc>
          <w:tcPr>
            <w:tcW w:w="27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52,243,778</w:t>
            </w:r>
          </w:p>
        </w:tc>
        <w:tc>
          <w:tcPr>
            <w:tcW w:w="120" w:type="dxa"/>
            <w:vAlign w:val="bottom"/>
          </w:tcPr>
          <w:p>
            <w:pPr>
              <w:spacing w:after="0"/>
              <w:rPr>
                <w:sz w:val="17"/>
                <w:szCs w:val="17"/>
                <w:color w:val="auto"/>
              </w:rPr>
            </w:pPr>
          </w:p>
        </w:tc>
        <w:tc>
          <w:tcPr>
            <w:tcW w:w="284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26,927,305</w:t>
            </w:r>
          </w:p>
        </w:tc>
        <w:tc>
          <w:tcPr>
            <w:tcW w:w="120" w:type="dxa"/>
            <w:vAlign w:val="bottom"/>
          </w:tcPr>
          <w:p>
            <w:pPr>
              <w:spacing w:after="0"/>
              <w:rPr>
                <w:sz w:val="17"/>
                <w:szCs w:val="17"/>
                <w:color w:val="auto"/>
              </w:rPr>
            </w:pPr>
          </w:p>
        </w:tc>
        <w:tc>
          <w:tcPr>
            <w:tcW w:w="27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3,396,813</w:t>
            </w:r>
          </w:p>
        </w:tc>
      </w:tr>
      <w:tr>
        <w:trPr>
          <w:trHeight w:val="234"/>
        </w:trPr>
        <w:tc>
          <w:tcPr>
            <w:tcW w:w="2900" w:type="dxa"/>
            <w:vAlign w:val="bottom"/>
            <w:gridSpan w:val="2"/>
          </w:tcPr>
          <w:p>
            <w:pPr>
              <w:jc w:val="center"/>
              <w:ind w:right="160"/>
              <w:spacing w:after="0"/>
              <w:rPr>
                <w:sz w:val="20"/>
                <w:szCs w:val="20"/>
                <w:color w:val="auto"/>
              </w:rPr>
            </w:pPr>
            <w:r>
              <w:rPr>
                <w:rFonts w:ascii="Times New Roman" w:cs="Times New Roman" w:eastAsia="Times New Roman" w:hAnsi="Times New Roman"/>
                <w:sz w:val="18"/>
                <w:szCs w:val="18"/>
                <w:color w:val="auto"/>
                <w:w w:val="98"/>
              </w:rPr>
              <w:t>David Berg</w:t>
            </w:r>
          </w:p>
        </w:tc>
        <w:tc>
          <w:tcPr>
            <w:tcW w:w="27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48,524,038</w:t>
            </w:r>
          </w:p>
        </w:tc>
        <w:tc>
          <w:tcPr>
            <w:tcW w:w="120" w:type="dxa"/>
            <w:vAlign w:val="bottom"/>
          </w:tcPr>
          <w:p>
            <w:pPr>
              <w:spacing w:after="0"/>
              <w:rPr>
                <w:sz w:val="20"/>
                <w:szCs w:val="20"/>
                <w:color w:val="auto"/>
              </w:rPr>
            </w:pPr>
          </w:p>
        </w:tc>
        <w:tc>
          <w:tcPr>
            <w:tcW w:w="28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30,647,045</w:t>
            </w:r>
          </w:p>
        </w:tc>
        <w:tc>
          <w:tcPr>
            <w:tcW w:w="120" w:type="dxa"/>
            <w:vAlign w:val="bottom"/>
          </w:tcPr>
          <w:p>
            <w:pPr>
              <w:spacing w:after="0"/>
              <w:rPr>
                <w:sz w:val="20"/>
                <w:szCs w:val="20"/>
                <w:color w:val="auto"/>
              </w:rPr>
            </w:pPr>
          </w:p>
        </w:tc>
        <w:tc>
          <w:tcPr>
            <w:tcW w:w="27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3,396,813</w:t>
            </w:r>
          </w:p>
        </w:tc>
      </w:tr>
    </w:tbl>
    <w:p>
      <w:pPr>
        <w:spacing w:after="0" w:line="194" w:lineRule="exact"/>
        <w:rPr>
          <w:sz w:val="20"/>
          <w:szCs w:val="20"/>
          <w:color w:val="auto"/>
        </w:rPr>
      </w:pPr>
    </w:p>
    <w:p>
      <w:pPr>
        <w:ind w:right="2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Proposal 2: </w:t>
      </w:r>
      <w:r>
        <w:rPr>
          <w:rFonts w:ascii="Times New Roman" w:cs="Times New Roman" w:eastAsia="Times New Roman" w:hAnsi="Times New Roman"/>
          <w:sz w:val="18"/>
          <w:szCs w:val="18"/>
          <w:color w:val="auto"/>
        </w:rPr>
        <w:t>The appointment of KPMG LLP as the Company’s independent registered public accounting firm for the year ending December 31, 2017 was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ratified.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290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9"/>
              </w:rPr>
              <w:t>For</w:t>
            </w:r>
          </w:p>
        </w:tc>
        <w:tc>
          <w:tcPr>
            <w:tcW w:w="28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Against</w:t>
            </w:r>
          </w:p>
        </w:tc>
        <w:tc>
          <w:tcPr>
            <w:tcW w:w="2960" w:type="dxa"/>
            <w:vAlign w:val="bottom"/>
            <w:gridSpan w:val="2"/>
          </w:tcPr>
          <w:p>
            <w:pPr>
              <w:ind w:left="1120"/>
              <w:spacing w:after="0"/>
              <w:rPr>
                <w:sz w:val="20"/>
                <w:szCs w:val="20"/>
                <w:color w:val="auto"/>
              </w:rPr>
            </w:pPr>
            <w:r>
              <w:rPr>
                <w:rFonts w:ascii="Times New Roman" w:cs="Times New Roman" w:eastAsia="Times New Roman" w:hAnsi="Times New Roman"/>
                <w:sz w:val="18"/>
                <w:szCs w:val="18"/>
                <w:b w:val="1"/>
                <w:bCs w:val="1"/>
                <w:color w:val="auto"/>
              </w:rPr>
              <w:t>Abstain</w:t>
            </w:r>
          </w:p>
        </w:tc>
        <w:tc>
          <w:tcPr>
            <w:tcW w:w="27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Broker Non-Votes</w:t>
            </w:r>
          </w:p>
        </w:tc>
      </w:tr>
      <w:tr>
        <w:trPr>
          <w:trHeight w:val="234"/>
        </w:trPr>
        <w:tc>
          <w:tcPr>
            <w:tcW w:w="2740" w:type="dxa"/>
            <w:vAlign w:val="bottom"/>
            <w:tcBorders>
              <w:top w:val="single" w:sz="8" w:color="auto"/>
            </w:tcBorders>
          </w:tcPr>
          <w:p>
            <w:pPr>
              <w:jc w:val="right"/>
              <w:ind w:right="870"/>
              <w:spacing w:after="0"/>
              <w:rPr>
                <w:sz w:val="20"/>
                <w:szCs w:val="20"/>
                <w:color w:val="auto"/>
              </w:rPr>
            </w:pPr>
            <w:r>
              <w:rPr>
                <w:rFonts w:ascii="Times New Roman" w:cs="Times New Roman" w:eastAsia="Times New Roman" w:hAnsi="Times New Roman"/>
                <w:sz w:val="18"/>
                <w:szCs w:val="18"/>
                <w:color w:val="auto"/>
              </w:rPr>
              <w:t>51,526,032</w:t>
            </w:r>
          </w:p>
        </w:tc>
        <w:tc>
          <w:tcPr>
            <w:tcW w:w="160" w:type="dxa"/>
            <w:vAlign w:val="bottom"/>
          </w:tcPr>
          <w:p>
            <w:pPr>
              <w:spacing w:after="0"/>
              <w:rPr>
                <w:sz w:val="20"/>
                <w:szCs w:val="20"/>
                <w:color w:val="auto"/>
              </w:rPr>
            </w:pPr>
          </w:p>
        </w:tc>
        <w:tc>
          <w:tcPr>
            <w:tcW w:w="2720" w:type="dxa"/>
            <w:vAlign w:val="bottom"/>
            <w:tcBorders>
              <w:top w:val="single" w:sz="8" w:color="auto"/>
            </w:tcBorders>
          </w:tcPr>
          <w:p>
            <w:pPr>
              <w:jc w:val="right"/>
              <w:ind w:right="870"/>
              <w:spacing w:after="0"/>
              <w:rPr>
                <w:sz w:val="20"/>
                <w:szCs w:val="20"/>
                <w:color w:val="auto"/>
              </w:rPr>
            </w:pPr>
            <w:r>
              <w:rPr>
                <w:rFonts w:ascii="Times New Roman" w:cs="Times New Roman" w:eastAsia="Times New Roman" w:hAnsi="Times New Roman"/>
                <w:sz w:val="18"/>
                <w:szCs w:val="18"/>
                <w:color w:val="auto"/>
              </w:rPr>
              <w:t>30,863,523</w:t>
            </w:r>
          </w:p>
        </w:tc>
        <w:tc>
          <w:tcPr>
            <w:tcW w:w="120" w:type="dxa"/>
            <w:vAlign w:val="bottom"/>
          </w:tcPr>
          <w:p>
            <w:pPr>
              <w:spacing w:after="0"/>
              <w:rPr>
                <w:sz w:val="20"/>
                <w:szCs w:val="20"/>
                <w:color w:val="auto"/>
              </w:rPr>
            </w:pPr>
          </w:p>
        </w:tc>
        <w:tc>
          <w:tcPr>
            <w:tcW w:w="2840" w:type="dxa"/>
            <w:vAlign w:val="bottom"/>
            <w:tcBorders>
              <w:top w:val="single" w:sz="8" w:color="auto"/>
            </w:tcBorders>
          </w:tcPr>
          <w:p>
            <w:pPr>
              <w:ind w:left="1120"/>
              <w:spacing w:after="0"/>
              <w:rPr>
                <w:sz w:val="20"/>
                <w:szCs w:val="20"/>
                <w:color w:val="auto"/>
              </w:rPr>
            </w:pPr>
            <w:r>
              <w:rPr>
                <w:rFonts w:ascii="Times New Roman" w:cs="Times New Roman" w:eastAsia="Times New Roman" w:hAnsi="Times New Roman"/>
                <w:sz w:val="18"/>
                <w:szCs w:val="18"/>
                <w:color w:val="auto"/>
              </w:rPr>
              <w:t>178,341</w:t>
            </w:r>
          </w:p>
        </w:tc>
        <w:tc>
          <w:tcPr>
            <w:tcW w:w="120" w:type="dxa"/>
            <w:vAlign w:val="bottom"/>
          </w:tcPr>
          <w:p>
            <w:pPr>
              <w:spacing w:after="0"/>
              <w:rPr>
                <w:sz w:val="20"/>
                <w:szCs w:val="20"/>
                <w:color w:val="auto"/>
              </w:rPr>
            </w:pPr>
          </w:p>
        </w:tc>
        <w:tc>
          <w:tcPr>
            <w:tcW w:w="2720" w:type="dxa"/>
            <w:vAlign w:val="bottom"/>
            <w:tcBorders>
              <w:top w:val="single" w:sz="8" w:color="auto"/>
            </w:tcBorders>
          </w:tcPr>
          <w:p>
            <w:pPr>
              <w:jc w:val="right"/>
              <w:ind w:right="1230"/>
              <w:spacing w:after="0"/>
              <w:rPr>
                <w:sz w:val="20"/>
                <w:szCs w:val="20"/>
                <w:color w:val="auto"/>
              </w:rPr>
            </w:pPr>
            <w:r>
              <w:rPr>
                <w:rFonts w:ascii="Times New Roman" w:cs="Times New Roman" w:eastAsia="Times New Roman" w:hAnsi="Times New Roman"/>
                <w:sz w:val="18"/>
                <w:szCs w:val="18"/>
                <w:color w:val="auto"/>
              </w:rPr>
              <w:t>0</w:t>
            </w:r>
          </w:p>
        </w:tc>
      </w:tr>
    </w:tbl>
    <w:p>
      <w:pPr>
        <w:spacing w:after="0" w:line="324"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121" w:lineRule="exact"/>
        <w:rPr>
          <w:sz w:val="20"/>
          <w:szCs w:val="20"/>
          <w:color w:val="auto"/>
        </w:rPr>
      </w:pPr>
    </w:p>
    <w:p>
      <w:pPr>
        <w:ind w:right="280"/>
        <w:spacing w:after="0" w:line="266" w:lineRule="auto"/>
        <w:rPr>
          <w:sz w:val="20"/>
          <w:szCs w:val="20"/>
          <w:color w:val="auto"/>
        </w:rPr>
      </w:pPr>
      <w:r>
        <w:rPr>
          <w:rFonts w:ascii="Times New Roman" w:cs="Times New Roman" w:eastAsia="Times New Roman" w:hAnsi="Times New Roman"/>
          <w:sz w:val="18"/>
          <w:szCs w:val="18"/>
          <w:color w:val="auto"/>
        </w:rPr>
        <w:t>On May 9, 2017, the Board of Directors of the Company (the “Board”) appointed Stephen Spinelli, Jr. Chairman of the Board, Frances Rathke chair of the audit committee of the Board and David Berg chair of the compensation committee of the Board. As previously announced, Michael Layman, Pierre LeComte and Edward Wong resigned from the Board, effective as of the 2017 Annual Meeting of Stockholders held on May 9, 2017.</w:t>
      </w:r>
    </w:p>
    <w:p>
      <w:pPr>
        <w:sectPr>
          <w:pgSz w:w="11900" w:h="16838" w:orient="portrait"/>
          <w:cols w:equalWidth="0" w:num="1">
            <w:col w:w="11420"/>
          </w:cols>
          <w:pgMar w:left="240" w:top="266" w:right="2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860"/>
        <w:spacing w:after="0"/>
        <w:rPr>
          <w:sz w:val="20"/>
          <w:szCs w:val="20"/>
          <w:color w:val="auto"/>
        </w:rPr>
      </w:pPr>
      <w:r>
        <w:rPr>
          <w:rFonts w:ascii="Times New Roman" w:cs="Times New Roman" w:eastAsia="Times New Roman" w:hAnsi="Times New Roman"/>
          <w:sz w:val="18"/>
          <w:szCs w:val="18"/>
          <w:b w:val="1"/>
          <w:bCs w:val="1"/>
          <w:color w:val="auto"/>
        </w:rPr>
        <w:t>PLANET FITNESS,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0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 Dorvin Lively</w:t>
            </w:r>
          </w:p>
        </w:tc>
      </w:tr>
      <w:tr>
        <w:trPr>
          <w:trHeight w:val="178"/>
        </w:trPr>
        <w:tc>
          <w:tcPr>
            <w:tcW w:w="54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Name:</w:t>
            </w:r>
          </w:p>
        </w:tc>
        <w:tc>
          <w:tcPr>
            <w:tcW w:w="4020" w:type="dxa"/>
            <w:vAlign w:val="bottom"/>
          </w:tcPr>
          <w:p>
            <w:pPr>
              <w:ind w:left="40"/>
              <w:spacing w:after="0" w:line="178" w:lineRule="exact"/>
              <w:rPr>
                <w:sz w:val="20"/>
                <w:szCs w:val="20"/>
                <w:color w:val="auto"/>
              </w:rPr>
            </w:pPr>
            <w:r>
              <w:rPr>
                <w:rFonts w:ascii="Times New Roman" w:cs="Times New Roman" w:eastAsia="Times New Roman" w:hAnsi="Times New Roman"/>
                <w:sz w:val="18"/>
                <w:szCs w:val="18"/>
                <w:color w:val="auto"/>
              </w:rPr>
              <w:t>Dorvin Lively</w:t>
            </w:r>
          </w:p>
        </w:tc>
      </w:tr>
      <w:tr>
        <w:trPr>
          <w:trHeight w:val="248"/>
        </w:trPr>
        <w:tc>
          <w:tcPr>
            <w:tcW w:w="54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0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President and Chief Financial Officer</w:t>
            </w:r>
          </w:p>
        </w:tc>
      </w:tr>
    </w:tbl>
    <w:p>
      <w:pPr>
        <w:spacing w:after="0"/>
        <w:rPr>
          <w:sz w:val="20"/>
          <w:szCs w:val="20"/>
          <w:color w:val="auto"/>
        </w:rPr>
      </w:pPr>
      <w:r>
        <w:rPr>
          <w:rFonts w:ascii="Times New Roman" w:cs="Times New Roman" w:eastAsia="Times New Roman" w:hAnsi="Times New Roman"/>
          <w:sz w:val="18"/>
          <w:szCs w:val="18"/>
          <w:color w:val="auto"/>
        </w:rPr>
        <w:t>Dated: May 15, 2017</w:t>
      </w:r>
    </w:p>
    <w:sectPr>
      <w:pgSz w:w="11900" w:h="16838" w:orient="portrait"/>
      <w:cols w:equalWidth="0" w:num="1">
        <w:col w:w="11420"/>
      </w:cols>
      <w:pgMar w:left="240" w:top="26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2020-01-17T09:22:11Z</dcterms:created>
  <dcterms:modified xsi:type="dcterms:W3CDTF">2020-01-17T09:22:11Z</dcterms:modified>
</cp:coreProperties>
</file>