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Arial" w:cs="Arial" w:eastAsia="Arial" w:hAnsi="Arial"/>
          <w:sz w:val="32"/>
          <w:szCs w:val="32"/>
          <w:b w:val="1"/>
          <w:bCs w:val="1"/>
          <w:color w:val="auto"/>
        </w:rPr>
        <w:drawing>
          <wp:anchor simplePos="0" relativeHeight="251657728" behindDoc="1" locked="0" layoutInCell="0" allowOverlap="1">
            <wp:simplePos x="0" y="0"/>
            <wp:positionH relativeFrom="page">
              <wp:posOffset>207645</wp:posOffset>
            </wp:positionH>
            <wp:positionV relativeFrom="page">
              <wp:posOffset>309245</wp:posOffset>
            </wp:positionV>
            <wp:extent cx="7134225" cy="25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4225" cy="25400"/>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342900</wp:posOffset>
            </wp:positionV>
            <wp:extent cx="7134225"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34225" cy="8255"/>
                    </a:xfrm>
                    <a:prstGeom prst="rect">
                      <a:avLst/>
                    </a:prstGeom>
                    <a:noFill/>
                  </pic:spPr>
                </pic:pic>
              </a:graphicData>
            </a:graphic>
          </wp:anchor>
        </w:drawing>
        <w:t>UNITED STATES</w:t>
      </w:r>
    </w:p>
    <w:p>
      <w:pPr>
        <w:spacing w:after="0" w:line="27"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SECURITIES AND EXCHANGE COMMISSION</w:t>
      </w:r>
    </w:p>
    <w:p>
      <w:pPr>
        <w:jc w:val="center"/>
        <w:spacing w:after="0"/>
        <w:rPr>
          <w:sz w:val="20"/>
          <w:szCs w:val="20"/>
          <w:color w:val="auto"/>
        </w:rPr>
      </w:pPr>
      <w:r>
        <w:rPr>
          <w:rFonts w:ascii="Arial" w:cs="Arial" w:eastAsia="Arial" w:hAnsi="Arial"/>
          <w:sz w:val="18"/>
          <w:szCs w:val="18"/>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3037205</wp:posOffset>
            </wp:positionH>
            <wp:positionV relativeFrom="paragraph">
              <wp:posOffset>138430</wp:posOffset>
            </wp:positionV>
            <wp:extent cx="1067435"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067435" cy="8255"/>
                    </a:xfrm>
                    <a:prstGeom prst="rect">
                      <a:avLst/>
                    </a:prstGeom>
                    <a:noFill/>
                  </pic:spPr>
                </pic:pic>
              </a:graphicData>
            </a:graphic>
          </wp:anchor>
        </w:drawing>
      </w:r>
    </w:p>
    <w:p>
      <w:pPr>
        <w:spacing w:after="0" w:line="397"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FORM 8-K</w:t>
      </w:r>
    </w:p>
    <w:p>
      <w:pPr>
        <w:spacing w:after="0" w:line="229"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CURRENT REPORT</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Pursuant to Section 13 OR 15(d) of The Securities Exchange Act of 1934</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3037205</wp:posOffset>
            </wp:positionH>
            <wp:positionV relativeFrom="paragraph">
              <wp:posOffset>140335</wp:posOffset>
            </wp:positionV>
            <wp:extent cx="1067435"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067435" cy="8255"/>
                    </a:xfrm>
                    <a:prstGeom prst="rect">
                      <a:avLst/>
                    </a:prstGeom>
                    <a:noFill/>
                  </pic:spPr>
                </pic:pic>
              </a:graphicData>
            </a:graphic>
          </wp:anchor>
        </w:drawing>
      </w:r>
    </w:p>
    <w:p>
      <w:pPr>
        <w:spacing w:after="0" w:line="200" w:lineRule="exact"/>
        <w:rPr>
          <w:sz w:val="24"/>
          <w:szCs w:val="24"/>
          <w:color w:val="auto"/>
        </w:rPr>
      </w:pPr>
    </w:p>
    <w:p>
      <w:pPr>
        <w:spacing w:after="0" w:line="237"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Date of Report (Date of earliest event reported): November 3, 2021 (November 3, 2021)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3037205</wp:posOffset>
            </wp:positionH>
            <wp:positionV relativeFrom="paragraph">
              <wp:posOffset>151130</wp:posOffset>
            </wp:positionV>
            <wp:extent cx="1067435"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067435" cy="8255"/>
                    </a:xfrm>
                    <a:prstGeom prst="rect">
                      <a:avLst/>
                    </a:prstGeom>
                    <a:noFill/>
                  </pic:spPr>
                </pic:pic>
              </a:graphicData>
            </a:graphic>
          </wp:anchor>
        </w:drawing>
        <w:drawing>
          <wp:anchor simplePos="0" relativeHeight="251657728" behindDoc="1" locked="0" layoutInCell="0" allowOverlap="1">
            <wp:simplePos x="0" y="0"/>
            <wp:positionH relativeFrom="column">
              <wp:posOffset>2232660</wp:posOffset>
            </wp:positionH>
            <wp:positionV relativeFrom="paragraph">
              <wp:posOffset>304165</wp:posOffset>
            </wp:positionV>
            <wp:extent cx="2651760" cy="643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651760" cy="643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98"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VERITIV CORPORATION</w:t>
      </w:r>
    </w:p>
    <w:p>
      <w:pPr>
        <w:spacing w:after="0" w:line="35"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3037205</wp:posOffset>
            </wp:positionH>
            <wp:positionV relativeFrom="paragraph">
              <wp:posOffset>138430</wp:posOffset>
            </wp:positionV>
            <wp:extent cx="1067435"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067435" cy="8255"/>
                    </a:xfrm>
                    <a:prstGeom prst="rect">
                      <a:avLst/>
                    </a:prstGeom>
                    <a:noFill/>
                  </pic:spPr>
                </pic:pic>
              </a:graphicData>
            </a:graphic>
          </wp:anchor>
        </w:drawing>
      </w:r>
    </w:p>
    <w:p>
      <w:pPr>
        <w:spacing w:after="0" w:line="200" w:lineRule="exact"/>
        <w:rPr>
          <w:sz w:val="24"/>
          <w:szCs w:val="24"/>
          <w:color w:val="auto"/>
        </w:rPr>
      </w:pPr>
    </w:p>
    <w:p>
      <w:pPr>
        <w:spacing w:after="0" w:line="220"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Delaware</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(State or other jurisdiction of incorporation)</w:t>
      </w:r>
    </w:p>
    <w:p>
      <w:pPr>
        <w:spacing w:after="0" w:line="230" w:lineRule="exact"/>
        <w:rPr>
          <w:sz w:val="24"/>
          <w:szCs w:val="24"/>
          <w:color w:val="auto"/>
        </w:rPr>
      </w:pPr>
    </w:p>
    <w:tbl>
      <w:tblPr>
        <w:tblLayout w:type="fixed"/>
        <w:tblInd w:w="1360" w:type="dxa"/>
        <w:tblCellMar>
          <w:top w:w="0" w:type="dxa"/>
          <w:left w:w="0" w:type="dxa"/>
          <w:bottom w:w="0" w:type="dxa"/>
          <w:right w:w="0" w:type="dxa"/>
        </w:tblCellMar>
      </w:tblPr>
      <w:tr>
        <w:trPr>
          <w:trHeight w:val="213"/>
        </w:trPr>
        <w:tc>
          <w:tcPr>
            <w:tcW w:w="4300" w:type="dxa"/>
            <w:vAlign w:val="bottom"/>
          </w:tcPr>
          <w:p>
            <w:pPr>
              <w:jc w:val="center"/>
              <w:ind w:right="1411"/>
              <w:spacing w:after="0"/>
              <w:rPr>
                <w:sz w:val="20"/>
                <w:szCs w:val="20"/>
                <w:color w:val="auto"/>
              </w:rPr>
            </w:pPr>
            <w:r>
              <w:rPr>
                <w:rFonts w:ascii="Arial" w:cs="Arial" w:eastAsia="Arial" w:hAnsi="Arial"/>
                <w:sz w:val="18"/>
                <w:szCs w:val="18"/>
                <w:b w:val="1"/>
                <w:bCs w:val="1"/>
                <w:color w:val="auto"/>
                <w:w w:val="88"/>
              </w:rPr>
              <w:t>001-36479</w:t>
            </w:r>
          </w:p>
        </w:tc>
        <w:tc>
          <w:tcPr>
            <w:tcW w:w="4200" w:type="dxa"/>
            <w:vAlign w:val="bottom"/>
          </w:tcPr>
          <w:p>
            <w:pPr>
              <w:jc w:val="right"/>
              <w:ind w:right="851"/>
              <w:spacing w:after="0"/>
              <w:rPr>
                <w:sz w:val="20"/>
                <w:szCs w:val="20"/>
                <w:color w:val="auto"/>
              </w:rPr>
            </w:pPr>
            <w:r>
              <w:rPr>
                <w:rFonts w:ascii="Arial" w:cs="Arial" w:eastAsia="Arial" w:hAnsi="Arial"/>
                <w:sz w:val="18"/>
                <w:szCs w:val="18"/>
                <w:b w:val="1"/>
                <w:bCs w:val="1"/>
                <w:color w:val="auto"/>
              </w:rPr>
              <w:t>46-3234977</w:t>
            </w:r>
          </w:p>
        </w:tc>
      </w:tr>
      <w:tr>
        <w:trPr>
          <w:trHeight w:val="230"/>
        </w:trPr>
        <w:tc>
          <w:tcPr>
            <w:tcW w:w="4300" w:type="dxa"/>
            <w:vAlign w:val="bottom"/>
          </w:tcPr>
          <w:p>
            <w:pPr>
              <w:jc w:val="center"/>
              <w:ind w:right="1411"/>
              <w:spacing w:after="0"/>
              <w:rPr>
                <w:sz w:val="20"/>
                <w:szCs w:val="20"/>
                <w:color w:val="auto"/>
              </w:rPr>
            </w:pPr>
            <w:r>
              <w:rPr>
                <w:rFonts w:ascii="Arial" w:cs="Arial" w:eastAsia="Arial" w:hAnsi="Arial"/>
                <w:sz w:val="18"/>
                <w:szCs w:val="18"/>
                <w:b w:val="1"/>
                <w:bCs w:val="1"/>
                <w:color w:val="auto"/>
                <w:w w:val="90"/>
              </w:rPr>
              <w:t>(Commission File Number)</w:t>
            </w:r>
          </w:p>
        </w:tc>
        <w:tc>
          <w:tcPr>
            <w:tcW w:w="4200" w:type="dxa"/>
            <w:vAlign w:val="bottom"/>
          </w:tcPr>
          <w:p>
            <w:pPr>
              <w:jc w:val="center"/>
              <w:ind w:left="1391"/>
              <w:spacing w:after="0"/>
              <w:rPr>
                <w:sz w:val="20"/>
                <w:szCs w:val="20"/>
                <w:color w:val="auto"/>
              </w:rPr>
            </w:pPr>
            <w:r>
              <w:rPr>
                <w:rFonts w:ascii="Arial" w:cs="Arial" w:eastAsia="Arial" w:hAnsi="Arial"/>
                <w:sz w:val="18"/>
                <w:szCs w:val="18"/>
                <w:b w:val="1"/>
                <w:bCs w:val="1"/>
                <w:color w:val="auto"/>
                <w:w w:val="92"/>
              </w:rPr>
              <w:t>(I.R.S. Employer Identification No.)</w:t>
            </w:r>
          </w:p>
        </w:tc>
      </w:tr>
      <w:tr>
        <w:trPr>
          <w:trHeight w:val="650"/>
        </w:trPr>
        <w:tc>
          <w:tcPr>
            <w:tcW w:w="4300" w:type="dxa"/>
            <w:vAlign w:val="bottom"/>
          </w:tcPr>
          <w:p>
            <w:pPr>
              <w:jc w:val="center"/>
              <w:ind w:right="1411"/>
              <w:spacing w:after="0"/>
              <w:rPr>
                <w:sz w:val="20"/>
                <w:szCs w:val="20"/>
                <w:color w:val="auto"/>
              </w:rPr>
            </w:pPr>
            <w:r>
              <w:rPr>
                <w:rFonts w:ascii="Arial" w:cs="Arial" w:eastAsia="Arial" w:hAnsi="Arial"/>
                <w:sz w:val="18"/>
                <w:szCs w:val="18"/>
                <w:b w:val="1"/>
                <w:bCs w:val="1"/>
                <w:color w:val="auto"/>
                <w:w w:val="91"/>
              </w:rPr>
              <w:t>1000 Abernathy Road NE</w:t>
            </w:r>
          </w:p>
        </w:tc>
        <w:tc>
          <w:tcPr>
            <w:tcW w:w="4200" w:type="dxa"/>
            <w:vAlign w:val="bottom"/>
          </w:tcPr>
          <w:p>
            <w:pPr>
              <w:spacing w:after="0"/>
              <w:rPr>
                <w:sz w:val="24"/>
                <w:szCs w:val="24"/>
                <w:color w:val="auto"/>
              </w:rPr>
            </w:pPr>
          </w:p>
        </w:tc>
      </w:tr>
      <w:tr>
        <w:trPr>
          <w:trHeight w:val="213"/>
        </w:trPr>
        <w:tc>
          <w:tcPr>
            <w:tcW w:w="4300" w:type="dxa"/>
            <w:vAlign w:val="bottom"/>
          </w:tcPr>
          <w:p>
            <w:pPr>
              <w:jc w:val="center"/>
              <w:ind w:right="1411"/>
              <w:spacing w:after="0"/>
              <w:rPr>
                <w:sz w:val="20"/>
                <w:szCs w:val="20"/>
                <w:color w:val="auto"/>
              </w:rPr>
            </w:pPr>
            <w:r>
              <w:rPr>
                <w:rFonts w:ascii="Arial" w:cs="Arial" w:eastAsia="Arial" w:hAnsi="Arial"/>
                <w:sz w:val="18"/>
                <w:szCs w:val="18"/>
                <w:b w:val="1"/>
                <w:bCs w:val="1"/>
                <w:color w:val="auto"/>
                <w:w w:val="89"/>
              </w:rPr>
              <w:t>Building 400, Suite 1700</w:t>
            </w:r>
          </w:p>
        </w:tc>
        <w:tc>
          <w:tcPr>
            <w:tcW w:w="4200" w:type="dxa"/>
            <w:vAlign w:val="bottom"/>
          </w:tcPr>
          <w:p>
            <w:pPr>
              <w:spacing w:after="0"/>
              <w:rPr>
                <w:sz w:val="18"/>
                <w:szCs w:val="18"/>
                <w:color w:val="auto"/>
              </w:rPr>
            </w:pPr>
          </w:p>
        </w:tc>
      </w:tr>
      <w:tr>
        <w:trPr>
          <w:trHeight w:val="217"/>
        </w:trPr>
        <w:tc>
          <w:tcPr>
            <w:tcW w:w="4300" w:type="dxa"/>
            <w:vAlign w:val="bottom"/>
          </w:tcPr>
          <w:p>
            <w:pPr>
              <w:jc w:val="center"/>
              <w:ind w:right="1411"/>
              <w:spacing w:after="0"/>
              <w:rPr>
                <w:sz w:val="20"/>
                <w:szCs w:val="20"/>
                <w:color w:val="auto"/>
              </w:rPr>
            </w:pPr>
            <w:r>
              <w:rPr>
                <w:rFonts w:ascii="Arial" w:cs="Arial" w:eastAsia="Arial" w:hAnsi="Arial"/>
                <w:sz w:val="18"/>
                <w:szCs w:val="18"/>
                <w:b w:val="1"/>
                <w:bCs w:val="1"/>
                <w:color w:val="auto"/>
                <w:w w:val="92"/>
              </w:rPr>
              <w:t>Atlanta, Georgia</w:t>
            </w:r>
          </w:p>
        </w:tc>
        <w:tc>
          <w:tcPr>
            <w:tcW w:w="4200" w:type="dxa"/>
            <w:vAlign w:val="bottom"/>
          </w:tcPr>
          <w:p>
            <w:pPr>
              <w:jc w:val="right"/>
              <w:ind w:right="1051"/>
              <w:spacing w:after="0"/>
              <w:rPr>
                <w:sz w:val="20"/>
                <w:szCs w:val="20"/>
                <w:color w:val="auto"/>
              </w:rPr>
            </w:pPr>
            <w:r>
              <w:rPr>
                <w:rFonts w:ascii="Arial" w:cs="Arial" w:eastAsia="Arial" w:hAnsi="Arial"/>
                <w:sz w:val="18"/>
                <w:szCs w:val="18"/>
                <w:b w:val="1"/>
                <w:bCs w:val="1"/>
                <w:color w:val="auto"/>
              </w:rPr>
              <w:t>30328</w:t>
            </w:r>
          </w:p>
        </w:tc>
      </w:tr>
      <w:tr>
        <w:trPr>
          <w:trHeight w:val="226"/>
        </w:trPr>
        <w:tc>
          <w:tcPr>
            <w:tcW w:w="4300" w:type="dxa"/>
            <w:vAlign w:val="bottom"/>
          </w:tcPr>
          <w:p>
            <w:pPr>
              <w:jc w:val="center"/>
              <w:ind w:right="1391"/>
              <w:spacing w:after="0"/>
              <w:rPr>
                <w:sz w:val="20"/>
                <w:szCs w:val="20"/>
                <w:color w:val="auto"/>
              </w:rPr>
            </w:pPr>
            <w:r>
              <w:rPr>
                <w:rFonts w:ascii="Arial" w:cs="Arial" w:eastAsia="Arial" w:hAnsi="Arial"/>
                <w:sz w:val="18"/>
                <w:szCs w:val="18"/>
                <w:color w:val="auto"/>
                <w:w w:val="91"/>
              </w:rPr>
              <w:t>(Address of principal executive offices)</w:t>
            </w:r>
          </w:p>
        </w:tc>
        <w:tc>
          <w:tcPr>
            <w:tcW w:w="4200" w:type="dxa"/>
            <w:vAlign w:val="bottom"/>
          </w:tcPr>
          <w:p>
            <w:pPr>
              <w:jc w:val="center"/>
              <w:ind w:left="1371"/>
              <w:spacing w:after="0"/>
              <w:rPr>
                <w:sz w:val="20"/>
                <w:szCs w:val="20"/>
                <w:color w:val="auto"/>
              </w:rPr>
            </w:pPr>
            <w:r>
              <w:rPr>
                <w:rFonts w:ascii="Arial" w:cs="Arial" w:eastAsia="Arial" w:hAnsi="Arial"/>
                <w:sz w:val="18"/>
                <w:szCs w:val="18"/>
                <w:color w:val="auto"/>
                <w:w w:val="91"/>
              </w:rPr>
              <w:t>(Zip Code)</w:t>
            </w:r>
          </w:p>
        </w:tc>
      </w:tr>
    </w:tbl>
    <w:p>
      <w:pPr>
        <w:spacing w:after="0" w:line="196"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 xml:space="preserve">Registrant’s telephone number, including area code: </w:t>
      </w:r>
      <w:r>
        <w:rPr>
          <w:rFonts w:ascii="Arial" w:cs="Arial" w:eastAsia="Arial" w:hAnsi="Arial"/>
          <w:sz w:val="18"/>
          <w:szCs w:val="18"/>
          <w:b w:val="1"/>
          <w:bCs w:val="1"/>
          <w:color w:val="auto"/>
        </w:rPr>
        <w:t>(770) 391-8200</w:t>
      </w:r>
    </w:p>
    <w:p>
      <w:pPr>
        <w:spacing w:after="0" w:line="220" w:lineRule="exact"/>
        <w:rPr>
          <w:sz w:val="24"/>
          <w:szCs w:val="24"/>
          <w:color w:val="auto"/>
        </w:rPr>
      </w:pPr>
    </w:p>
    <w:p>
      <w:pPr>
        <w:jc w:val="center"/>
        <w:ind w:right="40"/>
        <w:spacing w:after="0"/>
        <w:rPr>
          <w:sz w:val="20"/>
          <w:szCs w:val="20"/>
          <w:color w:val="auto"/>
        </w:rPr>
      </w:pPr>
      <w:r>
        <w:rPr>
          <w:rFonts w:ascii="Arial" w:cs="Arial" w:eastAsia="Arial" w:hAnsi="Arial"/>
          <w:sz w:val="18"/>
          <w:szCs w:val="18"/>
          <w:b w:val="1"/>
          <w:bCs w:val="1"/>
          <w:color w:val="auto"/>
        </w:rPr>
        <w:t>Not Applicable</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(Former name or former address, if changed since last report)</w:t>
      </w:r>
    </w:p>
    <w:p>
      <w:pPr>
        <w:spacing w:after="0" w:line="207" w:lineRule="exact"/>
        <w:rPr>
          <w:sz w:val="24"/>
          <w:szCs w:val="24"/>
          <w:color w:val="auto"/>
        </w:rPr>
      </w:pPr>
    </w:p>
    <w:p>
      <w:pPr>
        <w:spacing w:after="0" w:line="270" w:lineRule="auto"/>
        <w:rPr>
          <w:sz w:val="20"/>
          <w:szCs w:val="20"/>
          <w:color w:val="auto"/>
        </w:rPr>
      </w:pPr>
      <w:r>
        <w:rPr>
          <w:rFonts w:ascii="Arial" w:cs="Arial" w:eastAsia="Arial" w:hAnsi="Arial"/>
          <w:sz w:val="18"/>
          <w:szCs w:val="18"/>
          <w:color w:val="auto"/>
        </w:rPr>
        <w:t>Check the appropriate box below if the Form 8-K filing is intended to simultaneously satisfy the filing obligation of the registrant under any of the following provisions:</w:t>
      </w:r>
    </w:p>
    <w:p>
      <w:pPr>
        <w:spacing w:after="0" w:line="175" w:lineRule="exact"/>
        <w:rPr>
          <w:sz w:val="24"/>
          <w:szCs w:val="24"/>
          <w:color w:val="auto"/>
        </w:rPr>
      </w:pPr>
    </w:p>
    <w:p>
      <w:pPr>
        <w:ind w:left="320" w:hanging="313"/>
        <w:spacing w:after="0"/>
        <w:tabs>
          <w:tab w:leader="none" w:pos="32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Written communications pursuant to Rule 425 under the Securities Act (17 CFR 230.425)</w:t>
      </w:r>
    </w:p>
    <w:p>
      <w:pPr>
        <w:spacing w:after="0" w:line="219" w:lineRule="exact"/>
        <w:rPr>
          <w:rFonts w:ascii="MS PGothic" w:cs="MS PGothic" w:eastAsia="MS PGothic" w:hAnsi="MS PGothic"/>
          <w:sz w:val="18"/>
          <w:szCs w:val="18"/>
          <w:color w:val="auto"/>
        </w:rPr>
      </w:pPr>
    </w:p>
    <w:p>
      <w:pPr>
        <w:ind w:left="320" w:hanging="313"/>
        <w:spacing w:after="0"/>
        <w:tabs>
          <w:tab w:leader="none" w:pos="32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Soliciting material pursuant to Rule 14a-12 under the Exchange Act (17 CFR 240.14a-12)</w:t>
      </w:r>
    </w:p>
    <w:p>
      <w:pPr>
        <w:spacing w:after="0" w:line="219" w:lineRule="exact"/>
        <w:rPr>
          <w:rFonts w:ascii="MS PGothic" w:cs="MS PGothic" w:eastAsia="MS PGothic" w:hAnsi="MS PGothic"/>
          <w:sz w:val="18"/>
          <w:szCs w:val="18"/>
          <w:color w:val="auto"/>
        </w:rPr>
      </w:pPr>
    </w:p>
    <w:p>
      <w:pPr>
        <w:ind w:left="320" w:hanging="313"/>
        <w:spacing w:after="0"/>
        <w:tabs>
          <w:tab w:leader="none" w:pos="32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Pre-commencement communications pursuant to Rule 14d-2(b) under the Exchange Act (17 CFR 240.14d-2(b))</w:t>
      </w:r>
    </w:p>
    <w:p>
      <w:pPr>
        <w:spacing w:after="0" w:line="219" w:lineRule="exact"/>
        <w:rPr>
          <w:rFonts w:ascii="MS PGothic" w:cs="MS PGothic" w:eastAsia="MS PGothic" w:hAnsi="MS PGothic"/>
          <w:sz w:val="18"/>
          <w:szCs w:val="18"/>
          <w:color w:val="auto"/>
        </w:rPr>
      </w:pPr>
    </w:p>
    <w:p>
      <w:pPr>
        <w:ind w:left="320" w:hanging="313"/>
        <w:spacing w:after="0"/>
        <w:tabs>
          <w:tab w:leader="none" w:pos="32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Pre-commencement communications pursuant to Rule 13e-4(c) under the Exchange Act (17 CFR 240.13e-4(c))</w:t>
      </w:r>
    </w:p>
    <w:p>
      <w:pPr>
        <w:spacing w:after="0" w:line="215" w:lineRule="exact"/>
        <w:rPr>
          <w:rFonts w:ascii="MS PGothic" w:cs="MS PGothic" w:eastAsia="MS PGothic" w:hAnsi="MS PGothic"/>
          <w:sz w:val="18"/>
          <w:szCs w:val="18"/>
          <w:color w:val="auto"/>
        </w:rPr>
      </w:pPr>
    </w:p>
    <w:p>
      <w:pPr>
        <w:ind w:left="3440"/>
        <w:spacing w:after="0"/>
        <w:rPr>
          <w:rFonts w:ascii="MS PGothic" w:cs="MS PGothic" w:eastAsia="MS PGothic" w:hAnsi="MS PGothic"/>
          <w:sz w:val="18"/>
          <w:szCs w:val="18"/>
          <w:color w:val="auto"/>
        </w:rPr>
      </w:pPr>
      <w:r>
        <w:rPr>
          <w:rFonts w:ascii="Arial" w:cs="Arial" w:eastAsia="Arial" w:hAnsi="Arial"/>
          <w:sz w:val="18"/>
          <w:szCs w:val="18"/>
          <w:b w:val="1"/>
          <w:bCs w:val="1"/>
          <w:color w:val="auto"/>
        </w:rPr>
        <w:t>Securities registered pursuant to Section 12(b) of the Act:</w:t>
      </w:r>
    </w:p>
    <w:p>
      <w:pPr>
        <w:spacing w:after="0" w:line="218" w:lineRule="exact"/>
        <w:rPr>
          <w:sz w:val="24"/>
          <w:szCs w:val="24"/>
          <w:color w:val="auto"/>
        </w:rPr>
      </w:pPr>
    </w:p>
    <w:tbl>
      <w:tblPr>
        <w:tblLayout w:type="fixed"/>
        <w:tblInd w:w="690" w:type="dxa"/>
        <w:tblCellMar>
          <w:top w:w="0" w:type="dxa"/>
          <w:left w:w="0" w:type="dxa"/>
          <w:bottom w:w="0" w:type="dxa"/>
          <w:right w:w="0" w:type="dxa"/>
        </w:tblCellMar>
      </w:tblPr>
      <w:tr>
        <w:trPr>
          <w:trHeight w:val="252"/>
        </w:trPr>
        <w:tc>
          <w:tcPr>
            <w:tcW w:w="3180" w:type="dxa"/>
            <w:vAlign w:val="bottom"/>
            <w:tcBorders>
              <w:top w:val="single" w:sz="8" w:color="auto"/>
              <w:left w:val="single" w:sz="8" w:color="auto"/>
              <w:right w:val="single" w:sz="8" w:color="auto"/>
            </w:tcBorders>
          </w:tcPr>
          <w:p>
            <w:pPr>
              <w:jc w:val="center"/>
              <w:spacing w:after="0"/>
              <w:rPr>
                <w:sz w:val="20"/>
                <w:szCs w:val="20"/>
                <w:color w:val="auto"/>
              </w:rPr>
            </w:pPr>
            <w:r>
              <w:rPr>
                <w:rFonts w:ascii="Arial" w:cs="Arial" w:eastAsia="Arial" w:hAnsi="Arial"/>
                <w:sz w:val="18"/>
                <w:szCs w:val="18"/>
                <w:b w:val="1"/>
                <w:bCs w:val="1"/>
                <w:color w:val="auto"/>
                <w:w w:val="86"/>
              </w:rPr>
              <w:t>Title of each class</w:t>
            </w:r>
          </w:p>
        </w:tc>
        <w:tc>
          <w:tcPr>
            <w:tcW w:w="218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8"/>
                <w:szCs w:val="18"/>
                <w:b w:val="1"/>
                <w:bCs w:val="1"/>
                <w:color w:val="auto"/>
                <w:w w:val="89"/>
              </w:rPr>
              <w:t>Trading Symbol(s)</w:t>
            </w:r>
          </w:p>
        </w:tc>
        <w:tc>
          <w:tcPr>
            <w:tcW w:w="452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8"/>
                <w:szCs w:val="18"/>
                <w:b w:val="1"/>
                <w:bCs w:val="1"/>
                <w:color w:val="auto"/>
                <w:w w:val="86"/>
              </w:rPr>
              <w:t>Name of each exchange on which registered</w:t>
            </w:r>
          </w:p>
        </w:tc>
      </w:tr>
      <w:tr>
        <w:trPr>
          <w:trHeight w:val="28"/>
        </w:trPr>
        <w:tc>
          <w:tcPr>
            <w:tcW w:w="3180" w:type="dxa"/>
            <w:vAlign w:val="bottom"/>
            <w:tcBorders>
              <w:left w:val="single" w:sz="8" w:color="auto"/>
              <w:bottom w:val="single" w:sz="8" w:color="auto"/>
              <w:right w:val="single" w:sz="8" w:color="auto"/>
            </w:tcBorders>
          </w:tcPr>
          <w:p>
            <w:pPr>
              <w:spacing w:after="0"/>
              <w:rPr>
                <w:sz w:val="2"/>
                <w:szCs w:val="2"/>
                <w:color w:val="auto"/>
              </w:rPr>
            </w:pPr>
          </w:p>
        </w:tc>
        <w:tc>
          <w:tcPr>
            <w:tcW w:w="2180" w:type="dxa"/>
            <w:vAlign w:val="bottom"/>
            <w:tcBorders>
              <w:bottom w:val="single" w:sz="8" w:color="auto"/>
              <w:right w:val="single" w:sz="8" w:color="auto"/>
            </w:tcBorders>
          </w:tcPr>
          <w:p>
            <w:pPr>
              <w:spacing w:after="0"/>
              <w:rPr>
                <w:sz w:val="2"/>
                <w:szCs w:val="2"/>
                <w:color w:val="auto"/>
              </w:rPr>
            </w:pPr>
          </w:p>
        </w:tc>
        <w:tc>
          <w:tcPr>
            <w:tcW w:w="4520" w:type="dxa"/>
            <w:vAlign w:val="bottom"/>
            <w:tcBorders>
              <w:bottom w:val="single" w:sz="8" w:color="auto"/>
              <w:right w:val="single" w:sz="8" w:color="auto"/>
            </w:tcBorders>
          </w:tcPr>
          <w:p>
            <w:pPr>
              <w:spacing w:after="0"/>
              <w:rPr>
                <w:sz w:val="2"/>
                <w:szCs w:val="2"/>
                <w:color w:val="auto"/>
              </w:rPr>
            </w:pPr>
          </w:p>
        </w:tc>
      </w:tr>
      <w:tr>
        <w:trPr>
          <w:trHeight w:val="232"/>
        </w:trPr>
        <w:tc>
          <w:tcPr>
            <w:tcW w:w="3180" w:type="dxa"/>
            <w:vAlign w:val="bottom"/>
            <w:tcBorders>
              <w:left w:val="single" w:sz="8" w:color="auto"/>
              <w:right w:val="single" w:sz="8" w:color="auto"/>
            </w:tcBorders>
          </w:tcPr>
          <w:p>
            <w:pPr>
              <w:jc w:val="center"/>
              <w:spacing w:after="0"/>
              <w:rPr>
                <w:sz w:val="20"/>
                <w:szCs w:val="20"/>
                <w:color w:val="auto"/>
              </w:rPr>
            </w:pPr>
            <w:r>
              <w:rPr>
                <w:rFonts w:ascii="Arial" w:cs="Arial" w:eastAsia="Arial" w:hAnsi="Arial"/>
                <w:sz w:val="18"/>
                <w:szCs w:val="18"/>
                <w:b w:val="1"/>
                <w:bCs w:val="1"/>
                <w:color w:val="auto"/>
                <w:w w:val="89"/>
              </w:rPr>
              <w:t>Common stock, $0.01 par value</w:t>
            </w:r>
          </w:p>
        </w:tc>
        <w:tc>
          <w:tcPr>
            <w:tcW w:w="2180" w:type="dxa"/>
            <w:vAlign w:val="bottom"/>
            <w:tcBorders>
              <w:right w:val="single" w:sz="8" w:color="auto"/>
            </w:tcBorders>
          </w:tcPr>
          <w:p>
            <w:pPr>
              <w:jc w:val="center"/>
              <w:spacing w:after="0"/>
              <w:rPr>
                <w:sz w:val="20"/>
                <w:szCs w:val="20"/>
                <w:color w:val="auto"/>
              </w:rPr>
            </w:pPr>
            <w:r>
              <w:rPr>
                <w:rFonts w:ascii="Arial" w:cs="Arial" w:eastAsia="Arial" w:hAnsi="Arial"/>
                <w:sz w:val="18"/>
                <w:szCs w:val="18"/>
                <w:b w:val="1"/>
                <w:bCs w:val="1"/>
                <w:color w:val="auto"/>
              </w:rPr>
              <w:t>VRTV</w:t>
            </w:r>
          </w:p>
        </w:tc>
        <w:tc>
          <w:tcPr>
            <w:tcW w:w="4520" w:type="dxa"/>
            <w:vAlign w:val="bottom"/>
            <w:tcBorders>
              <w:right w:val="single" w:sz="8" w:color="auto"/>
            </w:tcBorders>
          </w:tcPr>
          <w:p>
            <w:pPr>
              <w:jc w:val="center"/>
              <w:spacing w:after="0"/>
              <w:rPr>
                <w:sz w:val="20"/>
                <w:szCs w:val="20"/>
                <w:color w:val="auto"/>
              </w:rPr>
            </w:pPr>
            <w:r>
              <w:rPr>
                <w:rFonts w:ascii="Arial" w:cs="Arial" w:eastAsia="Arial" w:hAnsi="Arial"/>
                <w:sz w:val="18"/>
                <w:szCs w:val="18"/>
                <w:b w:val="1"/>
                <w:bCs w:val="1"/>
                <w:color w:val="auto"/>
                <w:w w:val="89"/>
              </w:rPr>
              <w:t>New York Stock Exchange</w:t>
            </w:r>
          </w:p>
        </w:tc>
      </w:tr>
      <w:tr>
        <w:trPr>
          <w:trHeight w:val="28"/>
        </w:trPr>
        <w:tc>
          <w:tcPr>
            <w:tcW w:w="3180" w:type="dxa"/>
            <w:vAlign w:val="bottom"/>
            <w:tcBorders>
              <w:left w:val="single" w:sz="8" w:color="auto"/>
              <w:bottom w:val="single" w:sz="8" w:color="auto"/>
              <w:right w:val="single" w:sz="8" w:color="auto"/>
            </w:tcBorders>
          </w:tcPr>
          <w:p>
            <w:pPr>
              <w:spacing w:after="0"/>
              <w:rPr>
                <w:sz w:val="2"/>
                <w:szCs w:val="2"/>
                <w:color w:val="auto"/>
              </w:rPr>
            </w:pPr>
          </w:p>
        </w:tc>
        <w:tc>
          <w:tcPr>
            <w:tcW w:w="2180" w:type="dxa"/>
            <w:vAlign w:val="bottom"/>
            <w:tcBorders>
              <w:bottom w:val="single" w:sz="8" w:color="auto"/>
              <w:right w:val="single" w:sz="8" w:color="auto"/>
            </w:tcBorders>
          </w:tcPr>
          <w:p>
            <w:pPr>
              <w:spacing w:after="0"/>
              <w:rPr>
                <w:sz w:val="2"/>
                <w:szCs w:val="2"/>
                <w:color w:val="auto"/>
              </w:rPr>
            </w:pPr>
          </w:p>
        </w:tc>
        <w:tc>
          <w:tcPr>
            <w:tcW w:w="4520" w:type="dxa"/>
            <w:vAlign w:val="bottom"/>
            <w:tcBorders>
              <w:bottom w:val="single" w:sz="8" w:color="auto"/>
              <w:right w:val="single" w:sz="8" w:color="auto"/>
            </w:tcBorders>
          </w:tcPr>
          <w:p>
            <w:pPr>
              <w:spacing w:after="0"/>
              <w:rPr>
                <w:sz w:val="2"/>
                <w:szCs w:val="2"/>
                <w:color w:val="auto"/>
              </w:rPr>
            </w:pPr>
          </w:p>
        </w:tc>
      </w:tr>
    </w:tbl>
    <w:p>
      <w:pPr>
        <w:spacing w:after="0" w:line="199" w:lineRule="exact"/>
        <w:rPr>
          <w:sz w:val="24"/>
          <w:szCs w:val="24"/>
          <w:color w:val="auto"/>
        </w:rPr>
      </w:pPr>
    </w:p>
    <w:p>
      <w:pPr>
        <w:ind w:right="20"/>
        <w:spacing w:after="0" w:line="252" w:lineRule="auto"/>
        <w:rPr>
          <w:sz w:val="20"/>
          <w:szCs w:val="20"/>
          <w:color w:val="auto"/>
        </w:rPr>
      </w:pPr>
      <w:r>
        <w:rPr>
          <w:rFonts w:ascii="Arial" w:cs="Arial" w:eastAsia="Arial" w:hAnsi="Arial"/>
          <w:sz w:val="18"/>
          <w:szCs w:val="18"/>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2" w:lineRule="exact"/>
        <w:rPr>
          <w:sz w:val="24"/>
          <w:szCs w:val="24"/>
          <w:color w:val="auto"/>
        </w:rPr>
      </w:pPr>
    </w:p>
    <w:p>
      <w:pPr>
        <w:ind w:left="9100"/>
        <w:spacing w:after="0" w:line="184" w:lineRule="exact"/>
        <w:rPr>
          <w:sz w:val="20"/>
          <w:szCs w:val="20"/>
          <w:color w:val="auto"/>
        </w:rPr>
      </w:pPr>
      <w:r>
        <w:rPr>
          <w:rFonts w:ascii="Arial" w:cs="Arial" w:eastAsia="Arial" w:hAnsi="Arial"/>
          <w:sz w:val="16"/>
          <w:szCs w:val="16"/>
          <w:color w:val="auto"/>
        </w:rPr>
        <w:t xml:space="preserve">Emerging growth company </w:t>
      </w:r>
      <w:r>
        <w:rPr>
          <w:rFonts w:ascii="MS PGothic" w:cs="MS PGothic" w:eastAsia="MS PGothic" w:hAnsi="MS PGothic"/>
          <w:sz w:val="16"/>
          <w:szCs w:val="16"/>
          <w:color w:val="auto"/>
        </w:rPr>
        <w:t>☐</w:t>
      </w:r>
    </w:p>
    <w:p>
      <w:pPr>
        <w:spacing w:after="0" w:line="234" w:lineRule="exact"/>
        <w:rPr>
          <w:sz w:val="24"/>
          <w:szCs w:val="24"/>
          <w:color w:val="auto"/>
        </w:rPr>
      </w:pPr>
    </w:p>
    <w:p>
      <w:pPr>
        <w:spacing w:after="0" w:line="230" w:lineRule="exact"/>
        <w:rPr>
          <w:sz w:val="20"/>
          <w:szCs w:val="20"/>
          <w:color w:val="auto"/>
        </w:rPr>
      </w:pPr>
      <w:r>
        <w:rPr>
          <w:rFonts w:ascii="Arial" w:cs="Arial" w:eastAsia="Arial" w:hAnsi="Arial"/>
          <w:sz w:val="18"/>
          <w:szCs w:val="18"/>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8"/>
          <w:szCs w:val="18"/>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4445</wp:posOffset>
            </wp:positionH>
            <wp:positionV relativeFrom="paragraph">
              <wp:posOffset>124460</wp:posOffset>
            </wp:positionV>
            <wp:extent cx="7134225" cy="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141605</wp:posOffset>
            </wp:positionV>
            <wp:extent cx="7134225" cy="254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34225" cy="25400"/>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598805</wp:posOffset>
            </wp:positionV>
            <wp:extent cx="7134225" cy="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40"/>
          </w:cols>
          <w:pgMar w:left="320" w:top="752" w:right="339" w:bottom="1106" w:gutter="0" w:footer="0" w:header="0"/>
        </w:sectPr>
      </w:pPr>
    </w:p>
    <w:bookmarkStart w:id="1" w:name="page2"/>
    <w:bookmarkEnd w:id="1"/>
    <w:p>
      <w:pPr>
        <w:spacing w:after="0"/>
        <w:tabs>
          <w:tab w:leader="none" w:pos="1260" w:val="left"/>
        </w:tabs>
        <w:rPr>
          <w:sz w:val="20"/>
          <w:szCs w:val="20"/>
          <w:color w:val="auto"/>
        </w:rPr>
      </w:pPr>
      <w:r>
        <w:rPr>
          <w:rFonts w:ascii="Arial" w:cs="Arial" w:eastAsia="Arial" w:hAnsi="Arial"/>
          <w:sz w:val="18"/>
          <w:szCs w:val="18"/>
          <w:b w:val="1"/>
          <w:bCs w:val="1"/>
          <w:color w:val="auto"/>
        </w:rPr>
        <w:t>Item 2.02.</w:t>
      </w:r>
      <w:r>
        <w:rPr>
          <w:sz w:val="20"/>
          <w:szCs w:val="20"/>
          <w:color w:val="auto"/>
        </w:rPr>
        <w:tab/>
      </w:r>
      <w:r>
        <w:rPr>
          <w:rFonts w:ascii="Arial" w:cs="Arial" w:eastAsia="Arial" w:hAnsi="Arial"/>
          <w:sz w:val="16"/>
          <w:szCs w:val="16"/>
          <w:b w:val="1"/>
          <w:bCs w:val="1"/>
          <w:color w:val="auto"/>
        </w:rPr>
        <w:t>Results of Operations and Financial Condition.</w:t>
      </w:r>
    </w:p>
    <w:p>
      <w:pPr>
        <w:spacing w:after="0" w:line="224" w:lineRule="exact"/>
        <w:rPr>
          <w:sz w:val="20"/>
          <w:szCs w:val="20"/>
          <w:color w:val="auto"/>
        </w:rPr>
      </w:pPr>
    </w:p>
    <w:p>
      <w:pPr>
        <w:ind w:right="40" w:firstLine="640"/>
        <w:spacing w:after="0" w:line="258" w:lineRule="auto"/>
        <w:rPr>
          <w:sz w:val="20"/>
          <w:szCs w:val="20"/>
          <w:color w:val="auto"/>
        </w:rPr>
      </w:pPr>
      <w:r>
        <w:rPr>
          <w:rFonts w:ascii="Arial" w:cs="Arial" w:eastAsia="Arial" w:hAnsi="Arial"/>
          <w:sz w:val="18"/>
          <w:szCs w:val="18"/>
          <w:color w:val="auto"/>
        </w:rPr>
        <w:t>On November 3, 2021, Veritiv Corporation (the “Company”) issued a press release containing certain financial results of the Company and its direct and indirect wholly-owned subsidiaries for the three and nine months ended September 30, 2021. A copy of this press release is attached as Exhibit 99.1 to this Current Report on Form 8-K.</w:t>
      </w:r>
    </w:p>
    <w:p>
      <w:pPr>
        <w:spacing w:after="0" w:line="182" w:lineRule="exact"/>
        <w:rPr>
          <w:sz w:val="20"/>
          <w:szCs w:val="20"/>
          <w:color w:val="auto"/>
        </w:rPr>
      </w:pPr>
    </w:p>
    <w:p>
      <w:pPr>
        <w:spacing w:after="0"/>
        <w:tabs>
          <w:tab w:leader="none" w:pos="1260" w:val="left"/>
        </w:tabs>
        <w:rPr>
          <w:sz w:val="20"/>
          <w:szCs w:val="20"/>
          <w:color w:val="auto"/>
        </w:rPr>
      </w:pPr>
      <w:r>
        <w:rPr>
          <w:rFonts w:ascii="Arial" w:cs="Arial" w:eastAsia="Arial" w:hAnsi="Arial"/>
          <w:sz w:val="18"/>
          <w:szCs w:val="18"/>
          <w:b w:val="1"/>
          <w:bCs w:val="1"/>
          <w:color w:val="auto"/>
        </w:rPr>
        <w:t>Item 7.01.</w:t>
      </w:r>
      <w:r>
        <w:rPr>
          <w:sz w:val="20"/>
          <w:szCs w:val="20"/>
          <w:color w:val="auto"/>
        </w:rPr>
        <w:tab/>
      </w:r>
      <w:r>
        <w:rPr>
          <w:rFonts w:ascii="Arial" w:cs="Arial" w:eastAsia="Arial" w:hAnsi="Arial"/>
          <w:sz w:val="16"/>
          <w:szCs w:val="16"/>
          <w:b w:val="1"/>
          <w:bCs w:val="1"/>
          <w:color w:val="auto"/>
        </w:rPr>
        <w:t>Regulation FD Disclosure.</w:t>
      </w:r>
    </w:p>
    <w:p>
      <w:pPr>
        <w:spacing w:after="0" w:line="224" w:lineRule="exact"/>
        <w:rPr>
          <w:sz w:val="20"/>
          <w:szCs w:val="20"/>
          <w:color w:val="auto"/>
        </w:rPr>
      </w:pPr>
    </w:p>
    <w:p>
      <w:pPr>
        <w:ind w:right="40" w:firstLine="640"/>
        <w:spacing w:after="0" w:line="253" w:lineRule="auto"/>
        <w:rPr>
          <w:sz w:val="20"/>
          <w:szCs w:val="20"/>
          <w:color w:val="auto"/>
        </w:rPr>
      </w:pPr>
      <w:r>
        <w:rPr>
          <w:rFonts w:ascii="Arial" w:cs="Arial" w:eastAsia="Arial" w:hAnsi="Arial"/>
          <w:sz w:val="18"/>
          <w:szCs w:val="18"/>
          <w:color w:val="auto"/>
        </w:rPr>
        <w:t>The Company is furnishing herewith additional information in conjunction with the November 3, 2021 earnings release. This additional information includes general Company information and highlights of financial results of the Company and its direct and indirect wholly-owned subsidiaries for the three and nine months ended September 30, 2021. The additional information, attached as Exhibit 99.2 to this Current Report on Form 8-K, is being furnished and will not be deemed “filed” for the purposes of Section 18 of the Securities Exchange Act of 1934, as amended, or otherwise subject to the liabilities of that Section.</w:t>
      </w:r>
    </w:p>
    <w:p>
      <w:pPr>
        <w:spacing w:after="0" w:line="190" w:lineRule="exact"/>
        <w:rPr>
          <w:sz w:val="20"/>
          <w:szCs w:val="20"/>
          <w:color w:val="auto"/>
        </w:rPr>
      </w:pPr>
    </w:p>
    <w:p>
      <w:pPr>
        <w:ind w:right="40" w:firstLine="640"/>
        <w:spacing w:after="0" w:line="300" w:lineRule="auto"/>
        <w:rPr>
          <w:sz w:val="20"/>
          <w:szCs w:val="20"/>
          <w:color w:val="auto"/>
        </w:rPr>
      </w:pPr>
      <w:r>
        <w:rPr>
          <w:rFonts w:ascii="Arial" w:cs="Arial" w:eastAsia="Arial" w:hAnsi="Arial"/>
          <w:sz w:val="17"/>
          <w:szCs w:val="17"/>
          <w:color w:val="auto"/>
        </w:rPr>
        <w:t>The information in this Current Report on Form 8-K will not be incorporated by reference into any registration statement or other document filed by the Company under the Securities Act of 1933, as amended, unless specifically identified therein as being incorporated by reference.</w:t>
      </w:r>
    </w:p>
    <w:p>
      <w:pPr>
        <w:spacing w:after="0" w:line="148" w:lineRule="exact"/>
        <w:rPr>
          <w:sz w:val="20"/>
          <w:szCs w:val="20"/>
          <w:color w:val="auto"/>
        </w:rPr>
      </w:pPr>
    </w:p>
    <w:p>
      <w:pPr>
        <w:spacing w:after="0"/>
        <w:tabs>
          <w:tab w:leader="none" w:pos="1260" w:val="left"/>
        </w:tabs>
        <w:rPr>
          <w:sz w:val="20"/>
          <w:szCs w:val="20"/>
          <w:color w:val="auto"/>
        </w:rPr>
      </w:pPr>
      <w:r>
        <w:rPr>
          <w:rFonts w:ascii="Arial" w:cs="Arial" w:eastAsia="Arial" w:hAnsi="Arial"/>
          <w:sz w:val="18"/>
          <w:szCs w:val="18"/>
          <w:b w:val="1"/>
          <w:bCs w:val="1"/>
          <w:color w:val="auto"/>
        </w:rPr>
        <w:t>Item 9.01.</w:t>
      </w:r>
      <w:r>
        <w:rPr>
          <w:sz w:val="20"/>
          <w:szCs w:val="20"/>
          <w:color w:val="auto"/>
        </w:rPr>
        <w:tab/>
      </w:r>
      <w:r>
        <w:rPr>
          <w:rFonts w:ascii="Arial" w:cs="Arial" w:eastAsia="Arial" w:hAnsi="Arial"/>
          <w:sz w:val="16"/>
          <w:szCs w:val="16"/>
          <w:b w:val="1"/>
          <w:bCs w:val="1"/>
          <w:color w:val="auto"/>
        </w:rPr>
        <w:t>Financial Statements and Exhibits.</w:t>
      </w:r>
    </w:p>
    <w:p>
      <w:pPr>
        <w:spacing w:after="0" w:line="224" w:lineRule="exact"/>
        <w:rPr>
          <w:sz w:val="20"/>
          <w:szCs w:val="20"/>
          <w:color w:val="auto"/>
        </w:rPr>
      </w:pPr>
    </w:p>
    <w:p>
      <w:pPr>
        <w:ind w:left="1380" w:hanging="733"/>
        <w:spacing w:after="0"/>
        <w:tabs>
          <w:tab w:leader="none" w:pos="1380" w:val="left"/>
        </w:tabs>
        <w:numPr>
          <w:ilvl w:val="0"/>
          <w:numId w:val="2"/>
        </w:numPr>
        <w:rPr>
          <w:rFonts w:ascii="Arial" w:cs="Arial" w:eastAsia="Arial" w:hAnsi="Arial"/>
          <w:sz w:val="18"/>
          <w:szCs w:val="18"/>
          <w:color w:val="auto"/>
        </w:rPr>
      </w:pPr>
      <w:r>
        <w:rPr>
          <w:rFonts w:ascii="Arial" w:cs="Arial" w:eastAsia="Arial" w:hAnsi="Arial"/>
          <w:sz w:val="18"/>
          <w:szCs w:val="18"/>
          <w:color w:val="auto"/>
        </w:rPr>
        <w:t>Exhibits.</w:t>
      </w:r>
    </w:p>
    <w:p>
      <w:pPr>
        <w:spacing w:after="0" w:line="220" w:lineRule="exact"/>
        <w:rPr>
          <w:sz w:val="20"/>
          <w:szCs w:val="20"/>
          <w:color w:val="auto"/>
        </w:rPr>
      </w:pPr>
    </w:p>
    <w:p>
      <w:pPr>
        <w:ind w:left="640"/>
        <w:spacing w:after="0"/>
        <w:rPr>
          <w:sz w:val="20"/>
          <w:szCs w:val="20"/>
          <w:color w:val="auto"/>
        </w:rPr>
      </w:pPr>
      <w:r>
        <w:rPr>
          <w:rFonts w:ascii="Arial" w:cs="Arial" w:eastAsia="Arial" w:hAnsi="Arial"/>
          <w:sz w:val="18"/>
          <w:szCs w:val="18"/>
          <w:color w:val="auto"/>
        </w:rPr>
        <w:t>The following exhibits are included with this report:</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27"/>
        </w:trPr>
        <w:tc>
          <w:tcPr>
            <w:tcW w:w="1360" w:type="dxa"/>
            <w:vAlign w:val="bottom"/>
            <w:gridSpan w:val="3"/>
          </w:tcPr>
          <w:p>
            <w:pPr>
              <w:spacing w:after="0"/>
              <w:rPr>
                <w:sz w:val="20"/>
                <w:szCs w:val="20"/>
                <w:color w:val="auto"/>
              </w:rPr>
            </w:pPr>
            <w:r>
              <w:rPr>
                <w:rFonts w:ascii="Arial" w:cs="Arial" w:eastAsia="Arial" w:hAnsi="Arial"/>
                <w:sz w:val="18"/>
                <w:szCs w:val="18"/>
                <w:color w:val="auto"/>
              </w:rPr>
              <w:t>Exhibit No.</w:t>
            </w:r>
          </w:p>
        </w:tc>
        <w:tc>
          <w:tcPr>
            <w:tcW w:w="9880" w:type="dxa"/>
            <w:vAlign w:val="bottom"/>
            <w:gridSpan w:val="3"/>
          </w:tcPr>
          <w:p>
            <w:pPr>
              <w:spacing w:after="0"/>
              <w:rPr>
                <w:sz w:val="20"/>
                <w:szCs w:val="20"/>
                <w:color w:val="auto"/>
              </w:rPr>
            </w:pPr>
            <w:r>
              <w:rPr>
                <w:rFonts w:ascii="Arial" w:cs="Arial" w:eastAsia="Arial" w:hAnsi="Arial"/>
                <w:sz w:val="18"/>
                <w:szCs w:val="18"/>
                <w:color w:val="auto"/>
              </w:rPr>
              <w:t>Exhibit Description</w:t>
            </w:r>
          </w:p>
        </w:tc>
      </w:tr>
      <w:tr>
        <w:trPr>
          <w:trHeight w:val="381"/>
        </w:trPr>
        <w:tc>
          <w:tcPr>
            <w:tcW w:w="320" w:type="dxa"/>
            <w:vAlign w:val="bottom"/>
            <w:tcBorders>
              <w:top w:val="single" w:sz="8" w:color="auto"/>
              <w:bottom w:val="single" w:sz="8" w:color="0000EE"/>
            </w:tcBorders>
          </w:tcPr>
          <w:p>
            <w:pPr>
              <w:spacing w:after="0"/>
              <w:rPr>
                <w:rFonts w:ascii="Arial" w:cs="Arial" w:eastAsia="Arial" w:hAnsi="Arial"/>
                <w:sz w:val="18"/>
                <w:szCs w:val="18"/>
                <w:color w:val="0000EE"/>
                <w:w w:val="85"/>
              </w:rPr>
            </w:pPr>
            <w:hyperlink w:anchor="page4">
              <w:r>
                <w:rPr>
                  <w:rFonts w:ascii="Arial" w:cs="Arial" w:eastAsia="Arial" w:hAnsi="Arial"/>
                  <w:sz w:val="18"/>
                  <w:szCs w:val="18"/>
                  <w:color w:val="0000EE"/>
                  <w:w w:val="85"/>
                </w:rPr>
                <w:t>99.</w:t>
              </w:r>
              <w:r>
                <w:rPr>
                  <w:rFonts w:ascii="Arial" w:cs="Arial" w:eastAsia="Arial" w:hAnsi="Arial"/>
                  <w:sz w:val="18"/>
                  <w:szCs w:val="18"/>
                  <w:u w:val="single" w:color="auto"/>
                  <w:color w:val="0000EE"/>
                  <w:w w:val="85"/>
                </w:rPr>
                <w:t>1</w:t>
              </w:r>
            </w:hyperlink>
          </w:p>
        </w:tc>
        <w:tc>
          <w:tcPr>
            <w:tcW w:w="820" w:type="dxa"/>
            <w:vAlign w:val="bottom"/>
            <w:tcBorders>
              <w:top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4520" w:type="dxa"/>
            <w:vAlign w:val="bottom"/>
            <w:tcBorders>
              <w:top w:val="single" w:sz="8" w:color="auto"/>
              <w:bottom w:val="single" w:sz="8" w:color="0000EE"/>
            </w:tcBorders>
          </w:tcPr>
          <w:p>
            <w:pPr>
              <w:spacing w:after="0"/>
              <w:rPr>
                <w:rFonts w:ascii="Arial" w:cs="Arial" w:eastAsia="Arial" w:hAnsi="Arial"/>
                <w:sz w:val="18"/>
                <w:szCs w:val="18"/>
                <w:color w:val="0000EE"/>
                <w:w w:val="88"/>
              </w:rPr>
            </w:pPr>
            <w:hyperlink w:anchor="page4">
              <w:r>
                <w:rPr>
                  <w:rFonts w:ascii="Arial" w:cs="Arial" w:eastAsia="Arial" w:hAnsi="Arial"/>
                  <w:sz w:val="18"/>
                  <w:szCs w:val="18"/>
                  <w:color w:val="0000EE"/>
                  <w:w w:val="88"/>
                </w:rPr>
                <w:t>Press Release of Veritiv Corporation issued November 3, 2021.</w:t>
              </w:r>
            </w:hyperlink>
          </w:p>
        </w:tc>
        <w:tc>
          <w:tcPr>
            <w:tcW w:w="5360" w:type="dxa"/>
            <w:vAlign w:val="bottom"/>
            <w:tcBorders>
              <w:top w:val="single" w:sz="8" w:color="auto"/>
            </w:tcBorders>
            <w:gridSpan w:val="2"/>
          </w:tcPr>
          <w:p>
            <w:pPr>
              <w:spacing w:after="0"/>
              <w:rPr>
                <w:sz w:val="24"/>
                <w:szCs w:val="24"/>
                <w:color w:val="auto"/>
              </w:rPr>
            </w:pPr>
          </w:p>
        </w:tc>
      </w:tr>
      <w:tr>
        <w:trPr>
          <w:trHeight w:val="407"/>
        </w:trPr>
        <w:tc>
          <w:tcPr>
            <w:tcW w:w="320" w:type="dxa"/>
            <w:vAlign w:val="bottom"/>
            <w:tcBorders>
              <w:bottom w:val="single" w:sz="8" w:color="0000EE"/>
            </w:tcBorders>
          </w:tcPr>
          <w:p>
            <w:pPr>
              <w:spacing w:after="0"/>
              <w:rPr>
                <w:rFonts w:ascii="Arial" w:cs="Arial" w:eastAsia="Arial" w:hAnsi="Arial"/>
                <w:sz w:val="18"/>
                <w:szCs w:val="18"/>
                <w:color w:val="0000EE"/>
                <w:w w:val="85"/>
              </w:rPr>
            </w:pPr>
            <w:hyperlink w:anchor="page17">
              <w:r>
                <w:rPr>
                  <w:rFonts w:ascii="Arial" w:cs="Arial" w:eastAsia="Arial" w:hAnsi="Arial"/>
                  <w:sz w:val="18"/>
                  <w:szCs w:val="18"/>
                  <w:color w:val="0000EE"/>
                  <w:w w:val="85"/>
                </w:rPr>
                <w:t>99.</w:t>
              </w:r>
              <w:r>
                <w:rPr>
                  <w:rFonts w:ascii="Arial" w:cs="Arial" w:eastAsia="Arial" w:hAnsi="Arial"/>
                  <w:sz w:val="18"/>
                  <w:szCs w:val="18"/>
                  <w:u w:val="single" w:color="auto"/>
                  <w:color w:val="0000EE"/>
                  <w:w w:val="85"/>
                </w:rPr>
                <w:t>2</w:t>
              </w:r>
            </w:hyperlink>
          </w:p>
        </w:tc>
        <w:tc>
          <w:tcPr>
            <w:tcW w:w="8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200" w:type="dxa"/>
            <w:vAlign w:val="bottom"/>
            <w:tcBorders>
              <w:bottom w:val="single" w:sz="8" w:color="0000EE"/>
            </w:tcBorders>
            <w:gridSpan w:val="2"/>
          </w:tcPr>
          <w:p>
            <w:pPr>
              <w:spacing w:after="0"/>
              <w:rPr>
                <w:rFonts w:ascii="Arial" w:cs="Arial" w:eastAsia="Arial" w:hAnsi="Arial"/>
                <w:sz w:val="18"/>
                <w:szCs w:val="18"/>
                <w:color w:val="0000EE"/>
                <w:w w:val="91"/>
              </w:rPr>
            </w:pPr>
            <w:hyperlink w:anchor="page17">
              <w:r>
                <w:rPr>
                  <w:rFonts w:ascii="Arial" w:cs="Arial" w:eastAsia="Arial" w:hAnsi="Arial"/>
                  <w:sz w:val="18"/>
                  <w:szCs w:val="18"/>
                  <w:color w:val="0000EE"/>
                  <w:w w:val="91"/>
                </w:rPr>
                <w:t>Additional Information of Veritiv Corporation issued November 3, 2021.</w:t>
              </w:r>
            </w:hyperlink>
          </w:p>
        </w:tc>
        <w:tc>
          <w:tcPr>
            <w:tcW w:w="4680" w:type="dxa"/>
            <w:vAlign w:val="bottom"/>
          </w:tcPr>
          <w:p>
            <w:pPr>
              <w:spacing w:after="0"/>
              <w:rPr>
                <w:sz w:val="24"/>
                <w:szCs w:val="24"/>
                <w:color w:val="auto"/>
              </w:rPr>
            </w:pPr>
          </w:p>
        </w:tc>
      </w:tr>
      <w:tr>
        <w:trPr>
          <w:trHeight w:val="446"/>
        </w:trPr>
        <w:tc>
          <w:tcPr>
            <w:tcW w:w="320" w:type="dxa"/>
            <w:vAlign w:val="bottom"/>
          </w:tcPr>
          <w:p>
            <w:pPr>
              <w:spacing w:after="0"/>
              <w:rPr>
                <w:sz w:val="20"/>
                <w:szCs w:val="20"/>
                <w:color w:val="auto"/>
              </w:rPr>
            </w:pPr>
            <w:r>
              <w:rPr>
                <w:rFonts w:ascii="Arial" w:cs="Arial" w:eastAsia="Arial" w:hAnsi="Arial"/>
                <w:sz w:val="18"/>
                <w:szCs w:val="18"/>
                <w:color w:val="auto"/>
                <w:w w:val="99"/>
              </w:rPr>
              <w:t>104</w:t>
            </w:r>
          </w:p>
        </w:tc>
        <w:tc>
          <w:tcPr>
            <w:tcW w:w="8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880" w:type="dxa"/>
            <w:vAlign w:val="bottom"/>
            <w:gridSpan w:val="3"/>
          </w:tcPr>
          <w:p>
            <w:pPr>
              <w:spacing w:after="0"/>
              <w:rPr>
                <w:sz w:val="20"/>
                <w:szCs w:val="20"/>
                <w:color w:val="auto"/>
              </w:rPr>
            </w:pPr>
            <w:r>
              <w:rPr>
                <w:rFonts w:ascii="Arial" w:cs="Arial" w:eastAsia="Arial" w:hAnsi="Arial"/>
                <w:sz w:val="18"/>
                <w:szCs w:val="18"/>
                <w:color w:val="auto"/>
              </w:rPr>
              <w:t>Cover Page Interactive Data File (embedded within the Inline XBRL document).</w:t>
            </w:r>
          </w:p>
        </w:tc>
      </w:tr>
      <w:tr>
        <w:trPr>
          <w:trHeight w:val="642"/>
        </w:trPr>
        <w:tc>
          <w:tcPr>
            <w:tcW w:w="32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452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468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2" w:name="page3"/>
    <w:bookmarkEnd w:id="2"/>
    <w:p>
      <w:pPr>
        <w:jc w:val="center"/>
        <w:spacing w:after="0"/>
        <w:rPr>
          <w:sz w:val="20"/>
          <w:szCs w:val="20"/>
          <w:color w:val="auto"/>
        </w:rPr>
      </w:pPr>
      <w:r>
        <w:rPr>
          <w:rFonts w:ascii="Arial" w:cs="Arial" w:eastAsia="Arial" w:hAnsi="Arial"/>
          <w:sz w:val="18"/>
          <w:szCs w:val="18"/>
          <w:b w:val="1"/>
          <w:bCs w:val="1"/>
          <w:color w:val="auto"/>
        </w:rPr>
        <w:t>SIGNATURES</w:t>
      </w:r>
    </w:p>
    <w:p>
      <w:pPr>
        <w:spacing w:after="0" w:line="224" w:lineRule="exact"/>
        <w:rPr>
          <w:sz w:val="20"/>
          <w:szCs w:val="20"/>
          <w:color w:val="auto"/>
        </w:rPr>
      </w:pPr>
    </w:p>
    <w:p>
      <w:pPr>
        <w:ind w:right="440" w:firstLine="640"/>
        <w:spacing w:after="0" w:line="270"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hereunto duly authorized.</w:t>
      </w:r>
    </w:p>
    <w:p>
      <w:pPr>
        <w:spacing w:after="0" w:line="17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360" w:type="dxa"/>
            <w:vAlign w:val="bottom"/>
          </w:tcPr>
          <w:p>
            <w:pPr>
              <w:spacing w:after="0"/>
              <w:rPr>
                <w:sz w:val="20"/>
                <w:szCs w:val="20"/>
                <w:color w:val="auto"/>
              </w:rPr>
            </w:pPr>
          </w:p>
        </w:tc>
        <w:tc>
          <w:tcPr>
            <w:tcW w:w="1560" w:type="dxa"/>
            <w:vAlign w:val="bottom"/>
          </w:tcPr>
          <w:p>
            <w:pPr>
              <w:spacing w:after="0"/>
              <w:rPr>
                <w:sz w:val="20"/>
                <w:szCs w:val="20"/>
                <w:color w:val="auto"/>
              </w:rPr>
            </w:pPr>
          </w:p>
        </w:tc>
        <w:tc>
          <w:tcPr>
            <w:tcW w:w="2700" w:type="dxa"/>
            <w:vAlign w:val="bottom"/>
          </w:tcPr>
          <w:p>
            <w:pPr>
              <w:spacing w:after="0"/>
              <w:rPr>
                <w:sz w:val="20"/>
                <w:szCs w:val="20"/>
                <w:color w:val="auto"/>
              </w:rPr>
            </w:pPr>
          </w:p>
        </w:tc>
        <w:tc>
          <w:tcPr>
            <w:tcW w:w="5620" w:type="dxa"/>
            <w:vAlign w:val="bottom"/>
          </w:tcPr>
          <w:p>
            <w:pPr>
              <w:spacing w:after="0"/>
              <w:rPr>
                <w:sz w:val="20"/>
                <w:szCs w:val="20"/>
                <w:color w:val="auto"/>
              </w:rPr>
            </w:pPr>
            <w:r>
              <w:rPr>
                <w:rFonts w:ascii="Arial" w:cs="Arial" w:eastAsia="Arial" w:hAnsi="Arial"/>
                <w:sz w:val="18"/>
                <w:szCs w:val="18"/>
                <w:b w:val="1"/>
                <w:bCs w:val="1"/>
                <w:color w:val="auto"/>
              </w:rPr>
              <w:t>VERITIV CORPORATION</w:t>
            </w:r>
          </w:p>
        </w:tc>
      </w:tr>
      <w:tr>
        <w:trPr>
          <w:trHeight w:val="428"/>
        </w:trPr>
        <w:tc>
          <w:tcPr>
            <w:tcW w:w="5620" w:type="dxa"/>
            <w:vAlign w:val="bottom"/>
            <w:gridSpan w:val="3"/>
          </w:tcPr>
          <w:p>
            <w:pPr>
              <w:ind w:left="640"/>
              <w:spacing w:after="0"/>
              <w:rPr>
                <w:sz w:val="20"/>
                <w:szCs w:val="20"/>
                <w:color w:val="auto"/>
              </w:rPr>
            </w:pPr>
            <w:r>
              <w:rPr>
                <w:rFonts w:ascii="Arial" w:cs="Arial" w:eastAsia="Arial" w:hAnsi="Arial"/>
                <w:sz w:val="18"/>
                <w:szCs w:val="18"/>
                <w:color w:val="auto"/>
              </w:rPr>
              <w:t>Dated:   November 3, 2021</w:t>
            </w:r>
          </w:p>
        </w:tc>
        <w:tc>
          <w:tcPr>
            <w:tcW w:w="5620" w:type="dxa"/>
            <w:vAlign w:val="bottom"/>
          </w:tcPr>
          <w:p>
            <w:pPr>
              <w:spacing w:after="0"/>
              <w:rPr>
                <w:sz w:val="20"/>
                <w:szCs w:val="20"/>
                <w:color w:val="auto"/>
              </w:rPr>
            </w:pPr>
            <w:r>
              <w:rPr>
                <w:rFonts w:ascii="Arial" w:cs="Arial" w:eastAsia="Arial" w:hAnsi="Arial"/>
                <w:sz w:val="18"/>
                <w:szCs w:val="18"/>
                <w:color w:val="auto"/>
              </w:rPr>
              <w:t>/s/ Mark W. Hianik</w:t>
            </w:r>
          </w:p>
        </w:tc>
      </w:tr>
      <w:tr>
        <w:trPr>
          <w:trHeight w:val="193"/>
        </w:trPr>
        <w:tc>
          <w:tcPr>
            <w:tcW w:w="1360" w:type="dxa"/>
            <w:vAlign w:val="bottom"/>
          </w:tcPr>
          <w:p>
            <w:pPr>
              <w:spacing w:after="0"/>
              <w:rPr>
                <w:sz w:val="16"/>
                <w:szCs w:val="16"/>
                <w:color w:val="auto"/>
              </w:rPr>
            </w:pPr>
          </w:p>
        </w:tc>
        <w:tc>
          <w:tcPr>
            <w:tcW w:w="1560" w:type="dxa"/>
            <w:vAlign w:val="bottom"/>
            <w:tcBorders>
              <w:top w:val="single" w:sz="8" w:color="auto"/>
            </w:tcBorders>
          </w:tcPr>
          <w:p>
            <w:pPr>
              <w:spacing w:after="0"/>
              <w:rPr>
                <w:sz w:val="16"/>
                <w:szCs w:val="16"/>
                <w:color w:val="auto"/>
              </w:rPr>
            </w:pPr>
          </w:p>
        </w:tc>
        <w:tc>
          <w:tcPr>
            <w:tcW w:w="2700" w:type="dxa"/>
            <w:vAlign w:val="bottom"/>
          </w:tcPr>
          <w:p>
            <w:pPr>
              <w:spacing w:after="0"/>
              <w:rPr>
                <w:sz w:val="16"/>
                <w:szCs w:val="16"/>
                <w:color w:val="auto"/>
              </w:rPr>
            </w:pPr>
          </w:p>
        </w:tc>
        <w:tc>
          <w:tcPr>
            <w:tcW w:w="5620" w:type="dxa"/>
            <w:vAlign w:val="bottom"/>
            <w:tcBorders>
              <w:top w:val="single" w:sz="8" w:color="auto"/>
            </w:tcBorders>
          </w:tcPr>
          <w:p>
            <w:pPr>
              <w:spacing w:after="0" w:line="193" w:lineRule="exact"/>
              <w:rPr>
                <w:sz w:val="20"/>
                <w:szCs w:val="20"/>
                <w:color w:val="auto"/>
              </w:rPr>
            </w:pPr>
            <w:r>
              <w:rPr>
                <w:rFonts w:ascii="Arial" w:cs="Arial" w:eastAsia="Arial" w:hAnsi="Arial"/>
                <w:sz w:val="18"/>
                <w:szCs w:val="18"/>
                <w:color w:val="auto"/>
              </w:rPr>
              <w:t>Mark W. Hianik</w:t>
            </w:r>
          </w:p>
        </w:tc>
      </w:tr>
      <w:tr>
        <w:trPr>
          <w:trHeight w:val="226"/>
        </w:trPr>
        <w:tc>
          <w:tcPr>
            <w:tcW w:w="136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2700" w:type="dxa"/>
            <w:vAlign w:val="bottom"/>
          </w:tcPr>
          <w:p>
            <w:pPr>
              <w:spacing w:after="0"/>
              <w:rPr>
                <w:sz w:val="19"/>
                <w:szCs w:val="19"/>
                <w:color w:val="auto"/>
              </w:rPr>
            </w:pPr>
          </w:p>
        </w:tc>
        <w:tc>
          <w:tcPr>
            <w:tcW w:w="5620" w:type="dxa"/>
            <w:vAlign w:val="bottom"/>
          </w:tcPr>
          <w:p>
            <w:pPr>
              <w:spacing w:after="0"/>
              <w:rPr>
                <w:sz w:val="20"/>
                <w:szCs w:val="20"/>
                <w:color w:val="auto"/>
              </w:rPr>
            </w:pPr>
            <w:r>
              <w:rPr>
                <w:rFonts w:ascii="Arial" w:cs="Arial" w:eastAsia="Arial" w:hAnsi="Arial"/>
                <w:sz w:val="18"/>
                <w:szCs w:val="18"/>
                <w:color w:val="auto"/>
              </w:rPr>
              <w:t>Senior Vice President, General Counsel &amp; Corporate Secretary</w:t>
            </w:r>
          </w:p>
        </w:tc>
      </w:tr>
      <w:tr>
        <w:trPr>
          <w:trHeight w:val="642"/>
        </w:trPr>
        <w:tc>
          <w:tcPr>
            <w:tcW w:w="1360" w:type="dxa"/>
            <w:vAlign w:val="bottom"/>
            <w:tcBorders>
              <w:bottom w:val="single" w:sz="8" w:color="auto"/>
            </w:tcBorders>
          </w:tcPr>
          <w:p>
            <w:pPr>
              <w:spacing w:after="0"/>
              <w:rPr>
                <w:sz w:val="24"/>
                <w:szCs w:val="24"/>
                <w:color w:val="auto"/>
              </w:rPr>
            </w:pPr>
          </w:p>
        </w:tc>
        <w:tc>
          <w:tcPr>
            <w:tcW w:w="1560" w:type="dxa"/>
            <w:vAlign w:val="bottom"/>
            <w:tcBorders>
              <w:bottom w:val="single" w:sz="8" w:color="auto"/>
            </w:tcBorders>
          </w:tcPr>
          <w:p>
            <w:pPr>
              <w:spacing w:after="0"/>
              <w:rPr>
                <w:sz w:val="24"/>
                <w:szCs w:val="24"/>
                <w:color w:val="auto"/>
              </w:rPr>
            </w:pPr>
          </w:p>
        </w:tc>
        <w:tc>
          <w:tcPr>
            <w:tcW w:w="2700" w:type="dxa"/>
            <w:vAlign w:val="bottom"/>
            <w:tcBorders>
              <w:bottom w:val="single" w:sz="8" w:color="auto"/>
            </w:tcBorders>
          </w:tcPr>
          <w:p>
            <w:pPr>
              <w:spacing w:after="0"/>
              <w:rPr>
                <w:sz w:val="24"/>
                <w:szCs w:val="24"/>
                <w:color w:val="auto"/>
              </w:rPr>
            </w:pPr>
          </w:p>
        </w:tc>
        <w:tc>
          <w:tcPr>
            <w:tcW w:w="562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3" w:name="page4"/>
    <w:bookmarkEnd w:id="3"/>
    <w:p>
      <w:pPr>
        <w:jc w:val="right"/>
        <w:spacing w:after="0"/>
        <w:rPr>
          <w:sz w:val="20"/>
          <w:szCs w:val="20"/>
          <w:color w:val="auto"/>
        </w:rPr>
      </w:pPr>
      <w:r>
        <w:rPr>
          <w:rFonts w:ascii="Arial" w:cs="Arial" w:eastAsia="Arial" w:hAnsi="Arial"/>
          <w:sz w:val="18"/>
          <w:szCs w:val="18"/>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151130</wp:posOffset>
            </wp:positionV>
            <wp:extent cx="7196455" cy="14744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96455" cy="14744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Veritiv Announces Record Third</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Quarter 2021 Net Income, Adjusted EBITDA</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and Adjusted EBITDA Margin;</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Raises Guidance</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i w:val="1"/>
          <w:iCs w:val="1"/>
          <w:color w:val="auto"/>
        </w:rPr>
        <w:t>Reports Net Sales of $1.8 Billion,</w:t>
      </w:r>
    </w:p>
    <w:p>
      <w:pPr>
        <w:spacing w:after="0" w:line="19" w:lineRule="exact"/>
        <w:rPr>
          <w:sz w:val="20"/>
          <w:szCs w:val="20"/>
          <w:color w:val="auto"/>
        </w:rPr>
      </w:pPr>
    </w:p>
    <w:p>
      <w:pPr>
        <w:jc w:val="center"/>
        <w:spacing w:after="0"/>
        <w:rPr>
          <w:sz w:val="20"/>
          <w:szCs w:val="20"/>
          <w:color w:val="auto"/>
        </w:rPr>
      </w:pPr>
      <w:r>
        <w:rPr>
          <w:rFonts w:ascii="Arial" w:cs="Arial" w:eastAsia="Arial" w:hAnsi="Arial"/>
          <w:sz w:val="18"/>
          <w:szCs w:val="18"/>
          <w:b w:val="1"/>
          <w:bCs w:val="1"/>
          <w:i w:val="1"/>
          <w:iCs w:val="1"/>
          <w:color w:val="auto"/>
        </w:rPr>
        <w:t>Net Income of $40.0 Million,</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i w:val="1"/>
          <w:iCs w:val="1"/>
          <w:color w:val="auto"/>
        </w:rPr>
        <w:t>Basic and Diluted Earnings per Share of $2.69 and $2.54, respectively,</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i w:val="1"/>
          <w:iCs w:val="1"/>
          <w:color w:val="auto"/>
        </w:rPr>
        <w:t>Adjusted EBITDA of $93.7 Million,</w:t>
      </w:r>
    </w:p>
    <w:p>
      <w:pPr>
        <w:jc w:val="center"/>
        <w:spacing w:after="0" w:line="189" w:lineRule="auto"/>
        <w:rPr>
          <w:sz w:val="20"/>
          <w:szCs w:val="20"/>
          <w:color w:val="auto"/>
        </w:rPr>
      </w:pPr>
      <w:r>
        <w:rPr>
          <w:rFonts w:ascii="Arial" w:cs="Arial" w:eastAsia="Arial" w:hAnsi="Arial"/>
          <w:sz w:val="18"/>
          <w:szCs w:val="18"/>
          <w:b w:val="1"/>
          <w:bCs w:val="1"/>
          <w:i w:val="1"/>
          <w:iCs w:val="1"/>
          <w:color w:val="auto"/>
        </w:rPr>
        <w:t>Adjusted EBITDA Margin</w:t>
      </w:r>
      <w:r>
        <w:rPr>
          <w:rFonts w:ascii="Arial" w:cs="Arial" w:eastAsia="Arial" w:hAnsi="Arial"/>
          <w:sz w:val="29"/>
          <w:szCs w:val="29"/>
          <w:b w:val="1"/>
          <w:bCs w:val="1"/>
          <w:i w:val="1"/>
          <w:iCs w:val="1"/>
          <w:color w:val="auto"/>
          <w:vertAlign w:val="superscript"/>
        </w:rPr>
        <w:t>1</w:t>
      </w:r>
      <w:r>
        <w:rPr>
          <w:rFonts w:ascii="Arial" w:cs="Arial" w:eastAsia="Arial" w:hAnsi="Arial"/>
          <w:sz w:val="18"/>
          <w:szCs w:val="18"/>
          <w:b w:val="1"/>
          <w:bCs w:val="1"/>
          <w:i w:val="1"/>
          <w:iCs w:val="1"/>
          <w:color w:val="auto"/>
        </w:rPr>
        <w:t xml:space="preserve"> of 5.3% and</w:t>
      </w:r>
    </w:p>
    <w:p>
      <w:pPr>
        <w:jc w:val="center"/>
        <w:spacing w:after="0"/>
        <w:rPr>
          <w:sz w:val="20"/>
          <w:szCs w:val="20"/>
          <w:color w:val="auto"/>
        </w:rPr>
      </w:pPr>
      <w:r>
        <w:rPr>
          <w:rFonts w:ascii="Arial" w:cs="Arial" w:eastAsia="Arial" w:hAnsi="Arial"/>
          <w:sz w:val="18"/>
          <w:szCs w:val="18"/>
          <w:b w:val="1"/>
          <w:bCs w:val="1"/>
          <w:i w:val="1"/>
          <w:iCs w:val="1"/>
          <w:color w:val="auto"/>
        </w:rPr>
        <w:t>Net Leverage Ratio of 1.5x</w:t>
      </w:r>
    </w:p>
    <w:p>
      <w:pPr>
        <w:spacing w:after="0" w:line="200" w:lineRule="exact"/>
        <w:rPr>
          <w:sz w:val="20"/>
          <w:szCs w:val="20"/>
          <w:color w:val="auto"/>
        </w:rPr>
      </w:pPr>
    </w:p>
    <w:p>
      <w:pPr>
        <w:ind w:right="700"/>
        <w:spacing w:after="0" w:line="274" w:lineRule="auto"/>
        <w:rPr>
          <w:sz w:val="20"/>
          <w:szCs w:val="20"/>
          <w:color w:val="auto"/>
        </w:rPr>
      </w:pPr>
      <w:r>
        <w:rPr>
          <w:rFonts w:ascii="Arial" w:cs="Arial" w:eastAsia="Arial" w:hAnsi="Arial"/>
          <w:sz w:val="18"/>
          <w:szCs w:val="18"/>
          <w:b w:val="1"/>
          <w:bCs w:val="1"/>
          <w:color w:val="auto"/>
        </w:rPr>
        <w:t xml:space="preserve">ATLANTA (November 3, 2021) – </w:t>
      </w:r>
      <w:r>
        <w:rPr>
          <w:rFonts w:ascii="Arial" w:cs="Arial" w:eastAsia="Arial" w:hAnsi="Arial"/>
          <w:sz w:val="18"/>
          <w:szCs w:val="18"/>
          <w:color w:val="auto"/>
        </w:rPr>
        <w:t>Veritiv Corporation (NYSE: VRTV), a full-service provider of business-to-business distribution solutions, today</w:t>
      </w:r>
      <w:r>
        <w:rPr>
          <w:rFonts w:ascii="Arial" w:cs="Arial" w:eastAsia="Arial" w:hAnsi="Arial"/>
          <w:sz w:val="18"/>
          <w:szCs w:val="18"/>
          <w:b w:val="1"/>
          <w:bCs w:val="1"/>
          <w:color w:val="auto"/>
        </w:rPr>
        <w:t xml:space="preserve"> </w:t>
      </w:r>
      <w:r>
        <w:rPr>
          <w:rFonts w:ascii="Arial" w:cs="Arial" w:eastAsia="Arial" w:hAnsi="Arial"/>
          <w:sz w:val="18"/>
          <w:szCs w:val="18"/>
          <w:color w:val="auto"/>
        </w:rPr>
        <w:t>announced financial results for the third quarter ended September 30, 2021.</w:t>
      </w:r>
    </w:p>
    <w:p>
      <w:pPr>
        <w:spacing w:after="0" w:line="172" w:lineRule="exact"/>
        <w:rPr>
          <w:sz w:val="20"/>
          <w:szCs w:val="20"/>
          <w:color w:val="auto"/>
        </w:rPr>
      </w:pPr>
    </w:p>
    <w:p>
      <w:pPr>
        <w:ind w:right="160"/>
        <w:spacing w:after="0" w:line="292" w:lineRule="auto"/>
        <w:rPr>
          <w:sz w:val="20"/>
          <w:szCs w:val="20"/>
          <w:color w:val="auto"/>
        </w:rPr>
      </w:pPr>
      <w:r>
        <w:rPr>
          <w:rFonts w:ascii="Arial" w:cs="Arial" w:eastAsia="Arial" w:hAnsi="Arial"/>
          <w:sz w:val="16"/>
          <w:szCs w:val="16"/>
          <w:color w:val="auto"/>
        </w:rPr>
        <w:t>“Double-digit Packaging sales growth contributed to our best earnings and Adjusted EBITDA margin performance of any quarter in company history,” said Sal Abbate, Chief Executive Officer. “The third quarter of 2021 marks the tenth consecutive quarter of year-over-year improvement in our Packaging segment Adjusted EBITDA margin performance. Demand and disciplined pass-through of supplier-driven inflationary price increases led to sales growth across most of our segments. The ongoing benefits of our 2020 Restructuring Plan, as well as commercial and supply chain productivity, drove significant financial improvement throughout the business resulting in net income nearly doubling in the third quarter compared to prior year.”</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color w:val="auto"/>
        </w:rPr>
        <w:t>For the three months ended September 30, 2021, compared to the three months ended September 30, 2020:</w:t>
      </w:r>
    </w:p>
    <w:p>
      <w:pPr>
        <w:spacing w:after="0" w:line="19" w:lineRule="exact"/>
        <w:rPr>
          <w:sz w:val="20"/>
          <w:szCs w:val="20"/>
          <w:color w:val="auto"/>
        </w:rPr>
      </w:pPr>
    </w:p>
    <w:p>
      <w:pPr>
        <w:ind w:left="640" w:hanging="313"/>
        <w:spacing w:after="0"/>
        <w:tabs>
          <w:tab w:leader="none" w:pos="640" w:val="left"/>
        </w:tabs>
        <w:numPr>
          <w:ilvl w:val="0"/>
          <w:numId w:val="3"/>
        </w:numPr>
        <w:rPr>
          <w:rFonts w:ascii="Arial" w:cs="Arial" w:eastAsia="Arial" w:hAnsi="Arial"/>
          <w:sz w:val="18"/>
          <w:szCs w:val="18"/>
          <w:b w:val="1"/>
          <w:bCs w:val="1"/>
          <w:color w:val="auto"/>
        </w:rPr>
      </w:pPr>
      <w:r>
        <w:rPr>
          <w:rFonts w:ascii="Arial" w:cs="Arial" w:eastAsia="Arial" w:hAnsi="Arial"/>
          <w:sz w:val="18"/>
          <w:szCs w:val="18"/>
          <w:color w:val="auto"/>
        </w:rPr>
        <w:t>Net sales were $1.8 billion, an increase of 11.1% from the prior year.</w:t>
      </w:r>
    </w:p>
    <w:p>
      <w:pPr>
        <w:spacing w:after="0" w:line="6" w:lineRule="exact"/>
        <w:rPr>
          <w:rFonts w:ascii="Arial" w:cs="Arial" w:eastAsia="Arial" w:hAnsi="Arial"/>
          <w:sz w:val="18"/>
          <w:szCs w:val="18"/>
          <w:b w:val="1"/>
          <w:bCs w:val="1"/>
          <w:color w:val="auto"/>
        </w:rPr>
      </w:pPr>
    </w:p>
    <w:p>
      <w:pPr>
        <w:ind w:left="640" w:right="40" w:hanging="313"/>
        <w:spacing w:after="0" w:line="247" w:lineRule="auto"/>
        <w:tabs>
          <w:tab w:leader="none" w:pos="640" w:val="left"/>
        </w:tabs>
        <w:numPr>
          <w:ilvl w:val="0"/>
          <w:numId w:val="3"/>
        </w:numPr>
        <w:rPr>
          <w:rFonts w:ascii="Arial" w:cs="Arial" w:eastAsia="Arial" w:hAnsi="Arial"/>
          <w:sz w:val="18"/>
          <w:szCs w:val="18"/>
          <w:b w:val="1"/>
          <w:bCs w:val="1"/>
          <w:color w:val="auto"/>
        </w:rPr>
      </w:pPr>
      <w:r>
        <w:rPr>
          <w:rFonts w:ascii="Arial" w:cs="Arial" w:eastAsia="Arial" w:hAnsi="Arial"/>
          <w:sz w:val="18"/>
          <w:szCs w:val="18"/>
          <w:color w:val="auto"/>
        </w:rPr>
        <w:t>Net income was $40.0 million, compared to $21.1 million in the prior year. Net restructuring charges were $2.5 million, compared to $7.9 million in the prior year.</w:t>
      </w:r>
    </w:p>
    <w:p>
      <w:pPr>
        <w:ind w:left="640" w:hanging="313"/>
        <w:spacing w:after="0"/>
        <w:tabs>
          <w:tab w:leader="none" w:pos="640" w:val="left"/>
        </w:tabs>
        <w:numPr>
          <w:ilvl w:val="0"/>
          <w:numId w:val="3"/>
        </w:numPr>
        <w:rPr>
          <w:rFonts w:ascii="Arial" w:cs="Arial" w:eastAsia="Arial" w:hAnsi="Arial"/>
          <w:sz w:val="17"/>
          <w:szCs w:val="17"/>
          <w:b w:val="1"/>
          <w:bCs w:val="1"/>
          <w:color w:val="auto"/>
        </w:rPr>
      </w:pPr>
      <w:r>
        <w:rPr>
          <w:rFonts w:ascii="Arial" w:cs="Arial" w:eastAsia="Arial" w:hAnsi="Arial"/>
          <w:sz w:val="17"/>
          <w:szCs w:val="17"/>
          <w:color w:val="auto"/>
        </w:rPr>
        <w:t>Basic and diluted earnings per share were $2.69 and $2.54, respectively, compared to $1.33 and $1.30, respectively in the prior year.</w:t>
      </w:r>
    </w:p>
    <w:p>
      <w:pPr>
        <w:spacing w:after="0" w:line="18" w:lineRule="exact"/>
        <w:rPr>
          <w:rFonts w:ascii="Arial" w:cs="Arial" w:eastAsia="Arial" w:hAnsi="Arial"/>
          <w:sz w:val="17"/>
          <w:szCs w:val="17"/>
          <w:b w:val="1"/>
          <w:bCs w:val="1"/>
          <w:color w:val="auto"/>
        </w:rPr>
      </w:pPr>
    </w:p>
    <w:p>
      <w:pPr>
        <w:ind w:left="640" w:hanging="313"/>
        <w:spacing w:after="0"/>
        <w:tabs>
          <w:tab w:leader="none" w:pos="640" w:val="left"/>
        </w:tabs>
        <w:numPr>
          <w:ilvl w:val="0"/>
          <w:numId w:val="3"/>
        </w:numPr>
        <w:rPr>
          <w:rFonts w:ascii="Arial" w:cs="Arial" w:eastAsia="Arial" w:hAnsi="Arial"/>
          <w:sz w:val="18"/>
          <w:szCs w:val="18"/>
          <w:b w:val="1"/>
          <w:bCs w:val="1"/>
          <w:color w:val="auto"/>
        </w:rPr>
      </w:pPr>
      <w:r>
        <w:rPr>
          <w:rFonts w:ascii="Arial" w:cs="Arial" w:eastAsia="Arial" w:hAnsi="Arial"/>
          <w:sz w:val="18"/>
          <w:szCs w:val="18"/>
          <w:color w:val="auto"/>
        </w:rPr>
        <w:t>Adjusted EBITDA was $93.7 million, an increase of 87.8% from the prior year.</w:t>
      </w:r>
    </w:p>
    <w:p>
      <w:pPr>
        <w:spacing w:after="0" w:line="6" w:lineRule="exact"/>
        <w:rPr>
          <w:rFonts w:ascii="Arial" w:cs="Arial" w:eastAsia="Arial" w:hAnsi="Arial"/>
          <w:sz w:val="18"/>
          <w:szCs w:val="18"/>
          <w:b w:val="1"/>
          <w:bCs w:val="1"/>
          <w:color w:val="auto"/>
        </w:rPr>
      </w:pPr>
    </w:p>
    <w:p>
      <w:pPr>
        <w:ind w:left="640" w:hanging="313"/>
        <w:spacing w:after="0"/>
        <w:tabs>
          <w:tab w:leader="none" w:pos="640" w:val="left"/>
        </w:tabs>
        <w:numPr>
          <w:ilvl w:val="0"/>
          <w:numId w:val="3"/>
        </w:numPr>
        <w:rPr>
          <w:rFonts w:ascii="Arial" w:cs="Arial" w:eastAsia="Arial" w:hAnsi="Arial"/>
          <w:sz w:val="18"/>
          <w:szCs w:val="18"/>
          <w:b w:val="1"/>
          <w:bCs w:val="1"/>
          <w:color w:val="auto"/>
        </w:rPr>
      </w:pPr>
      <w:r>
        <w:rPr>
          <w:rFonts w:ascii="Arial" w:cs="Arial" w:eastAsia="Arial" w:hAnsi="Arial"/>
          <w:sz w:val="18"/>
          <w:szCs w:val="18"/>
          <w:color w:val="auto"/>
        </w:rPr>
        <w:t>Adjusted EBITDA as a percentage of net sales was a record 5.3%, an increase of 220 basis points from the prior year.</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color w:val="auto"/>
        </w:rPr>
        <w:t>For the nine months ended September 30, 2021, compared to the nine months ended September 30, 2020:</w:t>
      </w:r>
    </w:p>
    <w:p>
      <w:pPr>
        <w:spacing w:after="0" w:line="19" w:lineRule="exact"/>
        <w:rPr>
          <w:sz w:val="20"/>
          <w:szCs w:val="20"/>
          <w:color w:val="auto"/>
        </w:rPr>
      </w:pPr>
    </w:p>
    <w:p>
      <w:pPr>
        <w:ind w:left="640" w:hanging="313"/>
        <w:spacing w:after="0"/>
        <w:tabs>
          <w:tab w:leader="none" w:pos="640" w:val="left"/>
        </w:tabs>
        <w:numPr>
          <w:ilvl w:val="0"/>
          <w:numId w:val="4"/>
        </w:numPr>
        <w:rPr>
          <w:rFonts w:ascii="Arial" w:cs="Arial" w:eastAsia="Arial" w:hAnsi="Arial"/>
          <w:sz w:val="18"/>
          <w:szCs w:val="18"/>
          <w:b w:val="1"/>
          <w:bCs w:val="1"/>
          <w:color w:val="auto"/>
        </w:rPr>
      </w:pPr>
      <w:r>
        <w:rPr>
          <w:rFonts w:ascii="Arial" w:cs="Arial" w:eastAsia="Arial" w:hAnsi="Arial"/>
          <w:sz w:val="18"/>
          <w:szCs w:val="18"/>
          <w:color w:val="auto"/>
        </w:rPr>
        <w:t>Net sales were $5.0 billion, an increase of 6.0% from the prior year.</w:t>
      </w:r>
    </w:p>
    <w:p>
      <w:pPr>
        <w:spacing w:after="0" w:line="6" w:lineRule="exact"/>
        <w:rPr>
          <w:rFonts w:ascii="Arial" w:cs="Arial" w:eastAsia="Arial" w:hAnsi="Arial"/>
          <w:sz w:val="18"/>
          <w:szCs w:val="18"/>
          <w:b w:val="1"/>
          <w:bCs w:val="1"/>
          <w:color w:val="auto"/>
        </w:rPr>
      </w:pPr>
    </w:p>
    <w:p>
      <w:pPr>
        <w:ind w:left="640" w:right="140" w:hanging="313"/>
        <w:spacing w:after="0" w:line="255" w:lineRule="auto"/>
        <w:tabs>
          <w:tab w:leader="none" w:pos="640" w:val="left"/>
        </w:tabs>
        <w:numPr>
          <w:ilvl w:val="0"/>
          <w:numId w:val="4"/>
        </w:numPr>
        <w:rPr>
          <w:rFonts w:ascii="Arial" w:cs="Arial" w:eastAsia="Arial" w:hAnsi="Arial"/>
          <w:sz w:val="18"/>
          <w:szCs w:val="18"/>
          <w:b w:val="1"/>
          <w:bCs w:val="1"/>
          <w:color w:val="auto"/>
        </w:rPr>
      </w:pPr>
      <w:r>
        <w:rPr>
          <w:rFonts w:ascii="Arial" w:cs="Arial" w:eastAsia="Arial" w:hAnsi="Arial"/>
          <w:sz w:val="18"/>
          <w:szCs w:val="18"/>
          <w:color w:val="auto"/>
        </w:rPr>
        <w:t>Net income was $87.7 million, compared to $2.2 million in the prior year. Net restructuring charges were $12.0 million, compared to $40.4 million in the prior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433070</wp:posOffset>
            </wp:positionV>
            <wp:extent cx="7134225" cy="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40"/>
          </w:cols>
          <w:pgMar w:left="320" w:top="361" w:right="339" w:bottom="1440" w:gutter="0" w:footer="0" w:header="0"/>
        </w:sectPr>
      </w:pPr>
    </w:p>
    <w:bookmarkStart w:id="4" w:name="page5"/>
    <w:bookmarkEnd w:id="4"/>
    <w:p>
      <w:pPr>
        <w:ind w:left="640" w:right="60" w:hanging="313"/>
        <w:spacing w:after="0" w:line="255" w:lineRule="auto"/>
        <w:tabs>
          <w:tab w:leader="none" w:pos="640" w:val="left"/>
        </w:tabs>
        <w:numPr>
          <w:ilvl w:val="0"/>
          <w:numId w:val="5"/>
        </w:numPr>
        <w:rPr>
          <w:rFonts w:ascii="Arial" w:cs="Arial" w:eastAsia="Arial" w:hAnsi="Arial"/>
          <w:sz w:val="18"/>
          <w:szCs w:val="18"/>
          <w:b w:val="1"/>
          <w:bCs w:val="1"/>
          <w:color w:val="auto"/>
        </w:rPr>
      </w:pPr>
      <w:r>
        <w:rPr>
          <w:rFonts w:ascii="Arial" w:cs="Arial" w:eastAsia="Arial" w:hAnsi="Arial"/>
          <w:sz w:val="18"/>
          <w:szCs w:val="18"/>
          <w:color w:val="auto"/>
        </w:rPr>
        <w:t>Basic and diluted earnings per share were $5.68 and $5.40, respectively, compared to $0.14 for both basic and diluted earnings per share in the prior year.</w:t>
      </w:r>
    </w:p>
    <w:p>
      <w:pPr>
        <w:ind w:left="640" w:hanging="313"/>
        <w:spacing w:after="0"/>
        <w:tabs>
          <w:tab w:leader="none" w:pos="640" w:val="left"/>
        </w:tabs>
        <w:numPr>
          <w:ilvl w:val="0"/>
          <w:numId w:val="5"/>
        </w:numPr>
        <w:rPr>
          <w:rFonts w:ascii="Arial" w:cs="Arial" w:eastAsia="Arial" w:hAnsi="Arial"/>
          <w:sz w:val="18"/>
          <w:szCs w:val="18"/>
          <w:b w:val="1"/>
          <w:bCs w:val="1"/>
          <w:color w:val="auto"/>
        </w:rPr>
      </w:pPr>
      <w:r>
        <w:rPr>
          <w:rFonts w:ascii="Arial" w:cs="Arial" w:eastAsia="Arial" w:hAnsi="Arial"/>
          <w:sz w:val="18"/>
          <w:szCs w:val="18"/>
          <w:color w:val="auto"/>
        </w:rPr>
        <w:t>Adjusted EBITDA was $226.7 million, an increase of 80.1% from the prior year.</w:t>
      </w:r>
    </w:p>
    <w:p>
      <w:pPr>
        <w:spacing w:after="0" w:line="6" w:lineRule="exact"/>
        <w:rPr>
          <w:rFonts w:ascii="Arial" w:cs="Arial" w:eastAsia="Arial" w:hAnsi="Arial"/>
          <w:sz w:val="18"/>
          <w:szCs w:val="18"/>
          <w:b w:val="1"/>
          <w:bCs w:val="1"/>
          <w:color w:val="auto"/>
        </w:rPr>
      </w:pPr>
    </w:p>
    <w:p>
      <w:pPr>
        <w:ind w:left="640" w:hanging="313"/>
        <w:spacing w:after="0"/>
        <w:tabs>
          <w:tab w:leader="none" w:pos="640" w:val="left"/>
        </w:tabs>
        <w:numPr>
          <w:ilvl w:val="0"/>
          <w:numId w:val="5"/>
        </w:numPr>
        <w:rPr>
          <w:rFonts w:ascii="Arial" w:cs="Arial" w:eastAsia="Arial" w:hAnsi="Arial"/>
          <w:sz w:val="18"/>
          <w:szCs w:val="18"/>
          <w:b w:val="1"/>
          <w:bCs w:val="1"/>
          <w:color w:val="auto"/>
        </w:rPr>
      </w:pPr>
      <w:r>
        <w:rPr>
          <w:rFonts w:ascii="Arial" w:cs="Arial" w:eastAsia="Arial" w:hAnsi="Arial"/>
          <w:sz w:val="18"/>
          <w:szCs w:val="18"/>
          <w:color w:val="auto"/>
        </w:rPr>
        <w:t>Adjusted EBITDA as a percentage of net sales was 4.5%, an increase of 180 basis points from the prior year.</w:t>
      </w:r>
    </w:p>
    <w:p>
      <w:pPr>
        <w:spacing w:after="0" w:line="207" w:lineRule="exact"/>
        <w:rPr>
          <w:sz w:val="20"/>
          <w:szCs w:val="20"/>
          <w:color w:val="auto"/>
        </w:rPr>
      </w:pPr>
    </w:p>
    <w:p>
      <w:pPr>
        <w:ind w:right="240"/>
        <w:spacing w:after="0" w:line="300" w:lineRule="auto"/>
        <w:rPr>
          <w:sz w:val="20"/>
          <w:szCs w:val="20"/>
          <w:color w:val="auto"/>
        </w:rPr>
      </w:pPr>
      <w:r>
        <w:rPr>
          <w:rFonts w:ascii="Arial" w:cs="Arial" w:eastAsia="Arial" w:hAnsi="Arial"/>
          <w:sz w:val="17"/>
          <w:szCs w:val="17"/>
          <w:color w:val="auto"/>
        </w:rPr>
        <w:t>For the three months ended September 30, 2021, net cash provided by operating activities was $41.5 million and free cash flow was $36.5 million. For the nine months ended September 30, 2021, net cash provided by operating activities was $91.6 million and free cash flow was $77.5 million.</w:t>
      </w:r>
    </w:p>
    <w:p>
      <w:pPr>
        <w:spacing w:after="0" w:line="152"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“Our record earnings performance and corresponding free cash flow drove our net leverage ratio to 1.5x, a record low. This improvement in our leverage ratio includes the impact of the completion of our $100 million share repurchase program during the third quarter," said Steve Smith, Chief Financial Officer. "We repurchased 1.7 million shares over the course of our share repurchase program, which reflects an 11% reduction in shares outstanding, at an average price of $58 per share."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2021 Revised Guidance</w:t>
      </w:r>
    </w:p>
    <w:p>
      <w:pPr>
        <w:spacing w:after="0" w:line="224"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Given the strong financial performance so far this year, the Company is increasing guidance for full year 2021. Diluted earnings per share and net income for full year 2021 are expected to be in the range of $8.00 to $9.00 and $130 to $145 million, respectively. Adjusted EBITDA is estimated to be in the range of $315 to $330 million. Capital expenditures are now estimated to be approximately $25 million and free cash flow for 2021 is expected to be at least $120 million.</w:t>
      </w:r>
    </w:p>
    <w:p>
      <w:pPr>
        <w:spacing w:after="0" w:line="124" w:lineRule="exact"/>
        <w:rPr>
          <w:sz w:val="20"/>
          <w:szCs w:val="20"/>
          <w:color w:val="auto"/>
        </w:rPr>
      </w:pPr>
    </w:p>
    <w:p>
      <w:pPr>
        <w:spacing w:after="0"/>
        <w:rPr>
          <w:sz w:val="20"/>
          <w:szCs w:val="20"/>
          <w:color w:val="auto"/>
        </w:rPr>
      </w:pPr>
      <w:r>
        <w:rPr>
          <w:rFonts w:ascii="Arial" w:cs="Arial" w:eastAsia="Arial" w:hAnsi="Arial"/>
          <w:sz w:val="29"/>
          <w:szCs w:val="29"/>
          <w:color w:val="auto"/>
          <w:vertAlign w:val="superscript"/>
        </w:rPr>
        <w:t>1</w:t>
      </w:r>
      <w:r>
        <w:rPr>
          <w:rFonts w:ascii="Arial" w:cs="Arial" w:eastAsia="Arial" w:hAnsi="Arial"/>
          <w:sz w:val="18"/>
          <w:szCs w:val="18"/>
          <w:color w:val="auto"/>
        </w:rPr>
        <w:t>Adjusted EBITDA Margin is defined as Adjusted EBITDA as a percentage of net sales.</w:t>
      </w:r>
    </w:p>
    <w:p>
      <w:pPr>
        <w:spacing w:after="0"/>
        <w:rPr>
          <w:sz w:val="20"/>
          <w:szCs w:val="20"/>
          <w:color w:val="auto"/>
        </w:rPr>
      </w:pPr>
      <w:r>
        <w:rPr>
          <w:rFonts w:ascii="Arial" w:cs="Arial" w:eastAsia="Arial" w:hAnsi="Arial"/>
          <w:sz w:val="18"/>
          <w:szCs w:val="18"/>
          <w:color w:val="auto"/>
        </w:rPr>
        <w:t>-----</w:t>
      </w:r>
    </w:p>
    <w:p>
      <w:pPr>
        <w:spacing w:after="0" w:line="204" w:lineRule="exact"/>
        <w:rPr>
          <w:sz w:val="20"/>
          <w:szCs w:val="20"/>
          <w:color w:val="auto"/>
        </w:rPr>
      </w:pPr>
    </w:p>
    <w:p>
      <w:pPr>
        <w:ind w:right="80"/>
        <w:spacing w:after="0" w:line="274" w:lineRule="auto"/>
        <w:rPr>
          <w:sz w:val="20"/>
          <w:szCs w:val="20"/>
          <w:color w:val="auto"/>
        </w:rPr>
      </w:pPr>
      <w:r>
        <w:rPr>
          <w:rFonts w:ascii="Arial" w:cs="Arial" w:eastAsia="Arial" w:hAnsi="Arial"/>
          <w:sz w:val="17"/>
          <w:szCs w:val="17"/>
          <w:color w:val="auto"/>
        </w:rPr>
        <w:t xml:space="preserve">Veritiv Corporation will host a conference call and webcast today, November 3, 2021, at 9 a.m. (ET) to discuss its third quarter financial results and full year 2021 guidance. To participate, callers within the United States (U.S.) and Canada can dial (833) 968-2031, and international callers can dial (236) 714-2130, both using conference ID number 4715619. Interested parties can also listen online at </w:t>
      </w:r>
      <w:r>
        <w:rPr>
          <w:rFonts w:ascii="Arial" w:cs="Arial" w:eastAsia="Arial" w:hAnsi="Arial"/>
          <w:sz w:val="17"/>
          <w:szCs w:val="17"/>
          <w:u w:val="single" w:color="auto"/>
          <w:color w:val="auto"/>
        </w:rPr>
        <w:t>ir.veritivcorp.com</w:t>
      </w:r>
      <w:r>
        <w:rPr>
          <w:rFonts w:ascii="Arial" w:cs="Arial" w:eastAsia="Arial" w:hAnsi="Arial"/>
          <w:sz w:val="17"/>
          <w:szCs w:val="17"/>
          <w:color w:val="auto"/>
        </w:rPr>
        <w:t xml:space="preserve">. A replay of the call and webcast will be available online for a limited period of time at </w:t>
      </w:r>
      <w:r>
        <w:rPr>
          <w:rFonts w:ascii="Arial" w:cs="Arial" w:eastAsia="Arial" w:hAnsi="Arial"/>
          <w:sz w:val="17"/>
          <w:szCs w:val="17"/>
          <w:u w:val="single" w:color="auto"/>
          <w:color w:val="auto"/>
        </w:rPr>
        <w:t>ir.veritivcorp.com</w:t>
      </w:r>
      <w:r>
        <w:rPr>
          <w:rFonts w:ascii="Arial" w:cs="Arial" w:eastAsia="Arial" w:hAnsi="Arial"/>
          <w:sz w:val="17"/>
          <w:szCs w:val="17"/>
          <w:color w:val="auto"/>
        </w:rPr>
        <w:t xml:space="preserve"> shortly after the webcast is completed.</w:t>
      </w:r>
    </w:p>
    <w:p>
      <w:pPr>
        <w:spacing w:after="0" w:line="175" w:lineRule="exact"/>
        <w:rPr>
          <w:sz w:val="20"/>
          <w:szCs w:val="20"/>
          <w:color w:val="auto"/>
        </w:rPr>
      </w:pPr>
    </w:p>
    <w:p>
      <w:pPr>
        <w:ind w:right="120"/>
        <w:spacing w:after="0" w:line="300" w:lineRule="auto"/>
        <w:rPr>
          <w:sz w:val="20"/>
          <w:szCs w:val="20"/>
          <w:color w:val="auto"/>
        </w:rPr>
      </w:pPr>
      <w:r>
        <w:rPr>
          <w:rFonts w:ascii="Arial" w:cs="Arial" w:eastAsia="Arial" w:hAnsi="Arial"/>
          <w:sz w:val="17"/>
          <w:szCs w:val="17"/>
          <w:color w:val="auto"/>
        </w:rPr>
        <w:t>Important information regarding U.S. generally accepted accounting principles ("U.S. GAAP") and related reconciliations of non-GAAP financial measures to the most comparable U.S. GAAP measures can be found in the schedules to this press release, which should be thoroughly reviewed.</w:t>
      </w:r>
    </w:p>
    <w:p>
      <w:pPr>
        <w:spacing w:after="0" w:line="14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About Veritiv</w:t>
      </w:r>
    </w:p>
    <w:p>
      <w:pPr>
        <w:spacing w:after="0" w:line="228" w:lineRule="exact"/>
        <w:rPr>
          <w:sz w:val="20"/>
          <w:szCs w:val="20"/>
          <w:color w:val="auto"/>
        </w:rPr>
      </w:pPr>
    </w:p>
    <w:p>
      <w:pPr>
        <w:ind w:right="120"/>
        <w:spacing w:after="0" w:line="230" w:lineRule="auto"/>
        <w:rPr>
          <w:sz w:val="20"/>
          <w:szCs w:val="20"/>
          <w:color w:val="auto"/>
        </w:rPr>
      </w:pPr>
      <w:r>
        <w:rPr>
          <w:rFonts w:ascii="Arial" w:cs="Arial" w:eastAsia="Arial" w:hAnsi="Arial"/>
          <w:sz w:val="18"/>
          <w:szCs w:val="18"/>
          <w:color w:val="auto"/>
        </w:rPr>
        <w:t>Veritiv Corporation (NYSE: VRTV), headquartered in Atlanta and a Fortune 500</w:t>
      </w:r>
      <w:r>
        <w:rPr>
          <w:rFonts w:ascii="Arial" w:cs="Arial" w:eastAsia="Arial" w:hAnsi="Arial"/>
          <w:sz w:val="29"/>
          <w:szCs w:val="29"/>
          <w:color w:val="auto"/>
          <w:vertAlign w:val="superscript"/>
        </w:rPr>
        <w:t>®</w:t>
      </w:r>
      <w:r>
        <w:rPr>
          <w:rFonts w:ascii="Arial" w:cs="Arial" w:eastAsia="Arial" w:hAnsi="Arial"/>
          <w:sz w:val="18"/>
          <w:szCs w:val="18"/>
          <w:color w:val="auto"/>
        </w:rPr>
        <w:t xml:space="preserve"> company, is a full-service provider of packaging, JanSan and hygiene products, services and solutions. Additionally, Veritiv provides print and publishing products, and logistics and supply chain management solutions. Serving customers in a wide range of industries both in North America and globally, Veritiv has distribution centers throughout the U.S., Canada and Mexico, and team members around the world helping shape the success of its customers. For more information about Veritiv and its business segments visit </w:t>
      </w:r>
      <w:r>
        <w:rPr>
          <w:rFonts w:ascii="Arial" w:cs="Arial" w:eastAsia="Arial" w:hAnsi="Arial"/>
          <w:sz w:val="18"/>
          <w:szCs w:val="18"/>
          <w:b w:val="1"/>
          <w:bCs w:val="1"/>
          <w:u w:val="single" w:color="auto"/>
          <w:color w:val="auto"/>
        </w:rPr>
        <w:t>www.veritivcorp.com</w:t>
      </w:r>
      <w:r>
        <w:rPr>
          <w:rFonts w:ascii="Arial" w:cs="Arial" w:eastAsia="Arial" w:hAnsi="Arial"/>
          <w:sz w:val="18"/>
          <w:szCs w:val="18"/>
          <w:b w:val="1"/>
          <w:bCs w:val="1"/>
          <w:color w:val="auto"/>
        </w:rPr>
        <w:t>.</w:t>
      </w:r>
    </w:p>
    <w:p>
      <w:pPr>
        <w:spacing w:after="0" w:line="20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Safe Harbor Provision</w:t>
      </w:r>
    </w:p>
    <w:p>
      <w:pPr>
        <w:spacing w:after="0" w:line="224" w:lineRule="exact"/>
        <w:rPr>
          <w:sz w:val="20"/>
          <w:szCs w:val="20"/>
          <w:color w:val="auto"/>
        </w:rPr>
      </w:pPr>
    </w:p>
    <w:p>
      <w:pPr>
        <w:spacing w:after="0" w:line="285" w:lineRule="auto"/>
        <w:rPr>
          <w:sz w:val="20"/>
          <w:szCs w:val="20"/>
          <w:color w:val="auto"/>
        </w:rPr>
      </w:pPr>
      <w:r>
        <w:rPr>
          <w:rFonts w:ascii="Arial" w:cs="Arial" w:eastAsia="Arial" w:hAnsi="Arial"/>
          <w:sz w:val="16"/>
          <w:szCs w:val="16"/>
          <w:color w:val="auto"/>
        </w:rPr>
        <w:t>Certain statements contained in this press release regarding Veritiv Corporation’s (the "Company") future operating results, performance, business plans, prospects, guidance, the 2020 Restructuring Plan and any other restructuring, statements related to the impact of COVID-19 and any other statements not constituting historical fact are "forward-looking statements" subject to the safe harbor created by the Private Securities Litigation Reform Act of 1995. Where possible, the words "believe," "expect," "anticipate," "continue," "intend," "should," "will," "would," "planned," "estimated," "potential," "goal," "outlook," "may," "predicts," "could," or the negative of such terms, or other comparable expressions, as they relate to the Company or its business, have been used to identify such forward-looking statements. All forward-looking statements reflect only the Company’s current beliefs and assumptions with respect to future operating results, performance, business plans, prospects, guidance and other matters, and are based on information currently available to the Company. Accordingly, the statements are subject to significant risks, uncertainties and contingencies, which could cause the Company’s actual operating results, performance, business plans, prospects or guidance to differ materially from those expressed in, or implied by, these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403860</wp:posOffset>
            </wp:positionV>
            <wp:extent cx="7134225" cy="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40"/>
          </w:cols>
          <w:pgMar w:left="320" w:top="926" w:right="339" w:bottom="1440" w:gutter="0" w:footer="0" w:header="0"/>
        </w:sectPr>
      </w:pPr>
    </w:p>
    <w:bookmarkStart w:id="5" w:name="page6"/>
    <w:bookmarkEnd w:id="5"/>
    <w:p>
      <w:pPr>
        <w:spacing w:after="0" w:line="281" w:lineRule="auto"/>
        <w:rPr>
          <w:sz w:val="20"/>
          <w:szCs w:val="20"/>
          <w:color w:val="auto"/>
        </w:rPr>
      </w:pPr>
      <w:r>
        <w:rPr>
          <w:rFonts w:ascii="Arial" w:cs="Arial" w:eastAsia="Arial" w:hAnsi="Arial"/>
          <w:sz w:val="16"/>
          <w:szCs w:val="16"/>
          <w:color w:val="auto"/>
        </w:rPr>
        <w:t>Factors that could cause actual results to differ materially from current expectations include risks and other factors described under "Risk Factors" and elsewhere in our Annual Report on Form 10-K and elsewhere in the Company's publicly available reports filed with the Securities and Exchange Commission ("SEC"), which contain a discussion of various factors that may affect the Company's business or financial results. Such risks and other factors, which in some instances are beyond the Company's control, include: adverse impacts of the COVID-19 pandemic; the industry-wide decline in demand for paper and related products; increased competition from existing and non-traditional sources; procurement and other risks in obtaining packaging, facility products and paper from our suppliers for resale to our customers; changes in prices for raw materials; changes in trade policies and regulations; increases in the cost of fuel and third-party freight and the availability of third-party freight providers; the loss of any of our significant customers; uncertainties as to the structure, timing, benefits and costs of the 2020 Restructuring Plan or any future restructuring plan that the Company may undertake; adverse developments in general business and economic conditions that could impair our ability to use net operating loss carryforwards and other deferred tax assets; our ability to adequately protect our material intellectual property and other proprietary rights, or to defend successfully against intellectual property infringement claims by third parties; our ability to attract, train and retain highly qualified employees; our pension and health care costs and participation in multi-employer pension, health and welfare plans; the effects of work stoppages, union negotiations and labor disputes; our ability to generate sufficient cash to service our debt; increasing interest rates; our ability to refinance or restructure our debt on reasonable terms and conditions as might be necessary from time to time; our ability to comply with the covenants contained in our debt agreements; costs to comply with laws, rules and regulations, including environmental, health and safety laws, and to satisfy any liability or obligation imposed under such laws; changes in tax laws; adverse results from litigation, governmental investigations or audits, or tax-related proceedings or audits; regulatory changes and judicial rulings impacting our business; the impact of adverse developments in general business and economic conditions as well as conditions in the global capital and credit markets on demand for our products and services, our business including our international operations, and our customers; foreign currency fluctuations; inclement weather, widespread outbreak of an illness, anti-terrorism measures and other disruptions to our supply chain, distribution system and operations; our dependence on a variety of information technology and telecommunications systems and the Internet; our reliance on third-party vendors for various services; cybersecurity risks; and other events of which we are presently unaware or that we currently deem immaterial that may result in unexpected adverse operating results.</w:t>
      </w:r>
    </w:p>
    <w:p>
      <w:pPr>
        <w:spacing w:after="0" w:line="173" w:lineRule="exact"/>
        <w:rPr>
          <w:sz w:val="20"/>
          <w:szCs w:val="20"/>
          <w:color w:val="auto"/>
        </w:rPr>
      </w:pPr>
    </w:p>
    <w:p>
      <w:pPr>
        <w:ind w:right="20"/>
        <w:spacing w:after="0" w:line="306" w:lineRule="auto"/>
        <w:rPr>
          <w:sz w:val="20"/>
          <w:szCs w:val="20"/>
          <w:color w:val="auto"/>
        </w:rPr>
      </w:pPr>
      <w:r>
        <w:rPr>
          <w:rFonts w:ascii="Arial" w:cs="Arial" w:eastAsia="Arial" w:hAnsi="Arial"/>
          <w:sz w:val="16"/>
          <w:szCs w:val="16"/>
          <w:color w:val="auto"/>
        </w:rPr>
        <w:t>The Company is not responsible for updating the information contained in this press release beyond the published date, or for changes made to this document by wire services or Internet service providers. This press release is being furnished to the SEC through a Form 8-K. The Company’s Quarterly Report on Form 10-Q for the three and nine months ended September 30, 2021 to be filed with the SEC may contain updates to the information included in this release.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392430</wp:posOffset>
            </wp:positionV>
            <wp:extent cx="7134225" cy="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40"/>
          </w:cols>
          <w:pgMar w:left="320" w:top="899" w:right="339" w:bottom="1440" w:gutter="0" w:footer="0" w:header="0"/>
        </w:sectPr>
      </w:pPr>
    </w:p>
    <w:bookmarkStart w:id="6" w:name="page7"/>
    <w:bookmarkEnd w:id="6"/>
    <w:p>
      <w:pPr>
        <w:spacing w:after="0"/>
        <w:rPr>
          <w:sz w:val="20"/>
          <w:szCs w:val="20"/>
          <w:color w:val="auto"/>
        </w:rPr>
      </w:pPr>
      <w:r>
        <w:rPr>
          <w:rFonts w:ascii="Arial" w:cs="Arial" w:eastAsia="Arial" w:hAnsi="Arial"/>
          <w:sz w:val="18"/>
          <w:szCs w:val="18"/>
          <w:b w:val="1"/>
          <w:bCs w:val="1"/>
          <w:color w:val="auto"/>
        </w:rPr>
        <w:t>Financial Statements</w:t>
      </w:r>
    </w:p>
    <w:p>
      <w:pPr>
        <w:spacing w:after="0" w:line="22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STATEMENTS OF OPERATIONS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except per share data, unaudited)</w:t>
      </w:r>
    </w:p>
    <w:p>
      <w:pPr>
        <w:spacing w:after="0" w:line="230" w:lineRule="exact"/>
        <w:rPr>
          <w:sz w:val="20"/>
          <w:szCs w:val="20"/>
          <w:color w:val="auto"/>
        </w:rPr>
      </w:pPr>
    </w:p>
    <w:tbl>
      <w:tblPr>
        <w:tblLayout w:type="fixed"/>
        <w:tblInd w:w="0" w:type="dxa"/>
        <w:tblCellMar>
          <w:top w:w="0" w:type="dxa"/>
          <w:left w:w="0" w:type="dxa"/>
          <w:bottom w:w="0" w:type="dxa"/>
          <w:right w:w="0" w:type="dxa"/>
        </w:tblCellMar>
      </w:tblPr>
      <w:tr>
        <w:trPr>
          <w:trHeight w:val="213"/>
        </w:trPr>
        <w:tc>
          <w:tcPr>
            <w:tcW w:w="5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60" w:type="dxa"/>
            <w:vAlign w:val="bottom"/>
            <w:gridSpan w:val="5"/>
          </w:tcPr>
          <w:p>
            <w:pPr>
              <w:jc w:val="right"/>
              <w:ind w:right="760"/>
              <w:spacing w:after="0"/>
              <w:rPr>
                <w:sz w:val="20"/>
                <w:szCs w:val="20"/>
                <w:color w:val="auto"/>
              </w:rPr>
            </w:pPr>
            <w:r>
              <w:rPr>
                <w:rFonts w:ascii="Arial" w:cs="Arial" w:eastAsia="Arial" w:hAnsi="Arial"/>
                <w:sz w:val="18"/>
                <w:szCs w:val="18"/>
                <w:b w:val="1"/>
                <w:bCs w:val="1"/>
                <w:color w:val="auto"/>
              </w:rPr>
              <w:t>Three Months Ended</w:t>
            </w:r>
          </w:p>
        </w:tc>
        <w:tc>
          <w:tcPr>
            <w:tcW w:w="260" w:type="dxa"/>
            <w:vAlign w:val="bottom"/>
          </w:tcPr>
          <w:p>
            <w:pPr>
              <w:spacing w:after="0"/>
              <w:rPr>
                <w:sz w:val="18"/>
                <w:szCs w:val="18"/>
                <w:color w:val="auto"/>
              </w:rPr>
            </w:pPr>
          </w:p>
        </w:tc>
        <w:tc>
          <w:tcPr>
            <w:tcW w:w="2520" w:type="dxa"/>
            <w:vAlign w:val="bottom"/>
            <w:gridSpan w:val="5"/>
          </w:tcPr>
          <w:p>
            <w:pPr>
              <w:jc w:val="right"/>
              <w:ind w:right="680"/>
              <w:spacing w:after="0"/>
              <w:rPr>
                <w:sz w:val="20"/>
                <w:szCs w:val="20"/>
                <w:color w:val="auto"/>
              </w:rPr>
            </w:pPr>
            <w:r>
              <w:rPr>
                <w:rFonts w:ascii="Arial" w:cs="Arial" w:eastAsia="Arial" w:hAnsi="Arial"/>
                <w:sz w:val="18"/>
                <w:szCs w:val="18"/>
                <w:b w:val="1"/>
                <w:bCs w:val="1"/>
                <w:color w:val="auto"/>
              </w:rPr>
              <w:t>Nine Months Ended</w:t>
            </w:r>
          </w:p>
        </w:tc>
      </w:tr>
      <w:tr>
        <w:trPr>
          <w:trHeight w:val="231"/>
        </w:trPr>
        <w:tc>
          <w:tcPr>
            <w:tcW w:w="53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60" w:type="dxa"/>
            <w:vAlign w:val="bottom"/>
            <w:tcBorders>
              <w:bottom w:val="single" w:sz="8" w:color="auto"/>
            </w:tcBorders>
          </w:tcPr>
          <w:p>
            <w:pPr>
              <w:spacing w:after="0"/>
              <w:rPr>
                <w:sz w:val="20"/>
                <w:szCs w:val="20"/>
                <w:color w:val="auto"/>
              </w:rPr>
            </w:pPr>
          </w:p>
        </w:tc>
        <w:tc>
          <w:tcPr>
            <w:tcW w:w="164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b w:val="1"/>
                <w:bCs w:val="1"/>
                <w:color w:val="auto"/>
              </w:rPr>
              <w:t>September 30,</w:t>
            </w:r>
          </w:p>
        </w:tc>
        <w:tc>
          <w:tcPr>
            <w:tcW w:w="820" w:type="dxa"/>
            <w:vAlign w:val="bottom"/>
            <w:tcBorders>
              <w:bottom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60" w:type="dxa"/>
            <w:vAlign w:val="bottom"/>
            <w:tcBorders>
              <w:bottom w:val="single" w:sz="8" w:color="auto"/>
            </w:tcBorders>
          </w:tcPr>
          <w:p>
            <w:pPr>
              <w:spacing w:after="0"/>
              <w:rPr>
                <w:sz w:val="20"/>
                <w:szCs w:val="20"/>
                <w:color w:val="auto"/>
              </w:rPr>
            </w:pPr>
          </w:p>
        </w:tc>
        <w:tc>
          <w:tcPr>
            <w:tcW w:w="162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b w:val="1"/>
                <w:bCs w:val="1"/>
                <w:color w:val="auto"/>
              </w:rPr>
              <w:t>September 30,</w:t>
            </w:r>
          </w:p>
        </w:tc>
        <w:tc>
          <w:tcPr>
            <w:tcW w:w="800" w:type="dxa"/>
            <w:vAlign w:val="bottom"/>
            <w:tcBorders>
              <w:bottom w:val="single" w:sz="8" w:color="auto"/>
            </w:tcBorders>
          </w:tcPr>
          <w:p>
            <w:pPr>
              <w:spacing w:after="0"/>
              <w:rPr>
                <w:sz w:val="20"/>
                <w:szCs w:val="20"/>
                <w:color w:val="auto"/>
              </w:rPr>
            </w:pPr>
          </w:p>
        </w:tc>
        <w:tc>
          <w:tcPr>
            <w:tcW w:w="100" w:type="dxa"/>
            <w:vAlign w:val="bottom"/>
          </w:tcPr>
          <w:p>
            <w:pPr>
              <w:spacing w:after="0"/>
              <w:rPr>
                <w:sz w:val="20"/>
                <w:szCs w:val="20"/>
                <w:color w:val="auto"/>
              </w:rPr>
            </w:pPr>
          </w:p>
        </w:tc>
      </w:tr>
      <w:tr>
        <w:trPr>
          <w:trHeight w:val="221"/>
        </w:trPr>
        <w:tc>
          <w:tcPr>
            <w:tcW w:w="5340" w:type="dxa"/>
            <w:vAlign w:val="bottom"/>
            <w:tcBorders>
              <w:bottom w:val="single" w:sz="8" w:color="CCEEFF"/>
            </w:tcBorders>
          </w:tcPr>
          <w:p>
            <w:pPr>
              <w:spacing w:after="0"/>
              <w:rPr>
                <w:sz w:val="19"/>
                <w:szCs w:val="19"/>
                <w:color w:val="auto"/>
              </w:rPr>
            </w:pPr>
          </w:p>
        </w:tc>
        <w:tc>
          <w:tcPr>
            <w:tcW w:w="200" w:type="dxa"/>
            <w:vAlign w:val="bottom"/>
            <w:tcBorders>
              <w:bottom w:val="single" w:sz="8" w:color="CCEEFF"/>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98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2021</w:t>
            </w:r>
          </w:p>
        </w:tc>
        <w:tc>
          <w:tcPr>
            <w:tcW w:w="240" w:type="dxa"/>
            <w:vAlign w:val="bottom"/>
            <w:tcBorders>
              <w:bottom w:val="single" w:sz="8" w:color="CCEEFF"/>
            </w:tcBorders>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w w:val="89"/>
              </w:rPr>
              <w:t>2020</w:t>
            </w:r>
          </w:p>
        </w:tc>
        <w:tc>
          <w:tcPr>
            <w:tcW w:w="200" w:type="dxa"/>
            <w:vAlign w:val="bottom"/>
            <w:tcBorders>
              <w:bottom w:val="single" w:sz="8" w:color="CCEEFF"/>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98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2021</w:t>
            </w:r>
          </w:p>
        </w:tc>
        <w:tc>
          <w:tcPr>
            <w:tcW w:w="200" w:type="dxa"/>
            <w:vAlign w:val="bottom"/>
            <w:tcBorders>
              <w:bottom w:val="single" w:sz="8" w:color="CCEEFF"/>
            </w:tcBorders>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w w:val="84"/>
              </w:rPr>
              <w:t>2020</w:t>
            </w:r>
          </w:p>
        </w:tc>
        <w:tc>
          <w:tcPr>
            <w:tcW w:w="100" w:type="dxa"/>
            <w:vAlign w:val="bottom"/>
            <w:tcBorders>
              <w:bottom w:val="single" w:sz="8" w:color="CCEEFF"/>
            </w:tcBorders>
          </w:tcPr>
          <w:p>
            <w:pPr>
              <w:spacing w:after="0"/>
              <w:rPr>
                <w:sz w:val="19"/>
                <w:szCs w:val="19"/>
                <w:color w:val="auto"/>
              </w:rPr>
            </w:pPr>
          </w:p>
        </w:tc>
      </w:tr>
      <w:tr>
        <w:trPr>
          <w:trHeight w:val="207"/>
        </w:trPr>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Net sales</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1,767.8</w:t>
            </w:r>
          </w:p>
        </w:tc>
        <w:tc>
          <w:tcPr>
            <w:tcW w:w="240" w:type="dxa"/>
            <w:vAlign w:val="bottom"/>
            <w:shd w:val="clear" w:color="auto" w:fill="CCEEFF"/>
          </w:tcPr>
          <w:p>
            <w:pPr>
              <w:spacing w:after="0"/>
              <w:rPr>
                <w:sz w:val="17"/>
                <w:szCs w:val="17"/>
                <w:color w:val="auto"/>
              </w:rPr>
            </w:pPr>
          </w:p>
        </w:tc>
        <w:tc>
          <w:tcPr>
            <w:tcW w:w="420" w:type="dxa"/>
            <w:vAlign w:val="bottom"/>
            <w:shd w:val="clear" w:color="auto" w:fill="CCEEFF"/>
          </w:tcPr>
          <w:p>
            <w:pPr>
              <w:jc w:val="right"/>
              <w:ind w:right="231"/>
              <w:spacing w:after="0"/>
              <w:rPr>
                <w:sz w:val="20"/>
                <w:szCs w:val="20"/>
                <w:color w:val="auto"/>
              </w:rPr>
            </w:pPr>
            <w:r>
              <w:rPr>
                <w:rFonts w:ascii="Arial" w:cs="Arial" w:eastAsia="Arial" w:hAnsi="Arial"/>
                <w:sz w:val="18"/>
                <w:szCs w:val="18"/>
                <w:color w:val="auto"/>
                <w:w w:val="79"/>
              </w:rPr>
              <w:t>$</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1,591.2</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jc w:val="right"/>
              <w:ind w:right="71"/>
              <w:spacing w:after="0"/>
              <w:rPr>
                <w:sz w:val="20"/>
                <w:szCs w:val="20"/>
                <w:color w:val="auto"/>
              </w:rPr>
            </w:pPr>
            <w:r>
              <w:rPr>
                <w:rFonts w:ascii="Arial" w:cs="Arial" w:eastAsia="Arial" w:hAnsi="Arial"/>
                <w:sz w:val="18"/>
                <w:szCs w:val="18"/>
                <w:color w:val="auto"/>
                <w:w w:val="79"/>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4,985.7</w:t>
            </w:r>
          </w:p>
        </w:tc>
        <w:tc>
          <w:tcPr>
            <w:tcW w:w="200" w:type="dxa"/>
            <w:vAlign w:val="bottom"/>
            <w:shd w:val="clear" w:color="auto" w:fill="CCEEFF"/>
          </w:tcPr>
          <w:p>
            <w:pPr>
              <w:spacing w:after="0"/>
              <w:rPr>
                <w:sz w:val="17"/>
                <w:szCs w:val="17"/>
                <w:color w:val="auto"/>
              </w:rPr>
            </w:pPr>
          </w:p>
        </w:tc>
        <w:tc>
          <w:tcPr>
            <w:tcW w:w="440" w:type="dxa"/>
            <w:vAlign w:val="bottom"/>
            <w:shd w:val="clear" w:color="auto" w:fill="CCEEFF"/>
          </w:tcPr>
          <w:p>
            <w:pPr>
              <w:jc w:val="right"/>
              <w:ind w:right="251"/>
              <w:spacing w:after="0"/>
              <w:rPr>
                <w:sz w:val="20"/>
                <w:szCs w:val="20"/>
                <w:color w:val="auto"/>
              </w:rPr>
            </w:pPr>
            <w:r>
              <w:rPr>
                <w:rFonts w:ascii="Arial" w:cs="Arial" w:eastAsia="Arial" w:hAnsi="Arial"/>
                <w:sz w:val="18"/>
                <w:szCs w:val="18"/>
                <w:color w:val="auto"/>
                <w:w w:val="79"/>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4,703.3</w:t>
            </w:r>
          </w:p>
        </w:tc>
        <w:tc>
          <w:tcPr>
            <w:tcW w:w="100" w:type="dxa"/>
            <w:vAlign w:val="bottom"/>
            <w:shd w:val="clear" w:color="auto" w:fill="CCEEFF"/>
          </w:tcPr>
          <w:p>
            <w:pPr>
              <w:spacing w:after="0"/>
              <w:rPr>
                <w:sz w:val="17"/>
                <w:szCs w:val="17"/>
                <w:color w:val="auto"/>
              </w:rPr>
            </w:pPr>
          </w:p>
        </w:tc>
      </w:tr>
      <w:tr>
        <w:trPr>
          <w:trHeight w:val="199"/>
        </w:trPr>
        <w:tc>
          <w:tcPr>
            <w:tcW w:w="5340" w:type="dxa"/>
            <w:vAlign w:val="bottom"/>
          </w:tcPr>
          <w:p>
            <w:pPr>
              <w:spacing w:after="0" w:line="199" w:lineRule="exact"/>
              <w:rPr>
                <w:sz w:val="20"/>
                <w:szCs w:val="20"/>
                <w:color w:val="auto"/>
              </w:rPr>
            </w:pPr>
            <w:r>
              <w:rPr>
                <w:rFonts w:ascii="Arial" w:cs="Arial" w:eastAsia="Arial" w:hAnsi="Arial"/>
                <w:sz w:val="18"/>
                <w:szCs w:val="18"/>
                <w:color w:val="auto"/>
                <w:w w:val="92"/>
              </w:rPr>
              <w:t>Cost of products sold (exclusive of depreciation and amortization shown</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27"/>
        </w:trPr>
        <w:tc>
          <w:tcPr>
            <w:tcW w:w="5340" w:type="dxa"/>
            <w:vAlign w:val="bottom"/>
          </w:tcPr>
          <w:p>
            <w:pPr>
              <w:spacing w:after="0"/>
              <w:rPr>
                <w:sz w:val="20"/>
                <w:szCs w:val="20"/>
                <w:color w:val="auto"/>
              </w:rPr>
            </w:pPr>
            <w:r>
              <w:rPr>
                <w:rFonts w:ascii="Arial" w:cs="Arial" w:eastAsia="Arial" w:hAnsi="Arial"/>
                <w:sz w:val="18"/>
                <w:szCs w:val="18"/>
                <w:color w:val="auto"/>
              </w:rPr>
              <w:t>separately below)</w:t>
            </w: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1,402.1</w:t>
            </w:r>
          </w:p>
        </w:tc>
        <w:tc>
          <w:tcPr>
            <w:tcW w:w="24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1,262.4</w:t>
            </w:r>
          </w:p>
        </w:tc>
        <w:tc>
          <w:tcPr>
            <w:tcW w:w="260" w:type="dxa"/>
            <w:vAlign w:val="bottom"/>
          </w:tcPr>
          <w:p>
            <w:pPr>
              <w:spacing w:after="0"/>
              <w:rPr>
                <w:sz w:val="19"/>
                <w:szCs w:val="19"/>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3,959.2</w:t>
            </w:r>
          </w:p>
        </w:tc>
        <w:tc>
          <w:tcPr>
            <w:tcW w:w="440" w:type="dxa"/>
            <w:vAlign w:val="bottom"/>
          </w:tcPr>
          <w:p>
            <w:pPr>
              <w:spacing w:after="0"/>
              <w:rPr>
                <w:sz w:val="19"/>
                <w:szCs w:val="19"/>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3,728.8</w:t>
            </w:r>
          </w:p>
        </w:tc>
      </w:tr>
      <w:tr>
        <w:trPr>
          <w:trHeight w:val="214"/>
        </w:trPr>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Distribution expenses</w:t>
            </w: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103.4</w:t>
            </w:r>
          </w:p>
        </w:tc>
        <w:tc>
          <w:tcPr>
            <w:tcW w:w="24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100.6</w:t>
            </w: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308.9</w:t>
            </w:r>
          </w:p>
        </w:tc>
        <w:tc>
          <w:tcPr>
            <w:tcW w:w="44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323.9</w:t>
            </w:r>
          </w:p>
        </w:tc>
      </w:tr>
      <w:tr>
        <w:trPr>
          <w:trHeight w:val="213"/>
        </w:trPr>
        <w:tc>
          <w:tcPr>
            <w:tcW w:w="5340" w:type="dxa"/>
            <w:vAlign w:val="bottom"/>
          </w:tcPr>
          <w:p>
            <w:pPr>
              <w:spacing w:after="0"/>
              <w:rPr>
                <w:sz w:val="20"/>
                <w:szCs w:val="20"/>
                <w:color w:val="auto"/>
              </w:rPr>
            </w:pPr>
            <w:r>
              <w:rPr>
                <w:rFonts w:ascii="Arial" w:cs="Arial" w:eastAsia="Arial" w:hAnsi="Arial"/>
                <w:sz w:val="18"/>
                <w:szCs w:val="18"/>
                <w:color w:val="auto"/>
              </w:rPr>
              <w:t>Selling and administrative expenses</w:t>
            </w: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189.7</w:t>
            </w:r>
          </w:p>
        </w:tc>
        <w:tc>
          <w:tcPr>
            <w:tcW w:w="24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177.4</w:t>
            </w:r>
          </w:p>
        </w:tc>
        <w:tc>
          <w:tcPr>
            <w:tcW w:w="260" w:type="dxa"/>
            <w:vAlign w:val="bottom"/>
          </w:tcPr>
          <w:p>
            <w:pPr>
              <w:spacing w:after="0"/>
              <w:rPr>
                <w:sz w:val="18"/>
                <w:szCs w:val="18"/>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533.9</w:t>
            </w:r>
          </w:p>
        </w:tc>
        <w:tc>
          <w:tcPr>
            <w:tcW w:w="440" w:type="dxa"/>
            <w:vAlign w:val="bottom"/>
          </w:tcPr>
          <w:p>
            <w:pPr>
              <w:spacing w:after="0"/>
              <w:rPr>
                <w:sz w:val="18"/>
                <w:szCs w:val="18"/>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545.4</w:t>
            </w:r>
          </w:p>
        </w:tc>
      </w:tr>
      <w:tr>
        <w:trPr>
          <w:trHeight w:val="213"/>
        </w:trPr>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2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13.3</w:t>
            </w:r>
          </w:p>
        </w:tc>
        <w:tc>
          <w:tcPr>
            <w:tcW w:w="4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15.0</w:t>
            </w: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42.1</w:t>
            </w:r>
          </w:p>
        </w:tc>
        <w:tc>
          <w:tcPr>
            <w:tcW w:w="44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43.1</w:t>
            </w:r>
          </w:p>
        </w:tc>
      </w:tr>
      <w:tr>
        <w:trPr>
          <w:trHeight w:val="227"/>
        </w:trPr>
        <w:tc>
          <w:tcPr>
            <w:tcW w:w="5340" w:type="dxa"/>
            <w:vAlign w:val="bottom"/>
          </w:tcPr>
          <w:p>
            <w:pPr>
              <w:spacing w:after="0"/>
              <w:rPr>
                <w:sz w:val="20"/>
                <w:szCs w:val="20"/>
                <w:color w:val="auto"/>
              </w:rPr>
            </w:pPr>
            <w:r>
              <w:rPr>
                <w:rFonts w:ascii="Arial" w:cs="Arial" w:eastAsia="Arial" w:hAnsi="Arial"/>
                <w:sz w:val="18"/>
                <w:szCs w:val="18"/>
                <w:color w:val="auto"/>
              </w:rPr>
              <w:t>Restructuring charges, net</w:t>
            </w: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2.5</w:t>
            </w:r>
          </w:p>
        </w:tc>
        <w:tc>
          <w:tcPr>
            <w:tcW w:w="24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7.9</w:t>
            </w:r>
          </w:p>
        </w:tc>
        <w:tc>
          <w:tcPr>
            <w:tcW w:w="260" w:type="dxa"/>
            <w:vAlign w:val="bottom"/>
          </w:tcPr>
          <w:p>
            <w:pPr>
              <w:spacing w:after="0"/>
              <w:rPr>
                <w:sz w:val="19"/>
                <w:szCs w:val="19"/>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12.0</w:t>
            </w:r>
          </w:p>
        </w:tc>
        <w:tc>
          <w:tcPr>
            <w:tcW w:w="440" w:type="dxa"/>
            <w:vAlign w:val="bottom"/>
          </w:tcPr>
          <w:p>
            <w:pPr>
              <w:spacing w:after="0"/>
              <w:rPr>
                <w:sz w:val="19"/>
                <w:szCs w:val="19"/>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40.4</w:t>
            </w:r>
          </w:p>
        </w:tc>
      </w:tr>
      <w:tr>
        <w:trPr>
          <w:trHeight w:val="207"/>
        </w:trPr>
        <w:tc>
          <w:tcPr>
            <w:tcW w:w="53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Operating income (loss)</w:t>
            </w:r>
          </w:p>
        </w:tc>
        <w:tc>
          <w:tcPr>
            <w:tcW w:w="20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56.8</w:t>
            </w:r>
          </w:p>
        </w:tc>
        <w:tc>
          <w:tcPr>
            <w:tcW w:w="24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27.9</w:t>
            </w:r>
          </w:p>
        </w:tc>
        <w:tc>
          <w:tcPr>
            <w:tcW w:w="20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129.6</w:t>
            </w:r>
          </w:p>
        </w:tc>
        <w:tc>
          <w:tcPr>
            <w:tcW w:w="200" w:type="dxa"/>
            <w:vAlign w:val="bottom"/>
            <w:tcBorders>
              <w:top w:val="single" w:sz="8" w:color="CCEEFF"/>
            </w:tcBorders>
            <w:shd w:val="clear" w:color="auto" w:fill="CCEEFF"/>
          </w:tcPr>
          <w:p>
            <w:pPr>
              <w:spacing w:after="0"/>
              <w:rPr>
                <w:sz w:val="18"/>
                <w:szCs w:val="18"/>
                <w:color w:val="auto"/>
              </w:rPr>
            </w:pPr>
          </w:p>
        </w:tc>
        <w:tc>
          <w:tcPr>
            <w:tcW w:w="44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21.7</w:t>
            </w:r>
          </w:p>
        </w:tc>
        <w:tc>
          <w:tcPr>
            <w:tcW w:w="100" w:type="dxa"/>
            <w:vAlign w:val="bottom"/>
            <w:tcBorders>
              <w:top w:val="single" w:sz="8" w:color="CCEEFF"/>
            </w:tcBorders>
            <w:shd w:val="clear" w:color="auto" w:fill="CCEEFF"/>
          </w:tcPr>
          <w:p>
            <w:pPr>
              <w:spacing w:after="0"/>
              <w:rPr>
                <w:sz w:val="18"/>
                <w:szCs w:val="18"/>
                <w:color w:val="auto"/>
              </w:rPr>
            </w:pPr>
          </w:p>
        </w:tc>
      </w:tr>
      <w:tr>
        <w:trPr>
          <w:trHeight w:val="213"/>
        </w:trPr>
        <w:tc>
          <w:tcPr>
            <w:tcW w:w="5340" w:type="dxa"/>
            <w:vAlign w:val="bottom"/>
          </w:tcPr>
          <w:p>
            <w:pPr>
              <w:spacing w:after="0"/>
              <w:rPr>
                <w:sz w:val="20"/>
                <w:szCs w:val="20"/>
                <w:color w:val="auto"/>
              </w:rPr>
            </w:pPr>
            <w:r>
              <w:rPr>
                <w:rFonts w:ascii="Arial" w:cs="Arial" w:eastAsia="Arial" w:hAnsi="Arial"/>
                <w:sz w:val="18"/>
                <w:szCs w:val="18"/>
                <w:color w:val="auto"/>
              </w:rPr>
              <w:t>Interest expense, net</w:t>
            </w: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3.8</w:t>
            </w:r>
          </w:p>
        </w:tc>
        <w:tc>
          <w:tcPr>
            <w:tcW w:w="24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5.5</w:t>
            </w:r>
          </w:p>
        </w:tc>
        <w:tc>
          <w:tcPr>
            <w:tcW w:w="260" w:type="dxa"/>
            <w:vAlign w:val="bottom"/>
          </w:tcPr>
          <w:p>
            <w:pPr>
              <w:spacing w:after="0"/>
              <w:rPr>
                <w:sz w:val="18"/>
                <w:szCs w:val="18"/>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13.4</w:t>
            </w:r>
          </w:p>
        </w:tc>
        <w:tc>
          <w:tcPr>
            <w:tcW w:w="440" w:type="dxa"/>
            <w:vAlign w:val="bottom"/>
          </w:tcPr>
          <w:p>
            <w:pPr>
              <w:spacing w:after="0"/>
              <w:rPr>
                <w:sz w:val="18"/>
                <w:szCs w:val="18"/>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19.7</w:t>
            </w:r>
          </w:p>
        </w:tc>
      </w:tr>
      <w:tr>
        <w:trPr>
          <w:trHeight w:val="227"/>
        </w:trPr>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 net</w:t>
            </w:r>
          </w:p>
        </w:tc>
        <w:tc>
          <w:tcPr>
            <w:tcW w:w="2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2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(1.1)</w:t>
            </w:r>
          </w:p>
        </w:tc>
        <w:tc>
          <w:tcPr>
            <w:tcW w:w="420" w:type="dxa"/>
            <w:vAlign w:val="bottom"/>
            <w:shd w:val="clear" w:color="auto" w:fill="CCEEFF"/>
          </w:tcPr>
          <w:p>
            <w:pPr>
              <w:spacing w:after="0"/>
              <w:rPr>
                <w:sz w:val="19"/>
                <w:szCs w:val="19"/>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1.4</w:t>
            </w:r>
          </w:p>
        </w:tc>
        <w:tc>
          <w:tcPr>
            <w:tcW w:w="260" w:type="dxa"/>
            <w:vAlign w:val="bottom"/>
            <w:shd w:val="clear" w:color="auto" w:fill="CCEEFF"/>
          </w:tcPr>
          <w:p>
            <w:pPr>
              <w:spacing w:after="0"/>
              <w:rPr>
                <w:sz w:val="19"/>
                <w:szCs w:val="19"/>
                <w:color w:val="auto"/>
              </w:rPr>
            </w:pPr>
          </w:p>
        </w:tc>
        <w:tc>
          <w:tcPr>
            <w:tcW w:w="11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(3.8)</w:t>
            </w:r>
          </w:p>
        </w:tc>
        <w:tc>
          <w:tcPr>
            <w:tcW w:w="440" w:type="dxa"/>
            <w:vAlign w:val="bottom"/>
            <w:shd w:val="clear" w:color="auto" w:fill="CCEEFF"/>
          </w:tcPr>
          <w:p>
            <w:pPr>
              <w:spacing w:after="0"/>
              <w:rPr>
                <w:sz w:val="19"/>
                <w:szCs w:val="19"/>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0.0</w:t>
            </w:r>
          </w:p>
        </w:tc>
      </w:tr>
      <w:tr>
        <w:trPr>
          <w:trHeight w:val="207"/>
        </w:trPr>
        <w:tc>
          <w:tcPr>
            <w:tcW w:w="5340" w:type="dxa"/>
            <w:vAlign w:val="bottom"/>
          </w:tcPr>
          <w:p>
            <w:pPr>
              <w:spacing w:after="0"/>
              <w:rPr>
                <w:sz w:val="20"/>
                <w:szCs w:val="20"/>
                <w:color w:val="auto"/>
              </w:rPr>
            </w:pPr>
            <w:r>
              <w:rPr>
                <w:rFonts w:ascii="Arial" w:cs="Arial" w:eastAsia="Arial" w:hAnsi="Arial"/>
                <w:sz w:val="18"/>
                <w:szCs w:val="18"/>
                <w:b w:val="1"/>
                <w:bCs w:val="1"/>
                <w:color w:val="auto"/>
              </w:rPr>
              <w:t>Income (loss) before income taxes</w:t>
            </w:r>
          </w:p>
        </w:tc>
        <w:tc>
          <w:tcPr>
            <w:tcW w:w="200" w:type="dxa"/>
            <w:vAlign w:val="bottom"/>
          </w:tcPr>
          <w:p>
            <w:pPr>
              <w:spacing w:after="0"/>
              <w:rPr>
                <w:sz w:val="17"/>
                <w:szCs w:val="17"/>
                <w:color w:val="auto"/>
              </w:rPr>
            </w:pPr>
          </w:p>
        </w:tc>
        <w:tc>
          <w:tcPr>
            <w:tcW w:w="26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54.1</w:t>
            </w:r>
          </w:p>
        </w:tc>
        <w:tc>
          <w:tcPr>
            <w:tcW w:w="240" w:type="dxa"/>
            <w:vAlign w:val="bottom"/>
          </w:tcPr>
          <w:p>
            <w:pPr>
              <w:spacing w:after="0"/>
              <w:rPr>
                <w:sz w:val="17"/>
                <w:szCs w:val="17"/>
                <w:color w:val="auto"/>
              </w:rPr>
            </w:pPr>
          </w:p>
        </w:tc>
        <w:tc>
          <w:tcPr>
            <w:tcW w:w="420" w:type="dxa"/>
            <w:vAlign w:val="bottom"/>
            <w:tcBorders>
              <w:top w:val="single" w:sz="8" w:color="auto"/>
            </w:tcBorders>
          </w:tcPr>
          <w:p>
            <w:pPr>
              <w:spacing w:after="0"/>
              <w:rPr>
                <w:sz w:val="17"/>
                <w:szCs w:val="17"/>
                <w:color w:val="auto"/>
              </w:rPr>
            </w:pPr>
          </w:p>
        </w:tc>
        <w:tc>
          <w:tcPr>
            <w:tcW w:w="8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21.0</w:t>
            </w:r>
          </w:p>
        </w:tc>
        <w:tc>
          <w:tcPr>
            <w:tcW w:w="200" w:type="dxa"/>
            <w:vAlign w:val="bottom"/>
          </w:tcPr>
          <w:p>
            <w:pPr>
              <w:spacing w:after="0"/>
              <w:rPr>
                <w:sz w:val="17"/>
                <w:szCs w:val="17"/>
                <w:color w:val="auto"/>
              </w:rPr>
            </w:pPr>
          </w:p>
        </w:tc>
        <w:tc>
          <w:tcPr>
            <w:tcW w:w="26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120.0</w:t>
            </w:r>
          </w:p>
        </w:tc>
        <w:tc>
          <w:tcPr>
            <w:tcW w:w="200" w:type="dxa"/>
            <w:vAlign w:val="bottom"/>
          </w:tcPr>
          <w:p>
            <w:pPr>
              <w:spacing w:after="0"/>
              <w:rPr>
                <w:sz w:val="17"/>
                <w:szCs w:val="17"/>
                <w:color w:val="auto"/>
              </w:rPr>
            </w:pPr>
          </w:p>
        </w:tc>
        <w:tc>
          <w:tcPr>
            <w:tcW w:w="440" w:type="dxa"/>
            <w:vAlign w:val="bottom"/>
            <w:tcBorders>
              <w:top w:val="single" w:sz="8" w:color="auto"/>
            </w:tcBorders>
          </w:tcPr>
          <w:p>
            <w:pPr>
              <w:spacing w:after="0"/>
              <w:rPr>
                <w:sz w:val="17"/>
                <w:szCs w:val="17"/>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2.0</w:t>
            </w:r>
          </w:p>
        </w:tc>
        <w:tc>
          <w:tcPr>
            <w:tcW w:w="100" w:type="dxa"/>
            <w:vAlign w:val="bottom"/>
          </w:tcPr>
          <w:p>
            <w:pPr>
              <w:spacing w:after="0"/>
              <w:rPr>
                <w:sz w:val="17"/>
                <w:szCs w:val="17"/>
                <w:color w:val="auto"/>
              </w:rPr>
            </w:pPr>
          </w:p>
        </w:tc>
      </w:tr>
      <w:tr>
        <w:trPr>
          <w:trHeight w:val="227"/>
        </w:trPr>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Income tax expense (benefit)</w:t>
            </w:r>
          </w:p>
        </w:tc>
        <w:tc>
          <w:tcPr>
            <w:tcW w:w="2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2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14.1</w:t>
            </w:r>
          </w:p>
        </w:tc>
        <w:tc>
          <w:tcPr>
            <w:tcW w:w="420" w:type="dxa"/>
            <w:vAlign w:val="bottom"/>
            <w:shd w:val="clear" w:color="auto" w:fill="CCEEFF"/>
          </w:tcPr>
          <w:p>
            <w:pPr>
              <w:spacing w:after="0"/>
              <w:rPr>
                <w:sz w:val="19"/>
                <w:szCs w:val="19"/>
                <w:color w:val="auto"/>
              </w:rPr>
            </w:pP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(0.1)</w:t>
            </w:r>
          </w:p>
        </w:tc>
        <w:tc>
          <w:tcPr>
            <w:tcW w:w="260" w:type="dxa"/>
            <w:vAlign w:val="bottom"/>
            <w:shd w:val="clear" w:color="auto" w:fill="CCEEFF"/>
          </w:tcPr>
          <w:p>
            <w:pPr>
              <w:spacing w:after="0"/>
              <w:rPr>
                <w:sz w:val="19"/>
                <w:szCs w:val="19"/>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32.3</w:t>
            </w:r>
          </w:p>
        </w:tc>
        <w:tc>
          <w:tcPr>
            <w:tcW w:w="440" w:type="dxa"/>
            <w:vAlign w:val="bottom"/>
            <w:shd w:val="clear" w:color="auto" w:fill="CCEEFF"/>
          </w:tcPr>
          <w:p>
            <w:pPr>
              <w:spacing w:after="0"/>
              <w:rPr>
                <w:sz w:val="19"/>
                <w:szCs w:val="19"/>
                <w:color w:val="auto"/>
              </w:rPr>
            </w:pP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(0.2)</w:t>
            </w:r>
          </w:p>
        </w:tc>
      </w:tr>
      <w:tr>
        <w:trPr>
          <w:trHeight w:val="260"/>
        </w:trPr>
        <w:tc>
          <w:tcPr>
            <w:tcW w:w="5340" w:type="dxa"/>
            <w:vAlign w:val="bottom"/>
            <w:tcBorders>
              <w:bottom w:val="single" w:sz="8" w:color="CCEEFF"/>
            </w:tcBorders>
          </w:tcPr>
          <w:p>
            <w:pPr>
              <w:spacing w:after="0"/>
              <w:rPr>
                <w:sz w:val="20"/>
                <w:szCs w:val="20"/>
                <w:color w:val="auto"/>
              </w:rPr>
            </w:pPr>
            <w:r>
              <w:rPr>
                <w:rFonts w:ascii="Arial" w:cs="Arial" w:eastAsia="Arial" w:hAnsi="Arial"/>
                <w:sz w:val="18"/>
                <w:szCs w:val="18"/>
                <w:b w:val="1"/>
                <w:bCs w:val="1"/>
                <w:color w:val="auto"/>
              </w:rPr>
              <w:t>Net income (loss)</w:t>
            </w:r>
          </w:p>
        </w:tc>
        <w:tc>
          <w:tcPr>
            <w:tcW w:w="200" w:type="dxa"/>
            <w:vAlign w:val="bottom"/>
            <w:tcBorders>
              <w:bottom w:val="single" w:sz="8" w:color="CCEEFF"/>
            </w:tcBorders>
          </w:tcPr>
          <w:p>
            <w:pPr>
              <w:spacing w:after="0"/>
              <w:rPr>
                <w:sz w:val="22"/>
                <w:szCs w:val="22"/>
                <w:color w:val="auto"/>
              </w:rPr>
            </w:pPr>
          </w:p>
        </w:tc>
        <w:tc>
          <w:tcPr>
            <w:tcW w:w="260" w:type="dxa"/>
            <w:vAlign w:val="bottom"/>
            <w:tcBorders>
              <w:top w:val="single" w:sz="8" w:color="auto"/>
              <w:bottom w:val="single" w:sz="8" w:color="auto"/>
            </w:tcBorders>
          </w:tcPr>
          <w:p>
            <w:pPr>
              <w:jc w:val="right"/>
              <w:ind w:right="108"/>
              <w:spacing w:after="0"/>
              <w:rPr>
                <w:sz w:val="20"/>
                <w:szCs w:val="20"/>
                <w:color w:val="auto"/>
              </w:rPr>
            </w:pPr>
            <w:r>
              <w:rPr>
                <w:rFonts w:ascii="Arial" w:cs="Arial" w:eastAsia="Arial" w:hAnsi="Arial"/>
                <w:sz w:val="14"/>
                <w:szCs w:val="14"/>
                <w:color w:val="auto"/>
                <w:w w:val="76"/>
              </w:rPr>
              <w:t>$</w:t>
            </w: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40.0</w:t>
            </w:r>
          </w:p>
        </w:tc>
        <w:tc>
          <w:tcPr>
            <w:tcW w:w="240" w:type="dxa"/>
            <w:vAlign w:val="bottom"/>
            <w:tcBorders>
              <w:bottom w:val="single" w:sz="8" w:color="CCEEFF"/>
            </w:tcBorders>
          </w:tcPr>
          <w:p>
            <w:pPr>
              <w:spacing w:after="0"/>
              <w:rPr>
                <w:sz w:val="22"/>
                <w:szCs w:val="22"/>
                <w:color w:val="auto"/>
              </w:rPr>
            </w:pPr>
          </w:p>
        </w:tc>
        <w:tc>
          <w:tcPr>
            <w:tcW w:w="420" w:type="dxa"/>
            <w:vAlign w:val="bottom"/>
            <w:tcBorders>
              <w:top w:val="single" w:sz="8" w:color="auto"/>
              <w:bottom w:val="single" w:sz="8" w:color="auto"/>
            </w:tcBorders>
          </w:tcPr>
          <w:p>
            <w:pPr>
              <w:jc w:val="right"/>
              <w:ind w:right="231"/>
              <w:spacing w:after="0"/>
              <w:rPr>
                <w:sz w:val="20"/>
                <w:szCs w:val="20"/>
                <w:color w:val="auto"/>
              </w:rPr>
            </w:pPr>
            <w:r>
              <w:rPr>
                <w:rFonts w:ascii="Arial" w:cs="Arial" w:eastAsia="Arial" w:hAnsi="Arial"/>
                <w:sz w:val="18"/>
                <w:szCs w:val="18"/>
                <w:color w:val="auto"/>
                <w:w w:val="79"/>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21.1</w:t>
            </w:r>
          </w:p>
        </w:tc>
        <w:tc>
          <w:tcPr>
            <w:tcW w:w="200" w:type="dxa"/>
            <w:vAlign w:val="bottom"/>
            <w:tcBorders>
              <w:bottom w:val="single" w:sz="8" w:color="CCEEFF"/>
            </w:tcBorders>
          </w:tcPr>
          <w:p>
            <w:pPr>
              <w:spacing w:after="0"/>
              <w:rPr>
                <w:sz w:val="22"/>
                <w:szCs w:val="22"/>
                <w:color w:val="auto"/>
              </w:rPr>
            </w:pPr>
          </w:p>
        </w:tc>
        <w:tc>
          <w:tcPr>
            <w:tcW w:w="260" w:type="dxa"/>
            <w:vAlign w:val="bottom"/>
            <w:tcBorders>
              <w:top w:val="single" w:sz="8" w:color="auto"/>
              <w:bottom w:val="single" w:sz="8" w:color="auto"/>
            </w:tcBorders>
          </w:tcPr>
          <w:p>
            <w:pPr>
              <w:jc w:val="right"/>
              <w:ind w:right="71"/>
              <w:spacing w:after="0"/>
              <w:rPr>
                <w:sz w:val="20"/>
                <w:szCs w:val="20"/>
                <w:color w:val="auto"/>
              </w:rPr>
            </w:pPr>
            <w:r>
              <w:rPr>
                <w:rFonts w:ascii="Arial" w:cs="Arial" w:eastAsia="Arial" w:hAnsi="Arial"/>
                <w:sz w:val="18"/>
                <w:szCs w:val="18"/>
                <w:color w:val="auto"/>
                <w:w w:val="79"/>
              </w:rPr>
              <w:t>$</w:t>
            </w: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87.7</w:t>
            </w:r>
          </w:p>
        </w:tc>
        <w:tc>
          <w:tcPr>
            <w:tcW w:w="200" w:type="dxa"/>
            <w:vAlign w:val="bottom"/>
            <w:tcBorders>
              <w:bottom w:val="single" w:sz="8" w:color="CCEEFF"/>
            </w:tcBorders>
          </w:tcPr>
          <w:p>
            <w:pPr>
              <w:spacing w:after="0"/>
              <w:rPr>
                <w:sz w:val="22"/>
                <w:szCs w:val="22"/>
                <w:color w:val="auto"/>
              </w:rPr>
            </w:pPr>
          </w:p>
        </w:tc>
        <w:tc>
          <w:tcPr>
            <w:tcW w:w="440" w:type="dxa"/>
            <w:vAlign w:val="bottom"/>
            <w:tcBorders>
              <w:top w:val="single" w:sz="8" w:color="auto"/>
              <w:bottom w:val="single" w:sz="8" w:color="auto"/>
            </w:tcBorders>
          </w:tcPr>
          <w:p>
            <w:pPr>
              <w:jc w:val="right"/>
              <w:ind w:right="251"/>
              <w:spacing w:after="0"/>
              <w:rPr>
                <w:sz w:val="20"/>
                <w:szCs w:val="20"/>
                <w:color w:val="auto"/>
              </w:rPr>
            </w:pPr>
            <w:r>
              <w:rPr>
                <w:rFonts w:ascii="Arial" w:cs="Arial" w:eastAsia="Arial" w:hAnsi="Arial"/>
                <w:sz w:val="18"/>
                <w:szCs w:val="18"/>
                <w:color w:val="auto"/>
                <w:w w:val="79"/>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w:t>
            </w:r>
          </w:p>
        </w:tc>
        <w:tc>
          <w:tcPr>
            <w:tcW w:w="100" w:type="dxa"/>
            <w:vAlign w:val="bottom"/>
            <w:tcBorders>
              <w:bottom w:val="single" w:sz="8" w:color="CCEEFF"/>
            </w:tcBorders>
          </w:tcPr>
          <w:p>
            <w:pPr>
              <w:spacing w:after="0"/>
              <w:rPr>
                <w:sz w:val="22"/>
                <w:szCs w:val="22"/>
                <w:color w:val="auto"/>
              </w:rPr>
            </w:pPr>
          </w:p>
        </w:tc>
      </w:tr>
      <w:tr>
        <w:trPr>
          <w:trHeight w:val="194"/>
        </w:trPr>
        <w:tc>
          <w:tcPr>
            <w:tcW w:w="53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8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r>
      <w:tr>
        <w:trPr>
          <w:trHeight w:val="213"/>
        </w:trPr>
        <w:tc>
          <w:tcPr>
            <w:tcW w:w="5340" w:type="dxa"/>
            <w:vAlign w:val="bottom"/>
          </w:tcPr>
          <w:p>
            <w:pPr>
              <w:spacing w:after="0"/>
              <w:rPr>
                <w:sz w:val="20"/>
                <w:szCs w:val="20"/>
                <w:color w:val="auto"/>
              </w:rPr>
            </w:pPr>
            <w:r>
              <w:rPr>
                <w:rFonts w:ascii="Arial" w:cs="Arial" w:eastAsia="Arial" w:hAnsi="Arial"/>
                <w:sz w:val="18"/>
                <w:szCs w:val="18"/>
                <w:color w:val="auto"/>
              </w:rPr>
              <w:t>Earnings (loss) per share:</w:t>
            </w: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53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Basic</w:t>
            </w:r>
          </w:p>
        </w:tc>
        <w:tc>
          <w:tcPr>
            <w:tcW w:w="460" w:type="dxa"/>
            <w:vAlign w:val="bottom"/>
            <w:gridSpan w:val="2"/>
            <w:shd w:val="clear" w:color="auto" w:fill="CCEEFF"/>
          </w:tcPr>
          <w:p>
            <w:pPr>
              <w:jc w:val="right"/>
              <w:ind w:right="108"/>
              <w:spacing w:after="0"/>
              <w:rPr>
                <w:sz w:val="20"/>
                <w:szCs w:val="20"/>
                <w:color w:val="auto"/>
              </w:rPr>
            </w:pPr>
            <w:r>
              <w:rPr>
                <w:rFonts w:ascii="Arial" w:cs="Arial" w:eastAsia="Arial" w:hAnsi="Arial"/>
                <w:sz w:val="18"/>
                <w:szCs w:val="18"/>
                <w:color w:val="auto"/>
              </w:rPr>
              <w:t>$</w:t>
            </w:r>
          </w:p>
        </w:tc>
        <w:tc>
          <w:tcPr>
            <w:tcW w:w="12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2.69</w:t>
            </w:r>
          </w:p>
        </w:tc>
        <w:tc>
          <w:tcPr>
            <w:tcW w:w="420" w:type="dxa"/>
            <w:vAlign w:val="bottom"/>
            <w:shd w:val="clear" w:color="auto" w:fill="CCEEFF"/>
          </w:tcPr>
          <w:p>
            <w:pPr>
              <w:jc w:val="right"/>
              <w:ind w:right="231"/>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1.33</w:t>
            </w:r>
          </w:p>
        </w:tc>
        <w:tc>
          <w:tcPr>
            <w:tcW w:w="260" w:type="dxa"/>
            <w:vAlign w:val="bottom"/>
            <w:shd w:val="clear" w:color="auto" w:fill="CCEEFF"/>
          </w:tcPr>
          <w:p>
            <w:pPr>
              <w:jc w:val="right"/>
              <w:ind w:right="71"/>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5.68</w:t>
            </w:r>
          </w:p>
        </w:tc>
        <w:tc>
          <w:tcPr>
            <w:tcW w:w="440" w:type="dxa"/>
            <w:vAlign w:val="bottom"/>
            <w:shd w:val="clear" w:color="auto" w:fill="CCEEFF"/>
          </w:tcPr>
          <w:p>
            <w:pPr>
              <w:jc w:val="right"/>
              <w:ind w:right="251"/>
              <w:spacing w:after="0"/>
              <w:rPr>
                <w:sz w:val="20"/>
                <w:szCs w:val="20"/>
                <w:color w:val="auto"/>
              </w:rPr>
            </w:pPr>
            <w:r>
              <w:rPr>
                <w:rFonts w:ascii="Arial" w:cs="Arial" w:eastAsia="Arial" w:hAnsi="Arial"/>
                <w:sz w:val="18"/>
                <w:szCs w:val="18"/>
                <w:color w:val="auto"/>
                <w:w w:val="79"/>
              </w:rPr>
              <w:t>$</w:t>
            </w: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0.14</w:t>
            </w:r>
          </w:p>
        </w:tc>
      </w:tr>
      <w:tr>
        <w:trPr>
          <w:trHeight w:val="213"/>
        </w:trPr>
        <w:tc>
          <w:tcPr>
            <w:tcW w:w="5340" w:type="dxa"/>
            <w:vAlign w:val="bottom"/>
          </w:tcPr>
          <w:p>
            <w:pPr>
              <w:ind w:left="160"/>
              <w:spacing w:after="0"/>
              <w:rPr>
                <w:sz w:val="20"/>
                <w:szCs w:val="20"/>
                <w:color w:val="auto"/>
              </w:rPr>
            </w:pPr>
            <w:r>
              <w:rPr>
                <w:rFonts w:ascii="Arial" w:cs="Arial" w:eastAsia="Arial" w:hAnsi="Arial"/>
                <w:sz w:val="18"/>
                <w:szCs w:val="18"/>
                <w:color w:val="auto"/>
              </w:rPr>
              <w:t>Diluted</w:t>
            </w:r>
          </w:p>
        </w:tc>
        <w:tc>
          <w:tcPr>
            <w:tcW w:w="460" w:type="dxa"/>
            <w:vAlign w:val="bottom"/>
            <w:gridSpan w:val="2"/>
          </w:tcPr>
          <w:p>
            <w:pPr>
              <w:jc w:val="right"/>
              <w:ind w:right="108"/>
              <w:spacing w:after="0"/>
              <w:rPr>
                <w:sz w:val="20"/>
                <w:szCs w:val="20"/>
                <w:color w:val="auto"/>
              </w:rPr>
            </w:pPr>
            <w:r>
              <w:rPr>
                <w:rFonts w:ascii="Arial" w:cs="Arial" w:eastAsia="Arial" w:hAnsi="Arial"/>
                <w:sz w:val="18"/>
                <w:szCs w:val="18"/>
                <w:color w:val="auto"/>
              </w:rPr>
              <w:t>$</w:t>
            </w:r>
          </w:p>
        </w:tc>
        <w:tc>
          <w:tcPr>
            <w:tcW w:w="1220" w:type="dxa"/>
            <w:vAlign w:val="bottom"/>
            <w:gridSpan w:val="2"/>
          </w:tcPr>
          <w:p>
            <w:pPr>
              <w:jc w:val="right"/>
              <w:ind w:right="240"/>
              <w:spacing w:after="0"/>
              <w:rPr>
                <w:sz w:val="20"/>
                <w:szCs w:val="20"/>
                <w:color w:val="auto"/>
              </w:rPr>
            </w:pPr>
            <w:r>
              <w:rPr>
                <w:rFonts w:ascii="Arial" w:cs="Arial" w:eastAsia="Arial" w:hAnsi="Arial"/>
                <w:sz w:val="18"/>
                <w:szCs w:val="18"/>
                <w:color w:val="auto"/>
              </w:rPr>
              <w:t>2.54</w:t>
            </w:r>
          </w:p>
        </w:tc>
        <w:tc>
          <w:tcPr>
            <w:tcW w:w="420" w:type="dxa"/>
            <w:vAlign w:val="bottom"/>
          </w:tcPr>
          <w:p>
            <w:pPr>
              <w:jc w:val="right"/>
              <w:ind w:right="231"/>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1.30</w:t>
            </w:r>
          </w:p>
        </w:tc>
        <w:tc>
          <w:tcPr>
            <w:tcW w:w="260" w:type="dxa"/>
            <w:vAlign w:val="bottom"/>
          </w:tcPr>
          <w:p>
            <w:pPr>
              <w:jc w:val="right"/>
              <w:ind w:right="71"/>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5.40</w:t>
            </w:r>
          </w:p>
        </w:tc>
        <w:tc>
          <w:tcPr>
            <w:tcW w:w="440" w:type="dxa"/>
            <w:vAlign w:val="bottom"/>
          </w:tcPr>
          <w:p>
            <w:pPr>
              <w:jc w:val="right"/>
              <w:ind w:right="251"/>
              <w:spacing w:after="0"/>
              <w:rPr>
                <w:sz w:val="20"/>
                <w:szCs w:val="20"/>
                <w:color w:val="auto"/>
              </w:rPr>
            </w:pPr>
            <w:r>
              <w:rPr>
                <w:rFonts w:ascii="Arial" w:cs="Arial" w:eastAsia="Arial" w:hAnsi="Arial"/>
                <w:sz w:val="18"/>
                <w:szCs w:val="18"/>
                <w:color w:val="auto"/>
                <w:w w:val="79"/>
              </w:rPr>
              <w:t>$</w:t>
            </w: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0.14</w:t>
            </w:r>
          </w:p>
        </w:tc>
      </w:tr>
      <w:tr>
        <w:trPr>
          <w:trHeight w:val="213"/>
        </w:trPr>
        <w:tc>
          <w:tcPr>
            <w:tcW w:w="5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3"/>
        </w:trPr>
        <w:tc>
          <w:tcPr>
            <w:tcW w:w="5340" w:type="dxa"/>
            <w:vAlign w:val="bottom"/>
          </w:tcPr>
          <w:p>
            <w:pPr>
              <w:spacing w:after="0"/>
              <w:rPr>
                <w:sz w:val="20"/>
                <w:szCs w:val="20"/>
                <w:color w:val="auto"/>
              </w:rPr>
            </w:pPr>
            <w:r>
              <w:rPr>
                <w:rFonts w:ascii="Arial" w:cs="Arial" w:eastAsia="Arial" w:hAnsi="Arial"/>
                <w:sz w:val="18"/>
                <w:szCs w:val="18"/>
                <w:color w:val="auto"/>
              </w:rPr>
              <w:t>Weighted-average shares outstanding:</w:t>
            </w: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53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Basic</w:t>
            </w: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14.86</w:t>
            </w:r>
          </w:p>
        </w:tc>
        <w:tc>
          <w:tcPr>
            <w:tcW w:w="24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15.89</w:t>
            </w: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15.44</w:t>
            </w:r>
          </w:p>
        </w:tc>
        <w:tc>
          <w:tcPr>
            <w:tcW w:w="44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15.99</w:t>
            </w:r>
          </w:p>
        </w:tc>
      </w:tr>
      <w:tr>
        <w:trPr>
          <w:trHeight w:val="226"/>
        </w:trPr>
        <w:tc>
          <w:tcPr>
            <w:tcW w:w="5340" w:type="dxa"/>
            <w:vAlign w:val="bottom"/>
          </w:tcPr>
          <w:p>
            <w:pPr>
              <w:ind w:left="160"/>
              <w:spacing w:after="0"/>
              <w:rPr>
                <w:sz w:val="20"/>
                <w:szCs w:val="20"/>
                <w:color w:val="auto"/>
              </w:rPr>
            </w:pPr>
            <w:r>
              <w:rPr>
                <w:rFonts w:ascii="Arial" w:cs="Arial" w:eastAsia="Arial" w:hAnsi="Arial"/>
                <w:sz w:val="18"/>
                <w:szCs w:val="18"/>
                <w:color w:val="auto"/>
              </w:rPr>
              <w:t>Diluted</w:t>
            </w: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15.76</w:t>
            </w:r>
          </w:p>
        </w:tc>
        <w:tc>
          <w:tcPr>
            <w:tcW w:w="24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16.21</w:t>
            </w:r>
          </w:p>
        </w:tc>
        <w:tc>
          <w:tcPr>
            <w:tcW w:w="260" w:type="dxa"/>
            <w:vAlign w:val="bottom"/>
          </w:tcPr>
          <w:p>
            <w:pPr>
              <w:spacing w:after="0"/>
              <w:rPr>
                <w:sz w:val="19"/>
                <w:szCs w:val="19"/>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16.24</w:t>
            </w:r>
          </w:p>
        </w:tc>
        <w:tc>
          <w:tcPr>
            <w:tcW w:w="440" w:type="dxa"/>
            <w:vAlign w:val="bottom"/>
          </w:tcPr>
          <w:p>
            <w:pPr>
              <w:spacing w:after="0"/>
              <w:rPr>
                <w:sz w:val="19"/>
                <w:szCs w:val="19"/>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16.18</w:t>
            </w:r>
          </w:p>
        </w:tc>
      </w:tr>
      <w:tr>
        <w:trPr>
          <w:trHeight w:val="654"/>
        </w:trPr>
        <w:tc>
          <w:tcPr>
            <w:tcW w:w="53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7" w:name="page8"/>
    <w:bookmarkEnd w:id="7"/>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BALANCE SHEETS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(dollars in millions, except par value, unaudited)</w:t>
      </w: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231"/>
        </w:trPr>
        <w:tc>
          <w:tcPr>
            <w:tcW w:w="7780" w:type="dxa"/>
            <w:vAlign w:val="bottom"/>
          </w:tcPr>
          <w:p>
            <w:pPr>
              <w:spacing w:after="0"/>
              <w:rPr>
                <w:sz w:val="20"/>
                <w:szCs w:val="20"/>
                <w:color w:val="auto"/>
              </w:rPr>
            </w:pPr>
          </w:p>
        </w:tc>
        <w:tc>
          <w:tcPr>
            <w:tcW w:w="1800" w:type="dxa"/>
            <w:vAlign w:val="bottom"/>
            <w:gridSpan w:val="3"/>
          </w:tcPr>
          <w:p>
            <w:pPr>
              <w:jc w:val="right"/>
              <w:ind w:right="280"/>
              <w:spacing w:after="0"/>
              <w:rPr>
                <w:sz w:val="20"/>
                <w:szCs w:val="20"/>
                <w:color w:val="auto"/>
              </w:rPr>
            </w:pPr>
            <w:r>
              <w:rPr>
                <w:rFonts w:ascii="Arial" w:cs="Arial" w:eastAsia="Arial" w:hAnsi="Arial"/>
                <w:sz w:val="18"/>
                <w:szCs w:val="18"/>
                <w:b w:val="1"/>
                <w:bCs w:val="1"/>
                <w:color w:val="auto"/>
                <w:w w:val="89"/>
              </w:rPr>
              <w:t>September 30, 2021</w:t>
            </w:r>
          </w:p>
        </w:tc>
        <w:tc>
          <w:tcPr>
            <w:tcW w:w="20" w:type="dxa"/>
            <w:vAlign w:val="bottom"/>
          </w:tcPr>
          <w:p>
            <w:pPr>
              <w:spacing w:after="0"/>
              <w:rPr>
                <w:sz w:val="20"/>
                <w:szCs w:val="20"/>
                <w:color w:val="auto"/>
              </w:rPr>
            </w:pPr>
          </w:p>
        </w:tc>
        <w:tc>
          <w:tcPr>
            <w:tcW w:w="1640" w:type="dxa"/>
            <w:vAlign w:val="bottom"/>
            <w:gridSpan w:val="4"/>
          </w:tcPr>
          <w:p>
            <w:pPr>
              <w:jc w:val="right"/>
              <w:ind w:right="160"/>
              <w:spacing w:after="0"/>
              <w:rPr>
                <w:sz w:val="20"/>
                <w:szCs w:val="20"/>
                <w:color w:val="auto"/>
              </w:rPr>
            </w:pPr>
            <w:r>
              <w:rPr>
                <w:rFonts w:ascii="Arial" w:cs="Arial" w:eastAsia="Arial" w:hAnsi="Arial"/>
                <w:sz w:val="18"/>
                <w:szCs w:val="18"/>
                <w:b w:val="1"/>
                <w:bCs w:val="1"/>
                <w:color w:val="auto"/>
                <w:w w:val="90"/>
              </w:rPr>
              <w:t>December 31, 2020</w:t>
            </w:r>
          </w:p>
        </w:tc>
        <w:tc>
          <w:tcPr>
            <w:tcW w:w="0" w:type="dxa"/>
            <w:vAlign w:val="bottom"/>
          </w:tcPr>
          <w:p>
            <w:pPr>
              <w:spacing w:after="0"/>
              <w:rPr>
                <w:sz w:val="1"/>
                <w:szCs w:val="1"/>
                <w:color w:val="auto"/>
              </w:rPr>
            </w:pPr>
          </w:p>
        </w:tc>
      </w:tr>
      <w:tr>
        <w:trPr>
          <w:trHeight w:val="208"/>
        </w:trPr>
        <w:tc>
          <w:tcPr>
            <w:tcW w:w="77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560" w:type="dxa"/>
            <w:vAlign w:val="bottom"/>
            <w:tcBorders>
              <w:top w:val="single" w:sz="8" w:color="auto"/>
            </w:tcBorders>
            <w:shd w:val="clear" w:color="auto" w:fill="CCEEFF"/>
          </w:tcPr>
          <w:p>
            <w:pPr>
              <w:spacing w:after="0"/>
              <w:rPr>
                <w:sz w:val="18"/>
                <w:szCs w:val="18"/>
                <w:color w:val="auto"/>
              </w:rPr>
            </w:pPr>
          </w:p>
        </w:tc>
        <w:tc>
          <w:tcPr>
            <w:tcW w:w="102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540" w:type="dxa"/>
            <w:vAlign w:val="bottom"/>
            <w:tcBorders>
              <w:top w:val="single" w:sz="8" w:color="auto"/>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Current assets:</w:t>
            </w:r>
          </w:p>
        </w:tc>
        <w:tc>
          <w:tcPr>
            <w:tcW w:w="56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560" w:type="dxa"/>
            <w:vAlign w:val="bottom"/>
            <w:shd w:val="clear" w:color="auto" w:fill="CCEEFF"/>
          </w:tcPr>
          <w:p>
            <w:pPr>
              <w:jc w:val="right"/>
              <w:ind w:right="404"/>
              <w:spacing w:after="0"/>
              <w:rPr>
                <w:sz w:val="20"/>
                <w:szCs w:val="20"/>
                <w:color w:val="auto"/>
              </w:rPr>
            </w:pPr>
            <w:r>
              <w:rPr>
                <w:rFonts w:ascii="Arial" w:cs="Arial" w:eastAsia="Arial" w:hAnsi="Arial"/>
                <w:sz w:val="14"/>
                <w:szCs w:val="14"/>
                <w:color w:val="auto"/>
                <w:w w:val="76"/>
              </w:rPr>
              <w:t>$</w:t>
            </w:r>
          </w:p>
        </w:tc>
        <w:tc>
          <w:tcPr>
            <w:tcW w:w="12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43.4</w:t>
            </w:r>
          </w:p>
        </w:tc>
        <w:tc>
          <w:tcPr>
            <w:tcW w:w="560" w:type="dxa"/>
            <w:vAlign w:val="bottom"/>
            <w:gridSpan w:val="2"/>
            <w:shd w:val="clear" w:color="auto" w:fill="CCEEFF"/>
          </w:tcPr>
          <w:p>
            <w:pPr>
              <w:jc w:val="right"/>
              <w:ind w:right="417"/>
              <w:spacing w:after="0"/>
              <w:rPr>
                <w:sz w:val="20"/>
                <w:szCs w:val="20"/>
                <w:color w:val="auto"/>
              </w:rPr>
            </w:pPr>
            <w:r>
              <w:rPr>
                <w:rFonts w:ascii="Arial" w:cs="Arial" w:eastAsia="Arial" w:hAnsi="Arial"/>
                <w:sz w:val="14"/>
                <w:szCs w:val="14"/>
                <w:color w:val="auto"/>
                <w:w w:val="76"/>
              </w:rPr>
              <w:t>$</w:t>
            </w:r>
          </w:p>
        </w:tc>
        <w:tc>
          <w:tcPr>
            <w:tcW w:w="10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120.6</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Accounts receivable, less allowances of $37.8 and $41.6, respectively</w:t>
            </w:r>
          </w:p>
        </w:tc>
        <w:tc>
          <w:tcPr>
            <w:tcW w:w="560" w:type="dxa"/>
            <w:vAlign w:val="bottom"/>
          </w:tcPr>
          <w:p>
            <w:pPr>
              <w:spacing w:after="0"/>
              <w:rPr>
                <w:sz w:val="18"/>
                <w:szCs w:val="18"/>
                <w:color w:val="auto"/>
              </w:rPr>
            </w:pPr>
          </w:p>
        </w:tc>
        <w:tc>
          <w:tcPr>
            <w:tcW w:w="1240" w:type="dxa"/>
            <w:vAlign w:val="bottom"/>
            <w:gridSpan w:val="2"/>
          </w:tcPr>
          <w:p>
            <w:pPr>
              <w:jc w:val="right"/>
              <w:ind w:right="220"/>
              <w:spacing w:after="0"/>
              <w:rPr>
                <w:sz w:val="20"/>
                <w:szCs w:val="20"/>
                <w:color w:val="auto"/>
              </w:rPr>
            </w:pPr>
            <w:r>
              <w:rPr>
                <w:rFonts w:ascii="Arial" w:cs="Arial" w:eastAsia="Arial" w:hAnsi="Arial"/>
                <w:sz w:val="18"/>
                <w:szCs w:val="18"/>
                <w:color w:val="auto"/>
              </w:rPr>
              <w:t>958.2</w:t>
            </w:r>
          </w:p>
        </w:tc>
        <w:tc>
          <w:tcPr>
            <w:tcW w:w="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020" w:type="dxa"/>
            <w:vAlign w:val="bottom"/>
            <w:gridSpan w:val="2"/>
          </w:tcPr>
          <w:p>
            <w:pPr>
              <w:jc w:val="right"/>
              <w:ind w:right="20"/>
              <w:spacing w:after="0"/>
              <w:rPr>
                <w:sz w:val="20"/>
                <w:szCs w:val="20"/>
                <w:color w:val="auto"/>
              </w:rPr>
            </w:pPr>
            <w:r>
              <w:rPr>
                <w:rFonts w:ascii="Arial" w:cs="Arial" w:eastAsia="Arial" w:hAnsi="Arial"/>
                <w:sz w:val="18"/>
                <w:szCs w:val="18"/>
                <w:color w:val="auto"/>
              </w:rPr>
              <w:t>849.5</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Inventories</w:t>
            </w:r>
          </w:p>
        </w:tc>
        <w:tc>
          <w:tcPr>
            <w:tcW w:w="56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482.7</w:t>
            </w:r>
          </w:p>
        </w:tc>
        <w:tc>
          <w:tcPr>
            <w:tcW w:w="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465.4</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7"/>
        </w:trPr>
        <w:tc>
          <w:tcPr>
            <w:tcW w:w="7780" w:type="dxa"/>
            <w:vAlign w:val="bottom"/>
          </w:tcPr>
          <w:p>
            <w:pPr>
              <w:spacing w:after="0"/>
              <w:rPr>
                <w:sz w:val="20"/>
                <w:szCs w:val="20"/>
                <w:color w:val="auto"/>
              </w:rPr>
            </w:pPr>
            <w:r>
              <w:rPr>
                <w:rFonts w:ascii="Arial" w:cs="Arial" w:eastAsia="Arial" w:hAnsi="Arial"/>
                <w:sz w:val="18"/>
                <w:szCs w:val="18"/>
                <w:color w:val="auto"/>
              </w:rPr>
              <w:t>Other current assets</w:t>
            </w:r>
          </w:p>
        </w:tc>
        <w:tc>
          <w:tcPr>
            <w:tcW w:w="560" w:type="dxa"/>
            <w:vAlign w:val="bottom"/>
          </w:tcPr>
          <w:p>
            <w:pPr>
              <w:spacing w:after="0"/>
              <w:rPr>
                <w:sz w:val="19"/>
                <w:szCs w:val="19"/>
                <w:color w:val="auto"/>
              </w:rPr>
            </w:pPr>
          </w:p>
        </w:tc>
        <w:tc>
          <w:tcPr>
            <w:tcW w:w="1240" w:type="dxa"/>
            <w:vAlign w:val="bottom"/>
            <w:gridSpan w:val="2"/>
          </w:tcPr>
          <w:p>
            <w:pPr>
              <w:jc w:val="right"/>
              <w:ind w:right="220"/>
              <w:spacing w:after="0"/>
              <w:rPr>
                <w:sz w:val="20"/>
                <w:szCs w:val="20"/>
                <w:color w:val="auto"/>
              </w:rPr>
            </w:pPr>
            <w:r>
              <w:rPr>
                <w:rFonts w:ascii="Arial" w:cs="Arial" w:eastAsia="Arial" w:hAnsi="Arial"/>
                <w:sz w:val="18"/>
                <w:szCs w:val="18"/>
                <w:color w:val="auto"/>
              </w:rPr>
              <w:t>128.2</w:t>
            </w: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020" w:type="dxa"/>
            <w:vAlign w:val="bottom"/>
            <w:gridSpan w:val="2"/>
          </w:tcPr>
          <w:p>
            <w:pPr>
              <w:jc w:val="right"/>
              <w:ind w:right="20"/>
              <w:spacing w:after="0"/>
              <w:rPr>
                <w:sz w:val="20"/>
                <w:szCs w:val="20"/>
                <w:color w:val="auto"/>
              </w:rPr>
            </w:pPr>
            <w:r>
              <w:rPr>
                <w:rFonts w:ascii="Arial" w:cs="Arial" w:eastAsia="Arial" w:hAnsi="Arial"/>
                <w:sz w:val="18"/>
                <w:szCs w:val="18"/>
                <w:color w:val="auto"/>
              </w:rPr>
              <w:t>119.5</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7"/>
        </w:trPr>
        <w:tc>
          <w:tcPr>
            <w:tcW w:w="77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Total current assets</w:t>
            </w:r>
          </w:p>
        </w:tc>
        <w:tc>
          <w:tcPr>
            <w:tcW w:w="560" w:type="dxa"/>
            <w:vAlign w:val="bottom"/>
            <w:tcBorders>
              <w:top w:val="single" w:sz="8" w:color="auto"/>
            </w:tcBorders>
            <w:shd w:val="clear" w:color="auto" w:fill="CCEEFF"/>
          </w:tcPr>
          <w:p>
            <w:pPr>
              <w:spacing w:after="0"/>
              <w:rPr>
                <w:sz w:val="18"/>
                <w:szCs w:val="18"/>
                <w:color w:val="auto"/>
              </w:rPr>
            </w:pPr>
          </w:p>
        </w:tc>
        <w:tc>
          <w:tcPr>
            <w:tcW w:w="10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1,612.5</w:t>
            </w:r>
          </w:p>
        </w:tc>
        <w:tc>
          <w:tcPr>
            <w:tcW w:w="22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540" w:type="dxa"/>
            <w:vAlign w:val="bottom"/>
            <w:tcBorders>
              <w:top w:val="single" w:sz="8" w:color="auto"/>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1,555.0</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99"/>
        </w:trPr>
        <w:tc>
          <w:tcPr>
            <w:tcW w:w="7780" w:type="dxa"/>
            <w:vAlign w:val="bottom"/>
          </w:tcPr>
          <w:p>
            <w:pPr>
              <w:spacing w:after="0" w:line="199" w:lineRule="exact"/>
              <w:rPr>
                <w:sz w:val="20"/>
                <w:szCs w:val="20"/>
                <w:color w:val="auto"/>
              </w:rPr>
            </w:pPr>
            <w:r>
              <w:rPr>
                <w:rFonts w:ascii="Arial" w:cs="Arial" w:eastAsia="Arial" w:hAnsi="Arial"/>
                <w:sz w:val="18"/>
                <w:szCs w:val="18"/>
                <w:color w:val="auto"/>
                <w:w w:val="99"/>
              </w:rPr>
              <w:t>Property and equipment (net of accumulated depreciation and amortization of $323.6 and $375.9,</w:t>
            </w:r>
          </w:p>
        </w:tc>
        <w:tc>
          <w:tcPr>
            <w:tcW w:w="56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7"/>
        </w:trPr>
        <w:tc>
          <w:tcPr>
            <w:tcW w:w="7780" w:type="dxa"/>
            <w:vAlign w:val="bottom"/>
          </w:tcPr>
          <w:p>
            <w:pPr>
              <w:spacing w:after="0"/>
              <w:rPr>
                <w:sz w:val="20"/>
                <w:szCs w:val="20"/>
                <w:color w:val="auto"/>
              </w:rPr>
            </w:pPr>
            <w:r>
              <w:rPr>
                <w:rFonts w:ascii="Arial" w:cs="Arial" w:eastAsia="Arial" w:hAnsi="Arial"/>
                <w:sz w:val="18"/>
                <w:szCs w:val="18"/>
                <w:color w:val="auto"/>
              </w:rPr>
              <w:t>respectively)</w:t>
            </w:r>
          </w:p>
        </w:tc>
        <w:tc>
          <w:tcPr>
            <w:tcW w:w="560" w:type="dxa"/>
            <w:vAlign w:val="bottom"/>
          </w:tcPr>
          <w:p>
            <w:pPr>
              <w:spacing w:after="0"/>
              <w:rPr>
                <w:sz w:val="19"/>
                <w:szCs w:val="19"/>
                <w:color w:val="auto"/>
              </w:rPr>
            </w:pPr>
          </w:p>
        </w:tc>
        <w:tc>
          <w:tcPr>
            <w:tcW w:w="1240" w:type="dxa"/>
            <w:vAlign w:val="bottom"/>
            <w:gridSpan w:val="2"/>
          </w:tcPr>
          <w:p>
            <w:pPr>
              <w:jc w:val="right"/>
              <w:ind w:right="220"/>
              <w:spacing w:after="0"/>
              <w:rPr>
                <w:sz w:val="20"/>
                <w:szCs w:val="20"/>
                <w:color w:val="auto"/>
              </w:rPr>
            </w:pPr>
            <w:r>
              <w:rPr>
                <w:rFonts w:ascii="Arial" w:cs="Arial" w:eastAsia="Arial" w:hAnsi="Arial"/>
                <w:sz w:val="18"/>
                <w:szCs w:val="18"/>
                <w:color w:val="auto"/>
              </w:rPr>
              <w:t>164.9</w:t>
            </w: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020" w:type="dxa"/>
            <w:vAlign w:val="bottom"/>
            <w:gridSpan w:val="2"/>
          </w:tcPr>
          <w:p>
            <w:pPr>
              <w:jc w:val="right"/>
              <w:ind w:right="20"/>
              <w:spacing w:after="0"/>
              <w:rPr>
                <w:sz w:val="20"/>
                <w:szCs w:val="20"/>
                <w:color w:val="auto"/>
              </w:rPr>
            </w:pPr>
            <w:r>
              <w:rPr>
                <w:rFonts w:ascii="Arial" w:cs="Arial" w:eastAsia="Arial" w:hAnsi="Arial"/>
                <w:sz w:val="18"/>
                <w:szCs w:val="18"/>
                <w:color w:val="auto"/>
              </w:rPr>
              <w:t>194.7</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4"/>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Goodwill</w:t>
            </w:r>
          </w:p>
        </w:tc>
        <w:tc>
          <w:tcPr>
            <w:tcW w:w="56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99.6</w:t>
            </w:r>
          </w:p>
        </w:tc>
        <w:tc>
          <w:tcPr>
            <w:tcW w:w="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99.6</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Other intangibles, net</w:t>
            </w:r>
          </w:p>
        </w:tc>
        <w:tc>
          <w:tcPr>
            <w:tcW w:w="560" w:type="dxa"/>
            <w:vAlign w:val="bottom"/>
          </w:tcPr>
          <w:p>
            <w:pPr>
              <w:spacing w:after="0"/>
              <w:rPr>
                <w:sz w:val="18"/>
                <w:szCs w:val="18"/>
                <w:color w:val="auto"/>
              </w:rPr>
            </w:pPr>
          </w:p>
        </w:tc>
        <w:tc>
          <w:tcPr>
            <w:tcW w:w="1240" w:type="dxa"/>
            <w:vAlign w:val="bottom"/>
            <w:gridSpan w:val="2"/>
          </w:tcPr>
          <w:p>
            <w:pPr>
              <w:jc w:val="right"/>
              <w:ind w:right="220"/>
              <w:spacing w:after="0"/>
              <w:rPr>
                <w:sz w:val="20"/>
                <w:szCs w:val="20"/>
                <w:color w:val="auto"/>
              </w:rPr>
            </w:pPr>
            <w:r>
              <w:rPr>
                <w:rFonts w:ascii="Arial" w:cs="Arial" w:eastAsia="Arial" w:hAnsi="Arial"/>
                <w:sz w:val="18"/>
                <w:szCs w:val="18"/>
                <w:color w:val="auto"/>
              </w:rPr>
              <w:t>43.9</w:t>
            </w:r>
          </w:p>
        </w:tc>
        <w:tc>
          <w:tcPr>
            <w:tcW w:w="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020" w:type="dxa"/>
            <w:vAlign w:val="bottom"/>
            <w:gridSpan w:val="2"/>
          </w:tcPr>
          <w:p>
            <w:pPr>
              <w:jc w:val="right"/>
              <w:ind w:right="20"/>
              <w:spacing w:after="0"/>
              <w:rPr>
                <w:sz w:val="20"/>
                <w:szCs w:val="20"/>
                <w:color w:val="auto"/>
              </w:rPr>
            </w:pPr>
            <w:r>
              <w:rPr>
                <w:rFonts w:ascii="Arial" w:cs="Arial" w:eastAsia="Arial" w:hAnsi="Arial"/>
                <w:sz w:val="18"/>
                <w:szCs w:val="18"/>
                <w:color w:val="auto"/>
              </w:rPr>
              <w:t>47.4</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Deferred income tax assets</w:t>
            </w:r>
          </w:p>
        </w:tc>
        <w:tc>
          <w:tcPr>
            <w:tcW w:w="56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60.3</w:t>
            </w:r>
          </w:p>
        </w:tc>
        <w:tc>
          <w:tcPr>
            <w:tcW w:w="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60.0</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7"/>
        </w:trPr>
        <w:tc>
          <w:tcPr>
            <w:tcW w:w="7780" w:type="dxa"/>
            <w:vAlign w:val="bottom"/>
          </w:tcPr>
          <w:p>
            <w:pPr>
              <w:spacing w:after="0"/>
              <w:rPr>
                <w:sz w:val="20"/>
                <w:szCs w:val="20"/>
                <w:color w:val="auto"/>
              </w:rPr>
            </w:pPr>
            <w:r>
              <w:rPr>
                <w:rFonts w:ascii="Arial" w:cs="Arial" w:eastAsia="Arial" w:hAnsi="Arial"/>
                <w:sz w:val="18"/>
                <w:szCs w:val="18"/>
                <w:color w:val="auto"/>
              </w:rPr>
              <w:t>Other non-current assets</w:t>
            </w:r>
          </w:p>
        </w:tc>
        <w:tc>
          <w:tcPr>
            <w:tcW w:w="560" w:type="dxa"/>
            <w:vAlign w:val="bottom"/>
          </w:tcPr>
          <w:p>
            <w:pPr>
              <w:spacing w:after="0"/>
              <w:rPr>
                <w:sz w:val="19"/>
                <w:szCs w:val="19"/>
                <w:color w:val="auto"/>
              </w:rPr>
            </w:pPr>
          </w:p>
        </w:tc>
        <w:tc>
          <w:tcPr>
            <w:tcW w:w="1240" w:type="dxa"/>
            <w:vAlign w:val="bottom"/>
            <w:gridSpan w:val="2"/>
          </w:tcPr>
          <w:p>
            <w:pPr>
              <w:jc w:val="right"/>
              <w:ind w:right="220"/>
              <w:spacing w:after="0"/>
              <w:rPr>
                <w:sz w:val="20"/>
                <w:szCs w:val="20"/>
                <w:color w:val="auto"/>
              </w:rPr>
            </w:pPr>
            <w:r>
              <w:rPr>
                <w:rFonts w:ascii="Arial" w:cs="Arial" w:eastAsia="Arial" w:hAnsi="Arial"/>
                <w:sz w:val="18"/>
                <w:szCs w:val="18"/>
                <w:color w:val="auto"/>
              </w:rPr>
              <w:t>371.8</w:t>
            </w: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020" w:type="dxa"/>
            <w:vAlign w:val="bottom"/>
            <w:gridSpan w:val="2"/>
          </w:tcPr>
          <w:p>
            <w:pPr>
              <w:jc w:val="right"/>
              <w:ind w:right="20"/>
              <w:spacing w:after="0"/>
              <w:rPr>
                <w:sz w:val="20"/>
                <w:szCs w:val="20"/>
                <w:color w:val="auto"/>
              </w:rPr>
            </w:pPr>
            <w:r>
              <w:rPr>
                <w:rFonts w:ascii="Arial" w:cs="Arial" w:eastAsia="Arial" w:hAnsi="Arial"/>
                <w:sz w:val="18"/>
                <w:szCs w:val="18"/>
                <w:color w:val="auto"/>
              </w:rPr>
              <w:t>378.3</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0"/>
        </w:trPr>
        <w:tc>
          <w:tcPr>
            <w:tcW w:w="778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Total assets</w:t>
            </w:r>
          </w:p>
        </w:tc>
        <w:tc>
          <w:tcPr>
            <w:tcW w:w="560" w:type="dxa"/>
            <w:vAlign w:val="bottom"/>
            <w:tcBorders>
              <w:top w:val="single" w:sz="8" w:color="auto"/>
              <w:bottom w:val="single" w:sz="8" w:color="auto"/>
            </w:tcBorders>
            <w:shd w:val="clear" w:color="auto" w:fill="CCEEFF"/>
          </w:tcPr>
          <w:p>
            <w:pPr>
              <w:jc w:val="right"/>
              <w:ind w:right="404"/>
              <w:spacing w:after="0"/>
              <w:rPr>
                <w:sz w:val="20"/>
                <w:szCs w:val="20"/>
                <w:color w:val="auto"/>
              </w:rPr>
            </w:pPr>
            <w:r>
              <w:rPr>
                <w:rFonts w:ascii="Arial" w:cs="Arial" w:eastAsia="Arial" w:hAnsi="Arial"/>
                <w:sz w:val="14"/>
                <w:szCs w:val="14"/>
                <w:color w:val="auto"/>
                <w:w w:val="76"/>
              </w:rPr>
              <w:t>$</w:t>
            </w:r>
          </w:p>
        </w:tc>
        <w:tc>
          <w:tcPr>
            <w:tcW w:w="10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2,353.0</w:t>
            </w:r>
          </w:p>
        </w:tc>
        <w:tc>
          <w:tcPr>
            <w:tcW w:w="220" w:type="dxa"/>
            <w:vAlign w:val="bottom"/>
            <w:tcBorders>
              <w:top w:val="single" w:sz="8" w:color="CCEEFF"/>
              <w:bottom w:val="single" w:sz="8" w:color="CCEEFF"/>
            </w:tcBorders>
            <w:shd w:val="clear" w:color="auto" w:fill="CCEEFF"/>
          </w:tcPr>
          <w:p>
            <w:pPr>
              <w:spacing w:after="0"/>
              <w:rPr>
                <w:sz w:val="19"/>
                <w:szCs w:val="19"/>
                <w:color w:val="auto"/>
              </w:rPr>
            </w:pPr>
          </w:p>
        </w:tc>
        <w:tc>
          <w:tcPr>
            <w:tcW w:w="20" w:type="dxa"/>
            <w:vAlign w:val="bottom"/>
            <w:tcBorders>
              <w:top w:val="single" w:sz="8" w:color="CCEEFF"/>
              <w:bottom w:val="single" w:sz="8" w:color="CCEEFF"/>
            </w:tcBorders>
            <w:shd w:val="clear" w:color="auto" w:fill="CCEEFF"/>
          </w:tcPr>
          <w:p>
            <w:pPr>
              <w:spacing w:after="0"/>
              <w:rPr>
                <w:sz w:val="19"/>
                <w:szCs w:val="19"/>
                <w:color w:val="auto"/>
              </w:rPr>
            </w:pPr>
          </w:p>
        </w:tc>
        <w:tc>
          <w:tcPr>
            <w:tcW w:w="540" w:type="dxa"/>
            <w:vAlign w:val="bottom"/>
            <w:tcBorders>
              <w:top w:val="single" w:sz="8" w:color="auto"/>
              <w:bottom w:val="single" w:sz="8" w:color="auto"/>
            </w:tcBorders>
            <w:shd w:val="clear" w:color="auto" w:fill="CCEEFF"/>
          </w:tcPr>
          <w:p>
            <w:pPr>
              <w:jc w:val="right"/>
              <w:ind w:right="417"/>
              <w:spacing w:after="0"/>
              <w:rPr>
                <w:sz w:val="20"/>
                <w:szCs w:val="20"/>
                <w:color w:val="auto"/>
              </w:rPr>
            </w:pPr>
            <w:r>
              <w:rPr>
                <w:rFonts w:ascii="Arial" w:cs="Arial" w:eastAsia="Arial" w:hAnsi="Arial"/>
                <w:sz w:val="10"/>
                <w:szCs w:val="10"/>
                <w:color w:val="auto"/>
                <w:w w:val="71"/>
              </w:rPr>
              <w:t>$</w:t>
            </w:r>
          </w:p>
        </w:tc>
        <w:tc>
          <w:tcPr>
            <w:tcW w:w="10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2,335.0</w:t>
            </w:r>
          </w:p>
        </w:tc>
        <w:tc>
          <w:tcPr>
            <w:tcW w:w="20" w:type="dxa"/>
            <w:vAlign w:val="bottom"/>
            <w:tcBorders>
              <w:top w:val="single" w:sz="8" w:color="CCEEFF"/>
              <w:bottom w:val="single" w:sz="8" w:color="CCEEFF"/>
            </w:tcBorders>
            <w:shd w:val="clear" w:color="auto" w:fill="CCEEFF"/>
          </w:tcPr>
          <w:p>
            <w:pPr>
              <w:spacing w:after="0"/>
              <w:rPr>
                <w:sz w:val="19"/>
                <w:szCs w:val="19"/>
                <w:color w:val="auto"/>
              </w:rPr>
            </w:pPr>
          </w:p>
        </w:tc>
        <w:tc>
          <w:tcPr>
            <w:tcW w:w="80" w:type="dxa"/>
            <w:vAlign w:val="bottom"/>
            <w:tcBorders>
              <w:top w:val="single" w:sz="8" w:color="CCEEFF"/>
              <w:bottom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780" w:type="dxa"/>
            <w:vAlign w:val="bottom"/>
            <w:vMerge w:val="restart"/>
          </w:tcPr>
          <w:p>
            <w:pPr>
              <w:spacing w:after="0"/>
              <w:rPr>
                <w:sz w:val="20"/>
                <w:szCs w:val="20"/>
                <w:color w:val="auto"/>
              </w:rPr>
            </w:pPr>
            <w:r>
              <w:rPr>
                <w:rFonts w:ascii="Arial" w:cs="Arial" w:eastAsia="Arial" w:hAnsi="Arial"/>
                <w:sz w:val="18"/>
                <w:szCs w:val="18"/>
                <w:b w:val="1"/>
                <w:bCs w:val="1"/>
                <w:color w:val="auto"/>
              </w:rPr>
              <w:t>Liabilities and shareholders' equity</w:t>
            </w:r>
          </w:p>
        </w:tc>
        <w:tc>
          <w:tcPr>
            <w:tcW w:w="56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3"/>
        </w:trPr>
        <w:tc>
          <w:tcPr>
            <w:tcW w:w="7780" w:type="dxa"/>
            <w:vAlign w:val="bottom"/>
            <w:vMerge w:val="continue"/>
          </w:tcPr>
          <w:p>
            <w:pPr>
              <w:spacing w:after="0"/>
              <w:rPr>
                <w:sz w:val="16"/>
                <w:szCs w:val="16"/>
                <w:color w:val="auto"/>
              </w:rPr>
            </w:pPr>
          </w:p>
        </w:tc>
        <w:tc>
          <w:tcPr>
            <w:tcW w:w="56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4"/>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56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Accounts payable</w:t>
            </w:r>
          </w:p>
        </w:tc>
        <w:tc>
          <w:tcPr>
            <w:tcW w:w="560" w:type="dxa"/>
            <w:vAlign w:val="bottom"/>
          </w:tcPr>
          <w:p>
            <w:pPr>
              <w:jc w:val="right"/>
              <w:ind w:right="404"/>
              <w:spacing w:after="0"/>
              <w:rPr>
                <w:sz w:val="20"/>
                <w:szCs w:val="20"/>
                <w:color w:val="auto"/>
              </w:rPr>
            </w:pPr>
            <w:r>
              <w:rPr>
                <w:rFonts w:ascii="Arial" w:cs="Arial" w:eastAsia="Arial" w:hAnsi="Arial"/>
                <w:sz w:val="14"/>
                <w:szCs w:val="14"/>
                <w:color w:val="auto"/>
                <w:w w:val="76"/>
              </w:rPr>
              <w:t>$</w:t>
            </w:r>
          </w:p>
        </w:tc>
        <w:tc>
          <w:tcPr>
            <w:tcW w:w="1240" w:type="dxa"/>
            <w:vAlign w:val="bottom"/>
            <w:gridSpan w:val="2"/>
          </w:tcPr>
          <w:p>
            <w:pPr>
              <w:jc w:val="right"/>
              <w:ind w:right="220"/>
              <w:spacing w:after="0"/>
              <w:rPr>
                <w:sz w:val="20"/>
                <w:szCs w:val="20"/>
                <w:color w:val="auto"/>
              </w:rPr>
            </w:pPr>
            <w:r>
              <w:rPr>
                <w:rFonts w:ascii="Arial" w:cs="Arial" w:eastAsia="Arial" w:hAnsi="Arial"/>
                <w:sz w:val="18"/>
                <w:szCs w:val="18"/>
                <w:color w:val="auto"/>
              </w:rPr>
              <w:t>564.7</w:t>
            </w:r>
          </w:p>
        </w:tc>
        <w:tc>
          <w:tcPr>
            <w:tcW w:w="560" w:type="dxa"/>
            <w:vAlign w:val="bottom"/>
            <w:gridSpan w:val="2"/>
          </w:tcPr>
          <w:p>
            <w:pPr>
              <w:jc w:val="right"/>
              <w:ind w:right="417"/>
              <w:spacing w:after="0"/>
              <w:rPr>
                <w:sz w:val="20"/>
                <w:szCs w:val="20"/>
                <w:color w:val="auto"/>
              </w:rPr>
            </w:pPr>
            <w:r>
              <w:rPr>
                <w:rFonts w:ascii="Arial" w:cs="Arial" w:eastAsia="Arial" w:hAnsi="Arial"/>
                <w:sz w:val="14"/>
                <w:szCs w:val="14"/>
                <w:color w:val="auto"/>
                <w:w w:val="76"/>
              </w:rPr>
              <w:t>$</w:t>
            </w:r>
          </w:p>
        </w:tc>
        <w:tc>
          <w:tcPr>
            <w:tcW w:w="1020" w:type="dxa"/>
            <w:vAlign w:val="bottom"/>
            <w:gridSpan w:val="2"/>
          </w:tcPr>
          <w:p>
            <w:pPr>
              <w:jc w:val="right"/>
              <w:ind w:right="20"/>
              <w:spacing w:after="0"/>
              <w:rPr>
                <w:sz w:val="20"/>
                <w:szCs w:val="20"/>
                <w:color w:val="auto"/>
              </w:rPr>
            </w:pPr>
            <w:r>
              <w:rPr>
                <w:rFonts w:ascii="Arial" w:cs="Arial" w:eastAsia="Arial" w:hAnsi="Arial"/>
                <w:sz w:val="18"/>
                <w:szCs w:val="18"/>
                <w:color w:val="auto"/>
              </w:rPr>
              <w:t>471.9</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Accrued payroll and benefits</w:t>
            </w:r>
          </w:p>
        </w:tc>
        <w:tc>
          <w:tcPr>
            <w:tcW w:w="56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90.8</w:t>
            </w:r>
          </w:p>
        </w:tc>
        <w:tc>
          <w:tcPr>
            <w:tcW w:w="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80.6</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Other accrued liabilities</w:t>
            </w:r>
          </w:p>
        </w:tc>
        <w:tc>
          <w:tcPr>
            <w:tcW w:w="560" w:type="dxa"/>
            <w:vAlign w:val="bottom"/>
          </w:tcPr>
          <w:p>
            <w:pPr>
              <w:spacing w:after="0"/>
              <w:rPr>
                <w:sz w:val="18"/>
                <w:szCs w:val="18"/>
                <w:color w:val="auto"/>
              </w:rPr>
            </w:pPr>
          </w:p>
        </w:tc>
        <w:tc>
          <w:tcPr>
            <w:tcW w:w="1240" w:type="dxa"/>
            <w:vAlign w:val="bottom"/>
            <w:gridSpan w:val="2"/>
          </w:tcPr>
          <w:p>
            <w:pPr>
              <w:jc w:val="right"/>
              <w:ind w:right="220"/>
              <w:spacing w:after="0"/>
              <w:rPr>
                <w:sz w:val="20"/>
                <w:szCs w:val="20"/>
                <w:color w:val="auto"/>
              </w:rPr>
            </w:pPr>
            <w:r>
              <w:rPr>
                <w:rFonts w:ascii="Arial" w:cs="Arial" w:eastAsia="Arial" w:hAnsi="Arial"/>
                <w:sz w:val="18"/>
                <w:szCs w:val="18"/>
                <w:color w:val="auto"/>
              </w:rPr>
              <w:t>172.9</w:t>
            </w:r>
          </w:p>
        </w:tc>
        <w:tc>
          <w:tcPr>
            <w:tcW w:w="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020" w:type="dxa"/>
            <w:vAlign w:val="bottom"/>
            <w:gridSpan w:val="2"/>
          </w:tcPr>
          <w:p>
            <w:pPr>
              <w:jc w:val="right"/>
              <w:ind w:right="20"/>
              <w:spacing w:after="0"/>
              <w:rPr>
                <w:sz w:val="20"/>
                <w:szCs w:val="20"/>
                <w:color w:val="auto"/>
              </w:rPr>
            </w:pPr>
            <w:r>
              <w:rPr>
                <w:rFonts w:ascii="Arial" w:cs="Arial" w:eastAsia="Arial" w:hAnsi="Arial"/>
                <w:sz w:val="18"/>
                <w:szCs w:val="18"/>
                <w:color w:val="auto"/>
              </w:rPr>
              <w:t>182.2</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7"/>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Current portion of debt</w:t>
            </w:r>
          </w:p>
        </w:tc>
        <w:tc>
          <w:tcPr>
            <w:tcW w:w="560" w:type="dxa"/>
            <w:vAlign w:val="bottom"/>
            <w:shd w:val="clear" w:color="auto" w:fill="CCEEFF"/>
          </w:tcPr>
          <w:p>
            <w:pPr>
              <w:spacing w:after="0"/>
              <w:rPr>
                <w:sz w:val="19"/>
                <w:szCs w:val="19"/>
                <w:color w:val="auto"/>
              </w:rPr>
            </w:pPr>
          </w:p>
        </w:tc>
        <w:tc>
          <w:tcPr>
            <w:tcW w:w="12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15.5</w:t>
            </w:r>
          </w:p>
        </w:tc>
        <w:tc>
          <w:tcPr>
            <w:tcW w:w="2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10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14.7</w:t>
            </w:r>
          </w:p>
        </w:tc>
        <w:tc>
          <w:tcPr>
            <w:tcW w:w="8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7"/>
        </w:trPr>
        <w:tc>
          <w:tcPr>
            <w:tcW w:w="7780" w:type="dxa"/>
            <w:vAlign w:val="bottom"/>
          </w:tcPr>
          <w:p>
            <w:pPr>
              <w:spacing w:after="0"/>
              <w:rPr>
                <w:sz w:val="20"/>
                <w:szCs w:val="20"/>
                <w:color w:val="auto"/>
              </w:rPr>
            </w:pPr>
            <w:r>
              <w:rPr>
                <w:rFonts w:ascii="Arial" w:cs="Arial" w:eastAsia="Arial" w:hAnsi="Arial"/>
                <w:sz w:val="18"/>
                <w:szCs w:val="18"/>
                <w:b w:val="1"/>
                <w:bCs w:val="1"/>
                <w:color w:val="auto"/>
              </w:rPr>
              <w:t>Total current liabilities</w:t>
            </w:r>
          </w:p>
        </w:tc>
        <w:tc>
          <w:tcPr>
            <w:tcW w:w="560" w:type="dxa"/>
            <w:vAlign w:val="bottom"/>
            <w:tcBorders>
              <w:top w:val="single" w:sz="8" w:color="auto"/>
            </w:tcBorders>
          </w:tcPr>
          <w:p>
            <w:pPr>
              <w:spacing w:after="0"/>
              <w:rPr>
                <w:sz w:val="17"/>
                <w:szCs w:val="17"/>
                <w:color w:val="auto"/>
              </w:rPr>
            </w:pPr>
          </w:p>
        </w:tc>
        <w:tc>
          <w:tcPr>
            <w:tcW w:w="10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843.9</w:t>
            </w:r>
          </w:p>
        </w:tc>
        <w:tc>
          <w:tcPr>
            <w:tcW w:w="2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540" w:type="dxa"/>
            <w:vAlign w:val="bottom"/>
            <w:tcBorders>
              <w:top w:val="single" w:sz="8" w:color="auto"/>
            </w:tcBorders>
          </w:tcPr>
          <w:p>
            <w:pPr>
              <w:spacing w:after="0"/>
              <w:rPr>
                <w:sz w:val="17"/>
                <w:szCs w:val="17"/>
                <w:color w:val="auto"/>
              </w:rPr>
            </w:pPr>
          </w:p>
        </w:tc>
        <w:tc>
          <w:tcPr>
            <w:tcW w:w="10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749.4</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Long-term debt, net of current portion</w:t>
            </w:r>
          </w:p>
        </w:tc>
        <w:tc>
          <w:tcPr>
            <w:tcW w:w="56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533.6</w:t>
            </w:r>
          </w:p>
        </w:tc>
        <w:tc>
          <w:tcPr>
            <w:tcW w:w="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589.1</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Defined benefit pension obligations</w:t>
            </w:r>
          </w:p>
        </w:tc>
        <w:tc>
          <w:tcPr>
            <w:tcW w:w="560" w:type="dxa"/>
            <w:vAlign w:val="bottom"/>
          </w:tcPr>
          <w:p>
            <w:pPr>
              <w:spacing w:after="0"/>
              <w:rPr>
                <w:sz w:val="18"/>
                <w:szCs w:val="18"/>
                <w:color w:val="auto"/>
              </w:rPr>
            </w:pPr>
          </w:p>
        </w:tc>
        <w:tc>
          <w:tcPr>
            <w:tcW w:w="1240" w:type="dxa"/>
            <w:vAlign w:val="bottom"/>
            <w:gridSpan w:val="2"/>
          </w:tcPr>
          <w:p>
            <w:pPr>
              <w:jc w:val="right"/>
              <w:ind w:right="220"/>
              <w:spacing w:after="0"/>
              <w:rPr>
                <w:sz w:val="20"/>
                <w:szCs w:val="20"/>
                <w:color w:val="auto"/>
              </w:rPr>
            </w:pPr>
            <w:r>
              <w:rPr>
                <w:rFonts w:ascii="Arial" w:cs="Arial" w:eastAsia="Arial" w:hAnsi="Arial"/>
                <w:sz w:val="18"/>
                <w:szCs w:val="18"/>
                <w:color w:val="auto"/>
              </w:rPr>
              <w:t>15.7</w:t>
            </w:r>
          </w:p>
        </w:tc>
        <w:tc>
          <w:tcPr>
            <w:tcW w:w="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020" w:type="dxa"/>
            <w:vAlign w:val="bottom"/>
            <w:gridSpan w:val="2"/>
          </w:tcPr>
          <w:p>
            <w:pPr>
              <w:jc w:val="right"/>
              <w:ind w:right="20"/>
              <w:spacing w:after="0"/>
              <w:rPr>
                <w:sz w:val="20"/>
                <w:szCs w:val="20"/>
                <w:color w:val="auto"/>
              </w:rPr>
            </w:pPr>
            <w:r>
              <w:rPr>
                <w:rFonts w:ascii="Arial" w:cs="Arial" w:eastAsia="Arial" w:hAnsi="Arial"/>
                <w:sz w:val="18"/>
                <w:szCs w:val="18"/>
                <w:color w:val="auto"/>
              </w:rPr>
              <w:t>18.2</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7"/>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Other non-current liabilities</w:t>
            </w:r>
          </w:p>
        </w:tc>
        <w:tc>
          <w:tcPr>
            <w:tcW w:w="560" w:type="dxa"/>
            <w:vAlign w:val="bottom"/>
            <w:shd w:val="clear" w:color="auto" w:fill="CCEEFF"/>
          </w:tcPr>
          <w:p>
            <w:pPr>
              <w:spacing w:after="0"/>
              <w:rPr>
                <w:sz w:val="19"/>
                <w:szCs w:val="19"/>
                <w:color w:val="auto"/>
              </w:rPr>
            </w:pPr>
          </w:p>
        </w:tc>
        <w:tc>
          <w:tcPr>
            <w:tcW w:w="12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392.8</w:t>
            </w:r>
          </w:p>
        </w:tc>
        <w:tc>
          <w:tcPr>
            <w:tcW w:w="2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10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395.2</w:t>
            </w:r>
          </w:p>
        </w:tc>
        <w:tc>
          <w:tcPr>
            <w:tcW w:w="8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7"/>
        </w:trPr>
        <w:tc>
          <w:tcPr>
            <w:tcW w:w="7780" w:type="dxa"/>
            <w:vAlign w:val="bottom"/>
            <w:tcBorders>
              <w:bottom w:val="single" w:sz="8" w:color="CCEEFF"/>
            </w:tcBorders>
          </w:tcPr>
          <w:p>
            <w:pPr>
              <w:spacing w:after="0"/>
              <w:rPr>
                <w:sz w:val="20"/>
                <w:szCs w:val="20"/>
                <w:color w:val="auto"/>
              </w:rPr>
            </w:pPr>
            <w:r>
              <w:rPr>
                <w:rFonts w:ascii="Arial" w:cs="Arial" w:eastAsia="Arial" w:hAnsi="Arial"/>
                <w:sz w:val="18"/>
                <w:szCs w:val="18"/>
                <w:b w:val="1"/>
                <w:bCs w:val="1"/>
                <w:color w:val="auto"/>
              </w:rPr>
              <w:t>Total liabilities</w:t>
            </w:r>
          </w:p>
        </w:tc>
        <w:tc>
          <w:tcPr>
            <w:tcW w:w="560" w:type="dxa"/>
            <w:vAlign w:val="bottom"/>
            <w:tcBorders>
              <w:top w:val="single" w:sz="8" w:color="auto"/>
              <w:bottom w:val="single" w:sz="8" w:color="auto"/>
            </w:tcBorders>
          </w:tcPr>
          <w:p>
            <w:pPr>
              <w:spacing w:after="0"/>
              <w:rPr>
                <w:sz w:val="17"/>
                <w:szCs w:val="17"/>
                <w:color w:val="auto"/>
              </w:rPr>
            </w:pPr>
          </w:p>
        </w:tc>
        <w:tc>
          <w:tcPr>
            <w:tcW w:w="10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1,786.0</w:t>
            </w:r>
          </w:p>
        </w:tc>
        <w:tc>
          <w:tcPr>
            <w:tcW w:w="220" w:type="dxa"/>
            <w:vAlign w:val="bottom"/>
            <w:tcBorders>
              <w:bottom w:val="single" w:sz="8" w:color="CCEEFF"/>
            </w:tcBorders>
          </w:tcPr>
          <w:p>
            <w:pPr>
              <w:spacing w:after="0"/>
              <w:rPr>
                <w:sz w:val="17"/>
                <w:szCs w:val="17"/>
                <w:color w:val="auto"/>
              </w:rPr>
            </w:pPr>
          </w:p>
        </w:tc>
        <w:tc>
          <w:tcPr>
            <w:tcW w:w="20" w:type="dxa"/>
            <w:vAlign w:val="bottom"/>
            <w:tcBorders>
              <w:bottom w:val="single" w:sz="8" w:color="CCEEFF"/>
            </w:tcBorders>
          </w:tcPr>
          <w:p>
            <w:pPr>
              <w:spacing w:after="0"/>
              <w:rPr>
                <w:sz w:val="17"/>
                <w:szCs w:val="17"/>
                <w:color w:val="auto"/>
              </w:rPr>
            </w:pPr>
          </w:p>
        </w:tc>
        <w:tc>
          <w:tcPr>
            <w:tcW w:w="540" w:type="dxa"/>
            <w:vAlign w:val="bottom"/>
            <w:tcBorders>
              <w:top w:val="single" w:sz="8" w:color="auto"/>
              <w:bottom w:val="single" w:sz="8" w:color="auto"/>
            </w:tcBorders>
          </w:tcPr>
          <w:p>
            <w:pPr>
              <w:spacing w:after="0"/>
              <w:rPr>
                <w:sz w:val="17"/>
                <w:szCs w:val="17"/>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1,751.9</w:t>
            </w:r>
          </w:p>
        </w:tc>
        <w:tc>
          <w:tcPr>
            <w:tcW w:w="20" w:type="dxa"/>
            <w:vAlign w:val="bottom"/>
            <w:tcBorders>
              <w:bottom w:val="single" w:sz="8" w:color="CCEEFF"/>
            </w:tcBorders>
          </w:tcPr>
          <w:p>
            <w:pPr>
              <w:spacing w:after="0"/>
              <w:rPr>
                <w:sz w:val="17"/>
                <w:szCs w:val="17"/>
                <w:color w:val="auto"/>
              </w:rPr>
            </w:pPr>
          </w:p>
        </w:tc>
        <w:tc>
          <w:tcPr>
            <w:tcW w:w="80" w:type="dxa"/>
            <w:vAlign w:val="bottom"/>
            <w:tcBorders>
              <w:bottom w:val="single" w:sz="8" w:color="CCEEFF"/>
            </w:tcBorders>
          </w:tcPr>
          <w:p>
            <w:pPr>
              <w:spacing w:after="0"/>
              <w:rPr>
                <w:sz w:val="17"/>
                <w:szCs w:val="17"/>
                <w:color w:val="auto"/>
              </w:rPr>
            </w:pPr>
          </w:p>
        </w:tc>
        <w:tc>
          <w:tcPr>
            <w:tcW w:w="0" w:type="dxa"/>
            <w:vAlign w:val="bottom"/>
          </w:tcPr>
          <w:p>
            <w:pPr>
              <w:spacing w:after="0"/>
              <w:rPr>
                <w:sz w:val="1"/>
                <w:szCs w:val="1"/>
                <w:color w:val="auto"/>
              </w:rPr>
            </w:pPr>
          </w:p>
        </w:tc>
      </w:tr>
      <w:tr>
        <w:trPr>
          <w:trHeight w:val="207"/>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Commitments and contingencies</w:t>
            </w:r>
          </w:p>
        </w:tc>
        <w:tc>
          <w:tcPr>
            <w:tcW w:w="56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Shareholders' equity:</w:t>
            </w:r>
          </w:p>
        </w:tc>
        <w:tc>
          <w:tcPr>
            <w:tcW w:w="56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Preferred stock, $0.01 par value, 10.0 million shares authorized, none issued</w:t>
            </w:r>
          </w:p>
        </w:tc>
        <w:tc>
          <w:tcPr>
            <w:tcW w:w="56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199"/>
        </w:trPr>
        <w:tc>
          <w:tcPr>
            <w:tcW w:w="7780" w:type="dxa"/>
            <w:vAlign w:val="bottom"/>
          </w:tcPr>
          <w:p>
            <w:pPr>
              <w:spacing w:after="0" w:line="199" w:lineRule="exact"/>
              <w:rPr>
                <w:sz w:val="20"/>
                <w:szCs w:val="20"/>
                <w:color w:val="auto"/>
              </w:rPr>
            </w:pPr>
            <w:r>
              <w:rPr>
                <w:rFonts w:ascii="Arial" w:cs="Arial" w:eastAsia="Arial" w:hAnsi="Arial"/>
                <w:sz w:val="18"/>
                <w:szCs w:val="18"/>
                <w:color w:val="auto"/>
                <w:w w:val="95"/>
              </w:rPr>
              <w:t>Common stock, $0.01 par value, 100.0 million shares authorized; shares issued - 17.0 million and 16.6</w:t>
            </w:r>
          </w:p>
        </w:tc>
        <w:tc>
          <w:tcPr>
            <w:tcW w:w="56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7"/>
        </w:trPr>
        <w:tc>
          <w:tcPr>
            <w:tcW w:w="7780" w:type="dxa"/>
            <w:vAlign w:val="bottom"/>
          </w:tcPr>
          <w:p>
            <w:pPr>
              <w:spacing w:after="0"/>
              <w:rPr>
                <w:sz w:val="20"/>
                <w:szCs w:val="20"/>
                <w:color w:val="auto"/>
              </w:rPr>
            </w:pPr>
            <w:r>
              <w:rPr>
                <w:rFonts w:ascii="Arial" w:cs="Arial" w:eastAsia="Arial" w:hAnsi="Arial"/>
                <w:sz w:val="18"/>
                <w:szCs w:val="18"/>
                <w:color w:val="auto"/>
              </w:rPr>
              <w:t>million, respectively; shares outstanding - 14.6 million and 15.9 million, respectively</w:t>
            </w:r>
          </w:p>
        </w:tc>
        <w:tc>
          <w:tcPr>
            <w:tcW w:w="560" w:type="dxa"/>
            <w:vAlign w:val="bottom"/>
          </w:tcPr>
          <w:p>
            <w:pPr>
              <w:spacing w:after="0"/>
              <w:rPr>
                <w:sz w:val="19"/>
                <w:szCs w:val="19"/>
                <w:color w:val="auto"/>
              </w:rPr>
            </w:pPr>
          </w:p>
        </w:tc>
        <w:tc>
          <w:tcPr>
            <w:tcW w:w="1240" w:type="dxa"/>
            <w:vAlign w:val="bottom"/>
            <w:gridSpan w:val="2"/>
          </w:tcPr>
          <w:p>
            <w:pPr>
              <w:jc w:val="right"/>
              <w:ind w:right="220"/>
              <w:spacing w:after="0"/>
              <w:rPr>
                <w:sz w:val="20"/>
                <w:szCs w:val="20"/>
                <w:color w:val="auto"/>
              </w:rPr>
            </w:pPr>
            <w:r>
              <w:rPr>
                <w:rFonts w:ascii="Arial" w:cs="Arial" w:eastAsia="Arial" w:hAnsi="Arial"/>
                <w:sz w:val="18"/>
                <w:szCs w:val="18"/>
                <w:color w:val="auto"/>
              </w:rPr>
              <w:t>0.2</w:t>
            </w: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020" w:type="dxa"/>
            <w:vAlign w:val="bottom"/>
            <w:gridSpan w:val="2"/>
          </w:tcPr>
          <w:p>
            <w:pPr>
              <w:jc w:val="right"/>
              <w:ind w:right="20"/>
              <w:spacing w:after="0"/>
              <w:rPr>
                <w:sz w:val="20"/>
                <w:szCs w:val="20"/>
                <w:color w:val="auto"/>
              </w:rPr>
            </w:pPr>
            <w:r>
              <w:rPr>
                <w:rFonts w:ascii="Arial" w:cs="Arial" w:eastAsia="Arial" w:hAnsi="Arial"/>
                <w:sz w:val="18"/>
                <w:szCs w:val="18"/>
                <w:color w:val="auto"/>
              </w:rPr>
              <w:t>0.2</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4"/>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Additional paid-in capital</w:t>
            </w:r>
          </w:p>
        </w:tc>
        <w:tc>
          <w:tcPr>
            <w:tcW w:w="56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632.2</w:t>
            </w:r>
          </w:p>
        </w:tc>
        <w:tc>
          <w:tcPr>
            <w:tcW w:w="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634.9</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Accumulated earnings (deficit)</w:t>
            </w:r>
          </w:p>
        </w:tc>
        <w:tc>
          <w:tcPr>
            <w:tcW w:w="560" w:type="dxa"/>
            <w:vAlign w:val="bottom"/>
          </w:tcPr>
          <w:p>
            <w:pPr>
              <w:spacing w:after="0"/>
              <w:rPr>
                <w:sz w:val="18"/>
                <w:szCs w:val="18"/>
                <w:color w:val="auto"/>
              </w:rPr>
            </w:pPr>
          </w:p>
        </w:tc>
        <w:tc>
          <w:tcPr>
            <w:tcW w:w="1240" w:type="dxa"/>
            <w:vAlign w:val="bottom"/>
            <w:gridSpan w:val="2"/>
          </w:tcPr>
          <w:p>
            <w:pPr>
              <w:jc w:val="right"/>
              <w:ind w:right="220"/>
              <w:spacing w:after="0"/>
              <w:rPr>
                <w:sz w:val="20"/>
                <w:szCs w:val="20"/>
                <w:color w:val="auto"/>
              </w:rPr>
            </w:pPr>
            <w:r>
              <w:rPr>
                <w:rFonts w:ascii="Arial" w:cs="Arial" w:eastAsia="Arial" w:hAnsi="Arial"/>
                <w:sz w:val="18"/>
                <w:szCs w:val="18"/>
                <w:color w:val="auto"/>
              </w:rPr>
              <w:t>86.3</w:t>
            </w:r>
          </w:p>
        </w:tc>
        <w:tc>
          <w:tcPr>
            <w:tcW w:w="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100" w:type="dxa"/>
            <w:vAlign w:val="bottom"/>
            <w:gridSpan w:val="3"/>
          </w:tcPr>
          <w:p>
            <w:pPr>
              <w:jc w:val="right"/>
              <w:ind w:right="4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Accumulated other comprehensive loss</w:t>
            </w:r>
          </w:p>
        </w:tc>
        <w:tc>
          <w:tcPr>
            <w:tcW w:w="56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(34.6)</w:t>
            </w:r>
          </w:p>
        </w:tc>
        <w:tc>
          <w:tcPr>
            <w:tcW w:w="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(33.5)</w:t>
            </w:r>
          </w:p>
        </w:tc>
        <w:tc>
          <w:tcPr>
            <w:tcW w:w="0" w:type="dxa"/>
            <w:vAlign w:val="bottom"/>
          </w:tcPr>
          <w:p>
            <w:pPr>
              <w:spacing w:after="0"/>
              <w:rPr>
                <w:sz w:val="1"/>
                <w:szCs w:val="1"/>
                <w:color w:val="auto"/>
              </w:rPr>
            </w:pPr>
          </w:p>
        </w:tc>
      </w:tr>
      <w:tr>
        <w:trPr>
          <w:trHeight w:val="227"/>
        </w:trPr>
        <w:tc>
          <w:tcPr>
            <w:tcW w:w="7780" w:type="dxa"/>
            <w:vAlign w:val="bottom"/>
          </w:tcPr>
          <w:p>
            <w:pPr>
              <w:spacing w:after="0"/>
              <w:rPr>
                <w:sz w:val="20"/>
                <w:szCs w:val="20"/>
                <w:color w:val="auto"/>
              </w:rPr>
            </w:pPr>
            <w:r>
              <w:rPr>
                <w:rFonts w:ascii="Arial" w:cs="Arial" w:eastAsia="Arial" w:hAnsi="Arial"/>
                <w:sz w:val="18"/>
                <w:szCs w:val="18"/>
                <w:color w:val="auto"/>
              </w:rPr>
              <w:t>Treasury stock at cost - 2.4 million shares in 2021 and 0.7 million shares in 2020</w:t>
            </w:r>
          </w:p>
        </w:tc>
        <w:tc>
          <w:tcPr>
            <w:tcW w:w="560" w:type="dxa"/>
            <w:vAlign w:val="bottom"/>
          </w:tcPr>
          <w:p>
            <w:pPr>
              <w:spacing w:after="0"/>
              <w:rPr>
                <w:sz w:val="19"/>
                <w:szCs w:val="19"/>
                <w:color w:val="auto"/>
              </w:rPr>
            </w:pPr>
          </w:p>
        </w:tc>
        <w:tc>
          <w:tcPr>
            <w:tcW w:w="1240" w:type="dxa"/>
            <w:vAlign w:val="bottom"/>
            <w:gridSpan w:val="2"/>
          </w:tcPr>
          <w:p>
            <w:pPr>
              <w:jc w:val="right"/>
              <w:ind w:right="160"/>
              <w:spacing w:after="0"/>
              <w:rPr>
                <w:sz w:val="20"/>
                <w:szCs w:val="20"/>
                <w:color w:val="auto"/>
              </w:rPr>
            </w:pPr>
            <w:r>
              <w:rPr>
                <w:rFonts w:ascii="Arial" w:cs="Arial" w:eastAsia="Arial" w:hAnsi="Arial"/>
                <w:sz w:val="18"/>
                <w:szCs w:val="18"/>
                <w:color w:val="auto"/>
              </w:rPr>
              <w:t>(117.1)</w:t>
            </w: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100" w:type="dxa"/>
            <w:vAlign w:val="bottom"/>
            <w:gridSpan w:val="3"/>
          </w:tcPr>
          <w:p>
            <w:pPr>
              <w:jc w:val="right"/>
              <w:ind w:right="40"/>
              <w:spacing w:after="0"/>
              <w:rPr>
                <w:sz w:val="20"/>
                <w:szCs w:val="20"/>
                <w:color w:val="auto"/>
              </w:rPr>
            </w:pPr>
            <w:r>
              <w:rPr>
                <w:rFonts w:ascii="Arial" w:cs="Arial" w:eastAsia="Arial" w:hAnsi="Arial"/>
                <w:sz w:val="18"/>
                <w:szCs w:val="18"/>
                <w:color w:val="auto"/>
              </w:rPr>
              <w:t>(17.1)</w:t>
            </w:r>
          </w:p>
        </w:tc>
        <w:tc>
          <w:tcPr>
            <w:tcW w:w="0" w:type="dxa"/>
            <w:vAlign w:val="bottom"/>
          </w:tcPr>
          <w:p>
            <w:pPr>
              <w:spacing w:after="0"/>
              <w:rPr>
                <w:sz w:val="1"/>
                <w:szCs w:val="1"/>
                <w:color w:val="auto"/>
              </w:rPr>
            </w:pPr>
          </w:p>
        </w:tc>
      </w:tr>
      <w:tr>
        <w:trPr>
          <w:trHeight w:val="207"/>
        </w:trPr>
        <w:tc>
          <w:tcPr>
            <w:tcW w:w="77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Total shareholders' equity</w:t>
            </w:r>
          </w:p>
        </w:tc>
        <w:tc>
          <w:tcPr>
            <w:tcW w:w="560" w:type="dxa"/>
            <w:vAlign w:val="bottom"/>
            <w:tcBorders>
              <w:top w:val="single" w:sz="8" w:color="auto"/>
              <w:bottom w:val="single" w:sz="8" w:color="auto"/>
            </w:tcBorders>
            <w:shd w:val="clear" w:color="auto" w:fill="CCEEFF"/>
          </w:tcPr>
          <w:p>
            <w:pPr>
              <w:spacing w:after="0"/>
              <w:rPr>
                <w:sz w:val="18"/>
                <w:szCs w:val="18"/>
                <w:color w:val="auto"/>
              </w:rPr>
            </w:pPr>
          </w:p>
        </w:tc>
        <w:tc>
          <w:tcPr>
            <w:tcW w:w="10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567.0</w:t>
            </w:r>
          </w:p>
        </w:tc>
        <w:tc>
          <w:tcPr>
            <w:tcW w:w="22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540" w:type="dxa"/>
            <w:vAlign w:val="bottom"/>
            <w:tcBorders>
              <w:top w:val="single" w:sz="8" w:color="auto"/>
              <w:bottom w:val="single" w:sz="8" w:color="auto"/>
            </w:tcBorders>
            <w:shd w:val="clear" w:color="auto" w:fill="CCEEFF"/>
          </w:tcPr>
          <w:p>
            <w:pPr>
              <w:spacing w:after="0"/>
              <w:rPr>
                <w:sz w:val="18"/>
                <w:szCs w:val="18"/>
                <w:color w:val="auto"/>
              </w:rPr>
            </w:pPr>
          </w:p>
        </w:tc>
        <w:tc>
          <w:tcPr>
            <w:tcW w:w="10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583.1</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0"/>
        </w:trPr>
        <w:tc>
          <w:tcPr>
            <w:tcW w:w="7780" w:type="dxa"/>
            <w:vAlign w:val="bottom"/>
          </w:tcPr>
          <w:p>
            <w:pPr>
              <w:spacing w:after="0"/>
              <w:rPr>
                <w:sz w:val="20"/>
                <w:szCs w:val="20"/>
                <w:color w:val="auto"/>
              </w:rPr>
            </w:pPr>
            <w:r>
              <w:rPr>
                <w:rFonts w:ascii="Arial" w:cs="Arial" w:eastAsia="Arial" w:hAnsi="Arial"/>
                <w:sz w:val="18"/>
                <w:szCs w:val="18"/>
                <w:b w:val="1"/>
                <w:bCs w:val="1"/>
                <w:color w:val="auto"/>
              </w:rPr>
              <w:t>Total liabilities and shareholders' equity</w:t>
            </w:r>
          </w:p>
        </w:tc>
        <w:tc>
          <w:tcPr>
            <w:tcW w:w="560" w:type="dxa"/>
            <w:vAlign w:val="bottom"/>
            <w:tcBorders>
              <w:bottom w:val="single" w:sz="8" w:color="auto"/>
            </w:tcBorders>
          </w:tcPr>
          <w:p>
            <w:pPr>
              <w:jc w:val="right"/>
              <w:ind w:right="404"/>
              <w:spacing w:after="0"/>
              <w:rPr>
                <w:sz w:val="20"/>
                <w:szCs w:val="20"/>
                <w:color w:val="auto"/>
              </w:rPr>
            </w:pPr>
            <w:r>
              <w:rPr>
                <w:rFonts w:ascii="Arial" w:cs="Arial" w:eastAsia="Arial" w:hAnsi="Arial"/>
                <w:sz w:val="14"/>
                <w:szCs w:val="14"/>
                <w:color w:val="auto"/>
                <w:w w:val="76"/>
              </w:rPr>
              <w:t>$</w:t>
            </w:r>
          </w:p>
        </w:tc>
        <w:tc>
          <w:tcPr>
            <w:tcW w:w="10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2,353.0</w:t>
            </w:r>
          </w:p>
        </w:tc>
        <w:tc>
          <w:tcPr>
            <w:tcW w:w="22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540" w:type="dxa"/>
            <w:vAlign w:val="bottom"/>
            <w:tcBorders>
              <w:bottom w:val="single" w:sz="8" w:color="auto"/>
            </w:tcBorders>
          </w:tcPr>
          <w:p>
            <w:pPr>
              <w:jc w:val="right"/>
              <w:ind w:right="417"/>
              <w:spacing w:after="0"/>
              <w:rPr>
                <w:sz w:val="20"/>
                <w:szCs w:val="20"/>
                <w:color w:val="auto"/>
              </w:rPr>
            </w:pPr>
            <w:r>
              <w:rPr>
                <w:rFonts w:ascii="Arial" w:cs="Arial" w:eastAsia="Arial" w:hAnsi="Arial"/>
                <w:sz w:val="10"/>
                <w:szCs w:val="10"/>
                <w:color w:val="auto"/>
                <w:w w:val="71"/>
              </w:rPr>
              <w:t>$</w:t>
            </w:r>
          </w:p>
        </w:tc>
        <w:tc>
          <w:tcPr>
            <w:tcW w:w="10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2,335.0</w:t>
            </w:r>
          </w:p>
        </w:tc>
        <w:tc>
          <w:tcPr>
            <w:tcW w:w="20" w:type="dxa"/>
            <w:vAlign w:val="bottom"/>
            <w:tcBorders>
              <w:bottom w:val="single" w:sz="8" w:color="auto"/>
            </w:tcBorders>
          </w:tcPr>
          <w:p>
            <w:pPr>
              <w:spacing w:after="0"/>
              <w:rPr>
                <w:sz w:val="19"/>
                <w:szCs w:val="19"/>
                <w:color w:val="auto"/>
              </w:rPr>
            </w:pP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780" w:type="dxa"/>
            <w:vAlign w:val="bottom"/>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47"/>
        </w:trPr>
        <w:tc>
          <w:tcPr>
            <w:tcW w:w="778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895" w:right="339" w:bottom="1440" w:gutter="0" w:footer="0" w:header="0"/>
        </w:sectPr>
      </w:pPr>
    </w:p>
    <w:bookmarkStart w:id="8" w:name="page9"/>
    <w:bookmarkEnd w:id="8"/>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STATEMENTS OF CASH FLOWS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unaudited)</w:t>
      </w: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231"/>
        </w:trPr>
        <w:tc>
          <w:tcPr>
            <w:tcW w:w="7780" w:type="dxa"/>
            <w:vAlign w:val="bottom"/>
          </w:tcPr>
          <w:p>
            <w:pPr>
              <w:spacing w:after="0"/>
              <w:rPr>
                <w:sz w:val="20"/>
                <w:szCs w:val="20"/>
                <w:color w:val="auto"/>
              </w:rPr>
            </w:pPr>
          </w:p>
        </w:tc>
        <w:tc>
          <w:tcPr>
            <w:tcW w:w="3460" w:type="dxa"/>
            <w:vAlign w:val="bottom"/>
            <w:gridSpan w:val="7"/>
          </w:tcPr>
          <w:p>
            <w:pPr>
              <w:jc w:val="right"/>
              <w:ind w:right="382"/>
              <w:spacing w:after="0"/>
              <w:rPr>
                <w:sz w:val="20"/>
                <w:szCs w:val="20"/>
                <w:color w:val="auto"/>
              </w:rPr>
            </w:pPr>
            <w:r>
              <w:rPr>
                <w:rFonts w:ascii="Arial" w:cs="Arial" w:eastAsia="Arial" w:hAnsi="Arial"/>
                <w:sz w:val="18"/>
                <w:szCs w:val="18"/>
                <w:b w:val="1"/>
                <w:bCs w:val="1"/>
                <w:color w:val="auto"/>
              </w:rPr>
              <w:t>Nine Months Ended September 30,</w:t>
            </w:r>
          </w:p>
        </w:tc>
      </w:tr>
      <w:tr>
        <w:trPr>
          <w:trHeight w:val="221"/>
        </w:trPr>
        <w:tc>
          <w:tcPr>
            <w:tcW w:w="7780" w:type="dxa"/>
            <w:vAlign w:val="bottom"/>
            <w:tcBorders>
              <w:bottom w:val="single" w:sz="8" w:color="CCEEFF"/>
            </w:tcBorders>
          </w:tcPr>
          <w:p>
            <w:pPr>
              <w:spacing w:after="0"/>
              <w:rPr>
                <w:sz w:val="19"/>
                <w:szCs w:val="19"/>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2021</w:t>
            </w:r>
          </w:p>
        </w:tc>
        <w:tc>
          <w:tcPr>
            <w:tcW w:w="600" w:type="dxa"/>
            <w:vAlign w:val="bottom"/>
            <w:tcBorders>
              <w:top w:val="single" w:sz="8" w:color="auto"/>
              <w:bottom w:val="single" w:sz="8" w:color="auto"/>
            </w:tcBorders>
          </w:tcPr>
          <w:p>
            <w:pPr>
              <w:spacing w:after="0"/>
              <w:rPr>
                <w:sz w:val="19"/>
                <w:szCs w:val="19"/>
                <w:color w:val="auto"/>
              </w:rPr>
            </w:pPr>
          </w:p>
        </w:tc>
        <w:tc>
          <w:tcPr>
            <w:tcW w:w="140" w:type="dxa"/>
            <w:vAlign w:val="bottom"/>
            <w:tcBorders>
              <w:top w:val="single" w:sz="8" w:color="auto"/>
              <w:bottom w:val="single" w:sz="8" w:color="CCEEFF"/>
            </w:tcBorders>
          </w:tcPr>
          <w:p>
            <w:pPr>
              <w:spacing w:after="0"/>
              <w:rPr>
                <w:sz w:val="19"/>
                <w:szCs w:val="19"/>
                <w:color w:val="auto"/>
              </w:rPr>
            </w:pPr>
          </w:p>
        </w:tc>
        <w:tc>
          <w:tcPr>
            <w:tcW w:w="80" w:type="dxa"/>
            <w:vAlign w:val="bottom"/>
            <w:tcBorders>
              <w:top w:val="single" w:sz="8" w:color="auto"/>
              <w:bottom w:val="single" w:sz="8" w:color="CCEEFF"/>
            </w:tcBorders>
          </w:tcPr>
          <w:p>
            <w:pPr>
              <w:spacing w:after="0"/>
              <w:rPr>
                <w:sz w:val="19"/>
                <w:szCs w:val="19"/>
                <w:color w:val="auto"/>
              </w:rPr>
            </w:pPr>
          </w:p>
        </w:tc>
        <w:tc>
          <w:tcPr>
            <w:tcW w:w="340" w:type="dxa"/>
            <w:vAlign w:val="bottom"/>
            <w:tcBorders>
              <w:top w:val="single" w:sz="8" w:color="auto"/>
              <w:bottom w:val="single" w:sz="8" w:color="auto"/>
            </w:tcBorders>
          </w:tcPr>
          <w:p>
            <w:pPr>
              <w:spacing w:after="0"/>
              <w:rPr>
                <w:sz w:val="19"/>
                <w:szCs w:val="19"/>
                <w:color w:val="auto"/>
              </w:rPr>
            </w:pPr>
          </w:p>
        </w:tc>
        <w:tc>
          <w:tcPr>
            <w:tcW w:w="1220" w:type="dxa"/>
            <w:vAlign w:val="bottom"/>
            <w:tcBorders>
              <w:top w:val="single" w:sz="8" w:color="auto"/>
              <w:bottom w:val="single" w:sz="8" w:color="auto"/>
            </w:tcBorders>
          </w:tcPr>
          <w:p>
            <w:pPr>
              <w:jc w:val="right"/>
              <w:ind w:right="511"/>
              <w:spacing w:after="0"/>
              <w:rPr>
                <w:sz w:val="20"/>
                <w:szCs w:val="20"/>
                <w:color w:val="auto"/>
              </w:rPr>
            </w:pPr>
            <w:r>
              <w:rPr>
                <w:rFonts w:ascii="Arial" w:cs="Arial" w:eastAsia="Arial" w:hAnsi="Arial"/>
                <w:sz w:val="18"/>
                <w:szCs w:val="18"/>
                <w:b w:val="1"/>
                <w:bCs w:val="1"/>
                <w:color w:val="auto"/>
              </w:rPr>
              <w:t>2020</w:t>
            </w:r>
          </w:p>
        </w:tc>
        <w:tc>
          <w:tcPr>
            <w:tcW w:w="100" w:type="dxa"/>
            <w:vAlign w:val="bottom"/>
            <w:tcBorders>
              <w:bottom w:val="single" w:sz="8" w:color="CCEEFF"/>
            </w:tcBorders>
          </w:tcPr>
          <w:p>
            <w:pPr>
              <w:spacing w:after="0"/>
              <w:rPr>
                <w:sz w:val="19"/>
                <w:szCs w:val="19"/>
                <w:color w:val="auto"/>
              </w:rPr>
            </w:pPr>
          </w:p>
        </w:tc>
      </w:tr>
      <w:tr>
        <w:trPr>
          <w:trHeight w:val="207"/>
        </w:trPr>
        <w:tc>
          <w:tcPr>
            <w:tcW w:w="77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Operating activities</w:t>
            </w:r>
          </w:p>
        </w:tc>
        <w:tc>
          <w:tcPr>
            <w:tcW w:w="98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Net income (loss)</w:t>
            </w:r>
          </w:p>
        </w:tc>
        <w:tc>
          <w:tcPr>
            <w:tcW w:w="980" w:type="dxa"/>
            <w:vAlign w:val="bottom"/>
          </w:tcPr>
          <w:p>
            <w:pPr>
              <w:jc w:val="right"/>
              <w:ind w:right="822"/>
              <w:spacing w:after="0"/>
              <w:rPr>
                <w:sz w:val="20"/>
                <w:szCs w:val="20"/>
                <w:color w:val="auto"/>
              </w:rPr>
            </w:pPr>
            <w:r>
              <w:rPr>
                <w:rFonts w:ascii="Arial" w:cs="Arial" w:eastAsia="Arial" w:hAnsi="Arial"/>
                <w:sz w:val="14"/>
                <w:szCs w:val="14"/>
                <w:color w:val="auto"/>
                <w:w w:val="76"/>
              </w:rPr>
              <w:t>$</w:t>
            </w:r>
          </w:p>
        </w:tc>
        <w:tc>
          <w:tcPr>
            <w:tcW w:w="740" w:type="dxa"/>
            <w:vAlign w:val="bottom"/>
            <w:gridSpan w:val="2"/>
          </w:tcPr>
          <w:p>
            <w:pPr>
              <w:jc w:val="right"/>
              <w:ind w:right="62"/>
              <w:spacing w:after="0"/>
              <w:rPr>
                <w:sz w:val="20"/>
                <w:szCs w:val="20"/>
                <w:color w:val="auto"/>
              </w:rPr>
            </w:pPr>
            <w:r>
              <w:rPr>
                <w:rFonts w:ascii="Arial" w:cs="Arial" w:eastAsia="Arial" w:hAnsi="Arial"/>
                <w:sz w:val="18"/>
                <w:szCs w:val="18"/>
                <w:color w:val="auto"/>
              </w:rPr>
              <w:t>87.7</w:t>
            </w:r>
          </w:p>
        </w:tc>
        <w:tc>
          <w:tcPr>
            <w:tcW w:w="420" w:type="dxa"/>
            <w:vAlign w:val="bottom"/>
            <w:gridSpan w:val="2"/>
          </w:tcPr>
          <w:p>
            <w:pPr>
              <w:jc w:val="right"/>
              <w:ind w:right="188"/>
              <w:spacing w:after="0"/>
              <w:rPr>
                <w:sz w:val="20"/>
                <w:szCs w:val="20"/>
                <w:color w:val="auto"/>
              </w:rPr>
            </w:pPr>
            <w:r>
              <w:rPr>
                <w:rFonts w:ascii="Arial" w:cs="Arial" w:eastAsia="Arial" w:hAnsi="Arial"/>
                <w:sz w:val="18"/>
                <w:szCs w:val="18"/>
                <w:color w:val="auto"/>
              </w:rPr>
              <w:t>$</w:t>
            </w:r>
          </w:p>
        </w:tc>
        <w:tc>
          <w:tcPr>
            <w:tcW w:w="1320" w:type="dxa"/>
            <w:vAlign w:val="bottom"/>
            <w:gridSpan w:val="2"/>
          </w:tcPr>
          <w:p>
            <w:pPr>
              <w:jc w:val="right"/>
              <w:ind w:right="22"/>
              <w:spacing w:after="0"/>
              <w:rPr>
                <w:sz w:val="20"/>
                <w:szCs w:val="20"/>
                <w:color w:val="auto"/>
              </w:rPr>
            </w:pPr>
            <w:r>
              <w:rPr>
                <w:rFonts w:ascii="Arial" w:cs="Arial" w:eastAsia="Arial" w:hAnsi="Arial"/>
                <w:sz w:val="18"/>
                <w:szCs w:val="18"/>
                <w:color w:val="auto"/>
              </w:rPr>
              <w:t>2.2</w:t>
            </w: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9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42.1</w:t>
            </w: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43.1</w:t>
            </w: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Amortization and write-off of deferred financing fees</w:t>
            </w:r>
          </w:p>
        </w:tc>
        <w:tc>
          <w:tcPr>
            <w:tcW w:w="980" w:type="dxa"/>
            <w:vAlign w:val="bottom"/>
          </w:tcPr>
          <w:p>
            <w:pPr>
              <w:spacing w:after="0"/>
              <w:rPr>
                <w:sz w:val="18"/>
                <w:szCs w:val="18"/>
                <w:color w:val="auto"/>
              </w:rPr>
            </w:pPr>
          </w:p>
        </w:tc>
        <w:tc>
          <w:tcPr>
            <w:tcW w:w="740" w:type="dxa"/>
            <w:vAlign w:val="bottom"/>
            <w:gridSpan w:val="2"/>
          </w:tcPr>
          <w:p>
            <w:pPr>
              <w:jc w:val="right"/>
              <w:ind w:right="62"/>
              <w:spacing w:after="0"/>
              <w:rPr>
                <w:sz w:val="20"/>
                <w:szCs w:val="20"/>
                <w:color w:val="auto"/>
              </w:rPr>
            </w:pPr>
            <w:r>
              <w:rPr>
                <w:rFonts w:ascii="Arial" w:cs="Arial" w:eastAsia="Arial" w:hAnsi="Arial"/>
                <w:sz w:val="18"/>
                <w:szCs w:val="18"/>
                <w:color w:val="auto"/>
              </w:rPr>
              <w:t>1.1</w:t>
            </w: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320" w:type="dxa"/>
            <w:vAlign w:val="bottom"/>
            <w:gridSpan w:val="2"/>
          </w:tcPr>
          <w:p>
            <w:pPr>
              <w:jc w:val="right"/>
              <w:ind w:right="22"/>
              <w:spacing w:after="0"/>
              <w:rPr>
                <w:sz w:val="20"/>
                <w:szCs w:val="20"/>
                <w:color w:val="auto"/>
              </w:rPr>
            </w:pPr>
            <w:r>
              <w:rPr>
                <w:rFonts w:ascii="Arial" w:cs="Arial" w:eastAsia="Arial" w:hAnsi="Arial"/>
                <w:sz w:val="18"/>
                <w:szCs w:val="18"/>
                <w:color w:val="auto"/>
              </w:rPr>
              <w:t>1.8</w:t>
            </w: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Net losses (gains) on disposition of assets and sale of a business</w:t>
            </w:r>
          </w:p>
        </w:tc>
        <w:tc>
          <w:tcPr>
            <w:tcW w:w="9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
              <w:spacing w:after="0"/>
              <w:rPr>
                <w:sz w:val="20"/>
                <w:szCs w:val="20"/>
                <w:color w:val="auto"/>
              </w:rPr>
            </w:pPr>
            <w:r>
              <w:rPr>
                <w:rFonts w:ascii="Arial" w:cs="Arial" w:eastAsia="Arial" w:hAnsi="Arial"/>
                <w:sz w:val="18"/>
                <w:szCs w:val="18"/>
                <w:color w:val="auto"/>
              </w:rPr>
              <w:t>(9.1)</w:t>
            </w: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(8.1)</w:t>
            </w: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Provision for expected credit losses</w:t>
            </w:r>
          </w:p>
        </w:tc>
        <w:tc>
          <w:tcPr>
            <w:tcW w:w="980" w:type="dxa"/>
            <w:vAlign w:val="bottom"/>
          </w:tcPr>
          <w:p>
            <w:pPr>
              <w:spacing w:after="0"/>
              <w:rPr>
                <w:sz w:val="18"/>
                <w:szCs w:val="18"/>
                <w:color w:val="auto"/>
              </w:rPr>
            </w:pPr>
          </w:p>
        </w:tc>
        <w:tc>
          <w:tcPr>
            <w:tcW w:w="740" w:type="dxa"/>
            <w:vAlign w:val="bottom"/>
            <w:gridSpan w:val="2"/>
          </w:tcPr>
          <w:p>
            <w:pPr>
              <w:jc w:val="right"/>
              <w:ind w:right="62"/>
              <w:spacing w:after="0"/>
              <w:rPr>
                <w:sz w:val="20"/>
                <w:szCs w:val="20"/>
                <w:color w:val="auto"/>
              </w:rPr>
            </w:pPr>
            <w:r>
              <w:rPr>
                <w:rFonts w:ascii="Arial" w:cs="Arial" w:eastAsia="Arial" w:hAnsi="Arial"/>
                <w:sz w:val="18"/>
                <w:szCs w:val="18"/>
                <w:color w:val="auto"/>
              </w:rPr>
              <w:t>4.6</w:t>
            </w: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320" w:type="dxa"/>
            <w:vAlign w:val="bottom"/>
            <w:gridSpan w:val="2"/>
          </w:tcPr>
          <w:p>
            <w:pPr>
              <w:jc w:val="right"/>
              <w:ind w:right="22"/>
              <w:spacing w:after="0"/>
              <w:rPr>
                <w:sz w:val="20"/>
                <w:szCs w:val="20"/>
                <w:color w:val="auto"/>
              </w:rPr>
            </w:pPr>
            <w:r>
              <w:rPr>
                <w:rFonts w:ascii="Arial" w:cs="Arial" w:eastAsia="Arial" w:hAnsi="Arial"/>
                <w:sz w:val="18"/>
                <w:szCs w:val="18"/>
                <w:color w:val="auto"/>
              </w:rPr>
              <w:t>11.2</w:t>
            </w: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Deferred income tax provision (benefit)</w:t>
            </w:r>
          </w:p>
        </w:tc>
        <w:tc>
          <w:tcPr>
            <w:tcW w:w="9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
              <w:spacing w:after="0"/>
              <w:rPr>
                <w:sz w:val="20"/>
                <w:szCs w:val="20"/>
                <w:color w:val="auto"/>
              </w:rPr>
            </w:pPr>
            <w:r>
              <w:rPr>
                <w:rFonts w:ascii="Arial" w:cs="Arial" w:eastAsia="Arial" w:hAnsi="Arial"/>
                <w:sz w:val="18"/>
                <w:szCs w:val="18"/>
                <w:color w:val="auto"/>
              </w:rPr>
              <w:t>(0.3)</w:t>
            </w: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(0.6)</w:t>
            </w: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Stock-based compensation</w:t>
            </w:r>
          </w:p>
        </w:tc>
        <w:tc>
          <w:tcPr>
            <w:tcW w:w="980" w:type="dxa"/>
            <w:vAlign w:val="bottom"/>
          </w:tcPr>
          <w:p>
            <w:pPr>
              <w:spacing w:after="0"/>
              <w:rPr>
                <w:sz w:val="18"/>
                <w:szCs w:val="18"/>
                <w:color w:val="auto"/>
              </w:rPr>
            </w:pPr>
          </w:p>
        </w:tc>
        <w:tc>
          <w:tcPr>
            <w:tcW w:w="740" w:type="dxa"/>
            <w:vAlign w:val="bottom"/>
            <w:gridSpan w:val="2"/>
          </w:tcPr>
          <w:p>
            <w:pPr>
              <w:jc w:val="right"/>
              <w:ind w:right="62"/>
              <w:spacing w:after="0"/>
              <w:rPr>
                <w:sz w:val="20"/>
                <w:szCs w:val="20"/>
                <w:color w:val="auto"/>
              </w:rPr>
            </w:pPr>
            <w:r>
              <w:rPr>
                <w:rFonts w:ascii="Arial" w:cs="Arial" w:eastAsia="Arial" w:hAnsi="Arial"/>
                <w:sz w:val="18"/>
                <w:szCs w:val="18"/>
                <w:color w:val="auto"/>
              </w:rPr>
              <w:t>5.7</w:t>
            </w: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320" w:type="dxa"/>
            <w:vAlign w:val="bottom"/>
            <w:gridSpan w:val="2"/>
          </w:tcPr>
          <w:p>
            <w:pPr>
              <w:jc w:val="right"/>
              <w:ind w:right="22"/>
              <w:spacing w:after="0"/>
              <w:rPr>
                <w:sz w:val="20"/>
                <w:szCs w:val="20"/>
                <w:color w:val="auto"/>
              </w:rPr>
            </w:pPr>
            <w:r>
              <w:rPr>
                <w:rFonts w:ascii="Arial" w:cs="Arial" w:eastAsia="Arial" w:hAnsi="Arial"/>
                <w:sz w:val="18"/>
                <w:szCs w:val="18"/>
                <w:color w:val="auto"/>
              </w:rPr>
              <w:t>14.9</w:t>
            </w: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Other non-cash items, net</w:t>
            </w:r>
          </w:p>
        </w:tc>
        <w:tc>
          <w:tcPr>
            <w:tcW w:w="9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1.3</w:t>
            </w: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8.4</w:t>
            </w: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Changes in operating assets and liabilities</w:t>
            </w:r>
          </w:p>
        </w:tc>
        <w:tc>
          <w:tcPr>
            <w:tcW w:w="9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Accounts receivable and related party receivable</w:t>
            </w:r>
          </w:p>
        </w:tc>
        <w:tc>
          <w:tcPr>
            <w:tcW w:w="9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
              <w:spacing w:after="0"/>
              <w:rPr>
                <w:sz w:val="20"/>
                <w:szCs w:val="20"/>
                <w:color w:val="auto"/>
              </w:rPr>
            </w:pPr>
            <w:r>
              <w:rPr>
                <w:rFonts w:ascii="Arial" w:cs="Arial" w:eastAsia="Arial" w:hAnsi="Arial"/>
                <w:sz w:val="18"/>
                <w:szCs w:val="18"/>
                <w:color w:val="auto"/>
              </w:rPr>
              <w:t>(120.1)</w:t>
            </w: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58.1</w:t>
            </w: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Inventories</w:t>
            </w:r>
          </w:p>
        </w:tc>
        <w:tc>
          <w:tcPr>
            <w:tcW w:w="980" w:type="dxa"/>
            <w:vAlign w:val="bottom"/>
          </w:tcPr>
          <w:p>
            <w:pPr>
              <w:spacing w:after="0"/>
              <w:rPr>
                <w:sz w:val="18"/>
                <w:szCs w:val="18"/>
                <w:color w:val="auto"/>
              </w:rPr>
            </w:pPr>
          </w:p>
        </w:tc>
        <w:tc>
          <w:tcPr>
            <w:tcW w:w="740" w:type="dxa"/>
            <w:vAlign w:val="bottom"/>
            <w:gridSpan w:val="2"/>
          </w:tcPr>
          <w:p>
            <w:pPr>
              <w:jc w:val="right"/>
              <w:ind w:right="2"/>
              <w:spacing w:after="0"/>
              <w:rPr>
                <w:sz w:val="20"/>
                <w:szCs w:val="20"/>
                <w:color w:val="auto"/>
              </w:rPr>
            </w:pPr>
            <w:r>
              <w:rPr>
                <w:rFonts w:ascii="Arial" w:cs="Arial" w:eastAsia="Arial" w:hAnsi="Arial"/>
                <w:sz w:val="18"/>
                <w:szCs w:val="18"/>
                <w:color w:val="auto"/>
              </w:rPr>
              <w:t>(20.4)</w:t>
            </w: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320" w:type="dxa"/>
            <w:vAlign w:val="bottom"/>
            <w:gridSpan w:val="2"/>
          </w:tcPr>
          <w:p>
            <w:pPr>
              <w:jc w:val="right"/>
              <w:ind w:right="22"/>
              <w:spacing w:after="0"/>
              <w:rPr>
                <w:sz w:val="20"/>
                <w:szCs w:val="20"/>
                <w:color w:val="auto"/>
              </w:rPr>
            </w:pPr>
            <w:r>
              <w:rPr>
                <w:rFonts w:ascii="Arial" w:cs="Arial" w:eastAsia="Arial" w:hAnsi="Arial"/>
                <w:sz w:val="18"/>
                <w:szCs w:val="18"/>
                <w:color w:val="auto"/>
              </w:rPr>
              <w:t>65.3</w:t>
            </w: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Other current assets</w:t>
            </w:r>
          </w:p>
        </w:tc>
        <w:tc>
          <w:tcPr>
            <w:tcW w:w="9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
              <w:spacing w:after="0"/>
              <w:rPr>
                <w:sz w:val="20"/>
                <w:szCs w:val="20"/>
                <w:color w:val="auto"/>
              </w:rPr>
            </w:pPr>
            <w:r>
              <w:rPr>
                <w:rFonts w:ascii="Arial" w:cs="Arial" w:eastAsia="Arial" w:hAnsi="Arial"/>
                <w:sz w:val="18"/>
                <w:szCs w:val="18"/>
                <w:color w:val="auto"/>
              </w:rPr>
              <w:t>(5.8)</w:t>
            </w: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0.6</w:t>
            </w: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Accounts payable and related party payable</w:t>
            </w:r>
          </w:p>
        </w:tc>
        <w:tc>
          <w:tcPr>
            <w:tcW w:w="980" w:type="dxa"/>
            <w:vAlign w:val="bottom"/>
          </w:tcPr>
          <w:p>
            <w:pPr>
              <w:spacing w:after="0"/>
              <w:rPr>
                <w:sz w:val="18"/>
                <w:szCs w:val="18"/>
                <w:color w:val="auto"/>
              </w:rPr>
            </w:pPr>
          </w:p>
        </w:tc>
        <w:tc>
          <w:tcPr>
            <w:tcW w:w="740" w:type="dxa"/>
            <w:vAlign w:val="bottom"/>
            <w:gridSpan w:val="2"/>
          </w:tcPr>
          <w:p>
            <w:pPr>
              <w:jc w:val="right"/>
              <w:ind w:right="62"/>
              <w:spacing w:after="0"/>
              <w:rPr>
                <w:sz w:val="20"/>
                <w:szCs w:val="20"/>
                <w:color w:val="auto"/>
              </w:rPr>
            </w:pPr>
            <w:r>
              <w:rPr>
                <w:rFonts w:ascii="Arial" w:cs="Arial" w:eastAsia="Arial" w:hAnsi="Arial"/>
                <w:sz w:val="18"/>
                <w:szCs w:val="18"/>
                <w:color w:val="auto"/>
              </w:rPr>
              <w:t>97.7</w:t>
            </w: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320" w:type="dxa"/>
            <w:vAlign w:val="bottom"/>
            <w:gridSpan w:val="2"/>
          </w:tcPr>
          <w:p>
            <w:pPr>
              <w:jc w:val="right"/>
              <w:ind w:right="22"/>
              <w:spacing w:after="0"/>
              <w:rPr>
                <w:sz w:val="20"/>
                <w:szCs w:val="20"/>
                <w:color w:val="auto"/>
              </w:rPr>
            </w:pPr>
            <w:r>
              <w:rPr>
                <w:rFonts w:ascii="Arial" w:cs="Arial" w:eastAsia="Arial" w:hAnsi="Arial"/>
                <w:sz w:val="18"/>
                <w:szCs w:val="18"/>
                <w:color w:val="auto"/>
              </w:rPr>
              <w:t>52.8</w:t>
            </w: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Accrued payroll and benefits</w:t>
            </w:r>
          </w:p>
        </w:tc>
        <w:tc>
          <w:tcPr>
            <w:tcW w:w="9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10.3</w:t>
            </w: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12.6</w:t>
            </w: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Other accrued liabilities</w:t>
            </w:r>
          </w:p>
        </w:tc>
        <w:tc>
          <w:tcPr>
            <w:tcW w:w="980" w:type="dxa"/>
            <w:vAlign w:val="bottom"/>
          </w:tcPr>
          <w:p>
            <w:pPr>
              <w:spacing w:after="0"/>
              <w:rPr>
                <w:sz w:val="18"/>
                <w:szCs w:val="18"/>
                <w:color w:val="auto"/>
              </w:rPr>
            </w:pPr>
          </w:p>
        </w:tc>
        <w:tc>
          <w:tcPr>
            <w:tcW w:w="740" w:type="dxa"/>
            <w:vAlign w:val="bottom"/>
            <w:gridSpan w:val="2"/>
          </w:tcPr>
          <w:p>
            <w:pPr>
              <w:jc w:val="right"/>
              <w:ind w:right="2"/>
              <w:spacing w:after="0"/>
              <w:rPr>
                <w:sz w:val="20"/>
                <w:szCs w:val="20"/>
                <w:color w:val="auto"/>
              </w:rPr>
            </w:pPr>
            <w:r>
              <w:rPr>
                <w:rFonts w:ascii="Arial" w:cs="Arial" w:eastAsia="Arial" w:hAnsi="Arial"/>
                <w:sz w:val="18"/>
                <w:szCs w:val="18"/>
                <w:color w:val="auto"/>
              </w:rPr>
              <w:t>(11.6)</w:t>
            </w: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320" w:type="dxa"/>
            <w:vAlign w:val="bottom"/>
            <w:gridSpan w:val="2"/>
          </w:tcPr>
          <w:p>
            <w:pPr>
              <w:jc w:val="right"/>
              <w:ind w:right="22"/>
              <w:spacing w:after="0"/>
              <w:rPr>
                <w:sz w:val="20"/>
                <w:szCs w:val="20"/>
                <w:color w:val="auto"/>
              </w:rPr>
            </w:pPr>
            <w:r>
              <w:rPr>
                <w:rFonts w:ascii="Arial" w:cs="Arial" w:eastAsia="Arial" w:hAnsi="Arial"/>
                <w:sz w:val="18"/>
                <w:szCs w:val="18"/>
                <w:color w:val="auto"/>
              </w:rPr>
              <w:t>1.6</w:t>
            </w:r>
          </w:p>
        </w:tc>
      </w:tr>
      <w:tr>
        <w:trPr>
          <w:trHeight w:val="227"/>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980" w:type="dxa"/>
            <w:vAlign w:val="bottom"/>
            <w:shd w:val="clear" w:color="auto" w:fill="CCEEFF"/>
          </w:tcPr>
          <w:p>
            <w:pPr>
              <w:spacing w:after="0"/>
              <w:rPr>
                <w:sz w:val="19"/>
                <w:szCs w:val="19"/>
                <w:color w:val="auto"/>
              </w:rPr>
            </w:pPr>
          </w:p>
        </w:tc>
        <w:tc>
          <w:tcPr>
            <w:tcW w:w="74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8.4</w:t>
            </w:r>
          </w:p>
        </w:tc>
        <w:tc>
          <w:tcPr>
            <w:tcW w:w="8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13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16.8</w:t>
            </w:r>
          </w:p>
        </w:tc>
      </w:tr>
      <w:tr>
        <w:trPr>
          <w:trHeight w:val="207"/>
        </w:trPr>
        <w:tc>
          <w:tcPr>
            <w:tcW w:w="778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Net cash provided by (used for) operating activities</w:t>
            </w:r>
          </w:p>
        </w:tc>
        <w:tc>
          <w:tcPr>
            <w:tcW w:w="980" w:type="dxa"/>
            <w:vAlign w:val="bottom"/>
            <w:tcBorders>
              <w:top w:val="single" w:sz="8" w:color="auto"/>
              <w:bottom w:val="single" w:sz="8" w:color="auto"/>
            </w:tcBorders>
          </w:tcPr>
          <w:p>
            <w:pPr>
              <w:spacing w:after="0"/>
              <w:rPr>
                <w:sz w:val="17"/>
                <w:szCs w:val="17"/>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91.6</w:t>
            </w:r>
          </w:p>
        </w:tc>
        <w:tc>
          <w:tcPr>
            <w:tcW w:w="140" w:type="dxa"/>
            <w:vAlign w:val="bottom"/>
            <w:tcBorders>
              <w:bottom w:val="single" w:sz="8" w:color="CCEEFF"/>
            </w:tcBorders>
          </w:tcPr>
          <w:p>
            <w:pPr>
              <w:spacing w:after="0"/>
              <w:rPr>
                <w:sz w:val="17"/>
                <w:szCs w:val="17"/>
                <w:color w:val="auto"/>
              </w:rPr>
            </w:pPr>
          </w:p>
        </w:tc>
        <w:tc>
          <w:tcPr>
            <w:tcW w:w="80" w:type="dxa"/>
            <w:vAlign w:val="bottom"/>
            <w:tcBorders>
              <w:bottom w:val="single" w:sz="8" w:color="CCEEFF"/>
            </w:tcBorders>
          </w:tcPr>
          <w:p>
            <w:pPr>
              <w:spacing w:after="0"/>
              <w:rPr>
                <w:sz w:val="17"/>
                <w:szCs w:val="17"/>
                <w:color w:val="auto"/>
              </w:rPr>
            </w:pPr>
          </w:p>
        </w:tc>
        <w:tc>
          <w:tcPr>
            <w:tcW w:w="340" w:type="dxa"/>
            <w:vAlign w:val="bottom"/>
            <w:tcBorders>
              <w:top w:val="single" w:sz="8" w:color="auto"/>
              <w:bottom w:val="single" w:sz="8" w:color="auto"/>
            </w:tcBorders>
          </w:tcPr>
          <w:p>
            <w:pPr>
              <w:spacing w:after="0"/>
              <w:rPr>
                <w:sz w:val="17"/>
                <w:szCs w:val="17"/>
                <w:color w:val="auto"/>
              </w:rPr>
            </w:pP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280.7</w:t>
            </w:r>
          </w:p>
        </w:tc>
        <w:tc>
          <w:tcPr>
            <w:tcW w:w="100" w:type="dxa"/>
            <w:vAlign w:val="bottom"/>
            <w:tcBorders>
              <w:bottom w:val="single" w:sz="8" w:color="CCEEFF"/>
            </w:tcBorders>
          </w:tcPr>
          <w:p>
            <w:pPr>
              <w:spacing w:after="0"/>
              <w:rPr>
                <w:sz w:val="17"/>
                <w:szCs w:val="17"/>
                <w:color w:val="auto"/>
              </w:rPr>
            </w:pPr>
          </w:p>
        </w:tc>
      </w:tr>
      <w:tr>
        <w:trPr>
          <w:trHeight w:val="207"/>
        </w:trPr>
        <w:tc>
          <w:tcPr>
            <w:tcW w:w="77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Investing activities</w:t>
            </w:r>
          </w:p>
        </w:tc>
        <w:tc>
          <w:tcPr>
            <w:tcW w:w="98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Property and equipment additions</w:t>
            </w:r>
          </w:p>
        </w:tc>
        <w:tc>
          <w:tcPr>
            <w:tcW w:w="980" w:type="dxa"/>
            <w:vAlign w:val="bottom"/>
          </w:tcPr>
          <w:p>
            <w:pPr>
              <w:spacing w:after="0"/>
              <w:rPr>
                <w:sz w:val="18"/>
                <w:szCs w:val="18"/>
                <w:color w:val="auto"/>
              </w:rPr>
            </w:pPr>
          </w:p>
        </w:tc>
        <w:tc>
          <w:tcPr>
            <w:tcW w:w="740" w:type="dxa"/>
            <w:vAlign w:val="bottom"/>
            <w:gridSpan w:val="2"/>
          </w:tcPr>
          <w:p>
            <w:pPr>
              <w:jc w:val="right"/>
              <w:ind w:right="2"/>
              <w:spacing w:after="0"/>
              <w:rPr>
                <w:sz w:val="20"/>
                <w:szCs w:val="20"/>
                <w:color w:val="auto"/>
              </w:rPr>
            </w:pPr>
            <w:r>
              <w:rPr>
                <w:rFonts w:ascii="Arial" w:cs="Arial" w:eastAsia="Arial" w:hAnsi="Arial"/>
                <w:sz w:val="18"/>
                <w:szCs w:val="18"/>
                <w:color w:val="auto"/>
              </w:rPr>
              <w:t>(14.1)</w:t>
            </w: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320" w:type="dxa"/>
            <w:vAlign w:val="bottom"/>
            <w:gridSpan w:val="2"/>
          </w:tcPr>
          <w:p>
            <w:pPr>
              <w:jc w:val="right"/>
              <w:spacing w:after="0"/>
              <w:rPr>
                <w:sz w:val="20"/>
                <w:szCs w:val="20"/>
                <w:color w:val="auto"/>
              </w:rPr>
            </w:pPr>
            <w:r>
              <w:rPr>
                <w:rFonts w:ascii="Arial" w:cs="Arial" w:eastAsia="Arial" w:hAnsi="Arial"/>
                <w:sz w:val="18"/>
                <w:szCs w:val="18"/>
                <w:color w:val="auto"/>
              </w:rPr>
              <w:t>(19.8)</w:t>
            </w:r>
          </w:p>
        </w:tc>
      </w:tr>
      <w:tr>
        <w:trPr>
          <w:trHeight w:val="227"/>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Proceeds from asset sales and sale of a business</w:t>
            </w:r>
          </w:p>
        </w:tc>
        <w:tc>
          <w:tcPr>
            <w:tcW w:w="980" w:type="dxa"/>
            <w:vAlign w:val="bottom"/>
            <w:shd w:val="clear" w:color="auto" w:fill="CCEEFF"/>
          </w:tcPr>
          <w:p>
            <w:pPr>
              <w:spacing w:after="0"/>
              <w:rPr>
                <w:sz w:val="19"/>
                <w:szCs w:val="19"/>
                <w:color w:val="auto"/>
              </w:rPr>
            </w:pPr>
          </w:p>
        </w:tc>
        <w:tc>
          <w:tcPr>
            <w:tcW w:w="74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15.8</w:t>
            </w:r>
          </w:p>
        </w:tc>
        <w:tc>
          <w:tcPr>
            <w:tcW w:w="8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13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12.0</w:t>
            </w:r>
          </w:p>
        </w:tc>
      </w:tr>
      <w:tr>
        <w:trPr>
          <w:trHeight w:val="207"/>
        </w:trPr>
        <w:tc>
          <w:tcPr>
            <w:tcW w:w="778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Net cash provided by (used for) investing activities</w:t>
            </w:r>
          </w:p>
        </w:tc>
        <w:tc>
          <w:tcPr>
            <w:tcW w:w="980" w:type="dxa"/>
            <w:vAlign w:val="bottom"/>
            <w:tcBorders>
              <w:top w:val="single" w:sz="8" w:color="auto"/>
              <w:bottom w:val="single" w:sz="8" w:color="auto"/>
            </w:tcBorders>
          </w:tcPr>
          <w:p>
            <w:pPr>
              <w:spacing w:after="0"/>
              <w:rPr>
                <w:sz w:val="17"/>
                <w:szCs w:val="17"/>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w:t>
            </w:r>
          </w:p>
        </w:tc>
        <w:tc>
          <w:tcPr>
            <w:tcW w:w="140" w:type="dxa"/>
            <w:vAlign w:val="bottom"/>
            <w:tcBorders>
              <w:bottom w:val="single" w:sz="8" w:color="CCEEFF"/>
            </w:tcBorders>
          </w:tcPr>
          <w:p>
            <w:pPr>
              <w:spacing w:after="0"/>
              <w:rPr>
                <w:sz w:val="17"/>
                <w:szCs w:val="17"/>
                <w:color w:val="auto"/>
              </w:rPr>
            </w:pPr>
          </w:p>
        </w:tc>
        <w:tc>
          <w:tcPr>
            <w:tcW w:w="80" w:type="dxa"/>
            <w:vAlign w:val="bottom"/>
            <w:tcBorders>
              <w:bottom w:val="single" w:sz="8" w:color="CCEEFF"/>
            </w:tcBorders>
          </w:tcPr>
          <w:p>
            <w:pPr>
              <w:spacing w:after="0"/>
              <w:rPr>
                <w:sz w:val="17"/>
                <w:szCs w:val="17"/>
                <w:color w:val="auto"/>
              </w:rPr>
            </w:pPr>
          </w:p>
        </w:tc>
        <w:tc>
          <w:tcPr>
            <w:tcW w:w="340" w:type="dxa"/>
            <w:vAlign w:val="bottom"/>
            <w:tcBorders>
              <w:top w:val="single" w:sz="8" w:color="auto"/>
              <w:bottom w:val="single" w:sz="8" w:color="auto"/>
            </w:tcBorders>
          </w:tcPr>
          <w:p>
            <w:pPr>
              <w:spacing w:after="0"/>
              <w:rPr>
                <w:sz w:val="17"/>
                <w:szCs w:val="17"/>
                <w:color w:val="auto"/>
              </w:rPr>
            </w:pP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(7.8</w:t>
            </w:r>
          </w:p>
        </w:tc>
        <w:tc>
          <w:tcPr>
            <w:tcW w:w="100" w:type="dxa"/>
            <w:vAlign w:val="bottom"/>
            <w:tcBorders>
              <w:bottom w:val="single" w:sz="8" w:color="CCEEFF"/>
            </w:tcBorders>
          </w:tcPr>
          <w:p>
            <w:pPr>
              <w:jc w:val="right"/>
              <w:spacing w:after="0"/>
              <w:rPr>
                <w:sz w:val="20"/>
                <w:szCs w:val="20"/>
                <w:color w:val="auto"/>
              </w:rPr>
            </w:pPr>
            <w:r>
              <w:rPr>
                <w:rFonts w:ascii="Arial" w:cs="Arial" w:eastAsia="Arial" w:hAnsi="Arial"/>
                <w:sz w:val="16"/>
                <w:szCs w:val="16"/>
                <w:color w:val="auto"/>
                <w:w w:val="74"/>
              </w:rPr>
              <w:t>)</w:t>
            </w:r>
          </w:p>
        </w:tc>
      </w:tr>
      <w:tr>
        <w:trPr>
          <w:trHeight w:val="207"/>
        </w:trPr>
        <w:tc>
          <w:tcPr>
            <w:tcW w:w="77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Financing activities</w:t>
            </w:r>
          </w:p>
        </w:tc>
        <w:tc>
          <w:tcPr>
            <w:tcW w:w="98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Change in book overdrafts</w:t>
            </w:r>
          </w:p>
        </w:tc>
        <w:tc>
          <w:tcPr>
            <w:tcW w:w="980" w:type="dxa"/>
            <w:vAlign w:val="bottom"/>
          </w:tcPr>
          <w:p>
            <w:pPr>
              <w:spacing w:after="0"/>
              <w:rPr>
                <w:sz w:val="18"/>
                <w:szCs w:val="18"/>
                <w:color w:val="auto"/>
              </w:rPr>
            </w:pPr>
          </w:p>
        </w:tc>
        <w:tc>
          <w:tcPr>
            <w:tcW w:w="740" w:type="dxa"/>
            <w:vAlign w:val="bottom"/>
            <w:gridSpan w:val="2"/>
          </w:tcPr>
          <w:p>
            <w:pPr>
              <w:jc w:val="right"/>
              <w:ind w:right="2"/>
              <w:spacing w:after="0"/>
              <w:rPr>
                <w:sz w:val="20"/>
                <w:szCs w:val="20"/>
                <w:color w:val="auto"/>
              </w:rPr>
            </w:pPr>
            <w:r>
              <w:rPr>
                <w:rFonts w:ascii="Arial" w:cs="Arial" w:eastAsia="Arial" w:hAnsi="Arial"/>
                <w:sz w:val="18"/>
                <w:szCs w:val="18"/>
                <w:color w:val="auto"/>
              </w:rPr>
              <w:t>(0.9)</w:t>
            </w: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320" w:type="dxa"/>
            <w:vAlign w:val="bottom"/>
            <w:gridSpan w:val="2"/>
          </w:tcPr>
          <w:p>
            <w:pPr>
              <w:jc w:val="right"/>
              <w:spacing w:after="0"/>
              <w:rPr>
                <w:sz w:val="20"/>
                <w:szCs w:val="20"/>
                <w:color w:val="auto"/>
              </w:rPr>
            </w:pPr>
            <w:r>
              <w:rPr>
                <w:rFonts w:ascii="Arial" w:cs="Arial" w:eastAsia="Arial" w:hAnsi="Arial"/>
                <w:sz w:val="18"/>
                <w:szCs w:val="18"/>
                <w:color w:val="auto"/>
              </w:rPr>
              <w:t>(30.1)</w:t>
            </w: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Borrowings of long-term debt</w:t>
            </w:r>
          </w:p>
        </w:tc>
        <w:tc>
          <w:tcPr>
            <w:tcW w:w="9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w w:val="96"/>
              </w:rPr>
              <w:t>4,353.6</w:t>
            </w: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4,100.6</w:t>
            </w: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Repayments of long-term debt</w:t>
            </w:r>
          </w:p>
        </w:tc>
        <w:tc>
          <w:tcPr>
            <w:tcW w:w="980" w:type="dxa"/>
            <w:vAlign w:val="bottom"/>
          </w:tcPr>
          <w:p>
            <w:pPr>
              <w:spacing w:after="0"/>
              <w:rPr>
                <w:sz w:val="18"/>
                <w:szCs w:val="18"/>
                <w:color w:val="auto"/>
              </w:rPr>
            </w:pPr>
          </w:p>
        </w:tc>
        <w:tc>
          <w:tcPr>
            <w:tcW w:w="740" w:type="dxa"/>
            <w:vAlign w:val="bottom"/>
            <w:gridSpan w:val="2"/>
          </w:tcPr>
          <w:p>
            <w:pPr>
              <w:jc w:val="right"/>
              <w:ind w:right="2"/>
              <w:spacing w:after="0"/>
              <w:rPr>
                <w:sz w:val="20"/>
                <w:szCs w:val="20"/>
                <w:color w:val="auto"/>
              </w:rPr>
            </w:pPr>
            <w:r>
              <w:rPr>
                <w:rFonts w:ascii="Arial" w:cs="Arial" w:eastAsia="Arial" w:hAnsi="Arial"/>
                <w:sz w:val="18"/>
                <w:szCs w:val="18"/>
                <w:color w:val="auto"/>
                <w:w w:val="88"/>
              </w:rPr>
              <w:t>(4,401.1)</w:t>
            </w: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320" w:type="dxa"/>
            <w:vAlign w:val="bottom"/>
            <w:gridSpan w:val="2"/>
          </w:tcPr>
          <w:p>
            <w:pPr>
              <w:jc w:val="right"/>
              <w:spacing w:after="0"/>
              <w:rPr>
                <w:sz w:val="20"/>
                <w:szCs w:val="20"/>
                <w:color w:val="auto"/>
              </w:rPr>
            </w:pPr>
            <w:r>
              <w:rPr>
                <w:rFonts w:ascii="Arial" w:cs="Arial" w:eastAsia="Arial" w:hAnsi="Arial"/>
                <w:sz w:val="18"/>
                <w:szCs w:val="18"/>
                <w:color w:val="auto"/>
              </w:rPr>
              <w:t>(4,252.0)</w:t>
            </w: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Payments under right-of-use finance leases</w:t>
            </w:r>
          </w:p>
        </w:tc>
        <w:tc>
          <w:tcPr>
            <w:tcW w:w="9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
              <w:spacing w:after="0"/>
              <w:rPr>
                <w:sz w:val="20"/>
                <w:szCs w:val="20"/>
                <w:color w:val="auto"/>
              </w:rPr>
            </w:pPr>
            <w:r>
              <w:rPr>
                <w:rFonts w:ascii="Arial" w:cs="Arial" w:eastAsia="Arial" w:hAnsi="Arial"/>
                <w:sz w:val="18"/>
                <w:szCs w:val="18"/>
                <w:color w:val="auto"/>
              </w:rPr>
              <w:t>(10.2)</w:t>
            </w: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(9.5)</w:t>
            </w: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Deferred financing fees</w:t>
            </w:r>
          </w:p>
        </w:tc>
        <w:tc>
          <w:tcPr>
            <w:tcW w:w="980" w:type="dxa"/>
            <w:vAlign w:val="bottom"/>
          </w:tcPr>
          <w:p>
            <w:pPr>
              <w:spacing w:after="0"/>
              <w:rPr>
                <w:sz w:val="18"/>
                <w:szCs w:val="18"/>
                <w:color w:val="auto"/>
              </w:rPr>
            </w:pPr>
          </w:p>
        </w:tc>
        <w:tc>
          <w:tcPr>
            <w:tcW w:w="740" w:type="dxa"/>
            <w:vAlign w:val="bottom"/>
            <w:gridSpan w:val="2"/>
          </w:tcPr>
          <w:p>
            <w:pPr>
              <w:jc w:val="right"/>
              <w:ind w:right="2"/>
              <w:spacing w:after="0"/>
              <w:rPr>
                <w:sz w:val="20"/>
                <w:szCs w:val="20"/>
                <w:color w:val="auto"/>
              </w:rPr>
            </w:pPr>
            <w:r>
              <w:rPr>
                <w:rFonts w:ascii="Arial" w:cs="Arial" w:eastAsia="Arial" w:hAnsi="Arial"/>
                <w:sz w:val="18"/>
                <w:szCs w:val="18"/>
                <w:color w:val="auto"/>
              </w:rPr>
              <w:t>(3.3)</w:t>
            </w: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320" w:type="dxa"/>
            <w:vAlign w:val="bottom"/>
            <w:gridSpan w:val="2"/>
          </w:tcPr>
          <w:p>
            <w:pPr>
              <w:jc w:val="right"/>
              <w:spacing w:after="0"/>
              <w:rPr>
                <w:sz w:val="20"/>
                <w:szCs w:val="20"/>
                <w:color w:val="auto"/>
              </w:rPr>
            </w:pPr>
            <w:r>
              <w:rPr>
                <w:rFonts w:ascii="Arial" w:cs="Arial" w:eastAsia="Arial" w:hAnsi="Arial"/>
                <w:sz w:val="18"/>
                <w:szCs w:val="18"/>
                <w:color w:val="auto"/>
              </w:rPr>
              <w:t>(3.4)</w:t>
            </w: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Purchase of treasury stock</w:t>
            </w:r>
          </w:p>
        </w:tc>
        <w:tc>
          <w:tcPr>
            <w:tcW w:w="9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
              <w:spacing w:after="0"/>
              <w:rPr>
                <w:sz w:val="20"/>
                <w:szCs w:val="20"/>
                <w:color w:val="auto"/>
              </w:rPr>
            </w:pPr>
            <w:r>
              <w:rPr>
                <w:rFonts w:ascii="Arial" w:cs="Arial" w:eastAsia="Arial" w:hAnsi="Arial"/>
                <w:sz w:val="18"/>
                <w:szCs w:val="18"/>
                <w:color w:val="auto"/>
              </w:rPr>
              <w:t>(100.0)</w:t>
            </w: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w:t>
            </w: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Payments under Tax Receivable Agreement</w:t>
            </w:r>
          </w:p>
        </w:tc>
        <w:tc>
          <w:tcPr>
            <w:tcW w:w="980" w:type="dxa"/>
            <w:vAlign w:val="bottom"/>
          </w:tcPr>
          <w:p>
            <w:pPr>
              <w:spacing w:after="0"/>
              <w:rPr>
                <w:sz w:val="18"/>
                <w:szCs w:val="18"/>
                <w:color w:val="auto"/>
              </w:rPr>
            </w:pPr>
          </w:p>
        </w:tc>
        <w:tc>
          <w:tcPr>
            <w:tcW w:w="740" w:type="dxa"/>
            <w:vAlign w:val="bottom"/>
            <w:gridSpan w:val="2"/>
          </w:tcPr>
          <w:p>
            <w:pPr>
              <w:jc w:val="right"/>
              <w:ind w:right="62"/>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320" w:type="dxa"/>
            <w:vAlign w:val="bottom"/>
            <w:gridSpan w:val="2"/>
          </w:tcPr>
          <w:p>
            <w:pPr>
              <w:jc w:val="right"/>
              <w:spacing w:after="0"/>
              <w:rPr>
                <w:sz w:val="20"/>
                <w:szCs w:val="20"/>
                <w:color w:val="auto"/>
              </w:rPr>
            </w:pPr>
            <w:r>
              <w:rPr>
                <w:rFonts w:ascii="Arial" w:cs="Arial" w:eastAsia="Arial" w:hAnsi="Arial"/>
                <w:sz w:val="18"/>
                <w:szCs w:val="18"/>
                <w:color w:val="auto"/>
              </w:rPr>
              <w:t>(0.3)</w:t>
            </w:r>
          </w:p>
        </w:tc>
      </w:tr>
      <w:tr>
        <w:trPr>
          <w:trHeight w:val="227"/>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980" w:type="dxa"/>
            <w:vAlign w:val="bottom"/>
            <w:shd w:val="clear" w:color="auto" w:fill="CCEEFF"/>
          </w:tcPr>
          <w:p>
            <w:pPr>
              <w:spacing w:after="0"/>
              <w:rPr>
                <w:sz w:val="19"/>
                <w:szCs w:val="19"/>
                <w:color w:val="auto"/>
              </w:rPr>
            </w:pPr>
          </w:p>
        </w:tc>
        <w:tc>
          <w:tcPr>
            <w:tcW w:w="740" w:type="dxa"/>
            <w:vAlign w:val="bottom"/>
            <w:gridSpan w:val="2"/>
            <w:shd w:val="clear" w:color="auto" w:fill="CCEEFF"/>
          </w:tcPr>
          <w:p>
            <w:pPr>
              <w:jc w:val="right"/>
              <w:ind w:right="2"/>
              <w:spacing w:after="0"/>
              <w:rPr>
                <w:sz w:val="20"/>
                <w:szCs w:val="20"/>
                <w:color w:val="auto"/>
              </w:rPr>
            </w:pPr>
            <w:r>
              <w:rPr>
                <w:rFonts w:ascii="Arial" w:cs="Arial" w:eastAsia="Arial" w:hAnsi="Arial"/>
                <w:sz w:val="18"/>
                <w:szCs w:val="18"/>
                <w:color w:val="auto"/>
              </w:rPr>
              <w:t>(8.2)</w:t>
            </w:r>
          </w:p>
        </w:tc>
        <w:tc>
          <w:tcPr>
            <w:tcW w:w="8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(0.3)</w:t>
            </w:r>
          </w:p>
        </w:tc>
      </w:tr>
      <w:tr>
        <w:trPr>
          <w:trHeight w:val="207"/>
        </w:trPr>
        <w:tc>
          <w:tcPr>
            <w:tcW w:w="778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Net cash provided by (used for) financing activities</w:t>
            </w:r>
          </w:p>
        </w:tc>
        <w:tc>
          <w:tcPr>
            <w:tcW w:w="980" w:type="dxa"/>
            <w:vAlign w:val="bottom"/>
            <w:tcBorders>
              <w:top w:val="single" w:sz="8" w:color="auto"/>
              <w:bottom w:val="single" w:sz="8" w:color="auto"/>
            </w:tcBorders>
          </w:tcPr>
          <w:p>
            <w:pPr>
              <w:spacing w:after="0"/>
              <w:rPr>
                <w:sz w:val="17"/>
                <w:szCs w:val="17"/>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(170.1</w:t>
            </w:r>
          </w:p>
        </w:tc>
        <w:tc>
          <w:tcPr>
            <w:tcW w:w="140" w:type="dxa"/>
            <w:vAlign w:val="bottom"/>
            <w:tcBorders>
              <w:bottom w:val="single" w:sz="8" w:color="CCEEFF"/>
            </w:tcBorders>
          </w:tcPr>
          <w:p>
            <w:pPr>
              <w:jc w:val="right"/>
              <w:ind w:right="2"/>
              <w:spacing w:after="0"/>
              <w:rPr>
                <w:sz w:val="20"/>
                <w:szCs w:val="20"/>
                <w:color w:val="auto"/>
              </w:rPr>
            </w:pPr>
            <w:r>
              <w:rPr>
                <w:rFonts w:ascii="Arial" w:cs="Arial" w:eastAsia="Arial" w:hAnsi="Arial"/>
                <w:sz w:val="16"/>
                <w:szCs w:val="16"/>
                <w:color w:val="auto"/>
                <w:w w:val="74"/>
              </w:rPr>
              <w:t>)</w:t>
            </w:r>
          </w:p>
        </w:tc>
        <w:tc>
          <w:tcPr>
            <w:tcW w:w="80" w:type="dxa"/>
            <w:vAlign w:val="bottom"/>
            <w:tcBorders>
              <w:bottom w:val="single" w:sz="8" w:color="CCEEFF"/>
            </w:tcBorders>
          </w:tcPr>
          <w:p>
            <w:pPr>
              <w:spacing w:after="0"/>
              <w:rPr>
                <w:sz w:val="17"/>
                <w:szCs w:val="17"/>
                <w:color w:val="auto"/>
              </w:rPr>
            </w:pPr>
          </w:p>
        </w:tc>
        <w:tc>
          <w:tcPr>
            <w:tcW w:w="340" w:type="dxa"/>
            <w:vAlign w:val="bottom"/>
            <w:tcBorders>
              <w:top w:val="single" w:sz="8" w:color="auto"/>
              <w:bottom w:val="single" w:sz="8" w:color="auto"/>
            </w:tcBorders>
          </w:tcPr>
          <w:p>
            <w:pPr>
              <w:spacing w:after="0"/>
              <w:rPr>
                <w:sz w:val="17"/>
                <w:szCs w:val="17"/>
                <w:color w:val="auto"/>
              </w:rPr>
            </w:pP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(198.5</w:t>
            </w:r>
          </w:p>
        </w:tc>
        <w:tc>
          <w:tcPr>
            <w:tcW w:w="100" w:type="dxa"/>
            <w:vAlign w:val="bottom"/>
            <w:tcBorders>
              <w:bottom w:val="single" w:sz="8" w:color="CCEEFF"/>
            </w:tcBorders>
          </w:tcPr>
          <w:p>
            <w:pPr>
              <w:jc w:val="right"/>
              <w:spacing w:after="0"/>
              <w:rPr>
                <w:sz w:val="20"/>
                <w:szCs w:val="20"/>
                <w:color w:val="auto"/>
              </w:rPr>
            </w:pPr>
            <w:r>
              <w:rPr>
                <w:rFonts w:ascii="Arial" w:cs="Arial" w:eastAsia="Arial" w:hAnsi="Arial"/>
                <w:sz w:val="16"/>
                <w:szCs w:val="16"/>
                <w:color w:val="auto"/>
                <w:w w:val="74"/>
              </w:rPr>
              <w:t>)</w:t>
            </w:r>
          </w:p>
        </w:tc>
      </w:tr>
      <w:tr>
        <w:trPr>
          <w:trHeight w:val="207"/>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Effect of exchange rate changes on cash</w:t>
            </w:r>
          </w:p>
        </w:tc>
        <w:tc>
          <w:tcPr>
            <w:tcW w:w="980" w:type="dxa"/>
            <w:vAlign w:val="bottom"/>
            <w:tcBorders>
              <w:bottom w:val="single" w:sz="8" w:color="auto"/>
            </w:tcBorders>
            <w:shd w:val="clear" w:color="auto" w:fill="CCEEFF"/>
          </w:tcPr>
          <w:p>
            <w:pPr>
              <w:spacing w:after="0"/>
              <w:rPr>
                <w:sz w:val="17"/>
                <w:szCs w:val="17"/>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(0.4</w:t>
            </w:r>
          </w:p>
        </w:tc>
        <w:tc>
          <w:tcPr>
            <w:tcW w:w="140" w:type="dxa"/>
            <w:vAlign w:val="bottom"/>
            <w:shd w:val="clear" w:color="auto" w:fill="CCEEFF"/>
          </w:tcPr>
          <w:p>
            <w:pPr>
              <w:jc w:val="right"/>
              <w:ind w:right="2"/>
              <w:spacing w:after="0"/>
              <w:rPr>
                <w:sz w:val="20"/>
                <w:szCs w:val="20"/>
                <w:color w:val="auto"/>
              </w:rPr>
            </w:pPr>
            <w:r>
              <w:rPr>
                <w:rFonts w:ascii="Arial" w:cs="Arial" w:eastAsia="Arial" w:hAnsi="Arial"/>
                <w:sz w:val="16"/>
                <w:szCs w:val="16"/>
                <w:color w:val="auto"/>
                <w:w w:val="74"/>
              </w:rPr>
              <w:t>)</w:t>
            </w:r>
          </w:p>
        </w:tc>
        <w:tc>
          <w:tcPr>
            <w:tcW w:w="80" w:type="dxa"/>
            <w:vAlign w:val="bottom"/>
            <w:shd w:val="clear" w:color="auto" w:fill="CCEEFF"/>
          </w:tcPr>
          <w:p>
            <w:pPr>
              <w:spacing w:after="0"/>
              <w:rPr>
                <w:sz w:val="17"/>
                <w:szCs w:val="17"/>
                <w:color w:val="auto"/>
              </w:rPr>
            </w:pPr>
          </w:p>
        </w:tc>
        <w:tc>
          <w:tcPr>
            <w:tcW w:w="340" w:type="dxa"/>
            <w:vAlign w:val="bottom"/>
            <w:tcBorders>
              <w:bottom w:val="single" w:sz="8" w:color="auto"/>
            </w:tcBorders>
            <w:shd w:val="clear" w:color="auto" w:fill="CCEEFF"/>
          </w:tcPr>
          <w:p>
            <w:pPr>
              <w:spacing w:after="0"/>
              <w:rPr>
                <w:sz w:val="17"/>
                <w:szCs w:val="17"/>
                <w:color w:val="auto"/>
              </w:rPr>
            </w:pP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0.1</w:t>
            </w:r>
          </w:p>
        </w:tc>
        <w:tc>
          <w:tcPr>
            <w:tcW w:w="100" w:type="dxa"/>
            <w:vAlign w:val="bottom"/>
            <w:shd w:val="clear" w:color="auto" w:fill="CCEEFF"/>
          </w:tcPr>
          <w:p>
            <w:pPr>
              <w:spacing w:after="0"/>
              <w:rPr>
                <w:sz w:val="17"/>
                <w:szCs w:val="17"/>
                <w:color w:val="auto"/>
              </w:rPr>
            </w:pPr>
          </w:p>
        </w:tc>
      </w:tr>
      <w:tr>
        <w:trPr>
          <w:trHeight w:val="207"/>
        </w:trPr>
        <w:tc>
          <w:tcPr>
            <w:tcW w:w="7780" w:type="dxa"/>
            <w:vAlign w:val="bottom"/>
          </w:tcPr>
          <w:p>
            <w:pPr>
              <w:spacing w:after="0"/>
              <w:rPr>
                <w:sz w:val="20"/>
                <w:szCs w:val="20"/>
                <w:color w:val="auto"/>
              </w:rPr>
            </w:pPr>
            <w:r>
              <w:rPr>
                <w:rFonts w:ascii="Arial" w:cs="Arial" w:eastAsia="Arial" w:hAnsi="Arial"/>
                <w:sz w:val="18"/>
                <w:szCs w:val="18"/>
                <w:color w:val="auto"/>
              </w:rPr>
              <w:t>Net change in cash and cash equivalents</w:t>
            </w:r>
          </w:p>
        </w:tc>
        <w:tc>
          <w:tcPr>
            <w:tcW w:w="980" w:type="dxa"/>
            <w:vAlign w:val="bottom"/>
          </w:tcPr>
          <w:p>
            <w:pPr>
              <w:spacing w:after="0"/>
              <w:rPr>
                <w:sz w:val="17"/>
                <w:szCs w:val="17"/>
                <w:color w:val="auto"/>
              </w:rPr>
            </w:pPr>
          </w:p>
        </w:tc>
        <w:tc>
          <w:tcPr>
            <w:tcW w:w="740" w:type="dxa"/>
            <w:vAlign w:val="bottom"/>
            <w:gridSpan w:val="2"/>
          </w:tcPr>
          <w:p>
            <w:pPr>
              <w:jc w:val="right"/>
              <w:ind w:right="2"/>
              <w:spacing w:after="0"/>
              <w:rPr>
                <w:sz w:val="20"/>
                <w:szCs w:val="20"/>
                <w:color w:val="auto"/>
              </w:rPr>
            </w:pPr>
            <w:r>
              <w:rPr>
                <w:rFonts w:ascii="Arial" w:cs="Arial" w:eastAsia="Arial" w:hAnsi="Arial"/>
                <w:sz w:val="18"/>
                <w:szCs w:val="18"/>
                <w:color w:val="auto"/>
              </w:rPr>
              <w:t>(77.2)</w:t>
            </w:r>
          </w:p>
        </w:tc>
        <w:tc>
          <w:tcPr>
            <w:tcW w:w="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74.5</w:t>
            </w:r>
          </w:p>
        </w:tc>
        <w:tc>
          <w:tcPr>
            <w:tcW w:w="100" w:type="dxa"/>
            <w:vAlign w:val="bottom"/>
          </w:tcPr>
          <w:p>
            <w:pPr>
              <w:spacing w:after="0"/>
              <w:rPr>
                <w:sz w:val="17"/>
                <w:szCs w:val="17"/>
                <w:color w:val="auto"/>
              </w:rPr>
            </w:pPr>
          </w:p>
        </w:tc>
      </w:tr>
      <w:tr>
        <w:trPr>
          <w:trHeight w:val="227"/>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 at beginning of period</w:t>
            </w:r>
          </w:p>
        </w:tc>
        <w:tc>
          <w:tcPr>
            <w:tcW w:w="980" w:type="dxa"/>
            <w:vAlign w:val="bottom"/>
            <w:shd w:val="clear" w:color="auto" w:fill="CCEEFF"/>
          </w:tcPr>
          <w:p>
            <w:pPr>
              <w:spacing w:after="0"/>
              <w:rPr>
                <w:sz w:val="19"/>
                <w:szCs w:val="19"/>
                <w:color w:val="auto"/>
              </w:rPr>
            </w:pPr>
          </w:p>
        </w:tc>
        <w:tc>
          <w:tcPr>
            <w:tcW w:w="74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120.6</w:t>
            </w:r>
          </w:p>
        </w:tc>
        <w:tc>
          <w:tcPr>
            <w:tcW w:w="8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13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38.0</w:t>
            </w:r>
          </w:p>
        </w:tc>
      </w:tr>
      <w:tr>
        <w:trPr>
          <w:trHeight w:val="260"/>
        </w:trPr>
        <w:tc>
          <w:tcPr>
            <w:tcW w:w="778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Cash and cash equivalents at end of period</w:t>
            </w:r>
          </w:p>
        </w:tc>
        <w:tc>
          <w:tcPr>
            <w:tcW w:w="980" w:type="dxa"/>
            <w:vAlign w:val="bottom"/>
            <w:tcBorders>
              <w:top w:val="single" w:sz="8" w:color="auto"/>
              <w:bottom w:val="single" w:sz="8" w:color="auto"/>
            </w:tcBorders>
          </w:tcPr>
          <w:p>
            <w:pPr>
              <w:jc w:val="right"/>
              <w:ind w:right="822"/>
              <w:spacing w:after="0"/>
              <w:rPr>
                <w:sz w:val="20"/>
                <w:szCs w:val="20"/>
                <w:color w:val="auto"/>
              </w:rPr>
            </w:pPr>
            <w:r>
              <w:rPr>
                <w:rFonts w:ascii="Arial" w:cs="Arial" w:eastAsia="Arial" w:hAnsi="Arial"/>
                <w:sz w:val="14"/>
                <w:szCs w:val="14"/>
                <w:color w:val="auto"/>
                <w:w w:val="76"/>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43.4</w:t>
            </w:r>
          </w:p>
        </w:tc>
        <w:tc>
          <w:tcPr>
            <w:tcW w:w="140" w:type="dxa"/>
            <w:vAlign w:val="bottom"/>
            <w:tcBorders>
              <w:bottom w:val="single" w:sz="8" w:color="CCEEFF"/>
            </w:tcBorders>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c>
          <w:tcPr>
            <w:tcW w:w="340" w:type="dxa"/>
            <w:vAlign w:val="bottom"/>
            <w:tcBorders>
              <w:top w:val="single" w:sz="8" w:color="auto"/>
              <w:bottom w:val="single" w:sz="8" w:color="auto"/>
            </w:tcBorders>
          </w:tcPr>
          <w:p>
            <w:pPr>
              <w:jc w:val="right"/>
              <w:ind w:right="188"/>
              <w:spacing w:after="0"/>
              <w:rPr>
                <w:sz w:val="20"/>
                <w:szCs w:val="20"/>
                <w:color w:val="auto"/>
              </w:rPr>
            </w:pPr>
            <w:r>
              <w:rPr>
                <w:rFonts w:ascii="Arial" w:cs="Arial" w:eastAsia="Arial" w:hAnsi="Arial"/>
                <w:sz w:val="14"/>
                <w:szCs w:val="14"/>
                <w:color w:val="auto"/>
                <w:w w:val="76"/>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112.5</w:t>
            </w:r>
          </w:p>
        </w:tc>
        <w:tc>
          <w:tcPr>
            <w:tcW w:w="100" w:type="dxa"/>
            <w:vAlign w:val="bottom"/>
            <w:tcBorders>
              <w:bottom w:val="single" w:sz="8" w:color="CCEEFF"/>
            </w:tcBorders>
          </w:tcPr>
          <w:p>
            <w:pPr>
              <w:spacing w:after="0"/>
              <w:rPr>
                <w:sz w:val="22"/>
                <w:szCs w:val="22"/>
                <w:color w:val="auto"/>
              </w:rPr>
            </w:pPr>
          </w:p>
        </w:tc>
      </w:tr>
      <w:tr>
        <w:trPr>
          <w:trHeight w:val="194"/>
        </w:trPr>
        <w:tc>
          <w:tcPr>
            <w:tcW w:w="7780" w:type="dxa"/>
            <w:vAlign w:val="bottom"/>
            <w:shd w:val="clear" w:color="auto" w:fill="CCEEFF"/>
          </w:tcPr>
          <w:p>
            <w:pPr>
              <w:spacing w:after="0" w:line="192" w:lineRule="exact"/>
              <w:rPr>
                <w:sz w:val="20"/>
                <w:szCs w:val="20"/>
                <w:color w:val="auto"/>
              </w:rPr>
            </w:pPr>
            <w:r>
              <w:rPr>
                <w:rFonts w:ascii="Arial" w:cs="Arial" w:eastAsia="Arial" w:hAnsi="Arial"/>
                <w:sz w:val="18"/>
                <w:szCs w:val="18"/>
                <w:b w:val="1"/>
                <w:bCs w:val="1"/>
                <w:color w:val="auto"/>
              </w:rPr>
              <w:t>Supplemental cash flow information</w:t>
            </w:r>
          </w:p>
        </w:tc>
        <w:tc>
          <w:tcPr>
            <w:tcW w:w="98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shd w:val="clear" w:color="auto" w:fill="CCEEFF"/>
          </w:tcPr>
          <w:p>
            <w:pPr>
              <w:spacing w:after="0"/>
              <w:rPr>
                <w:sz w:val="16"/>
                <w:szCs w:val="16"/>
                <w:color w:val="auto"/>
              </w:rPr>
            </w:pPr>
          </w:p>
        </w:tc>
        <w:tc>
          <w:tcPr>
            <w:tcW w:w="12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r>
      <w:tr>
        <w:trPr>
          <w:trHeight w:val="213"/>
        </w:trPr>
        <w:tc>
          <w:tcPr>
            <w:tcW w:w="7780" w:type="dxa"/>
            <w:vAlign w:val="bottom"/>
          </w:tcPr>
          <w:p>
            <w:pPr>
              <w:spacing w:after="0"/>
              <w:rPr>
                <w:sz w:val="20"/>
                <w:szCs w:val="20"/>
                <w:color w:val="auto"/>
              </w:rPr>
            </w:pPr>
            <w:r>
              <w:rPr>
                <w:rFonts w:ascii="Arial" w:cs="Arial" w:eastAsia="Arial" w:hAnsi="Arial"/>
                <w:sz w:val="18"/>
                <w:szCs w:val="18"/>
                <w:color w:val="auto"/>
              </w:rPr>
              <w:t>Cash paid for income taxes, net of refunds</w:t>
            </w:r>
          </w:p>
        </w:tc>
        <w:tc>
          <w:tcPr>
            <w:tcW w:w="980" w:type="dxa"/>
            <w:vAlign w:val="bottom"/>
          </w:tcPr>
          <w:p>
            <w:pPr>
              <w:jc w:val="right"/>
              <w:ind w:right="822"/>
              <w:spacing w:after="0"/>
              <w:rPr>
                <w:sz w:val="20"/>
                <w:szCs w:val="20"/>
                <w:color w:val="auto"/>
              </w:rPr>
            </w:pPr>
            <w:r>
              <w:rPr>
                <w:rFonts w:ascii="Arial" w:cs="Arial" w:eastAsia="Arial" w:hAnsi="Arial"/>
                <w:sz w:val="14"/>
                <w:szCs w:val="14"/>
                <w:color w:val="auto"/>
                <w:w w:val="76"/>
              </w:rPr>
              <w:t>$</w:t>
            </w:r>
          </w:p>
        </w:tc>
        <w:tc>
          <w:tcPr>
            <w:tcW w:w="740" w:type="dxa"/>
            <w:vAlign w:val="bottom"/>
            <w:gridSpan w:val="2"/>
          </w:tcPr>
          <w:p>
            <w:pPr>
              <w:jc w:val="right"/>
              <w:ind w:right="62"/>
              <w:spacing w:after="0"/>
              <w:rPr>
                <w:sz w:val="20"/>
                <w:szCs w:val="20"/>
                <w:color w:val="auto"/>
              </w:rPr>
            </w:pPr>
            <w:r>
              <w:rPr>
                <w:rFonts w:ascii="Arial" w:cs="Arial" w:eastAsia="Arial" w:hAnsi="Arial"/>
                <w:sz w:val="18"/>
                <w:szCs w:val="18"/>
                <w:color w:val="auto"/>
              </w:rPr>
              <w:t>37.2</w:t>
            </w:r>
          </w:p>
        </w:tc>
        <w:tc>
          <w:tcPr>
            <w:tcW w:w="420" w:type="dxa"/>
            <w:vAlign w:val="bottom"/>
            <w:gridSpan w:val="2"/>
          </w:tcPr>
          <w:p>
            <w:pPr>
              <w:jc w:val="right"/>
              <w:ind w:right="188"/>
              <w:spacing w:after="0"/>
              <w:rPr>
                <w:sz w:val="20"/>
                <w:szCs w:val="20"/>
                <w:color w:val="auto"/>
              </w:rPr>
            </w:pPr>
            <w:r>
              <w:rPr>
                <w:rFonts w:ascii="Arial" w:cs="Arial" w:eastAsia="Arial" w:hAnsi="Arial"/>
                <w:sz w:val="18"/>
                <w:szCs w:val="18"/>
                <w:color w:val="auto"/>
              </w:rPr>
              <w:t>$</w:t>
            </w:r>
          </w:p>
        </w:tc>
        <w:tc>
          <w:tcPr>
            <w:tcW w:w="1320" w:type="dxa"/>
            <w:vAlign w:val="bottom"/>
            <w:gridSpan w:val="2"/>
          </w:tcPr>
          <w:p>
            <w:pPr>
              <w:jc w:val="right"/>
              <w:ind w:right="22"/>
              <w:spacing w:after="0"/>
              <w:rPr>
                <w:sz w:val="20"/>
                <w:szCs w:val="20"/>
                <w:color w:val="auto"/>
              </w:rPr>
            </w:pPr>
            <w:r>
              <w:rPr>
                <w:rFonts w:ascii="Arial" w:cs="Arial" w:eastAsia="Arial" w:hAnsi="Arial"/>
                <w:sz w:val="18"/>
                <w:szCs w:val="18"/>
                <w:color w:val="auto"/>
              </w:rPr>
              <w:t>2.8</w:t>
            </w: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Cash paid for interest</w:t>
            </w:r>
          </w:p>
        </w:tc>
        <w:tc>
          <w:tcPr>
            <w:tcW w:w="9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11.9</w:t>
            </w: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17.2</w:t>
            </w:r>
          </w:p>
        </w:tc>
      </w:tr>
      <w:tr>
        <w:trPr>
          <w:trHeight w:val="213"/>
        </w:trPr>
        <w:tc>
          <w:tcPr>
            <w:tcW w:w="7780" w:type="dxa"/>
            <w:vAlign w:val="bottom"/>
          </w:tcPr>
          <w:p>
            <w:pPr>
              <w:spacing w:after="0"/>
              <w:rPr>
                <w:sz w:val="20"/>
                <w:szCs w:val="20"/>
                <w:color w:val="auto"/>
              </w:rPr>
            </w:pPr>
            <w:r>
              <w:rPr>
                <w:rFonts w:ascii="Arial" w:cs="Arial" w:eastAsia="Arial" w:hAnsi="Arial"/>
                <w:sz w:val="18"/>
                <w:szCs w:val="18"/>
                <w:b w:val="1"/>
                <w:bCs w:val="1"/>
                <w:color w:val="auto"/>
              </w:rPr>
              <w:t>Non-cash investing and financing activities</w:t>
            </w:r>
          </w:p>
        </w:tc>
        <w:tc>
          <w:tcPr>
            <w:tcW w:w="9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7780" w:type="dxa"/>
            <w:vAlign w:val="bottom"/>
            <w:shd w:val="clear" w:color="auto" w:fill="CCEEFF"/>
          </w:tcPr>
          <w:p>
            <w:pPr>
              <w:spacing w:after="0"/>
              <w:rPr>
                <w:sz w:val="20"/>
                <w:szCs w:val="20"/>
                <w:color w:val="auto"/>
              </w:rPr>
            </w:pPr>
            <w:r>
              <w:rPr>
                <w:rFonts w:ascii="Arial" w:cs="Arial" w:eastAsia="Arial" w:hAnsi="Arial"/>
                <w:sz w:val="18"/>
                <w:szCs w:val="18"/>
                <w:color w:val="auto"/>
              </w:rPr>
              <w:t>Non-cash additions to property and equipment for right-of-use finance leases</w:t>
            </w:r>
          </w:p>
        </w:tc>
        <w:tc>
          <w:tcPr>
            <w:tcW w:w="980" w:type="dxa"/>
            <w:vAlign w:val="bottom"/>
            <w:shd w:val="clear" w:color="auto" w:fill="CCEEFF"/>
          </w:tcPr>
          <w:p>
            <w:pPr>
              <w:jc w:val="right"/>
              <w:ind w:right="822"/>
              <w:spacing w:after="0"/>
              <w:rPr>
                <w:sz w:val="20"/>
                <w:szCs w:val="20"/>
                <w:color w:val="auto"/>
              </w:rPr>
            </w:pPr>
            <w:r>
              <w:rPr>
                <w:rFonts w:ascii="Arial" w:cs="Arial" w:eastAsia="Arial" w:hAnsi="Arial"/>
                <w:sz w:val="14"/>
                <w:szCs w:val="14"/>
                <w:color w:val="auto"/>
                <w:w w:val="76"/>
              </w:rPr>
              <w:t>$</w:t>
            </w:r>
          </w:p>
        </w:tc>
        <w:tc>
          <w:tcPr>
            <w:tcW w:w="74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1.9</w:t>
            </w:r>
          </w:p>
        </w:tc>
        <w:tc>
          <w:tcPr>
            <w:tcW w:w="420" w:type="dxa"/>
            <w:vAlign w:val="bottom"/>
            <w:gridSpan w:val="2"/>
            <w:shd w:val="clear" w:color="auto" w:fill="CCEEFF"/>
          </w:tcPr>
          <w:p>
            <w:pPr>
              <w:jc w:val="right"/>
              <w:ind w:right="188"/>
              <w:spacing w:after="0"/>
              <w:rPr>
                <w:sz w:val="20"/>
                <w:szCs w:val="20"/>
                <w:color w:val="auto"/>
              </w:rPr>
            </w:pPr>
            <w:r>
              <w:rPr>
                <w:rFonts w:ascii="Arial" w:cs="Arial" w:eastAsia="Arial" w:hAnsi="Arial"/>
                <w:sz w:val="18"/>
                <w:szCs w:val="18"/>
                <w:color w:val="auto"/>
              </w:rPr>
              <w:t>$</w:t>
            </w:r>
          </w:p>
        </w:tc>
        <w:tc>
          <w:tcPr>
            <w:tcW w:w="13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13.4</w:t>
            </w:r>
          </w:p>
        </w:tc>
      </w:tr>
      <w:tr>
        <w:trPr>
          <w:trHeight w:val="226"/>
        </w:trPr>
        <w:tc>
          <w:tcPr>
            <w:tcW w:w="7780" w:type="dxa"/>
            <w:vAlign w:val="bottom"/>
          </w:tcPr>
          <w:p>
            <w:pPr>
              <w:spacing w:after="0"/>
              <w:rPr>
                <w:sz w:val="20"/>
                <w:szCs w:val="20"/>
                <w:color w:val="auto"/>
              </w:rPr>
            </w:pPr>
            <w:r>
              <w:rPr>
                <w:rFonts w:ascii="Arial" w:cs="Arial" w:eastAsia="Arial" w:hAnsi="Arial"/>
                <w:sz w:val="18"/>
                <w:szCs w:val="18"/>
                <w:color w:val="auto"/>
              </w:rPr>
              <w:t>Non-cash additions to other non-current assets for right-of-use operating leases</w:t>
            </w:r>
          </w:p>
        </w:tc>
        <w:tc>
          <w:tcPr>
            <w:tcW w:w="980" w:type="dxa"/>
            <w:vAlign w:val="bottom"/>
          </w:tcPr>
          <w:p>
            <w:pPr>
              <w:spacing w:after="0"/>
              <w:rPr>
                <w:sz w:val="19"/>
                <w:szCs w:val="19"/>
                <w:color w:val="auto"/>
              </w:rPr>
            </w:pPr>
          </w:p>
        </w:tc>
        <w:tc>
          <w:tcPr>
            <w:tcW w:w="740" w:type="dxa"/>
            <w:vAlign w:val="bottom"/>
            <w:gridSpan w:val="2"/>
          </w:tcPr>
          <w:p>
            <w:pPr>
              <w:jc w:val="right"/>
              <w:ind w:right="62"/>
              <w:spacing w:after="0"/>
              <w:rPr>
                <w:sz w:val="20"/>
                <w:szCs w:val="20"/>
                <w:color w:val="auto"/>
              </w:rPr>
            </w:pPr>
            <w:r>
              <w:rPr>
                <w:rFonts w:ascii="Arial" w:cs="Arial" w:eastAsia="Arial" w:hAnsi="Arial"/>
                <w:sz w:val="18"/>
                <w:szCs w:val="18"/>
                <w:color w:val="auto"/>
              </w:rPr>
              <w:t>59.3</w:t>
            </w:r>
          </w:p>
        </w:tc>
        <w:tc>
          <w:tcPr>
            <w:tcW w:w="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320" w:type="dxa"/>
            <w:vAlign w:val="bottom"/>
            <w:gridSpan w:val="2"/>
          </w:tcPr>
          <w:p>
            <w:pPr>
              <w:jc w:val="right"/>
              <w:ind w:right="22"/>
              <w:spacing w:after="0"/>
              <w:rPr>
                <w:sz w:val="20"/>
                <w:szCs w:val="20"/>
                <w:color w:val="auto"/>
              </w:rPr>
            </w:pPr>
            <w:r>
              <w:rPr>
                <w:rFonts w:ascii="Arial" w:cs="Arial" w:eastAsia="Arial" w:hAnsi="Arial"/>
                <w:sz w:val="18"/>
                <w:szCs w:val="18"/>
                <w:color w:val="auto"/>
              </w:rPr>
              <w:t>18.3</w:t>
            </w:r>
          </w:p>
        </w:tc>
      </w:tr>
      <w:tr>
        <w:trPr>
          <w:trHeight w:val="654"/>
        </w:trPr>
        <w:tc>
          <w:tcPr>
            <w:tcW w:w="778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2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9" w:name="page10"/>
    <w:bookmarkEnd w:id="9"/>
    <w:p>
      <w:pPr>
        <w:spacing w:after="0"/>
        <w:rPr>
          <w:sz w:val="20"/>
          <w:szCs w:val="20"/>
          <w:color w:val="auto"/>
        </w:rPr>
      </w:pPr>
      <w:r>
        <w:rPr>
          <w:rFonts w:ascii="Arial" w:cs="Arial" w:eastAsia="Arial" w:hAnsi="Arial"/>
          <w:sz w:val="18"/>
          <w:szCs w:val="18"/>
          <w:b w:val="1"/>
          <w:bCs w:val="1"/>
          <w:color w:val="auto"/>
        </w:rPr>
        <w:t>Non-GAAP Measures</w:t>
      </w:r>
    </w:p>
    <w:p>
      <w:pPr>
        <w:spacing w:after="0" w:line="224" w:lineRule="exact"/>
        <w:rPr>
          <w:sz w:val="20"/>
          <w:szCs w:val="20"/>
          <w:color w:val="auto"/>
        </w:rPr>
      </w:pPr>
    </w:p>
    <w:p>
      <w:pPr>
        <w:spacing w:after="0" w:line="266" w:lineRule="auto"/>
        <w:rPr>
          <w:sz w:val="20"/>
          <w:szCs w:val="20"/>
          <w:color w:val="auto"/>
        </w:rPr>
      </w:pPr>
      <w:r>
        <w:rPr>
          <w:rFonts w:ascii="Arial" w:cs="Arial" w:eastAsia="Arial" w:hAnsi="Arial"/>
          <w:sz w:val="17"/>
          <w:szCs w:val="17"/>
          <w:color w:val="auto"/>
        </w:rPr>
        <w:t>We supplement our financial information prepared in accordance with U.S. GAAP with certain non-GAAP measures including Adjusted EBITDA (earnings before interest, income taxes, depreciation and amortization, restructuring charges, net, integration and acquisition expenses and other similar charges including any severance costs, costs associated with warehouse and office openings or closings, consolidation, and relocation and other business optimization expenses, stock-based compensation expense, changes in the LIFO reserve, non-restructuring asset impairment charges, non-restructuring severance charges, non-restructuring pension charges, net, fair value adjustments related to contingent liabilities assumed in mergers and acquisitions and certain other adjustments), free cash flow and other non-GAAP measures such as the Net Debt to Adjusted EBITDA ratio. We believe investors commonly use Adjusted EBITDA, free cash flow and these other non-GAAP measures as key financial metrics for valuing companies. In addition, the credit agreement governing our Asset-Based Lending Facility (the "ABL Facility") permits us to exclude the foregoing and other charges in calculating "Consolidated EBITDA", as defined in the ABL Facility.</w:t>
      </w:r>
    </w:p>
    <w:p>
      <w:pPr>
        <w:spacing w:after="0" w:line="185"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Adjusted EBITDA, free cash flow and these other non-GAAP measures are not alternative measures of financial performance or liquidity under U.S. GAAP. Non-GAAP measures do not have definitions under U.S. GAAP and may be defined differently by, and not be comparable to, similarly titled measures used by other companies. As a result, we consider and evaluate non-GAAP measures in connection with a review of the most directly comparable measure calculated in accordance with U.S. GAAP. We caution investors not to place undue reliance on such non-GAAP measures and to consider them with the most directly comparable U.S. GAAP measures. Adjusted EBITDA, free cash flow and these other non-GAAP measures have limitations as analytical tools and should not be considered in isolation or as a substitute for analyzing our results as reported under U.S. GAAP. Please see the following tables for reconciliations of non-GAAP measures to the most comparable U.S. GAAP measures.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411480</wp:posOffset>
            </wp:positionV>
            <wp:extent cx="7134225" cy="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20"/>
          </w:cols>
          <w:pgMar w:left="320" w:top="895" w:right="359" w:bottom="1440" w:gutter="0" w:footer="0" w:header="0"/>
        </w:sectPr>
      </w:pPr>
    </w:p>
    <w:bookmarkStart w:id="10" w:name="page11"/>
    <w:bookmarkEnd w:id="10"/>
    <w:p>
      <w:pPr>
        <w:jc w:val="center"/>
        <w:spacing w:after="0"/>
        <w:rPr>
          <w:sz w:val="20"/>
          <w:szCs w:val="20"/>
          <w:color w:val="auto"/>
        </w:rPr>
      </w:pPr>
      <w:r>
        <w:rPr>
          <w:rFonts w:ascii="Arial" w:cs="Arial" w:eastAsia="Arial" w:hAnsi="Arial"/>
          <w:sz w:val="18"/>
          <w:szCs w:val="18"/>
          <w:b w:val="1"/>
          <w:bCs w:val="1"/>
          <w:color w:val="auto"/>
        </w:rPr>
        <w:t>Table I</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RECONCILIATION OF NON-GAAP MEASURES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NET INCOME (LOSS) TO ADJUSTED EBITDA; ADJUSTED EBITDA MARGIN</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unaudited)</w:t>
      </w:r>
    </w:p>
    <w:p>
      <w:pPr>
        <w:spacing w:after="0" w:line="230" w:lineRule="exact"/>
        <w:rPr>
          <w:sz w:val="20"/>
          <w:szCs w:val="20"/>
          <w:color w:val="auto"/>
        </w:rPr>
      </w:pPr>
    </w:p>
    <w:tbl>
      <w:tblPr>
        <w:tblLayout w:type="fixed"/>
        <w:tblInd w:w="0" w:type="dxa"/>
        <w:tblCellMar>
          <w:top w:w="0" w:type="dxa"/>
          <w:left w:w="0" w:type="dxa"/>
          <w:bottom w:w="0" w:type="dxa"/>
          <w:right w:w="0" w:type="dxa"/>
        </w:tblCellMar>
      </w:tblPr>
      <w:tr>
        <w:trPr>
          <w:trHeight w:val="213"/>
        </w:trPr>
        <w:tc>
          <w:tcPr>
            <w:tcW w:w="5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60" w:type="dxa"/>
            <w:vAlign w:val="bottom"/>
            <w:gridSpan w:val="6"/>
          </w:tcPr>
          <w:p>
            <w:pPr>
              <w:jc w:val="right"/>
              <w:ind w:right="760"/>
              <w:spacing w:after="0"/>
              <w:rPr>
                <w:sz w:val="20"/>
                <w:szCs w:val="20"/>
                <w:color w:val="auto"/>
              </w:rPr>
            </w:pPr>
            <w:r>
              <w:rPr>
                <w:rFonts w:ascii="Arial" w:cs="Arial" w:eastAsia="Arial" w:hAnsi="Arial"/>
                <w:sz w:val="18"/>
                <w:szCs w:val="18"/>
                <w:b w:val="1"/>
                <w:bCs w:val="1"/>
                <w:color w:val="auto"/>
              </w:rPr>
              <w:t>Three Months Ended</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20" w:type="dxa"/>
            <w:vAlign w:val="bottom"/>
            <w:gridSpan w:val="6"/>
          </w:tcPr>
          <w:p>
            <w:pPr>
              <w:jc w:val="right"/>
              <w:ind w:right="760"/>
              <w:spacing w:after="0"/>
              <w:rPr>
                <w:sz w:val="20"/>
                <w:szCs w:val="20"/>
                <w:color w:val="auto"/>
              </w:rPr>
            </w:pPr>
            <w:r>
              <w:rPr>
                <w:rFonts w:ascii="Arial" w:cs="Arial" w:eastAsia="Arial" w:hAnsi="Arial"/>
                <w:sz w:val="18"/>
                <w:szCs w:val="18"/>
                <w:b w:val="1"/>
                <w:bCs w:val="1"/>
                <w:color w:val="auto"/>
              </w:rPr>
              <w:t>Nine Months Ended</w:t>
            </w:r>
          </w:p>
        </w:tc>
      </w:tr>
      <w:tr>
        <w:trPr>
          <w:trHeight w:val="231"/>
        </w:trPr>
        <w:tc>
          <w:tcPr>
            <w:tcW w:w="52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60" w:type="dxa"/>
            <w:vAlign w:val="bottom"/>
            <w:tcBorders>
              <w:bottom w:val="single" w:sz="8" w:color="auto"/>
            </w:tcBorders>
          </w:tcPr>
          <w:p>
            <w:pPr>
              <w:spacing w:after="0"/>
              <w:rPr>
                <w:sz w:val="20"/>
                <w:szCs w:val="20"/>
                <w:color w:val="auto"/>
              </w:rPr>
            </w:pPr>
          </w:p>
        </w:tc>
        <w:tc>
          <w:tcPr>
            <w:tcW w:w="166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rPr>
              <w:t>September 30,</w:t>
            </w:r>
          </w:p>
        </w:tc>
        <w:tc>
          <w:tcPr>
            <w:tcW w:w="800" w:type="dxa"/>
            <w:vAlign w:val="bottom"/>
            <w:tcBorders>
              <w:bottom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60" w:type="dxa"/>
            <w:vAlign w:val="bottom"/>
            <w:tcBorders>
              <w:bottom w:val="single" w:sz="8" w:color="auto"/>
            </w:tcBorders>
          </w:tcPr>
          <w:p>
            <w:pPr>
              <w:spacing w:after="0"/>
              <w:rPr>
                <w:sz w:val="20"/>
                <w:szCs w:val="20"/>
                <w:color w:val="auto"/>
              </w:rPr>
            </w:pPr>
          </w:p>
        </w:tc>
        <w:tc>
          <w:tcPr>
            <w:tcW w:w="166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rPr>
              <w:t>September 30,</w:t>
            </w:r>
          </w:p>
        </w:tc>
        <w:tc>
          <w:tcPr>
            <w:tcW w:w="800" w:type="dxa"/>
            <w:vAlign w:val="bottom"/>
            <w:tcBorders>
              <w:bottom w:val="single" w:sz="8" w:color="auto"/>
            </w:tcBorders>
          </w:tcPr>
          <w:p>
            <w:pPr>
              <w:spacing w:after="0"/>
              <w:rPr>
                <w:sz w:val="20"/>
                <w:szCs w:val="20"/>
                <w:color w:val="auto"/>
              </w:rPr>
            </w:pPr>
          </w:p>
        </w:tc>
        <w:tc>
          <w:tcPr>
            <w:tcW w:w="160" w:type="dxa"/>
            <w:vAlign w:val="bottom"/>
          </w:tcPr>
          <w:p>
            <w:pPr>
              <w:spacing w:after="0"/>
              <w:rPr>
                <w:sz w:val="20"/>
                <w:szCs w:val="20"/>
                <w:color w:val="auto"/>
              </w:rPr>
            </w:pPr>
          </w:p>
        </w:tc>
      </w:tr>
      <w:tr>
        <w:trPr>
          <w:trHeight w:val="221"/>
        </w:trPr>
        <w:tc>
          <w:tcPr>
            <w:tcW w:w="5260" w:type="dxa"/>
            <w:vAlign w:val="bottom"/>
            <w:tcBorders>
              <w:bottom w:val="single" w:sz="8" w:color="CCEEFF"/>
            </w:tcBorders>
          </w:tcPr>
          <w:p>
            <w:pPr>
              <w:spacing w:after="0"/>
              <w:rPr>
                <w:sz w:val="19"/>
                <w:szCs w:val="19"/>
                <w:color w:val="auto"/>
              </w:rPr>
            </w:pPr>
          </w:p>
        </w:tc>
        <w:tc>
          <w:tcPr>
            <w:tcW w:w="120" w:type="dxa"/>
            <w:vAlign w:val="bottom"/>
            <w:tcBorders>
              <w:bottom w:val="single" w:sz="8" w:color="CCEEFF"/>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98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2021</w:t>
            </w:r>
          </w:p>
        </w:tc>
        <w:tc>
          <w:tcPr>
            <w:tcW w:w="200" w:type="dxa"/>
            <w:vAlign w:val="bottom"/>
            <w:tcBorders>
              <w:bottom w:val="single" w:sz="8" w:color="CCEEFF"/>
            </w:tcBorders>
          </w:tcPr>
          <w:p>
            <w:pPr>
              <w:spacing w:after="0"/>
              <w:rPr>
                <w:sz w:val="19"/>
                <w:szCs w:val="19"/>
                <w:color w:val="auto"/>
              </w:rPr>
            </w:pPr>
          </w:p>
        </w:tc>
        <w:tc>
          <w:tcPr>
            <w:tcW w:w="60" w:type="dxa"/>
            <w:vAlign w:val="bottom"/>
            <w:tcBorders>
              <w:bottom w:val="single" w:sz="8" w:color="CCEEFF"/>
            </w:tcBorders>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w w:val="84"/>
              </w:rPr>
              <w:t>2020</w:t>
            </w:r>
          </w:p>
        </w:tc>
        <w:tc>
          <w:tcPr>
            <w:tcW w:w="200" w:type="dxa"/>
            <w:vAlign w:val="bottom"/>
            <w:tcBorders>
              <w:bottom w:val="single" w:sz="8" w:color="CCEEFF"/>
            </w:tcBorders>
          </w:tcPr>
          <w:p>
            <w:pPr>
              <w:spacing w:after="0"/>
              <w:rPr>
                <w:sz w:val="19"/>
                <w:szCs w:val="19"/>
                <w:color w:val="auto"/>
              </w:rPr>
            </w:pPr>
          </w:p>
        </w:tc>
        <w:tc>
          <w:tcPr>
            <w:tcW w:w="60" w:type="dxa"/>
            <w:vAlign w:val="bottom"/>
            <w:tcBorders>
              <w:bottom w:val="single" w:sz="8" w:color="CCEEFF"/>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960" w:type="dxa"/>
            <w:vAlign w:val="bottom"/>
            <w:tcBorders>
              <w:bottom w:val="single" w:sz="8" w:color="auto"/>
            </w:tcBorders>
          </w:tcPr>
          <w:p>
            <w:pPr>
              <w:jc w:val="right"/>
              <w:ind w:right="331"/>
              <w:spacing w:after="0"/>
              <w:rPr>
                <w:sz w:val="20"/>
                <w:szCs w:val="20"/>
                <w:color w:val="auto"/>
              </w:rPr>
            </w:pPr>
            <w:r>
              <w:rPr>
                <w:rFonts w:ascii="Arial" w:cs="Arial" w:eastAsia="Arial" w:hAnsi="Arial"/>
                <w:sz w:val="18"/>
                <w:szCs w:val="18"/>
                <w:b w:val="1"/>
                <w:bCs w:val="1"/>
                <w:color w:val="auto"/>
              </w:rPr>
              <w:t>2021</w:t>
            </w:r>
          </w:p>
        </w:tc>
        <w:tc>
          <w:tcPr>
            <w:tcW w:w="220" w:type="dxa"/>
            <w:vAlign w:val="bottom"/>
            <w:tcBorders>
              <w:bottom w:val="single" w:sz="8" w:color="CCEEFF"/>
            </w:tcBorders>
          </w:tcPr>
          <w:p>
            <w:pPr>
              <w:spacing w:after="0"/>
              <w:rPr>
                <w:sz w:val="19"/>
                <w:szCs w:val="19"/>
                <w:color w:val="auto"/>
              </w:rPr>
            </w:pPr>
          </w:p>
        </w:tc>
        <w:tc>
          <w:tcPr>
            <w:tcW w:w="60" w:type="dxa"/>
            <w:vAlign w:val="bottom"/>
            <w:tcBorders>
              <w:bottom w:val="single" w:sz="8" w:color="CCEEFF"/>
            </w:tcBorders>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w w:val="84"/>
              </w:rPr>
              <w:t>2020</w:t>
            </w:r>
          </w:p>
        </w:tc>
        <w:tc>
          <w:tcPr>
            <w:tcW w:w="160" w:type="dxa"/>
            <w:vAlign w:val="bottom"/>
            <w:tcBorders>
              <w:bottom w:val="single" w:sz="8" w:color="CCEEFF"/>
            </w:tcBorders>
          </w:tcPr>
          <w:p>
            <w:pPr>
              <w:spacing w:after="0"/>
              <w:rPr>
                <w:sz w:val="19"/>
                <w:szCs w:val="19"/>
                <w:color w:val="auto"/>
              </w:rPr>
            </w:pPr>
          </w:p>
        </w:tc>
      </w:tr>
      <w:tr>
        <w:trPr>
          <w:trHeight w:val="207"/>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rPr>
              <w:t>Net income (loss)</w:t>
            </w:r>
          </w:p>
        </w:tc>
        <w:tc>
          <w:tcPr>
            <w:tcW w:w="120" w:type="dxa"/>
            <w:vAlign w:val="bottom"/>
            <w:shd w:val="clear" w:color="auto" w:fill="CCEEFF"/>
          </w:tcPr>
          <w:p>
            <w:pPr>
              <w:spacing w:after="0"/>
              <w:rPr>
                <w:sz w:val="17"/>
                <w:szCs w:val="17"/>
                <w:color w:val="auto"/>
              </w:rPr>
            </w:pPr>
          </w:p>
        </w:tc>
        <w:tc>
          <w:tcPr>
            <w:tcW w:w="260" w:type="dxa"/>
            <w:vAlign w:val="bottom"/>
            <w:shd w:val="clear" w:color="auto" w:fill="CCEEFF"/>
          </w:tcPr>
          <w:p>
            <w:pPr>
              <w:jc w:val="right"/>
              <w:ind w:right="71"/>
              <w:spacing w:after="0"/>
              <w:rPr>
                <w:sz w:val="20"/>
                <w:szCs w:val="20"/>
                <w:color w:val="auto"/>
              </w:rPr>
            </w:pPr>
            <w:r>
              <w:rPr>
                <w:rFonts w:ascii="Arial" w:cs="Arial" w:eastAsia="Arial" w:hAnsi="Arial"/>
                <w:sz w:val="18"/>
                <w:szCs w:val="18"/>
                <w:color w:val="auto"/>
                <w:w w:val="79"/>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w:t>
            </w: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420" w:type="dxa"/>
            <w:vAlign w:val="bottom"/>
            <w:shd w:val="clear" w:color="auto" w:fill="CCEEFF"/>
          </w:tcPr>
          <w:p>
            <w:pPr>
              <w:jc w:val="right"/>
              <w:ind w:right="268"/>
              <w:spacing w:after="0"/>
              <w:rPr>
                <w:sz w:val="20"/>
                <w:szCs w:val="20"/>
                <w:color w:val="auto"/>
              </w:rPr>
            </w:pPr>
            <w:r>
              <w:rPr>
                <w:rFonts w:ascii="Arial" w:cs="Arial" w:eastAsia="Arial" w:hAnsi="Arial"/>
                <w:sz w:val="14"/>
                <w:szCs w:val="14"/>
                <w:color w:val="auto"/>
                <w:w w:val="76"/>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21.1</w:t>
            </w: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6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87.7</w:t>
            </w:r>
          </w:p>
        </w:tc>
        <w:tc>
          <w:tcPr>
            <w:tcW w:w="2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420" w:type="dxa"/>
            <w:vAlign w:val="bottom"/>
            <w:shd w:val="clear" w:color="auto" w:fill="CCEEFF"/>
          </w:tcPr>
          <w:p>
            <w:pPr>
              <w:jc w:val="right"/>
              <w:ind w:right="268"/>
              <w:spacing w:after="0"/>
              <w:rPr>
                <w:sz w:val="20"/>
                <w:szCs w:val="20"/>
                <w:color w:val="auto"/>
              </w:rPr>
            </w:pPr>
            <w:r>
              <w:rPr>
                <w:rFonts w:ascii="Arial" w:cs="Arial" w:eastAsia="Arial" w:hAnsi="Arial"/>
                <w:sz w:val="14"/>
                <w:szCs w:val="14"/>
                <w:color w:val="auto"/>
                <w:w w:val="76"/>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w:t>
            </w:r>
          </w:p>
        </w:tc>
        <w:tc>
          <w:tcPr>
            <w:tcW w:w="160" w:type="dxa"/>
            <w:vAlign w:val="bottom"/>
            <w:shd w:val="clear" w:color="auto" w:fill="CCEEFF"/>
          </w:tcPr>
          <w:p>
            <w:pPr>
              <w:spacing w:after="0"/>
              <w:rPr>
                <w:sz w:val="17"/>
                <w:szCs w:val="17"/>
                <w:color w:val="auto"/>
              </w:rPr>
            </w:pPr>
          </w:p>
        </w:tc>
      </w:tr>
      <w:tr>
        <w:trPr>
          <w:trHeight w:val="213"/>
        </w:trPr>
        <w:tc>
          <w:tcPr>
            <w:tcW w:w="5260" w:type="dxa"/>
            <w:vAlign w:val="bottom"/>
          </w:tcPr>
          <w:p>
            <w:pPr>
              <w:spacing w:after="0"/>
              <w:rPr>
                <w:sz w:val="20"/>
                <w:szCs w:val="20"/>
                <w:color w:val="auto"/>
              </w:rPr>
            </w:pPr>
            <w:r>
              <w:rPr>
                <w:rFonts w:ascii="Arial" w:cs="Arial" w:eastAsia="Arial" w:hAnsi="Arial"/>
                <w:sz w:val="18"/>
                <w:szCs w:val="18"/>
                <w:color w:val="auto"/>
              </w:rPr>
              <w:t>Interest expense, net</w:t>
            </w: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3.8</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00" w:type="dxa"/>
            <w:vAlign w:val="bottom"/>
            <w:gridSpan w:val="2"/>
          </w:tcPr>
          <w:p>
            <w:pPr>
              <w:jc w:val="right"/>
              <w:ind w:right="200"/>
              <w:spacing w:after="0"/>
              <w:rPr>
                <w:sz w:val="20"/>
                <w:szCs w:val="20"/>
                <w:color w:val="auto"/>
              </w:rPr>
            </w:pPr>
            <w:r>
              <w:rPr>
                <w:rFonts w:ascii="Arial" w:cs="Arial" w:eastAsia="Arial" w:hAnsi="Arial"/>
                <w:sz w:val="18"/>
                <w:szCs w:val="18"/>
                <w:color w:val="auto"/>
              </w:rPr>
              <w:t>5.5</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13.4</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19.7</w:t>
            </w:r>
          </w:p>
        </w:tc>
      </w:tr>
      <w:tr>
        <w:trPr>
          <w:trHeight w:val="213"/>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rPr>
              <w:t>Income tax expense (benefit)</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14.1</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(0.1)</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32.3</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(0.2)</w:t>
            </w:r>
          </w:p>
        </w:tc>
      </w:tr>
      <w:tr>
        <w:trPr>
          <w:trHeight w:val="227"/>
        </w:trPr>
        <w:tc>
          <w:tcPr>
            <w:tcW w:w="5260" w:type="dxa"/>
            <w:vAlign w:val="bottom"/>
          </w:tcPr>
          <w:p>
            <w:pPr>
              <w:spacing w:after="0"/>
              <w:rPr>
                <w:sz w:val="20"/>
                <w:szCs w:val="20"/>
                <w:color w:val="auto"/>
              </w:rPr>
            </w:pPr>
            <w:r>
              <w:rPr>
                <w:rFonts w:ascii="Arial" w:cs="Arial" w:eastAsia="Arial" w:hAnsi="Arial"/>
                <w:sz w:val="18"/>
                <w:szCs w:val="18"/>
                <w:color w:val="auto"/>
              </w:rPr>
              <w:t>Depreciation and amortization</w:t>
            </w:r>
          </w:p>
        </w:tc>
        <w:tc>
          <w:tcPr>
            <w:tcW w:w="1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13.3</w:t>
            </w:r>
          </w:p>
        </w:tc>
        <w:tc>
          <w:tcPr>
            <w:tcW w:w="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00" w:type="dxa"/>
            <w:vAlign w:val="bottom"/>
            <w:gridSpan w:val="2"/>
          </w:tcPr>
          <w:p>
            <w:pPr>
              <w:jc w:val="right"/>
              <w:ind w:right="200"/>
              <w:spacing w:after="0"/>
              <w:rPr>
                <w:sz w:val="20"/>
                <w:szCs w:val="20"/>
                <w:color w:val="auto"/>
              </w:rPr>
            </w:pPr>
            <w:r>
              <w:rPr>
                <w:rFonts w:ascii="Arial" w:cs="Arial" w:eastAsia="Arial" w:hAnsi="Arial"/>
                <w:sz w:val="18"/>
                <w:szCs w:val="18"/>
                <w:color w:val="auto"/>
              </w:rPr>
              <w:t>15.0</w:t>
            </w:r>
          </w:p>
        </w:tc>
        <w:tc>
          <w:tcPr>
            <w:tcW w:w="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42.1</w:t>
            </w:r>
          </w:p>
        </w:tc>
        <w:tc>
          <w:tcPr>
            <w:tcW w:w="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43.1</w:t>
            </w:r>
          </w:p>
        </w:tc>
      </w:tr>
      <w:tr>
        <w:trPr>
          <w:trHeight w:val="207"/>
        </w:trPr>
        <w:tc>
          <w:tcPr>
            <w:tcW w:w="52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EBITDA</w:t>
            </w:r>
          </w:p>
        </w:tc>
        <w:tc>
          <w:tcPr>
            <w:tcW w:w="12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71.2</w:t>
            </w:r>
          </w:p>
        </w:tc>
        <w:tc>
          <w:tcPr>
            <w:tcW w:w="20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41.5</w:t>
            </w:r>
          </w:p>
        </w:tc>
        <w:tc>
          <w:tcPr>
            <w:tcW w:w="20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9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175.5</w:t>
            </w:r>
          </w:p>
        </w:tc>
        <w:tc>
          <w:tcPr>
            <w:tcW w:w="2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64.8</w:t>
            </w:r>
          </w:p>
        </w:tc>
        <w:tc>
          <w:tcPr>
            <w:tcW w:w="160" w:type="dxa"/>
            <w:vAlign w:val="bottom"/>
            <w:tcBorders>
              <w:top w:val="single" w:sz="8" w:color="CCEEFF"/>
            </w:tcBorders>
            <w:shd w:val="clear" w:color="auto" w:fill="CCEEFF"/>
          </w:tcPr>
          <w:p>
            <w:pPr>
              <w:spacing w:after="0"/>
              <w:rPr>
                <w:sz w:val="18"/>
                <w:szCs w:val="18"/>
                <w:color w:val="auto"/>
              </w:rPr>
            </w:pPr>
          </w:p>
        </w:tc>
      </w:tr>
      <w:tr>
        <w:trPr>
          <w:trHeight w:val="213"/>
        </w:trPr>
        <w:tc>
          <w:tcPr>
            <w:tcW w:w="5260" w:type="dxa"/>
            <w:vAlign w:val="bottom"/>
          </w:tcPr>
          <w:p>
            <w:pPr>
              <w:spacing w:after="0"/>
              <w:rPr>
                <w:sz w:val="20"/>
                <w:szCs w:val="20"/>
                <w:color w:val="auto"/>
              </w:rPr>
            </w:pPr>
            <w:r>
              <w:rPr>
                <w:rFonts w:ascii="Arial" w:cs="Arial" w:eastAsia="Arial" w:hAnsi="Arial"/>
                <w:sz w:val="18"/>
                <w:szCs w:val="18"/>
                <w:color w:val="auto"/>
              </w:rPr>
              <w:t>Restructuring charges, net</w:t>
            </w: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2.5</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00" w:type="dxa"/>
            <w:vAlign w:val="bottom"/>
            <w:gridSpan w:val="2"/>
          </w:tcPr>
          <w:p>
            <w:pPr>
              <w:jc w:val="right"/>
              <w:ind w:right="200"/>
              <w:spacing w:after="0"/>
              <w:rPr>
                <w:sz w:val="20"/>
                <w:szCs w:val="20"/>
                <w:color w:val="auto"/>
              </w:rPr>
            </w:pPr>
            <w:r>
              <w:rPr>
                <w:rFonts w:ascii="Arial" w:cs="Arial" w:eastAsia="Arial" w:hAnsi="Arial"/>
                <w:sz w:val="18"/>
                <w:szCs w:val="18"/>
                <w:color w:val="auto"/>
              </w:rPr>
              <w:t>7.9</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12.0</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40.4</w:t>
            </w:r>
          </w:p>
        </w:tc>
      </w:tr>
      <w:tr>
        <w:trPr>
          <w:trHeight w:val="213"/>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w w:val="97"/>
              </w:rPr>
              <w:t>Facility closure charges, including (gain) loss from asset disposition</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0.2</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(7.4)</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(5.4)</w:t>
            </w:r>
          </w:p>
        </w:tc>
      </w:tr>
      <w:tr>
        <w:trPr>
          <w:trHeight w:val="213"/>
        </w:trPr>
        <w:tc>
          <w:tcPr>
            <w:tcW w:w="5260" w:type="dxa"/>
            <w:vAlign w:val="bottom"/>
          </w:tcPr>
          <w:p>
            <w:pPr>
              <w:spacing w:after="0"/>
              <w:rPr>
                <w:sz w:val="20"/>
                <w:szCs w:val="20"/>
                <w:color w:val="auto"/>
              </w:rPr>
            </w:pPr>
            <w:r>
              <w:rPr>
                <w:rFonts w:ascii="Arial" w:cs="Arial" w:eastAsia="Arial" w:hAnsi="Arial"/>
                <w:sz w:val="18"/>
                <w:szCs w:val="18"/>
                <w:color w:val="auto"/>
              </w:rPr>
              <w:t>Stock-based compensation</w:t>
            </w: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1.0</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00" w:type="dxa"/>
            <w:vAlign w:val="bottom"/>
            <w:gridSpan w:val="2"/>
          </w:tcPr>
          <w:p>
            <w:pPr>
              <w:jc w:val="right"/>
              <w:ind w:right="200"/>
              <w:spacing w:after="0"/>
              <w:rPr>
                <w:sz w:val="20"/>
                <w:szCs w:val="20"/>
                <w:color w:val="auto"/>
              </w:rPr>
            </w:pPr>
            <w:r>
              <w:rPr>
                <w:rFonts w:ascii="Arial" w:cs="Arial" w:eastAsia="Arial" w:hAnsi="Arial"/>
                <w:sz w:val="18"/>
                <w:szCs w:val="18"/>
                <w:color w:val="auto"/>
              </w:rPr>
              <w:t>4.8</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5.7</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14.9</w:t>
            </w:r>
          </w:p>
        </w:tc>
      </w:tr>
      <w:tr>
        <w:trPr>
          <w:trHeight w:val="213"/>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rPr>
              <w:t>LIFO reserve (decrease) increase</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15.1</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(0.4)</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31.2</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(4.6)</w:t>
            </w:r>
          </w:p>
        </w:tc>
      </w:tr>
      <w:tr>
        <w:trPr>
          <w:trHeight w:val="213"/>
        </w:trPr>
        <w:tc>
          <w:tcPr>
            <w:tcW w:w="5260" w:type="dxa"/>
            <w:vAlign w:val="bottom"/>
          </w:tcPr>
          <w:p>
            <w:pPr>
              <w:spacing w:after="0"/>
              <w:rPr>
                <w:sz w:val="20"/>
                <w:szCs w:val="20"/>
                <w:color w:val="auto"/>
              </w:rPr>
            </w:pPr>
            <w:r>
              <w:rPr>
                <w:rFonts w:ascii="Arial" w:cs="Arial" w:eastAsia="Arial" w:hAnsi="Arial"/>
                <w:sz w:val="18"/>
                <w:szCs w:val="18"/>
                <w:color w:val="auto"/>
              </w:rPr>
              <w:t>Non-restructuring severance charges</w:t>
            </w: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3.6</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00" w:type="dxa"/>
            <w:vAlign w:val="bottom"/>
            <w:gridSpan w:val="2"/>
          </w:tcPr>
          <w:p>
            <w:pPr>
              <w:jc w:val="right"/>
              <w:ind w:right="200"/>
              <w:spacing w:after="0"/>
              <w:rPr>
                <w:sz w:val="20"/>
                <w:szCs w:val="20"/>
                <w:color w:val="auto"/>
              </w:rPr>
            </w:pPr>
            <w:r>
              <w:rPr>
                <w:rFonts w:ascii="Arial" w:cs="Arial" w:eastAsia="Arial" w:hAnsi="Arial"/>
                <w:sz w:val="18"/>
                <w:szCs w:val="18"/>
                <w:color w:val="auto"/>
              </w:rPr>
              <w:t>0.8</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5.5</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3.2</w:t>
            </w:r>
          </w:p>
        </w:tc>
      </w:tr>
      <w:tr>
        <w:trPr>
          <w:trHeight w:val="213"/>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rPr>
              <w:t>Non-restructuring pension charges, net</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7.2</w:t>
            </w:r>
          </w:p>
        </w:tc>
      </w:tr>
      <w:tr>
        <w:trPr>
          <w:trHeight w:val="213"/>
        </w:trPr>
        <w:tc>
          <w:tcPr>
            <w:tcW w:w="5260" w:type="dxa"/>
            <w:vAlign w:val="bottom"/>
          </w:tcPr>
          <w:p>
            <w:pPr>
              <w:spacing w:after="0"/>
              <w:rPr>
                <w:sz w:val="20"/>
                <w:szCs w:val="20"/>
                <w:color w:val="auto"/>
              </w:rPr>
            </w:pPr>
            <w:r>
              <w:rPr>
                <w:rFonts w:ascii="Arial" w:cs="Arial" w:eastAsia="Arial" w:hAnsi="Arial"/>
                <w:sz w:val="18"/>
                <w:szCs w:val="18"/>
                <w:color w:val="auto"/>
                <w:w w:val="92"/>
              </w:rPr>
              <w:t>Fair value adjustment on Tax Receivable Agreement contingent liability</w:t>
            </w: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00" w:type="dxa"/>
            <w:vAlign w:val="bottom"/>
            <w:gridSpan w:val="2"/>
          </w:tcPr>
          <w:p>
            <w:pPr>
              <w:jc w:val="right"/>
              <w:ind w:right="200"/>
              <w:spacing w:after="0"/>
              <w:rPr>
                <w:sz w:val="20"/>
                <w:szCs w:val="20"/>
                <w:color w:val="auto"/>
              </w:rPr>
            </w:pPr>
            <w:r>
              <w:rPr>
                <w:rFonts w:ascii="Arial" w:cs="Arial" w:eastAsia="Arial" w:hAnsi="Arial"/>
                <w:sz w:val="18"/>
                <w:szCs w:val="18"/>
                <w:color w:val="auto"/>
              </w:rPr>
              <w:t>2.0</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1.0</w:t>
            </w:r>
          </w:p>
        </w:tc>
      </w:tr>
      <w:tr>
        <w:trPr>
          <w:trHeight w:val="213"/>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rPr>
              <w:t>Fair value adjustment on contingent consideration liability</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w:t>
            </w:r>
          </w:p>
        </w:tc>
      </w:tr>
      <w:tr>
        <w:trPr>
          <w:trHeight w:val="227"/>
        </w:trPr>
        <w:tc>
          <w:tcPr>
            <w:tcW w:w="5260" w:type="dxa"/>
            <w:vAlign w:val="bottom"/>
          </w:tcPr>
          <w:p>
            <w:pPr>
              <w:spacing w:after="0"/>
              <w:rPr>
                <w:sz w:val="20"/>
                <w:szCs w:val="20"/>
                <w:color w:val="auto"/>
              </w:rPr>
            </w:pPr>
            <w:r>
              <w:rPr>
                <w:rFonts w:ascii="Arial" w:cs="Arial" w:eastAsia="Arial" w:hAnsi="Arial"/>
                <w:sz w:val="18"/>
                <w:szCs w:val="18"/>
                <w:color w:val="auto"/>
              </w:rPr>
              <w:t>Other</w:t>
            </w:r>
          </w:p>
        </w:tc>
        <w:tc>
          <w:tcPr>
            <w:tcW w:w="1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0.1</w:t>
            </w:r>
          </w:p>
        </w:tc>
        <w:tc>
          <w:tcPr>
            <w:tcW w:w="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00" w:type="dxa"/>
            <w:vAlign w:val="bottom"/>
            <w:gridSpan w:val="2"/>
          </w:tcPr>
          <w:p>
            <w:pPr>
              <w:jc w:val="right"/>
              <w:ind w:right="200"/>
              <w:spacing w:after="0"/>
              <w:rPr>
                <w:sz w:val="20"/>
                <w:szCs w:val="20"/>
                <w:color w:val="auto"/>
              </w:rPr>
            </w:pPr>
            <w:r>
              <w:rPr>
                <w:rFonts w:ascii="Arial" w:cs="Arial" w:eastAsia="Arial" w:hAnsi="Arial"/>
                <w:sz w:val="18"/>
                <w:szCs w:val="18"/>
                <w:color w:val="auto"/>
              </w:rPr>
              <w:t>0.7</w:t>
            </w:r>
          </w:p>
        </w:tc>
        <w:tc>
          <w:tcPr>
            <w:tcW w:w="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80" w:type="dxa"/>
            <w:vAlign w:val="bottom"/>
            <w:gridSpan w:val="2"/>
          </w:tcPr>
          <w:p>
            <w:pPr>
              <w:jc w:val="right"/>
              <w:ind w:right="160"/>
              <w:spacing w:after="0"/>
              <w:rPr>
                <w:sz w:val="20"/>
                <w:szCs w:val="20"/>
                <w:color w:val="auto"/>
              </w:rPr>
            </w:pPr>
            <w:r>
              <w:rPr>
                <w:rFonts w:ascii="Arial" w:cs="Arial" w:eastAsia="Arial" w:hAnsi="Arial"/>
                <w:sz w:val="18"/>
                <w:szCs w:val="18"/>
                <w:color w:val="auto"/>
              </w:rPr>
              <w:t>(2.2)</w:t>
            </w:r>
          </w:p>
        </w:tc>
        <w:tc>
          <w:tcPr>
            <w:tcW w:w="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3.4</w:t>
            </w:r>
          </w:p>
        </w:tc>
      </w:tr>
      <w:tr>
        <w:trPr>
          <w:trHeight w:val="220"/>
        </w:trPr>
        <w:tc>
          <w:tcPr>
            <w:tcW w:w="526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Adjusted EBITDA</w:t>
            </w:r>
          </w:p>
        </w:tc>
        <w:tc>
          <w:tcPr>
            <w:tcW w:w="120" w:type="dxa"/>
            <w:vAlign w:val="bottom"/>
            <w:tcBorders>
              <w:top w:val="single" w:sz="8" w:color="CCEEFF"/>
              <w:bottom w:val="single" w:sz="8" w:color="CCEEFF"/>
            </w:tcBorders>
            <w:shd w:val="clear" w:color="auto" w:fill="CCEEFF"/>
          </w:tcPr>
          <w:p>
            <w:pPr>
              <w:spacing w:after="0"/>
              <w:rPr>
                <w:sz w:val="19"/>
                <w:szCs w:val="19"/>
                <w:color w:val="auto"/>
              </w:rPr>
            </w:pPr>
          </w:p>
        </w:tc>
        <w:tc>
          <w:tcPr>
            <w:tcW w:w="260" w:type="dxa"/>
            <w:vAlign w:val="bottom"/>
            <w:tcBorders>
              <w:top w:val="single" w:sz="8" w:color="auto"/>
              <w:bottom w:val="single" w:sz="8" w:color="auto"/>
            </w:tcBorders>
            <w:shd w:val="clear" w:color="auto" w:fill="CCEEFF"/>
          </w:tcPr>
          <w:p>
            <w:pPr>
              <w:jc w:val="right"/>
              <w:ind w:right="71"/>
              <w:spacing w:after="0"/>
              <w:rPr>
                <w:sz w:val="20"/>
                <w:szCs w:val="20"/>
                <w:color w:val="auto"/>
              </w:rPr>
            </w:pPr>
            <w:r>
              <w:rPr>
                <w:rFonts w:ascii="Arial" w:cs="Arial" w:eastAsia="Arial" w:hAnsi="Arial"/>
                <w:sz w:val="18"/>
                <w:szCs w:val="18"/>
                <w:color w:val="auto"/>
                <w:w w:val="79"/>
              </w:rPr>
              <w:t>$</w:t>
            </w:r>
          </w:p>
        </w:tc>
        <w:tc>
          <w:tcPr>
            <w:tcW w:w="9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93.7</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60" w:type="dxa"/>
            <w:vAlign w:val="bottom"/>
            <w:tcBorders>
              <w:top w:val="single" w:sz="8" w:color="CCEEFF"/>
              <w:bottom w:val="single" w:sz="8" w:color="CCEEFF"/>
            </w:tcBorders>
            <w:shd w:val="clear" w:color="auto" w:fill="CCEEFF"/>
          </w:tcPr>
          <w:p>
            <w:pPr>
              <w:spacing w:after="0"/>
              <w:rPr>
                <w:sz w:val="19"/>
                <w:szCs w:val="19"/>
                <w:color w:val="auto"/>
              </w:rPr>
            </w:pPr>
          </w:p>
        </w:tc>
        <w:tc>
          <w:tcPr>
            <w:tcW w:w="420" w:type="dxa"/>
            <w:vAlign w:val="bottom"/>
            <w:tcBorders>
              <w:top w:val="single" w:sz="8" w:color="auto"/>
              <w:bottom w:val="single" w:sz="8" w:color="auto"/>
            </w:tcBorders>
            <w:shd w:val="clear" w:color="auto" w:fill="CCEEFF"/>
          </w:tcPr>
          <w:p>
            <w:pPr>
              <w:jc w:val="right"/>
              <w:ind w:right="268"/>
              <w:spacing w:after="0"/>
              <w:rPr>
                <w:sz w:val="20"/>
                <w:szCs w:val="20"/>
                <w:color w:val="auto"/>
              </w:rPr>
            </w:pPr>
            <w:r>
              <w:rPr>
                <w:rFonts w:ascii="Arial" w:cs="Arial" w:eastAsia="Arial" w:hAnsi="Arial"/>
                <w:sz w:val="14"/>
                <w:szCs w:val="14"/>
                <w:color w:val="auto"/>
                <w:w w:val="76"/>
              </w:rPr>
              <w:t>$</w:t>
            </w: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49.9</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60" w:type="dxa"/>
            <w:vAlign w:val="bottom"/>
            <w:tcBorders>
              <w:top w:val="single" w:sz="8" w:color="CCEEFF"/>
              <w:bottom w:val="single" w:sz="8" w:color="CCEEFF"/>
            </w:tcBorders>
            <w:shd w:val="clear" w:color="auto" w:fill="CCEEFF"/>
          </w:tcPr>
          <w:p>
            <w:pPr>
              <w:spacing w:after="0"/>
              <w:rPr>
                <w:sz w:val="19"/>
                <w:szCs w:val="19"/>
                <w:color w:val="auto"/>
              </w:rPr>
            </w:pPr>
          </w:p>
        </w:tc>
        <w:tc>
          <w:tcPr>
            <w:tcW w:w="260" w:type="dxa"/>
            <w:vAlign w:val="bottom"/>
            <w:tcBorders>
              <w:top w:val="single" w:sz="8" w:color="auto"/>
              <w:bottom w:val="single" w:sz="8" w:color="auto"/>
            </w:tcBorders>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226.7</w:t>
            </w:r>
          </w:p>
        </w:tc>
        <w:tc>
          <w:tcPr>
            <w:tcW w:w="220" w:type="dxa"/>
            <w:vAlign w:val="bottom"/>
            <w:tcBorders>
              <w:top w:val="single" w:sz="8" w:color="CCEEFF"/>
              <w:bottom w:val="single" w:sz="8" w:color="CCEEFF"/>
            </w:tcBorders>
            <w:shd w:val="clear" w:color="auto" w:fill="CCEEFF"/>
          </w:tcPr>
          <w:p>
            <w:pPr>
              <w:spacing w:after="0"/>
              <w:rPr>
                <w:sz w:val="19"/>
                <w:szCs w:val="19"/>
                <w:color w:val="auto"/>
              </w:rPr>
            </w:pPr>
          </w:p>
        </w:tc>
        <w:tc>
          <w:tcPr>
            <w:tcW w:w="60" w:type="dxa"/>
            <w:vAlign w:val="bottom"/>
            <w:tcBorders>
              <w:top w:val="single" w:sz="8" w:color="CCEEFF"/>
              <w:bottom w:val="single" w:sz="8" w:color="CCEEFF"/>
            </w:tcBorders>
            <w:shd w:val="clear" w:color="auto" w:fill="CCEEFF"/>
          </w:tcPr>
          <w:p>
            <w:pPr>
              <w:spacing w:after="0"/>
              <w:rPr>
                <w:sz w:val="19"/>
                <w:szCs w:val="19"/>
                <w:color w:val="auto"/>
              </w:rPr>
            </w:pPr>
          </w:p>
        </w:tc>
        <w:tc>
          <w:tcPr>
            <w:tcW w:w="420" w:type="dxa"/>
            <w:vAlign w:val="bottom"/>
            <w:tcBorders>
              <w:top w:val="single" w:sz="8" w:color="auto"/>
              <w:bottom w:val="single" w:sz="8" w:color="auto"/>
            </w:tcBorders>
            <w:shd w:val="clear" w:color="auto" w:fill="CCEEFF"/>
          </w:tcPr>
          <w:p>
            <w:pPr>
              <w:jc w:val="right"/>
              <w:ind w:right="268"/>
              <w:spacing w:after="0"/>
              <w:rPr>
                <w:sz w:val="20"/>
                <w:szCs w:val="20"/>
                <w:color w:val="auto"/>
              </w:rPr>
            </w:pPr>
            <w:r>
              <w:rPr>
                <w:rFonts w:ascii="Arial" w:cs="Arial" w:eastAsia="Arial" w:hAnsi="Arial"/>
                <w:sz w:val="14"/>
                <w:szCs w:val="14"/>
                <w:color w:val="auto"/>
                <w:w w:val="76"/>
              </w:rPr>
              <w:t>$</w:t>
            </w: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125.9</w:t>
            </w:r>
          </w:p>
        </w:tc>
        <w:tc>
          <w:tcPr>
            <w:tcW w:w="160" w:type="dxa"/>
            <w:vAlign w:val="bottom"/>
            <w:tcBorders>
              <w:top w:val="single" w:sz="8" w:color="CCEEFF"/>
              <w:bottom w:val="single" w:sz="8" w:color="CCEEFF"/>
            </w:tcBorders>
            <w:shd w:val="clear" w:color="auto" w:fill="CCEEFF"/>
          </w:tcPr>
          <w:p>
            <w:pPr>
              <w:spacing w:after="0"/>
              <w:rPr>
                <w:sz w:val="19"/>
                <w:szCs w:val="19"/>
                <w:color w:val="auto"/>
              </w:rPr>
            </w:pPr>
          </w:p>
        </w:tc>
      </w:tr>
      <w:tr>
        <w:trPr>
          <w:trHeight w:val="20"/>
        </w:trPr>
        <w:tc>
          <w:tcPr>
            <w:tcW w:w="5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194"/>
        </w:trPr>
        <w:tc>
          <w:tcPr>
            <w:tcW w:w="52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60" w:type="dxa"/>
            <w:vAlign w:val="bottom"/>
          </w:tcPr>
          <w:p>
            <w:pPr>
              <w:spacing w:after="0"/>
              <w:rPr>
                <w:sz w:val="16"/>
                <w:szCs w:val="16"/>
                <w:color w:val="auto"/>
              </w:rPr>
            </w:pPr>
          </w:p>
        </w:tc>
      </w:tr>
      <w:tr>
        <w:trPr>
          <w:trHeight w:val="213"/>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rPr>
              <w:t>Net sales</w:t>
            </w:r>
          </w:p>
        </w:tc>
        <w:tc>
          <w:tcPr>
            <w:tcW w:w="380" w:type="dxa"/>
            <w:vAlign w:val="bottom"/>
            <w:gridSpan w:val="2"/>
            <w:shd w:val="clear" w:color="auto" w:fill="CCEEFF"/>
          </w:tcPr>
          <w:p>
            <w:pPr>
              <w:jc w:val="right"/>
              <w:ind w:right="71"/>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1,767.8</w:t>
            </w:r>
          </w:p>
        </w:tc>
        <w:tc>
          <w:tcPr>
            <w:tcW w:w="200" w:type="dxa"/>
            <w:vAlign w:val="bottom"/>
            <w:shd w:val="clear" w:color="auto" w:fill="CCEEFF"/>
          </w:tcPr>
          <w:p>
            <w:pPr>
              <w:spacing w:after="0"/>
              <w:rPr>
                <w:sz w:val="18"/>
                <w:szCs w:val="18"/>
                <w:color w:val="auto"/>
              </w:rPr>
            </w:pPr>
          </w:p>
        </w:tc>
        <w:tc>
          <w:tcPr>
            <w:tcW w:w="480" w:type="dxa"/>
            <w:vAlign w:val="bottom"/>
            <w:gridSpan w:val="2"/>
            <w:shd w:val="clear" w:color="auto" w:fill="CCEEFF"/>
          </w:tcPr>
          <w:p>
            <w:pPr>
              <w:jc w:val="right"/>
              <w:ind w:right="268"/>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1,591.2</w:t>
            </w:r>
          </w:p>
        </w:tc>
        <w:tc>
          <w:tcPr>
            <w:tcW w:w="320" w:type="dxa"/>
            <w:vAlign w:val="bottom"/>
            <w:gridSpan w:val="2"/>
            <w:shd w:val="clear" w:color="auto" w:fill="CCEEFF"/>
          </w:tcPr>
          <w:p>
            <w:pPr>
              <w:jc w:val="right"/>
              <w:ind w:right="108"/>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4,985.7</w:t>
            </w:r>
          </w:p>
        </w:tc>
        <w:tc>
          <w:tcPr>
            <w:tcW w:w="480" w:type="dxa"/>
            <w:vAlign w:val="bottom"/>
            <w:gridSpan w:val="2"/>
            <w:shd w:val="clear" w:color="auto" w:fill="CCEEFF"/>
          </w:tcPr>
          <w:p>
            <w:pPr>
              <w:jc w:val="right"/>
              <w:ind w:right="268"/>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4,703.3</w:t>
            </w:r>
          </w:p>
        </w:tc>
      </w:tr>
      <w:tr>
        <w:trPr>
          <w:trHeight w:val="226"/>
        </w:trPr>
        <w:tc>
          <w:tcPr>
            <w:tcW w:w="5260" w:type="dxa"/>
            <w:vAlign w:val="bottom"/>
          </w:tcPr>
          <w:p>
            <w:pPr>
              <w:spacing w:after="0"/>
              <w:rPr>
                <w:sz w:val="20"/>
                <w:szCs w:val="20"/>
                <w:color w:val="auto"/>
              </w:rPr>
            </w:pPr>
            <w:r>
              <w:rPr>
                <w:rFonts w:ascii="Arial" w:cs="Arial" w:eastAsia="Arial" w:hAnsi="Arial"/>
                <w:sz w:val="18"/>
                <w:szCs w:val="18"/>
                <w:color w:val="auto"/>
              </w:rPr>
              <w:t>Adjusted EBITDA as a % of net sales</w:t>
            </w:r>
          </w:p>
        </w:tc>
        <w:tc>
          <w:tcPr>
            <w:tcW w:w="1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80" w:type="dxa"/>
            <w:vAlign w:val="bottom"/>
            <w:gridSpan w:val="2"/>
          </w:tcPr>
          <w:p>
            <w:pPr>
              <w:jc w:val="right"/>
              <w:ind w:right="60"/>
              <w:spacing w:after="0"/>
              <w:rPr>
                <w:sz w:val="20"/>
                <w:szCs w:val="20"/>
                <w:color w:val="auto"/>
              </w:rPr>
            </w:pPr>
            <w:r>
              <w:rPr>
                <w:rFonts w:ascii="Arial" w:cs="Arial" w:eastAsia="Arial" w:hAnsi="Arial"/>
                <w:sz w:val="18"/>
                <w:szCs w:val="18"/>
                <w:color w:val="auto"/>
              </w:rPr>
              <w:t>5.3%</w:t>
            </w:r>
          </w:p>
        </w:tc>
        <w:tc>
          <w:tcPr>
            <w:tcW w:w="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00" w:type="dxa"/>
            <w:vAlign w:val="bottom"/>
            <w:gridSpan w:val="2"/>
          </w:tcPr>
          <w:p>
            <w:pPr>
              <w:jc w:val="right"/>
              <w:ind w:right="60"/>
              <w:spacing w:after="0"/>
              <w:rPr>
                <w:sz w:val="20"/>
                <w:szCs w:val="20"/>
                <w:color w:val="auto"/>
              </w:rPr>
            </w:pPr>
            <w:r>
              <w:rPr>
                <w:rFonts w:ascii="Arial" w:cs="Arial" w:eastAsia="Arial" w:hAnsi="Arial"/>
                <w:sz w:val="18"/>
                <w:szCs w:val="18"/>
                <w:color w:val="auto"/>
              </w:rPr>
              <w:t>3.1%</w:t>
            </w:r>
          </w:p>
        </w:tc>
        <w:tc>
          <w:tcPr>
            <w:tcW w:w="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80" w:type="dxa"/>
            <w:vAlign w:val="bottom"/>
            <w:gridSpan w:val="2"/>
          </w:tcPr>
          <w:p>
            <w:pPr>
              <w:jc w:val="right"/>
              <w:ind w:right="60"/>
              <w:spacing w:after="0"/>
              <w:rPr>
                <w:sz w:val="20"/>
                <w:szCs w:val="20"/>
                <w:color w:val="auto"/>
              </w:rPr>
            </w:pPr>
            <w:r>
              <w:rPr>
                <w:rFonts w:ascii="Arial" w:cs="Arial" w:eastAsia="Arial" w:hAnsi="Arial"/>
                <w:sz w:val="18"/>
                <w:szCs w:val="18"/>
                <w:color w:val="auto"/>
              </w:rPr>
              <w:t>4.5%</w:t>
            </w:r>
          </w:p>
        </w:tc>
        <w:tc>
          <w:tcPr>
            <w:tcW w:w="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2.7%</w:t>
            </w:r>
          </w:p>
        </w:tc>
      </w:tr>
      <w:tr>
        <w:trPr>
          <w:trHeight w:val="654"/>
        </w:trPr>
        <w:tc>
          <w:tcPr>
            <w:tcW w:w="52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11" w:name="page12"/>
    <w:bookmarkEnd w:id="1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income (loss)</w:t>
      </w:r>
    </w:p>
    <w:p>
      <w:pPr>
        <w:spacing w:after="0" w:line="23" w:lineRule="exact"/>
        <w:rPr>
          <w:sz w:val="20"/>
          <w:szCs w:val="20"/>
          <w:color w:val="auto"/>
        </w:rPr>
      </w:pPr>
    </w:p>
    <w:p>
      <w:pPr>
        <w:ind w:left="160"/>
        <w:spacing w:after="0"/>
        <w:rPr>
          <w:sz w:val="20"/>
          <w:szCs w:val="20"/>
          <w:color w:val="auto"/>
        </w:rPr>
      </w:pPr>
      <w:r>
        <w:rPr>
          <w:rFonts w:ascii="Arial" w:cs="Arial" w:eastAsia="Arial" w:hAnsi="Arial"/>
          <w:sz w:val="18"/>
          <w:szCs w:val="18"/>
          <w:color w:val="auto"/>
        </w:rPr>
        <w:t>Interest expense, net</w:t>
      </w:r>
    </w:p>
    <w:p>
      <w:pPr>
        <w:spacing w:after="0" w:line="6" w:lineRule="exact"/>
        <w:rPr>
          <w:sz w:val="20"/>
          <w:szCs w:val="20"/>
          <w:color w:val="auto"/>
        </w:rPr>
      </w:pPr>
    </w:p>
    <w:p>
      <w:pPr>
        <w:ind w:left="160"/>
        <w:spacing w:after="0"/>
        <w:rPr>
          <w:sz w:val="20"/>
          <w:szCs w:val="20"/>
          <w:color w:val="auto"/>
        </w:rPr>
      </w:pPr>
      <w:r>
        <w:rPr>
          <w:rFonts w:ascii="Arial" w:cs="Arial" w:eastAsia="Arial" w:hAnsi="Arial"/>
          <w:sz w:val="16"/>
          <w:szCs w:val="16"/>
          <w:color w:val="auto"/>
        </w:rPr>
        <w:t>Income tax expense (benefit)</w:t>
      </w:r>
    </w:p>
    <w:p>
      <w:pPr>
        <w:spacing w:after="0" w:line="29" w:lineRule="exact"/>
        <w:rPr>
          <w:sz w:val="20"/>
          <w:szCs w:val="20"/>
          <w:color w:val="auto"/>
        </w:rPr>
      </w:pPr>
    </w:p>
    <w:p>
      <w:pPr>
        <w:ind w:left="160"/>
        <w:spacing w:after="0"/>
        <w:rPr>
          <w:sz w:val="20"/>
          <w:szCs w:val="20"/>
          <w:color w:val="auto"/>
        </w:rPr>
      </w:pPr>
      <w:r>
        <w:rPr>
          <w:rFonts w:ascii="Arial" w:cs="Arial" w:eastAsia="Arial" w:hAnsi="Arial"/>
          <w:sz w:val="16"/>
          <w:szCs w:val="16"/>
          <w:color w:val="auto"/>
        </w:rPr>
        <w:t>Depreciation and amortization</w:t>
      </w:r>
    </w:p>
    <w:p>
      <w:pPr>
        <w:spacing w:after="0" w:line="29" w:lineRule="exact"/>
        <w:rPr>
          <w:sz w:val="20"/>
          <w:szCs w:val="20"/>
          <w:color w:val="auto"/>
        </w:rPr>
      </w:pPr>
    </w:p>
    <w:p>
      <w:pPr>
        <w:ind w:left="160"/>
        <w:spacing w:after="0"/>
        <w:rPr>
          <w:sz w:val="20"/>
          <w:szCs w:val="20"/>
          <w:color w:val="auto"/>
        </w:rPr>
      </w:pPr>
      <w:r>
        <w:rPr>
          <w:rFonts w:ascii="Arial" w:cs="Arial" w:eastAsia="Arial" w:hAnsi="Arial"/>
          <w:sz w:val="18"/>
          <w:szCs w:val="18"/>
          <w:color w:val="auto"/>
        </w:rPr>
        <w:t>Other reconciling items</w:t>
      </w:r>
    </w:p>
    <w:p>
      <w:pPr>
        <w:spacing w:after="0" w:line="6" w:lineRule="exact"/>
        <w:rPr>
          <w:sz w:val="20"/>
          <w:szCs w:val="20"/>
          <w:color w:val="auto"/>
        </w:rPr>
      </w:pPr>
    </w:p>
    <w:p>
      <w:pPr>
        <w:ind w:left="160"/>
        <w:spacing w:after="0"/>
        <w:rPr>
          <w:sz w:val="20"/>
          <w:szCs w:val="20"/>
          <w:color w:val="auto"/>
        </w:rPr>
      </w:pPr>
      <w:r>
        <w:rPr>
          <w:rFonts w:ascii="Arial" w:cs="Arial" w:eastAsia="Arial" w:hAnsi="Arial"/>
          <w:sz w:val="18"/>
          <w:szCs w:val="18"/>
          <w:b w:val="1"/>
          <w:bCs w:val="1"/>
          <w:color w:val="auto"/>
        </w:rPr>
        <w:t>Adjusted EBITDA</w:t>
      </w:r>
    </w:p>
    <w:p>
      <w:pPr>
        <w:spacing w:after="0" w:line="20" w:lineRule="exact"/>
        <w:rPr>
          <w:sz w:val="20"/>
          <w:szCs w:val="20"/>
          <w:color w:val="auto"/>
        </w:rPr>
      </w:pPr>
      <w:r>
        <w:rPr>
          <w:sz w:val="20"/>
          <w:szCs w:val="20"/>
          <w:color w:val="auto"/>
        </w:rPr>
        <w:br w:type="column"/>
      </w:r>
    </w:p>
    <w:p>
      <w:pPr>
        <w:jc w:val="center"/>
        <w:ind w:right="3120"/>
        <w:spacing w:after="0"/>
        <w:rPr>
          <w:sz w:val="20"/>
          <w:szCs w:val="20"/>
          <w:color w:val="auto"/>
        </w:rPr>
      </w:pPr>
      <w:r>
        <w:rPr>
          <w:rFonts w:ascii="Arial" w:cs="Arial" w:eastAsia="Arial" w:hAnsi="Arial"/>
          <w:sz w:val="18"/>
          <w:szCs w:val="18"/>
          <w:b w:val="1"/>
          <w:bCs w:val="1"/>
          <w:color w:val="auto"/>
        </w:rPr>
        <w:t>Table I.a.</w:t>
      </w:r>
    </w:p>
    <w:p>
      <w:pPr>
        <w:spacing w:after="0" w:line="23" w:lineRule="exact"/>
        <w:rPr>
          <w:sz w:val="20"/>
          <w:szCs w:val="20"/>
          <w:color w:val="auto"/>
        </w:rPr>
      </w:pPr>
    </w:p>
    <w:p>
      <w:pPr>
        <w:jc w:val="center"/>
        <w:ind w:right="3120"/>
        <w:spacing w:after="0"/>
        <w:rPr>
          <w:sz w:val="20"/>
          <w:szCs w:val="20"/>
          <w:color w:val="auto"/>
        </w:rPr>
      </w:pPr>
      <w:r>
        <w:rPr>
          <w:rFonts w:ascii="Arial" w:cs="Arial" w:eastAsia="Arial" w:hAnsi="Arial"/>
          <w:sz w:val="18"/>
          <w:szCs w:val="18"/>
          <w:b w:val="1"/>
          <w:bCs w:val="1"/>
          <w:color w:val="auto"/>
        </w:rPr>
        <w:t>VERITIV CORPORATION</w:t>
      </w:r>
    </w:p>
    <w:p>
      <w:pPr>
        <w:spacing w:after="0" w:line="6" w:lineRule="exact"/>
        <w:rPr>
          <w:sz w:val="20"/>
          <w:szCs w:val="20"/>
          <w:color w:val="auto"/>
        </w:rPr>
      </w:pPr>
    </w:p>
    <w:p>
      <w:pPr>
        <w:jc w:val="center"/>
        <w:ind w:right="3120"/>
        <w:spacing w:after="0"/>
        <w:rPr>
          <w:sz w:val="20"/>
          <w:szCs w:val="20"/>
          <w:color w:val="auto"/>
        </w:rPr>
      </w:pPr>
      <w:r>
        <w:rPr>
          <w:rFonts w:ascii="Arial" w:cs="Arial" w:eastAsia="Arial" w:hAnsi="Arial"/>
          <w:sz w:val="18"/>
          <w:szCs w:val="18"/>
          <w:b w:val="1"/>
          <w:bCs w:val="1"/>
          <w:color w:val="auto"/>
        </w:rPr>
        <w:t>RECONCILIATION OF NON-GAAP MEASURES</w:t>
      </w:r>
    </w:p>
    <w:p>
      <w:pPr>
        <w:spacing w:after="0" w:line="6" w:lineRule="exact"/>
        <w:rPr>
          <w:sz w:val="20"/>
          <w:szCs w:val="20"/>
          <w:color w:val="auto"/>
        </w:rPr>
      </w:pPr>
    </w:p>
    <w:p>
      <w:pPr>
        <w:jc w:val="center"/>
        <w:ind w:right="3120"/>
        <w:spacing w:after="0"/>
        <w:rPr>
          <w:sz w:val="20"/>
          <w:szCs w:val="20"/>
          <w:color w:val="auto"/>
        </w:rPr>
      </w:pPr>
      <w:r>
        <w:rPr>
          <w:rFonts w:ascii="Arial" w:cs="Arial" w:eastAsia="Arial" w:hAnsi="Arial"/>
          <w:sz w:val="17"/>
          <w:szCs w:val="17"/>
          <w:b w:val="1"/>
          <w:bCs w:val="1"/>
          <w:color w:val="auto"/>
        </w:rPr>
        <w:t>NET INCOME (LOSS) TO ADJUSTED EBITDA GUIDANCE</w:t>
      </w:r>
    </w:p>
    <w:p>
      <w:pPr>
        <w:spacing w:after="0" w:line="18" w:lineRule="exact"/>
        <w:rPr>
          <w:sz w:val="20"/>
          <w:szCs w:val="20"/>
          <w:color w:val="auto"/>
        </w:rPr>
      </w:pPr>
    </w:p>
    <w:p>
      <w:pPr>
        <w:jc w:val="center"/>
        <w:ind w:right="3120"/>
        <w:spacing w:after="0"/>
        <w:rPr>
          <w:sz w:val="20"/>
          <w:szCs w:val="20"/>
          <w:color w:val="auto"/>
        </w:rPr>
      </w:pPr>
      <w:r>
        <w:rPr>
          <w:rFonts w:ascii="Arial" w:cs="Arial" w:eastAsia="Arial" w:hAnsi="Arial"/>
          <w:sz w:val="18"/>
          <w:szCs w:val="18"/>
          <w:color w:val="auto"/>
        </w:rPr>
        <w:t>(in millions, unaudited)</w:t>
      </w:r>
    </w:p>
    <w:p>
      <w:pPr>
        <w:spacing w:after="0" w:line="230" w:lineRule="exact"/>
        <w:rPr>
          <w:sz w:val="20"/>
          <w:szCs w:val="20"/>
          <w:color w:val="auto"/>
        </w:rPr>
      </w:pPr>
    </w:p>
    <w:p>
      <w:pPr>
        <w:jc w:val="center"/>
        <w:ind w:left="-4099"/>
        <w:spacing w:after="0"/>
        <w:rPr>
          <w:sz w:val="20"/>
          <w:szCs w:val="20"/>
          <w:color w:val="auto"/>
        </w:rPr>
      </w:pPr>
      <w:r>
        <w:rPr>
          <w:rFonts w:ascii="Arial" w:cs="Arial" w:eastAsia="Arial" w:hAnsi="Arial"/>
          <w:sz w:val="18"/>
          <w:szCs w:val="18"/>
          <w:b w:val="1"/>
          <w:bCs w:val="1"/>
          <w:color w:val="auto"/>
        </w:rPr>
        <w:t>Forecast for Year Ending December 31,</w:t>
      </w:r>
    </w:p>
    <w:p>
      <w:pPr>
        <w:spacing w:after="0" w:line="23" w:lineRule="exact"/>
        <w:rPr>
          <w:sz w:val="20"/>
          <w:szCs w:val="20"/>
          <w:color w:val="auto"/>
        </w:rPr>
      </w:pPr>
    </w:p>
    <w:p>
      <w:pPr>
        <w:jc w:val="center"/>
        <w:ind w:left="-4099"/>
        <w:spacing w:after="0"/>
        <w:rPr>
          <w:sz w:val="20"/>
          <w:szCs w:val="20"/>
          <w:color w:val="auto"/>
        </w:rPr>
      </w:pPr>
      <w:r>
        <w:rPr>
          <w:rFonts w:ascii="Arial" w:cs="Arial" w:eastAsia="Arial" w:hAnsi="Arial"/>
          <w:sz w:val="18"/>
          <w:szCs w:val="18"/>
          <w:b w:val="1"/>
          <w:bCs w:val="1"/>
          <w:color w:val="auto"/>
        </w:rPr>
        <w:t>2021</w:t>
      </w:r>
    </w:p>
    <w:p>
      <w:pPr>
        <w:spacing w:after="0" w:line="6" w:lineRule="exact"/>
        <w:rPr>
          <w:sz w:val="20"/>
          <w:szCs w:val="20"/>
          <w:color w:val="auto"/>
        </w:rPr>
      </w:pPr>
    </w:p>
    <w:tbl>
      <w:tblPr>
        <w:tblLayout w:type="fixed"/>
        <w:tblInd w:w="4560" w:type="dxa"/>
        <w:tblCellMar>
          <w:top w:w="0" w:type="dxa"/>
          <w:left w:w="0" w:type="dxa"/>
          <w:bottom w:w="0" w:type="dxa"/>
          <w:right w:w="0" w:type="dxa"/>
        </w:tblCellMar>
      </w:tblPr>
      <w:tr>
        <w:trPr>
          <w:trHeight w:val="222"/>
        </w:trPr>
        <w:tc>
          <w:tcPr>
            <w:tcW w:w="340" w:type="dxa"/>
            <w:vAlign w:val="bottom"/>
            <w:tcBorders>
              <w:top w:val="single" w:sz="8" w:color="auto"/>
            </w:tcBorders>
          </w:tcPr>
          <w:p>
            <w:pPr>
              <w:spacing w:after="0"/>
              <w:rPr>
                <w:sz w:val="19"/>
                <w:szCs w:val="19"/>
                <w:color w:val="auto"/>
              </w:rPr>
            </w:pPr>
          </w:p>
        </w:tc>
        <w:tc>
          <w:tcPr>
            <w:tcW w:w="1460" w:type="dxa"/>
            <w:vAlign w:val="bottom"/>
            <w:tcBorders>
              <w:top w:val="single" w:sz="8" w:color="auto"/>
            </w:tcBorders>
            <w:gridSpan w:val="2"/>
          </w:tcPr>
          <w:p>
            <w:pPr>
              <w:jc w:val="right"/>
              <w:ind w:right="840"/>
              <w:spacing w:after="0"/>
              <w:rPr>
                <w:sz w:val="20"/>
                <w:szCs w:val="20"/>
                <w:color w:val="auto"/>
              </w:rPr>
            </w:pPr>
            <w:r>
              <w:rPr>
                <w:rFonts w:ascii="Arial" w:cs="Arial" w:eastAsia="Arial" w:hAnsi="Arial"/>
                <w:sz w:val="18"/>
                <w:szCs w:val="18"/>
                <w:b w:val="1"/>
                <w:bCs w:val="1"/>
                <w:color w:val="auto"/>
              </w:rPr>
              <w:t>Low</w:t>
            </w:r>
          </w:p>
        </w:tc>
        <w:tc>
          <w:tcPr>
            <w:tcW w:w="20" w:type="dxa"/>
            <w:vAlign w:val="bottom"/>
            <w:tcBorders>
              <w:top w:val="single" w:sz="8" w:color="auto"/>
            </w:tcBorders>
          </w:tcPr>
          <w:p>
            <w:pPr>
              <w:spacing w:after="0"/>
              <w:rPr>
                <w:sz w:val="19"/>
                <w:szCs w:val="19"/>
                <w:color w:val="auto"/>
              </w:rPr>
            </w:pPr>
          </w:p>
        </w:tc>
        <w:tc>
          <w:tcPr>
            <w:tcW w:w="32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jc w:val="right"/>
              <w:ind w:right="511"/>
              <w:spacing w:after="0"/>
              <w:rPr>
                <w:sz w:val="20"/>
                <w:szCs w:val="20"/>
                <w:color w:val="auto"/>
              </w:rPr>
            </w:pPr>
            <w:r>
              <w:rPr>
                <w:rFonts w:ascii="Arial" w:cs="Arial" w:eastAsia="Arial" w:hAnsi="Arial"/>
                <w:sz w:val="18"/>
                <w:szCs w:val="18"/>
                <w:b w:val="1"/>
                <w:bCs w:val="1"/>
                <w:color w:val="auto"/>
              </w:rPr>
              <w:t>High</w:t>
            </w:r>
          </w:p>
        </w:tc>
        <w:tc>
          <w:tcPr>
            <w:tcW w:w="20" w:type="dxa"/>
            <w:vAlign w:val="bottom"/>
          </w:tcPr>
          <w:p>
            <w:pPr>
              <w:spacing w:after="0"/>
              <w:rPr>
                <w:sz w:val="19"/>
                <w:szCs w:val="19"/>
                <w:color w:val="auto"/>
              </w:rPr>
            </w:pPr>
          </w:p>
        </w:tc>
      </w:tr>
      <w:tr>
        <w:trPr>
          <w:trHeight w:val="192"/>
        </w:trPr>
        <w:tc>
          <w:tcPr>
            <w:tcW w:w="340" w:type="dxa"/>
            <w:vAlign w:val="bottom"/>
            <w:tcBorders>
              <w:top w:val="single" w:sz="8" w:color="auto"/>
            </w:tcBorders>
          </w:tcPr>
          <w:p>
            <w:pPr>
              <w:jc w:val="right"/>
              <w:ind w:right="188"/>
              <w:spacing w:after="0"/>
              <w:rPr>
                <w:sz w:val="20"/>
                <w:szCs w:val="20"/>
                <w:color w:val="auto"/>
              </w:rPr>
            </w:pPr>
            <w:r>
              <w:rPr>
                <w:rFonts w:ascii="Arial" w:cs="Arial" w:eastAsia="Arial" w:hAnsi="Arial"/>
                <w:sz w:val="14"/>
                <w:szCs w:val="14"/>
                <w:b w:val="1"/>
                <w:bCs w:val="1"/>
                <w:color w:val="auto"/>
                <w:w w:val="76"/>
              </w:rPr>
              <w:t>$</w:t>
            </w:r>
          </w:p>
        </w:tc>
        <w:tc>
          <w:tcPr>
            <w:tcW w:w="1240" w:type="dxa"/>
            <w:vAlign w:val="bottom"/>
            <w:tcBorders>
              <w:top w:val="single" w:sz="8" w:color="auto"/>
            </w:tcBorders>
          </w:tcPr>
          <w:p>
            <w:pPr>
              <w:jc w:val="right"/>
              <w:spacing w:after="0" w:line="193" w:lineRule="exact"/>
              <w:rPr>
                <w:sz w:val="20"/>
                <w:szCs w:val="20"/>
                <w:color w:val="auto"/>
              </w:rPr>
            </w:pPr>
            <w:r>
              <w:rPr>
                <w:rFonts w:ascii="Arial" w:cs="Arial" w:eastAsia="Arial" w:hAnsi="Arial"/>
                <w:sz w:val="18"/>
                <w:szCs w:val="18"/>
                <w:b w:val="1"/>
                <w:bCs w:val="1"/>
                <w:color w:val="auto"/>
              </w:rPr>
              <w:t>130</w:t>
            </w:r>
          </w:p>
        </w:tc>
        <w:tc>
          <w:tcPr>
            <w:tcW w:w="2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Borders>
              <w:top w:val="single" w:sz="8" w:color="auto"/>
            </w:tcBorders>
          </w:tcPr>
          <w:p>
            <w:pPr>
              <w:jc w:val="right"/>
              <w:ind w:right="210"/>
              <w:spacing w:after="0"/>
              <w:rPr>
                <w:sz w:val="20"/>
                <w:szCs w:val="20"/>
                <w:color w:val="auto"/>
              </w:rPr>
            </w:pPr>
            <w:r>
              <w:rPr>
                <w:rFonts w:ascii="Arial" w:cs="Arial" w:eastAsia="Arial" w:hAnsi="Arial"/>
                <w:sz w:val="10"/>
                <w:szCs w:val="10"/>
                <w:b w:val="1"/>
                <w:bCs w:val="1"/>
                <w:color w:val="auto"/>
                <w:w w:val="71"/>
              </w:rPr>
              <w:t>$</w:t>
            </w:r>
          </w:p>
        </w:tc>
        <w:tc>
          <w:tcPr>
            <w:tcW w:w="1220" w:type="dxa"/>
            <w:vAlign w:val="bottom"/>
            <w:tcBorders>
              <w:top w:val="single" w:sz="8" w:color="auto"/>
            </w:tcBorders>
          </w:tcPr>
          <w:p>
            <w:pPr>
              <w:jc w:val="right"/>
              <w:spacing w:after="0" w:line="193" w:lineRule="exact"/>
              <w:rPr>
                <w:sz w:val="20"/>
                <w:szCs w:val="20"/>
                <w:color w:val="auto"/>
              </w:rPr>
            </w:pPr>
            <w:r>
              <w:rPr>
                <w:rFonts w:ascii="Arial" w:cs="Arial" w:eastAsia="Arial" w:hAnsi="Arial"/>
                <w:sz w:val="18"/>
                <w:szCs w:val="18"/>
                <w:b w:val="1"/>
                <w:bCs w:val="1"/>
                <w:color w:val="auto"/>
              </w:rPr>
              <w:t>145</w:t>
            </w:r>
          </w:p>
        </w:tc>
        <w:tc>
          <w:tcPr>
            <w:tcW w:w="20" w:type="dxa"/>
            <w:vAlign w:val="bottom"/>
          </w:tcPr>
          <w:p>
            <w:pPr>
              <w:spacing w:after="0"/>
              <w:rPr>
                <w:sz w:val="16"/>
                <w:szCs w:val="16"/>
                <w:color w:val="auto"/>
              </w:rPr>
            </w:pPr>
          </w:p>
        </w:tc>
      </w:tr>
      <w:tr>
        <w:trPr>
          <w:trHeight w:val="213"/>
        </w:trPr>
        <w:tc>
          <w:tcPr>
            <w:tcW w:w="340" w:type="dxa"/>
            <w:vAlign w:val="bottom"/>
          </w:tcPr>
          <w:p>
            <w:pPr>
              <w:spacing w:after="0"/>
              <w:rPr>
                <w:sz w:val="18"/>
                <w:szCs w:val="18"/>
                <w:color w:val="auto"/>
              </w:rPr>
            </w:pPr>
          </w:p>
        </w:tc>
        <w:tc>
          <w:tcPr>
            <w:tcW w:w="1460" w:type="dxa"/>
            <w:vAlign w:val="bottom"/>
            <w:gridSpan w:val="2"/>
          </w:tcPr>
          <w:p>
            <w:pPr>
              <w:jc w:val="right"/>
              <w:ind w:right="220"/>
              <w:spacing w:after="0"/>
              <w:rPr>
                <w:sz w:val="20"/>
                <w:szCs w:val="20"/>
                <w:color w:val="auto"/>
              </w:rPr>
            </w:pPr>
            <w:r>
              <w:rPr>
                <w:rFonts w:ascii="Arial" w:cs="Arial" w:eastAsia="Arial" w:hAnsi="Arial"/>
                <w:sz w:val="18"/>
                <w:szCs w:val="18"/>
                <w:color w:val="auto"/>
              </w:rPr>
              <w:t>20</w:t>
            </w:r>
          </w:p>
        </w:tc>
        <w:tc>
          <w:tcPr>
            <w:tcW w:w="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40" w:type="dxa"/>
            <w:vAlign w:val="bottom"/>
            <w:gridSpan w:val="2"/>
          </w:tcPr>
          <w:p>
            <w:pPr>
              <w:jc w:val="right"/>
              <w:ind w:right="20"/>
              <w:spacing w:after="0"/>
              <w:rPr>
                <w:sz w:val="20"/>
                <w:szCs w:val="20"/>
                <w:color w:val="auto"/>
              </w:rPr>
            </w:pPr>
            <w:r>
              <w:rPr>
                <w:rFonts w:ascii="Arial" w:cs="Arial" w:eastAsia="Arial" w:hAnsi="Arial"/>
                <w:sz w:val="18"/>
                <w:szCs w:val="18"/>
                <w:color w:val="auto"/>
              </w:rPr>
              <w:t>20</w:t>
            </w:r>
          </w:p>
        </w:tc>
      </w:tr>
      <w:tr>
        <w:trPr>
          <w:trHeight w:val="213"/>
        </w:trPr>
        <w:tc>
          <w:tcPr>
            <w:tcW w:w="340" w:type="dxa"/>
            <w:vAlign w:val="bottom"/>
          </w:tcPr>
          <w:p>
            <w:pPr>
              <w:spacing w:after="0"/>
              <w:rPr>
                <w:sz w:val="18"/>
                <w:szCs w:val="18"/>
                <w:color w:val="auto"/>
              </w:rPr>
            </w:pPr>
          </w:p>
        </w:tc>
        <w:tc>
          <w:tcPr>
            <w:tcW w:w="1460" w:type="dxa"/>
            <w:vAlign w:val="bottom"/>
            <w:gridSpan w:val="2"/>
          </w:tcPr>
          <w:p>
            <w:pPr>
              <w:jc w:val="right"/>
              <w:ind w:right="220"/>
              <w:spacing w:after="0"/>
              <w:rPr>
                <w:sz w:val="20"/>
                <w:szCs w:val="20"/>
                <w:color w:val="auto"/>
              </w:rPr>
            </w:pPr>
            <w:r>
              <w:rPr>
                <w:rFonts w:ascii="Arial" w:cs="Arial" w:eastAsia="Arial" w:hAnsi="Arial"/>
                <w:sz w:val="18"/>
                <w:szCs w:val="18"/>
                <w:color w:val="auto"/>
              </w:rPr>
              <w:t>50</w:t>
            </w:r>
          </w:p>
        </w:tc>
        <w:tc>
          <w:tcPr>
            <w:tcW w:w="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40" w:type="dxa"/>
            <w:vAlign w:val="bottom"/>
            <w:gridSpan w:val="2"/>
          </w:tcPr>
          <w:p>
            <w:pPr>
              <w:jc w:val="right"/>
              <w:ind w:right="20"/>
              <w:spacing w:after="0"/>
              <w:rPr>
                <w:sz w:val="20"/>
                <w:szCs w:val="20"/>
                <w:color w:val="auto"/>
              </w:rPr>
            </w:pPr>
            <w:r>
              <w:rPr>
                <w:rFonts w:ascii="Arial" w:cs="Arial" w:eastAsia="Arial" w:hAnsi="Arial"/>
                <w:sz w:val="18"/>
                <w:szCs w:val="18"/>
                <w:color w:val="auto"/>
              </w:rPr>
              <w:t>55</w:t>
            </w:r>
          </w:p>
        </w:tc>
      </w:tr>
      <w:tr>
        <w:trPr>
          <w:trHeight w:val="226"/>
        </w:trPr>
        <w:tc>
          <w:tcPr>
            <w:tcW w:w="340" w:type="dxa"/>
            <w:vAlign w:val="bottom"/>
          </w:tcPr>
          <w:p>
            <w:pPr>
              <w:spacing w:after="0"/>
              <w:rPr>
                <w:sz w:val="19"/>
                <w:szCs w:val="19"/>
                <w:color w:val="auto"/>
              </w:rPr>
            </w:pPr>
          </w:p>
        </w:tc>
        <w:tc>
          <w:tcPr>
            <w:tcW w:w="1460" w:type="dxa"/>
            <w:vAlign w:val="bottom"/>
            <w:gridSpan w:val="2"/>
          </w:tcPr>
          <w:p>
            <w:pPr>
              <w:jc w:val="right"/>
              <w:ind w:right="220"/>
              <w:spacing w:after="0"/>
              <w:rPr>
                <w:sz w:val="20"/>
                <w:szCs w:val="20"/>
                <w:color w:val="auto"/>
              </w:rPr>
            </w:pPr>
            <w:r>
              <w:rPr>
                <w:rFonts w:ascii="Arial" w:cs="Arial" w:eastAsia="Arial" w:hAnsi="Arial"/>
                <w:sz w:val="18"/>
                <w:szCs w:val="18"/>
                <w:color w:val="auto"/>
              </w:rPr>
              <w:t>55</w:t>
            </w:r>
          </w:p>
        </w:tc>
        <w:tc>
          <w:tcPr>
            <w:tcW w:w="2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240" w:type="dxa"/>
            <w:vAlign w:val="bottom"/>
            <w:gridSpan w:val="2"/>
          </w:tcPr>
          <w:p>
            <w:pPr>
              <w:jc w:val="right"/>
              <w:ind w:right="20"/>
              <w:spacing w:after="0"/>
              <w:rPr>
                <w:sz w:val="20"/>
                <w:szCs w:val="20"/>
                <w:color w:val="auto"/>
              </w:rPr>
            </w:pPr>
            <w:r>
              <w:rPr>
                <w:rFonts w:ascii="Arial" w:cs="Arial" w:eastAsia="Arial" w:hAnsi="Arial"/>
                <w:sz w:val="18"/>
                <w:szCs w:val="18"/>
                <w:color w:val="auto"/>
              </w:rPr>
              <w:t>55</w:t>
            </w:r>
          </w:p>
        </w:tc>
      </w:tr>
      <w:tr>
        <w:trPr>
          <w:trHeight w:val="228"/>
        </w:trPr>
        <w:tc>
          <w:tcPr>
            <w:tcW w:w="340" w:type="dxa"/>
            <w:vAlign w:val="bottom"/>
          </w:tcPr>
          <w:p>
            <w:pPr>
              <w:spacing w:after="0"/>
              <w:rPr>
                <w:sz w:val="19"/>
                <w:szCs w:val="19"/>
                <w:color w:val="auto"/>
              </w:rPr>
            </w:pPr>
          </w:p>
        </w:tc>
        <w:tc>
          <w:tcPr>
            <w:tcW w:w="1460" w:type="dxa"/>
            <w:vAlign w:val="bottom"/>
            <w:gridSpan w:val="2"/>
          </w:tcPr>
          <w:p>
            <w:pPr>
              <w:jc w:val="right"/>
              <w:ind w:right="220"/>
              <w:spacing w:after="0"/>
              <w:rPr>
                <w:sz w:val="20"/>
                <w:szCs w:val="20"/>
                <w:color w:val="auto"/>
              </w:rPr>
            </w:pPr>
            <w:r>
              <w:rPr>
                <w:rFonts w:ascii="Arial" w:cs="Arial" w:eastAsia="Arial" w:hAnsi="Arial"/>
                <w:sz w:val="18"/>
                <w:szCs w:val="18"/>
                <w:color w:val="auto"/>
              </w:rPr>
              <w:t>60</w:t>
            </w:r>
          </w:p>
        </w:tc>
        <w:tc>
          <w:tcPr>
            <w:tcW w:w="2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240" w:type="dxa"/>
            <w:vAlign w:val="bottom"/>
            <w:gridSpan w:val="2"/>
          </w:tcPr>
          <w:p>
            <w:pPr>
              <w:jc w:val="right"/>
              <w:ind w:right="20"/>
              <w:spacing w:after="0"/>
              <w:rPr>
                <w:sz w:val="20"/>
                <w:szCs w:val="20"/>
                <w:color w:val="auto"/>
              </w:rPr>
            </w:pPr>
            <w:r>
              <w:rPr>
                <w:rFonts w:ascii="Arial" w:cs="Arial" w:eastAsia="Arial" w:hAnsi="Arial"/>
                <w:sz w:val="18"/>
                <w:szCs w:val="18"/>
                <w:color w:val="auto"/>
              </w:rPr>
              <w:t>55</w:t>
            </w:r>
          </w:p>
        </w:tc>
      </w:tr>
      <w:tr>
        <w:trPr>
          <w:trHeight w:val="221"/>
        </w:trPr>
        <w:tc>
          <w:tcPr>
            <w:tcW w:w="340" w:type="dxa"/>
            <w:vAlign w:val="bottom"/>
            <w:tcBorders>
              <w:top w:val="single" w:sz="8" w:color="auto"/>
              <w:bottom w:val="single" w:sz="8" w:color="auto"/>
            </w:tcBorders>
          </w:tcPr>
          <w:p>
            <w:pPr>
              <w:jc w:val="right"/>
              <w:ind w:right="188"/>
              <w:spacing w:after="0"/>
              <w:rPr>
                <w:sz w:val="20"/>
                <w:szCs w:val="20"/>
                <w:color w:val="auto"/>
              </w:rPr>
            </w:pPr>
            <w:r>
              <w:rPr>
                <w:rFonts w:ascii="Arial" w:cs="Arial" w:eastAsia="Arial" w:hAnsi="Arial"/>
                <w:sz w:val="14"/>
                <w:szCs w:val="14"/>
                <w:b w:val="1"/>
                <w:bCs w:val="1"/>
                <w:color w:val="auto"/>
                <w:w w:val="76"/>
              </w:rPr>
              <w:t>$</w:t>
            </w:r>
          </w:p>
        </w:tc>
        <w:tc>
          <w:tcPr>
            <w:tcW w:w="1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315</w:t>
            </w:r>
          </w:p>
        </w:tc>
        <w:tc>
          <w:tcPr>
            <w:tcW w:w="22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320" w:type="dxa"/>
            <w:vAlign w:val="bottom"/>
            <w:tcBorders>
              <w:top w:val="single" w:sz="8" w:color="auto"/>
              <w:bottom w:val="single" w:sz="8" w:color="auto"/>
            </w:tcBorders>
          </w:tcPr>
          <w:p>
            <w:pPr>
              <w:jc w:val="right"/>
              <w:ind w:right="210"/>
              <w:spacing w:after="0"/>
              <w:rPr>
                <w:sz w:val="20"/>
                <w:szCs w:val="20"/>
                <w:color w:val="auto"/>
              </w:rPr>
            </w:pPr>
            <w:r>
              <w:rPr>
                <w:rFonts w:ascii="Arial" w:cs="Arial" w:eastAsia="Arial" w:hAnsi="Arial"/>
                <w:sz w:val="10"/>
                <w:szCs w:val="10"/>
                <w:color w:val="auto"/>
                <w:w w:val="71"/>
              </w:rPr>
              <w:t>$</w:t>
            </w:r>
          </w:p>
        </w:tc>
        <w:tc>
          <w:tcPr>
            <w:tcW w:w="1240" w:type="dxa"/>
            <w:vAlign w:val="bottom"/>
            <w:tcBorders>
              <w:top w:val="single" w:sz="8" w:color="auto"/>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rPr>
              <w:t>330</w:t>
            </w:r>
          </w:p>
        </w:tc>
      </w:tr>
      <w:tr>
        <w:trPr>
          <w:trHeight w:val="20"/>
        </w:trPr>
        <w:tc>
          <w:tcPr>
            <w:tcW w:w="340" w:type="dxa"/>
            <w:vAlign w:val="bottom"/>
            <w:tcBorders>
              <w:bottom w:val="single" w:sz="8" w:color="auto"/>
            </w:tcBorders>
          </w:tcPr>
          <w:p>
            <w:pPr>
              <w:spacing w:after="0" w:line="20" w:lineRule="exact"/>
              <w:rPr>
                <w:sz w:val="1"/>
                <w:szCs w:val="1"/>
                <w:color w:val="auto"/>
              </w:rPr>
            </w:pPr>
          </w:p>
        </w:tc>
        <w:tc>
          <w:tcPr>
            <w:tcW w:w="124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-2039620</wp:posOffset>
            </wp:positionH>
            <wp:positionV relativeFrom="paragraph">
              <wp:posOffset>-871855</wp:posOffset>
            </wp:positionV>
            <wp:extent cx="7134225" cy="1441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34225" cy="144145"/>
                    </a:xfrm>
                    <a:prstGeom prst="rect">
                      <a:avLst/>
                    </a:prstGeom>
                    <a:noFill/>
                  </pic:spPr>
                </pic:pic>
              </a:graphicData>
            </a:graphic>
          </wp:anchor>
        </w:drawing>
        <w:drawing>
          <wp:anchor simplePos="0" relativeHeight="251657728" behindDoc="1" locked="0" layoutInCell="0" allowOverlap="1">
            <wp:simplePos x="0" y="0"/>
            <wp:positionH relativeFrom="column">
              <wp:posOffset>-2039620</wp:posOffset>
            </wp:positionH>
            <wp:positionV relativeFrom="paragraph">
              <wp:posOffset>-592455</wp:posOffset>
            </wp:positionV>
            <wp:extent cx="7134225" cy="135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34225" cy="135255"/>
                    </a:xfrm>
                    <a:prstGeom prst="rect">
                      <a:avLst/>
                    </a:prstGeom>
                    <a:noFill/>
                  </pic:spPr>
                </pic:pic>
              </a:graphicData>
            </a:graphic>
          </wp:anchor>
        </w:drawing>
        <w:drawing>
          <wp:anchor simplePos="0" relativeHeight="251657728" behindDoc="1" locked="0" layoutInCell="0" allowOverlap="1">
            <wp:simplePos x="0" y="0"/>
            <wp:positionH relativeFrom="column">
              <wp:posOffset>-2039620</wp:posOffset>
            </wp:positionH>
            <wp:positionV relativeFrom="paragraph">
              <wp:posOffset>-321310</wp:posOffset>
            </wp:positionV>
            <wp:extent cx="7134225" cy="1441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34225" cy="144145"/>
                    </a:xfrm>
                    <a:prstGeom prst="rect">
                      <a:avLst/>
                    </a:prstGeom>
                    <a:noFill/>
                  </pic:spPr>
                </pic:pic>
              </a:graphicData>
            </a:graphic>
          </wp:anchor>
        </w:drawing>
        <w:drawing>
          <wp:anchor simplePos="0" relativeHeight="251657728" behindDoc="1" locked="0" layoutInCell="0" allowOverlap="1">
            <wp:simplePos x="0" y="0"/>
            <wp:positionH relativeFrom="column">
              <wp:posOffset>-2039620</wp:posOffset>
            </wp:positionH>
            <wp:positionV relativeFrom="paragraph">
              <wp:posOffset>423545</wp:posOffset>
            </wp:positionV>
            <wp:extent cx="7134225" cy="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2">
            <w:col w:w="2500" w:space="720"/>
            <w:col w:w="7920"/>
          </w:cols>
          <w:pgMar w:left="320" w:top="895" w:right="439" w:bottom="1440" w:gutter="0" w:footer="0" w:header="0"/>
        </w:sectPr>
      </w:pPr>
    </w:p>
    <w:bookmarkStart w:id="12" w:name="page13"/>
    <w:bookmarkEnd w:id="12"/>
    <w:p>
      <w:pPr>
        <w:jc w:val="center"/>
        <w:ind w:left="3660"/>
        <w:spacing w:after="0"/>
        <w:rPr>
          <w:sz w:val="20"/>
          <w:szCs w:val="20"/>
          <w:color w:val="auto"/>
        </w:rPr>
      </w:pPr>
      <w:r>
        <w:rPr>
          <w:rFonts w:ascii="Arial" w:cs="Arial" w:eastAsia="Arial" w:hAnsi="Arial"/>
          <w:sz w:val="18"/>
          <w:szCs w:val="18"/>
          <w:b w:val="1"/>
          <w:bCs w:val="1"/>
          <w:color w:val="auto"/>
        </w:rPr>
        <w:t>Table II</w:t>
      </w:r>
    </w:p>
    <w:p>
      <w:pPr>
        <w:spacing w:after="0" w:line="23" w:lineRule="exact"/>
        <w:rPr>
          <w:sz w:val="20"/>
          <w:szCs w:val="20"/>
          <w:color w:val="auto"/>
        </w:rPr>
      </w:pPr>
    </w:p>
    <w:p>
      <w:pPr>
        <w:jc w:val="center"/>
        <w:ind w:left="3660"/>
        <w:spacing w:after="0"/>
        <w:rPr>
          <w:sz w:val="20"/>
          <w:szCs w:val="20"/>
          <w:color w:val="auto"/>
        </w:rPr>
      </w:pPr>
      <w:r>
        <w:rPr>
          <w:rFonts w:ascii="Arial" w:cs="Arial" w:eastAsia="Arial" w:hAnsi="Arial"/>
          <w:sz w:val="18"/>
          <w:szCs w:val="18"/>
          <w:b w:val="1"/>
          <w:bCs w:val="1"/>
          <w:color w:val="auto"/>
        </w:rPr>
        <w:t>VERITIV CORPORATION</w:t>
      </w:r>
    </w:p>
    <w:p>
      <w:pPr>
        <w:spacing w:after="0" w:line="6" w:lineRule="exact"/>
        <w:rPr>
          <w:sz w:val="20"/>
          <w:szCs w:val="20"/>
          <w:color w:val="auto"/>
        </w:rPr>
      </w:pPr>
    </w:p>
    <w:p>
      <w:pPr>
        <w:jc w:val="center"/>
        <w:ind w:left="3660"/>
        <w:spacing w:after="0"/>
        <w:rPr>
          <w:sz w:val="20"/>
          <w:szCs w:val="20"/>
          <w:color w:val="auto"/>
        </w:rPr>
      </w:pPr>
      <w:r>
        <w:rPr>
          <w:rFonts w:ascii="Arial" w:cs="Arial" w:eastAsia="Arial" w:hAnsi="Arial"/>
          <w:sz w:val="17"/>
          <w:szCs w:val="17"/>
          <w:b w:val="1"/>
          <w:bCs w:val="1"/>
          <w:color w:val="auto"/>
        </w:rPr>
        <w:t>RECONCILIATION OF NON-GAAP MEASURES</w:t>
      </w:r>
    </w:p>
    <w:p>
      <w:pPr>
        <w:spacing w:after="0" w:line="18" w:lineRule="exact"/>
        <w:rPr>
          <w:sz w:val="20"/>
          <w:szCs w:val="20"/>
          <w:color w:val="auto"/>
        </w:rPr>
      </w:pPr>
    </w:p>
    <w:p>
      <w:pPr>
        <w:ind w:left="4820"/>
        <w:spacing w:after="0"/>
        <w:rPr>
          <w:sz w:val="20"/>
          <w:szCs w:val="20"/>
          <w:color w:val="auto"/>
        </w:rPr>
      </w:pPr>
      <w:r>
        <w:rPr>
          <w:rFonts w:ascii="Arial" w:cs="Arial" w:eastAsia="Arial" w:hAnsi="Arial"/>
          <w:sz w:val="18"/>
          <w:szCs w:val="18"/>
          <w:b w:val="1"/>
          <w:bCs w:val="1"/>
          <w:color w:val="auto"/>
        </w:rPr>
        <w:t>FREE CASH FLOW</w:t>
      </w:r>
    </w:p>
    <w:p>
      <w:pPr>
        <w:spacing w:after="0" w:line="6" w:lineRule="exact"/>
        <w:rPr>
          <w:sz w:val="20"/>
          <w:szCs w:val="20"/>
          <w:color w:val="auto"/>
        </w:rPr>
      </w:pPr>
    </w:p>
    <w:p>
      <w:pPr>
        <w:ind w:left="4780"/>
        <w:spacing w:after="0"/>
        <w:rPr>
          <w:sz w:val="20"/>
          <w:szCs w:val="20"/>
          <w:color w:val="auto"/>
        </w:rPr>
      </w:pPr>
      <w:r>
        <w:rPr>
          <w:rFonts w:ascii="Arial" w:cs="Arial" w:eastAsia="Arial" w:hAnsi="Arial"/>
          <w:sz w:val="18"/>
          <w:szCs w:val="18"/>
          <w:color w:val="auto"/>
        </w:rPr>
        <w:t>(in millions, unaudited)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spacing w:after="0"/>
        <w:rPr>
          <w:sz w:val="20"/>
          <w:szCs w:val="20"/>
          <w:color w:val="auto"/>
        </w:rPr>
      </w:pPr>
      <w:r>
        <w:rPr>
          <w:rFonts w:ascii="Arial" w:cs="Arial" w:eastAsia="Arial" w:hAnsi="Arial"/>
          <w:sz w:val="18"/>
          <w:szCs w:val="18"/>
          <w:color w:val="auto"/>
        </w:rPr>
        <w:t>Net cash provided by (used for) operating activities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-130175</wp:posOffset>
            </wp:positionV>
            <wp:extent cx="7134225" cy="1441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34225" cy="14414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Less: Capital expenditures</w:t>
      </w:r>
    </w:p>
    <w:p>
      <w:pPr>
        <w:spacing w:after="0" w:line="7" w:lineRule="exact"/>
        <w:rPr>
          <w:sz w:val="20"/>
          <w:szCs w:val="20"/>
          <w:color w:val="auto"/>
        </w:rPr>
      </w:pPr>
    </w:p>
    <w:p>
      <w:pPr>
        <w:spacing w:after="0"/>
        <w:rPr>
          <w:sz w:val="20"/>
          <w:szCs w:val="20"/>
          <w:color w:val="auto"/>
        </w:rPr>
      </w:pPr>
      <w:r>
        <w:rPr>
          <w:rFonts w:ascii="Arial" w:cs="Arial" w:eastAsia="Arial" w:hAnsi="Arial"/>
          <w:sz w:val="18"/>
          <w:szCs w:val="18"/>
          <w:color w:val="auto"/>
        </w:rPr>
        <w:t>Free cash flow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-121920</wp:posOffset>
            </wp:positionV>
            <wp:extent cx="7134225" cy="1612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34225" cy="161290"/>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479425</wp:posOffset>
            </wp:positionV>
            <wp:extent cx="7134225" cy="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13"/>
        </w:trPr>
        <w:tc>
          <w:tcPr>
            <w:tcW w:w="160" w:type="dxa"/>
            <w:vAlign w:val="bottom"/>
          </w:tcPr>
          <w:p>
            <w:pPr>
              <w:spacing w:after="0"/>
              <w:rPr>
                <w:sz w:val="18"/>
                <w:szCs w:val="18"/>
                <w:color w:val="auto"/>
              </w:rPr>
            </w:pPr>
          </w:p>
        </w:tc>
        <w:tc>
          <w:tcPr>
            <w:tcW w:w="1640" w:type="dxa"/>
            <w:vAlign w:val="bottom"/>
            <w:gridSpan w:val="2"/>
          </w:tcPr>
          <w:p>
            <w:pPr>
              <w:jc w:val="center"/>
              <w:ind w:right="400"/>
              <w:spacing w:after="0"/>
              <w:rPr>
                <w:sz w:val="20"/>
                <w:szCs w:val="20"/>
                <w:color w:val="auto"/>
              </w:rPr>
            </w:pPr>
            <w:r>
              <w:rPr>
                <w:rFonts w:ascii="Arial" w:cs="Arial" w:eastAsia="Arial" w:hAnsi="Arial"/>
                <w:sz w:val="18"/>
                <w:szCs w:val="18"/>
                <w:b w:val="1"/>
                <w:bCs w:val="1"/>
                <w:color w:val="auto"/>
                <w:w w:val="91"/>
              </w:rPr>
              <w:t>Three Months</w:t>
            </w:r>
          </w:p>
        </w:tc>
        <w:tc>
          <w:tcPr>
            <w:tcW w:w="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3"/>
        </w:trPr>
        <w:tc>
          <w:tcPr>
            <w:tcW w:w="160" w:type="dxa"/>
            <w:vAlign w:val="bottom"/>
          </w:tcPr>
          <w:p>
            <w:pPr>
              <w:spacing w:after="0"/>
              <w:rPr>
                <w:sz w:val="18"/>
                <w:szCs w:val="18"/>
                <w:color w:val="auto"/>
              </w:rPr>
            </w:pPr>
          </w:p>
        </w:tc>
        <w:tc>
          <w:tcPr>
            <w:tcW w:w="1640" w:type="dxa"/>
            <w:vAlign w:val="bottom"/>
            <w:gridSpan w:val="2"/>
          </w:tcPr>
          <w:p>
            <w:pPr>
              <w:jc w:val="center"/>
              <w:ind w:right="380"/>
              <w:spacing w:after="0"/>
              <w:rPr>
                <w:sz w:val="20"/>
                <w:szCs w:val="20"/>
                <w:color w:val="auto"/>
              </w:rPr>
            </w:pPr>
            <w:r>
              <w:rPr>
                <w:rFonts w:ascii="Arial" w:cs="Arial" w:eastAsia="Arial" w:hAnsi="Arial"/>
                <w:sz w:val="18"/>
                <w:szCs w:val="18"/>
                <w:b w:val="1"/>
                <w:bCs w:val="1"/>
                <w:color w:val="auto"/>
                <w:w w:val="90"/>
              </w:rPr>
              <w:t>Ended</w:t>
            </w:r>
          </w:p>
        </w:tc>
        <w:tc>
          <w:tcPr>
            <w:tcW w:w="20" w:type="dxa"/>
            <w:vAlign w:val="bottom"/>
          </w:tcPr>
          <w:p>
            <w:pPr>
              <w:spacing w:after="0"/>
              <w:rPr>
                <w:sz w:val="18"/>
                <w:szCs w:val="18"/>
                <w:color w:val="auto"/>
              </w:rPr>
            </w:pPr>
          </w:p>
        </w:tc>
        <w:tc>
          <w:tcPr>
            <w:tcW w:w="1600" w:type="dxa"/>
            <w:vAlign w:val="bottom"/>
            <w:gridSpan w:val="4"/>
          </w:tcPr>
          <w:p>
            <w:pPr>
              <w:spacing w:after="0"/>
              <w:rPr>
                <w:sz w:val="20"/>
                <w:szCs w:val="20"/>
                <w:color w:val="auto"/>
              </w:rPr>
            </w:pPr>
            <w:r>
              <w:rPr>
                <w:rFonts w:ascii="Arial" w:cs="Arial" w:eastAsia="Arial" w:hAnsi="Arial"/>
                <w:sz w:val="18"/>
                <w:szCs w:val="18"/>
                <w:b w:val="1"/>
                <w:bCs w:val="1"/>
                <w:color w:val="auto"/>
                <w:w w:val="94"/>
              </w:rPr>
              <w:t>Nine Months Ended</w:t>
            </w:r>
          </w:p>
        </w:tc>
      </w:tr>
      <w:tr>
        <w:trPr>
          <w:trHeight w:val="230"/>
        </w:trPr>
        <w:tc>
          <w:tcPr>
            <w:tcW w:w="1800" w:type="dxa"/>
            <w:vAlign w:val="bottom"/>
            <w:gridSpan w:val="3"/>
          </w:tcPr>
          <w:p>
            <w:pPr>
              <w:jc w:val="center"/>
              <w:ind w:right="240"/>
              <w:spacing w:after="0"/>
              <w:rPr>
                <w:sz w:val="20"/>
                <w:szCs w:val="20"/>
                <w:color w:val="auto"/>
              </w:rPr>
            </w:pPr>
            <w:r>
              <w:rPr>
                <w:rFonts w:ascii="Arial" w:cs="Arial" w:eastAsia="Arial" w:hAnsi="Arial"/>
                <w:sz w:val="18"/>
                <w:szCs w:val="18"/>
                <w:b w:val="1"/>
                <w:bCs w:val="1"/>
                <w:color w:val="auto"/>
                <w:w w:val="88"/>
              </w:rPr>
              <w:t>September 30, 2021</w:t>
            </w:r>
          </w:p>
        </w:tc>
        <w:tc>
          <w:tcPr>
            <w:tcW w:w="20" w:type="dxa"/>
            <w:vAlign w:val="bottom"/>
          </w:tcPr>
          <w:p>
            <w:pPr>
              <w:spacing w:after="0"/>
              <w:rPr>
                <w:sz w:val="20"/>
                <w:szCs w:val="20"/>
                <w:color w:val="auto"/>
              </w:rPr>
            </w:pPr>
          </w:p>
        </w:tc>
        <w:tc>
          <w:tcPr>
            <w:tcW w:w="1600" w:type="dxa"/>
            <w:vAlign w:val="bottom"/>
            <w:gridSpan w:val="4"/>
          </w:tcPr>
          <w:p>
            <w:pPr>
              <w:ind w:left="20"/>
              <w:spacing w:after="0"/>
              <w:rPr>
                <w:sz w:val="20"/>
                <w:szCs w:val="20"/>
                <w:color w:val="auto"/>
              </w:rPr>
            </w:pPr>
            <w:r>
              <w:rPr>
                <w:rFonts w:ascii="Arial" w:cs="Arial" w:eastAsia="Arial" w:hAnsi="Arial"/>
                <w:sz w:val="18"/>
                <w:szCs w:val="18"/>
                <w:b w:val="1"/>
                <w:bCs w:val="1"/>
                <w:color w:val="auto"/>
                <w:w w:val="92"/>
              </w:rPr>
              <w:t>September 30, 2021</w:t>
            </w:r>
          </w:p>
        </w:tc>
      </w:tr>
      <w:tr>
        <w:trPr>
          <w:trHeight w:val="194"/>
        </w:trPr>
        <w:tc>
          <w:tcPr>
            <w:tcW w:w="160" w:type="dxa"/>
            <w:vAlign w:val="bottom"/>
            <w:tcBorders>
              <w:top w:val="single" w:sz="8" w:color="auto"/>
            </w:tcBorders>
          </w:tcPr>
          <w:p>
            <w:pPr>
              <w:jc w:val="right"/>
              <w:ind w:right="2"/>
              <w:spacing w:after="0"/>
              <w:rPr>
                <w:sz w:val="20"/>
                <w:szCs w:val="20"/>
                <w:color w:val="auto"/>
              </w:rPr>
            </w:pPr>
            <w:r>
              <w:rPr>
                <w:rFonts w:ascii="Arial" w:cs="Arial" w:eastAsia="Arial" w:hAnsi="Arial"/>
                <w:sz w:val="14"/>
                <w:szCs w:val="14"/>
                <w:color w:val="auto"/>
                <w:w w:val="76"/>
              </w:rPr>
              <w:t>$</w:t>
            </w:r>
          </w:p>
        </w:tc>
        <w:tc>
          <w:tcPr>
            <w:tcW w:w="1420" w:type="dxa"/>
            <w:vAlign w:val="bottom"/>
            <w:tcBorders>
              <w:top w:val="single" w:sz="8" w:color="auto"/>
            </w:tcBorders>
          </w:tcPr>
          <w:p>
            <w:pPr>
              <w:jc w:val="right"/>
              <w:spacing w:after="0" w:line="194" w:lineRule="exact"/>
              <w:rPr>
                <w:sz w:val="20"/>
                <w:szCs w:val="20"/>
                <w:color w:val="auto"/>
              </w:rPr>
            </w:pPr>
            <w:r>
              <w:rPr>
                <w:rFonts w:ascii="Arial" w:cs="Arial" w:eastAsia="Arial" w:hAnsi="Arial"/>
                <w:sz w:val="18"/>
                <w:szCs w:val="18"/>
                <w:color w:val="auto"/>
              </w:rPr>
              <w:t>41.5</w:t>
            </w:r>
          </w:p>
        </w:tc>
        <w:tc>
          <w:tcPr>
            <w:tcW w:w="2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20" w:type="dxa"/>
            <w:vAlign w:val="bottom"/>
            <w:tcBorders>
              <w:top w:val="single" w:sz="8" w:color="auto"/>
            </w:tcBorders>
          </w:tcPr>
          <w:p>
            <w:pPr>
              <w:spacing w:after="0" w:line="194" w:lineRule="exact"/>
              <w:rPr>
                <w:sz w:val="20"/>
                <w:szCs w:val="20"/>
                <w:color w:val="auto"/>
              </w:rPr>
            </w:pPr>
            <w:r>
              <w:rPr>
                <w:rFonts w:ascii="Arial" w:cs="Arial" w:eastAsia="Arial" w:hAnsi="Arial"/>
                <w:sz w:val="18"/>
                <w:szCs w:val="18"/>
                <w:color w:val="auto"/>
              </w:rPr>
              <w:t>$</w:t>
            </w:r>
          </w:p>
        </w:tc>
        <w:tc>
          <w:tcPr>
            <w:tcW w:w="920" w:type="dxa"/>
            <w:vAlign w:val="bottom"/>
            <w:tcBorders>
              <w:top w:val="single" w:sz="8" w:color="auto"/>
            </w:tcBorders>
          </w:tcPr>
          <w:p>
            <w:pPr>
              <w:jc w:val="right"/>
              <w:spacing w:after="0" w:line="194" w:lineRule="exact"/>
              <w:rPr>
                <w:sz w:val="20"/>
                <w:szCs w:val="20"/>
                <w:color w:val="auto"/>
              </w:rPr>
            </w:pPr>
            <w:r>
              <w:rPr>
                <w:rFonts w:ascii="Arial" w:cs="Arial" w:eastAsia="Arial" w:hAnsi="Arial"/>
                <w:sz w:val="18"/>
                <w:szCs w:val="18"/>
                <w:color w:val="auto"/>
              </w:rPr>
              <w:t>91.6</w:t>
            </w: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r>
      <w:tr>
        <w:trPr>
          <w:trHeight w:val="240"/>
        </w:trPr>
        <w:tc>
          <w:tcPr>
            <w:tcW w:w="160" w:type="dxa"/>
            <w:vAlign w:val="bottom"/>
          </w:tcPr>
          <w:p>
            <w:pPr>
              <w:spacing w:after="0"/>
              <w:rPr>
                <w:sz w:val="20"/>
                <w:szCs w:val="20"/>
                <w:color w:val="auto"/>
              </w:rPr>
            </w:pPr>
          </w:p>
        </w:tc>
        <w:tc>
          <w:tcPr>
            <w:tcW w:w="1640" w:type="dxa"/>
            <w:vAlign w:val="bottom"/>
            <w:gridSpan w:val="2"/>
          </w:tcPr>
          <w:p>
            <w:pPr>
              <w:jc w:val="right"/>
              <w:ind w:right="160"/>
              <w:spacing w:after="0"/>
              <w:rPr>
                <w:sz w:val="20"/>
                <w:szCs w:val="20"/>
                <w:color w:val="auto"/>
              </w:rPr>
            </w:pPr>
            <w:r>
              <w:rPr>
                <w:rFonts w:ascii="Arial" w:cs="Arial" w:eastAsia="Arial" w:hAnsi="Arial"/>
                <w:sz w:val="18"/>
                <w:szCs w:val="18"/>
                <w:color w:val="auto"/>
              </w:rPr>
              <w:t>(5.0)</w:t>
            </w:r>
          </w:p>
        </w:tc>
        <w:tc>
          <w:tcPr>
            <w:tcW w:w="2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980" w:type="dxa"/>
            <w:vAlign w:val="bottom"/>
            <w:gridSpan w:val="3"/>
          </w:tcPr>
          <w:p>
            <w:pPr>
              <w:jc w:val="right"/>
              <w:spacing w:after="0"/>
              <w:rPr>
                <w:sz w:val="20"/>
                <w:szCs w:val="20"/>
                <w:color w:val="auto"/>
              </w:rPr>
            </w:pPr>
            <w:r>
              <w:rPr>
                <w:rFonts w:ascii="Arial" w:cs="Arial" w:eastAsia="Arial" w:hAnsi="Arial"/>
                <w:sz w:val="18"/>
                <w:szCs w:val="18"/>
                <w:color w:val="auto"/>
              </w:rPr>
              <w:t>(14.1)</w:t>
            </w:r>
          </w:p>
        </w:tc>
      </w:tr>
      <w:tr>
        <w:trPr>
          <w:trHeight w:val="221"/>
        </w:trPr>
        <w:tc>
          <w:tcPr>
            <w:tcW w:w="160" w:type="dxa"/>
            <w:vAlign w:val="bottom"/>
            <w:tcBorders>
              <w:top w:val="single" w:sz="8" w:color="auto"/>
              <w:bottom w:val="single" w:sz="8" w:color="auto"/>
            </w:tcBorders>
          </w:tcPr>
          <w:p>
            <w:pPr>
              <w:jc w:val="right"/>
              <w:ind w:right="2"/>
              <w:spacing w:after="0"/>
              <w:rPr>
                <w:sz w:val="20"/>
                <w:szCs w:val="20"/>
                <w:color w:val="auto"/>
              </w:rPr>
            </w:pPr>
            <w:r>
              <w:rPr>
                <w:rFonts w:ascii="Arial" w:cs="Arial" w:eastAsia="Arial" w:hAnsi="Arial"/>
                <w:sz w:val="14"/>
                <w:szCs w:val="14"/>
                <w:color w:val="auto"/>
                <w:w w:val="76"/>
              </w:rPr>
              <w:t>$</w:t>
            </w:r>
          </w:p>
        </w:tc>
        <w:tc>
          <w:tcPr>
            <w:tcW w:w="1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36.5</w:t>
            </w:r>
          </w:p>
        </w:tc>
        <w:tc>
          <w:tcPr>
            <w:tcW w:w="22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6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940" w:type="dxa"/>
            <w:vAlign w:val="bottom"/>
            <w:tcBorders>
              <w:top w:val="single" w:sz="8" w:color="auto"/>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rPr>
              <w:t>77.5</w:t>
            </w:r>
          </w:p>
        </w:tc>
        <w:tc>
          <w:tcPr>
            <w:tcW w:w="40" w:type="dxa"/>
            <w:vAlign w:val="bottom"/>
          </w:tcPr>
          <w:p>
            <w:pPr>
              <w:spacing w:after="0"/>
              <w:rPr>
                <w:sz w:val="19"/>
                <w:szCs w:val="19"/>
                <w:color w:val="auto"/>
              </w:rPr>
            </w:pPr>
          </w:p>
        </w:tc>
      </w:tr>
      <w:tr>
        <w:trPr>
          <w:trHeight w:val="20"/>
        </w:trPr>
        <w:tc>
          <w:tcPr>
            <w:tcW w:w="160" w:type="dxa"/>
            <w:vAlign w:val="bottom"/>
            <w:tcBorders>
              <w:bottom w:val="single" w:sz="8" w:color="auto"/>
            </w:tcBorders>
          </w:tcPr>
          <w:p>
            <w:pPr>
              <w:spacing w:after="0" w:line="20" w:lineRule="exact"/>
              <w:rPr>
                <w:sz w:val="1"/>
                <w:szCs w:val="1"/>
                <w:color w:val="auto"/>
              </w:rPr>
            </w:pPr>
          </w:p>
        </w:tc>
        <w:tc>
          <w:tcPr>
            <w:tcW w:w="14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ectPr>
          <w:pgSz w:w="11900" w:h="16838" w:orient="portrait"/>
          <w:cols w:equalWidth="0" w:num="2">
            <w:col w:w="7580" w:space="200"/>
            <w:col w:w="3420"/>
          </w:cols>
          <w:pgMar w:left="320" w:top="895" w:right="379" w:bottom="1440" w:gutter="0" w:footer="0" w:header="0"/>
        </w:sectPr>
      </w:pPr>
    </w:p>
    <w:bookmarkStart w:id="13" w:name="page14"/>
    <w:bookmarkEnd w:id="13"/>
    <w:p>
      <w:pPr>
        <w:jc w:val="center"/>
        <w:ind w:left="3660"/>
        <w:spacing w:after="0"/>
        <w:rPr>
          <w:sz w:val="20"/>
          <w:szCs w:val="20"/>
          <w:color w:val="auto"/>
        </w:rPr>
      </w:pPr>
      <w:r>
        <w:rPr>
          <w:rFonts w:ascii="Arial" w:cs="Arial" w:eastAsia="Arial" w:hAnsi="Arial"/>
          <w:sz w:val="18"/>
          <w:szCs w:val="18"/>
          <w:b w:val="1"/>
          <w:bCs w:val="1"/>
          <w:color w:val="auto"/>
        </w:rPr>
        <w:t>Table II.a</w:t>
      </w:r>
    </w:p>
    <w:p>
      <w:pPr>
        <w:spacing w:after="0" w:line="23" w:lineRule="exact"/>
        <w:rPr>
          <w:sz w:val="20"/>
          <w:szCs w:val="20"/>
          <w:color w:val="auto"/>
        </w:rPr>
      </w:pPr>
    </w:p>
    <w:p>
      <w:pPr>
        <w:jc w:val="center"/>
        <w:ind w:left="3660"/>
        <w:spacing w:after="0"/>
        <w:rPr>
          <w:sz w:val="20"/>
          <w:szCs w:val="20"/>
          <w:color w:val="auto"/>
        </w:rPr>
      </w:pPr>
      <w:r>
        <w:rPr>
          <w:rFonts w:ascii="Arial" w:cs="Arial" w:eastAsia="Arial" w:hAnsi="Arial"/>
          <w:sz w:val="18"/>
          <w:szCs w:val="18"/>
          <w:b w:val="1"/>
          <w:bCs w:val="1"/>
          <w:color w:val="auto"/>
        </w:rPr>
        <w:t>VERITIV CORPORATION</w:t>
      </w:r>
    </w:p>
    <w:p>
      <w:pPr>
        <w:spacing w:after="0" w:line="6" w:lineRule="exact"/>
        <w:rPr>
          <w:sz w:val="20"/>
          <w:szCs w:val="20"/>
          <w:color w:val="auto"/>
        </w:rPr>
      </w:pPr>
    </w:p>
    <w:p>
      <w:pPr>
        <w:jc w:val="center"/>
        <w:ind w:left="3660"/>
        <w:spacing w:after="0"/>
        <w:rPr>
          <w:sz w:val="20"/>
          <w:szCs w:val="20"/>
          <w:color w:val="auto"/>
        </w:rPr>
      </w:pPr>
      <w:r>
        <w:rPr>
          <w:rFonts w:ascii="Arial" w:cs="Arial" w:eastAsia="Arial" w:hAnsi="Arial"/>
          <w:sz w:val="17"/>
          <w:szCs w:val="17"/>
          <w:b w:val="1"/>
          <w:bCs w:val="1"/>
          <w:color w:val="auto"/>
        </w:rPr>
        <w:t>RECONCILIATION OF NON-GAAP MEASURES</w:t>
      </w:r>
    </w:p>
    <w:p>
      <w:pPr>
        <w:spacing w:after="0" w:line="18" w:lineRule="exact"/>
        <w:rPr>
          <w:sz w:val="20"/>
          <w:szCs w:val="20"/>
          <w:color w:val="auto"/>
        </w:rPr>
      </w:pPr>
    </w:p>
    <w:p>
      <w:pPr>
        <w:jc w:val="center"/>
        <w:ind w:left="3660"/>
        <w:spacing w:after="0"/>
        <w:rPr>
          <w:sz w:val="20"/>
          <w:szCs w:val="20"/>
          <w:color w:val="auto"/>
        </w:rPr>
      </w:pPr>
      <w:r>
        <w:rPr>
          <w:rFonts w:ascii="Arial" w:cs="Arial" w:eastAsia="Arial" w:hAnsi="Arial"/>
          <w:sz w:val="18"/>
          <w:szCs w:val="18"/>
          <w:b w:val="1"/>
          <w:bCs w:val="1"/>
          <w:color w:val="auto"/>
        </w:rPr>
        <w:t>FREE CASH FLOW GUIDANCE</w:t>
      </w:r>
    </w:p>
    <w:p>
      <w:pPr>
        <w:spacing w:after="0" w:line="6" w:lineRule="exact"/>
        <w:rPr>
          <w:sz w:val="20"/>
          <w:szCs w:val="20"/>
          <w:color w:val="auto"/>
        </w:rPr>
      </w:pPr>
    </w:p>
    <w:p>
      <w:pPr>
        <w:jc w:val="center"/>
        <w:ind w:left="3660"/>
        <w:spacing w:after="0"/>
        <w:rPr>
          <w:sz w:val="20"/>
          <w:szCs w:val="20"/>
          <w:color w:val="auto"/>
        </w:rPr>
      </w:pPr>
      <w:r>
        <w:rPr>
          <w:rFonts w:ascii="Arial" w:cs="Arial" w:eastAsia="Arial" w:hAnsi="Arial"/>
          <w:sz w:val="18"/>
          <w:szCs w:val="18"/>
          <w:color w:val="auto"/>
        </w:rPr>
        <w:t>(in millions, unaudited)</w:t>
      </w: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color w:val="auto"/>
        </w:rPr>
        <w:t>Net cash provided by (used for) operating activities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-130175</wp:posOffset>
            </wp:positionV>
            <wp:extent cx="7134225" cy="1441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134225" cy="14414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Less: Capital expenditures</w:t>
      </w:r>
    </w:p>
    <w:p>
      <w:pPr>
        <w:spacing w:after="0" w:line="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Free cash flow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-121285</wp:posOffset>
            </wp:positionV>
            <wp:extent cx="7134225" cy="1441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34225" cy="144145"/>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454025</wp:posOffset>
            </wp:positionV>
            <wp:extent cx="7134225" cy="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center"/>
        <w:ind w:right="200"/>
        <w:spacing w:after="0" w:line="257" w:lineRule="auto"/>
        <w:rPr>
          <w:sz w:val="20"/>
          <w:szCs w:val="20"/>
          <w:color w:val="auto"/>
        </w:rPr>
      </w:pPr>
      <w:r>
        <w:rPr>
          <w:rFonts w:ascii="Arial" w:cs="Arial" w:eastAsia="Arial" w:hAnsi="Arial"/>
          <w:sz w:val="18"/>
          <w:szCs w:val="18"/>
          <w:b w:val="1"/>
          <w:bCs w:val="1"/>
          <w:color w:val="auto"/>
        </w:rPr>
        <w:t>Forecast for Year Ending December 31, 2021</w:t>
      </w:r>
    </w:p>
    <w:p>
      <w:pPr>
        <w:spacing w:after="0" w:line="1" w:lineRule="exact"/>
        <w:rPr>
          <w:sz w:val="20"/>
          <w:szCs w:val="20"/>
          <w:color w:val="auto"/>
        </w:rPr>
      </w:pPr>
    </w:p>
    <w:p>
      <w:pPr>
        <w:ind w:left="2240"/>
        <w:spacing w:after="0"/>
        <w:rPr>
          <w:sz w:val="20"/>
          <w:szCs w:val="20"/>
          <w:color w:val="auto"/>
        </w:rPr>
      </w:pPr>
      <w:r>
        <w:rPr>
          <w:rFonts w:ascii="Arial" w:cs="Arial" w:eastAsia="Arial" w:hAnsi="Arial"/>
          <w:sz w:val="16"/>
          <w:szCs w:val="16"/>
          <w:color w:val="auto"/>
        </w:rPr>
        <w:t>at least $145</w:t>
      </w:r>
    </w:p>
    <w:p>
      <w:pPr>
        <w:spacing w:after="0" w:line="4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p>
    <w:p>
      <w:pPr>
        <w:jc w:val="right"/>
        <w:ind w:right="60"/>
        <w:spacing w:after="0"/>
        <w:rPr>
          <w:sz w:val="20"/>
          <w:szCs w:val="20"/>
          <w:color w:val="auto"/>
        </w:rPr>
      </w:pPr>
      <w:r>
        <w:rPr>
          <w:rFonts w:ascii="Arial" w:cs="Arial" w:eastAsia="Arial" w:hAnsi="Arial"/>
          <w:sz w:val="18"/>
          <w:szCs w:val="18"/>
          <w:b w:val="1"/>
          <w:bCs w:val="1"/>
          <w:color w:val="auto"/>
        </w:rPr>
        <w:t>at least $120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-76200</wp:posOffset>
            </wp:positionH>
            <wp:positionV relativeFrom="paragraph">
              <wp:posOffset>13335</wp:posOffset>
            </wp:positionV>
            <wp:extent cx="2067560" cy="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2067560" cy="8255"/>
                    </a:xfrm>
                    <a:prstGeom prst="rect">
                      <a:avLst/>
                    </a:prstGeom>
                    <a:noFill/>
                  </pic:spPr>
                </pic:pic>
              </a:graphicData>
            </a:graphic>
          </wp:anchor>
        </w:drawing>
      </w:r>
    </w:p>
    <w:p>
      <w:pPr>
        <w:sectPr>
          <w:pgSz w:w="11900" w:h="16838" w:orient="portrait"/>
          <w:cols w:equalWidth="0" w:num="2">
            <w:col w:w="7580" w:space="420"/>
            <w:col w:w="3200"/>
          </w:cols>
          <w:pgMar w:left="320" w:top="895" w:right="379" w:bottom="1440" w:gutter="0" w:footer="0" w:header="0"/>
        </w:sectPr>
      </w:pPr>
    </w:p>
    <w:bookmarkStart w:id="14" w:name="page15"/>
    <w:bookmarkEnd w:id="14"/>
    <w:tbl>
      <w:tblPr>
        <w:tblLayout w:type="fixed"/>
        <w:tblInd w:w="0" w:type="dxa"/>
        <w:tblCellMar>
          <w:top w:w="0" w:type="dxa"/>
          <w:left w:w="0" w:type="dxa"/>
          <w:bottom w:w="0" w:type="dxa"/>
          <w:right w:w="0" w:type="dxa"/>
        </w:tblCellMar>
      </w:tblPr>
      <w:tr>
        <w:trPr>
          <w:trHeight w:val="213"/>
        </w:trPr>
        <w:tc>
          <w:tcPr>
            <w:tcW w:w="3260" w:type="dxa"/>
            <w:vAlign w:val="bottom"/>
          </w:tcPr>
          <w:p>
            <w:pPr>
              <w:spacing w:after="0"/>
              <w:rPr>
                <w:sz w:val="18"/>
                <w:szCs w:val="18"/>
                <w:color w:val="auto"/>
              </w:rPr>
            </w:pPr>
          </w:p>
        </w:tc>
        <w:tc>
          <w:tcPr>
            <w:tcW w:w="6200" w:type="dxa"/>
            <w:vAlign w:val="bottom"/>
            <w:gridSpan w:val="2"/>
          </w:tcPr>
          <w:p>
            <w:pPr>
              <w:jc w:val="center"/>
              <w:ind w:right="1391"/>
              <w:spacing w:after="0"/>
              <w:rPr>
                <w:sz w:val="20"/>
                <w:szCs w:val="20"/>
                <w:color w:val="auto"/>
              </w:rPr>
            </w:pPr>
            <w:r>
              <w:rPr>
                <w:rFonts w:ascii="Arial" w:cs="Arial" w:eastAsia="Arial" w:hAnsi="Arial"/>
                <w:sz w:val="18"/>
                <w:szCs w:val="18"/>
                <w:b w:val="1"/>
                <w:bCs w:val="1"/>
                <w:color w:val="auto"/>
              </w:rPr>
              <w:t>Table III</w:t>
            </w:r>
          </w:p>
        </w:tc>
        <w:tc>
          <w:tcPr>
            <w:tcW w:w="16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3260" w:type="dxa"/>
            <w:vAlign w:val="bottom"/>
          </w:tcPr>
          <w:p>
            <w:pPr>
              <w:spacing w:after="0"/>
              <w:rPr>
                <w:sz w:val="18"/>
                <w:szCs w:val="18"/>
                <w:color w:val="auto"/>
              </w:rPr>
            </w:pPr>
          </w:p>
        </w:tc>
        <w:tc>
          <w:tcPr>
            <w:tcW w:w="6200" w:type="dxa"/>
            <w:vAlign w:val="bottom"/>
            <w:gridSpan w:val="2"/>
          </w:tcPr>
          <w:p>
            <w:pPr>
              <w:jc w:val="center"/>
              <w:ind w:right="1371"/>
              <w:spacing w:after="0"/>
              <w:rPr>
                <w:sz w:val="20"/>
                <w:szCs w:val="20"/>
                <w:color w:val="auto"/>
              </w:rPr>
            </w:pPr>
            <w:r>
              <w:rPr>
                <w:rFonts w:ascii="Arial" w:cs="Arial" w:eastAsia="Arial" w:hAnsi="Arial"/>
                <w:sz w:val="18"/>
                <w:szCs w:val="18"/>
                <w:b w:val="1"/>
                <w:bCs w:val="1"/>
                <w:color w:val="auto"/>
              </w:rPr>
              <w:t>VERITIV CORPORATION</w:t>
            </w:r>
          </w:p>
        </w:tc>
        <w:tc>
          <w:tcPr>
            <w:tcW w:w="16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3260" w:type="dxa"/>
            <w:vAlign w:val="bottom"/>
          </w:tcPr>
          <w:p>
            <w:pPr>
              <w:spacing w:after="0"/>
              <w:rPr>
                <w:sz w:val="18"/>
                <w:szCs w:val="18"/>
                <w:color w:val="auto"/>
              </w:rPr>
            </w:pPr>
          </w:p>
        </w:tc>
        <w:tc>
          <w:tcPr>
            <w:tcW w:w="6200" w:type="dxa"/>
            <w:vAlign w:val="bottom"/>
            <w:gridSpan w:val="2"/>
          </w:tcPr>
          <w:p>
            <w:pPr>
              <w:jc w:val="center"/>
              <w:ind w:right="1391"/>
              <w:spacing w:after="0"/>
              <w:rPr>
                <w:sz w:val="20"/>
                <w:szCs w:val="20"/>
                <w:color w:val="auto"/>
              </w:rPr>
            </w:pPr>
            <w:r>
              <w:rPr>
                <w:rFonts w:ascii="Arial" w:cs="Arial" w:eastAsia="Arial" w:hAnsi="Arial"/>
                <w:sz w:val="18"/>
                <w:szCs w:val="18"/>
                <w:b w:val="1"/>
                <w:bCs w:val="1"/>
                <w:color w:val="auto"/>
                <w:w w:val="99"/>
              </w:rPr>
              <w:t>RECONCILIATION OF NON-GAAP MEASURES</w:t>
            </w:r>
          </w:p>
        </w:tc>
        <w:tc>
          <w:tcPr>
            <w:tcW w:w="16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7"/>
        </w:trPr>
        <w:tc>
          <w:tcPr>
            <w:tcW w:w="3260" w:type="dxa"/>
            <w:vAlign w:val="bottom"/>
          </w:tcPr>
          <w:p>
            <w:pPr>
              <w:spacing w:after="0"/>
              <w:rPr>
                <w:sz w:val="18"/>
                <w:szCs w:val="18"/>
                <w:color w:val="auto"/>
              </w:rPr>
            </w:pPr>
          </w:p>
        </w:tc>
        <w:tc>
          <w:tcPr>
            <w:tcW w:w="6200" w:type="dxa"/>
            <w:vAlign w:val="bottom"/>
            <w:gridSpan w:val="2"/>
          </w:tcPr>
          <w:p>
            <w:pPr>
              <w:jc w:val="center"/>
              <w:ind w:right="1371"/>
              <w:spacing w:after="0"/>
              <w:rPr>
                <w:sz w:val="20"/>
                <w:szCs w:val="20"/>
                <w:color w:val="auto"/>
              </w:rPr>
            </w:pPr>
            <w:r>
              <w:rPr>
                <w:rFonts w:ascii="Arial" w:cs="Arial" w:eastAsia="Arial" w:hAnsi="Arial"/>
                <w:sz w:val="18"/>
                <w:szCs w:val="18"/>
                <w:b w:val="1"/>
                <w:bCs w:val="1"/>
                <w:color w:val="auto"/>
                <w:w w:val="98"/>
              </w:rPr>
              <w:t>NET DEBT TO ADJUSTED EBITDA</w:t>
            </w:r>
          </w:p>
        </w:tc>
        <w:tc>
          <w:tcPr>
            <w:tcW w:w="16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26"/>
        </w:trPr>
        <w:tc>
          <w:tcPr>
            <w:tcW w:w="3260" w:type="dxa"/>
            <w:vAlign w:val="bottom"/>
          </w:tcPr>
          <w:p>
            <w:pPr>
              <w:spacing w:after="0"/>
              <w:rPr>
                <w:sz w:val="19"/>
                <w:szCs w:val="19"/>
                <w:color w:val="auto"/>
              </w:rPr>
            </w:pPr>
          </w:p>
        </w:tc>
        <w:tc>
          <w:tcPr>
            <w:tcW w:w="6200" w:type="dxa"/>
            <w:vAlign w:val="bottom"/>
            <w:gridSpan w:val="2"/>
          </w:tcPr>
          <w:p>
            <w:pPr>
              <w:jc w:val="center"/>
              <w:ind w:right="1391"/>
              <w:spacing w:after="0"/>
              <w:rPr>
                <w:sz w:val="20"/>
                <w:szCs w:val="20"/>
                <w:color w:val="auto"/>
              </w:rPr>
            </w:pPr>
            <w:r>
              <w:rPr>
                <w:rFonts w:ascii="Arial" w:cs="Arial" w:eastAsia="Arial" w:hAnsi="Arial"/>
                <w:sz w:val="18"/>
                <w:szCs w:val="18"/>
                <w:color w:val="auto"/>
                <w:w w:val="93"/>
              </w:rPr>
              <w:t>(in millions, unaudited)</w:t>
            </w:r>
          </w:p>
        </w:tc>
        <w:tc>
          <w:tcPr>
            <w:tcW w:w="1680" w:type="dxa"/>
            <w:vAlign w:val="bottom"/>
          </w:tcPr>
          <w:p>
            <w:pPr>
              <w:spacing w:after="0"/>
              <w:rPr>
                <w:sz w:val="19"/>
                <w:szCs w:val="19"/>
                <w:color w:val="auto"/>
              </w:rPr>
            </w:pPr>
          </w:p>
        </w:tc>
        <w:tc>
          <w:tcPr>
            <w:tcW w:w="100" w:type="dxa"/>
            <w:vAlign w:val="bottom"/>
          </w:tcPr>
          <w:p>
            <w:pPr>
              <w:spacing w:after="0"/>
              <w:rPr>
                <w:sz w:val="19"/>
                <w:szCs w:val="19"/>
                <w:color w:val="auto"/>
              </w:rPr>
            </w:pPr>
          </w:p>
        </w:tc>
      </w:tr>
      <w:tr>
        <w:trPr>
          <w:trHeight w:val="468"/>
        </w:trPr>
        <w:tc>
          <w:tcPr>
            <w:tcW w:w="3260" w:type="dxa"/>
            <w:vAlign w:val="bottom"/>
          </w:tcPr>
          <w:p>
            <w:pPr>
              <w:spacing w:after="0"/>
              <w:rPr>
                <w:sz w:val="24"/>
                <w:szCs w:val="24"/>
                <w:color w:val="auto"/>
              </w:rPr>
            </w:pPr>
          </w:p>
        </w:tc>
        <w:tc>
          <w:tcPr>
            <w:tcW w:w="60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780" w:type="dxa"/>
            <w:vAlign w:val="bottom"/>
            <w:gridSpan w:val="2"/>
          </w:tcPr>
          <w:p>
            <w:pPr>
              <w:jc w:val="right"/>
              <w:ind w:right="260"/>
              <w:spacing w:after="0"/>
              <w:rPr>
                <w:sz w:val="20"/>
                <w:szCs w:val="20"/>
                <w:color w:val="auto"/>
              </w:rPr>
            </w:pPr>
            <w:r>
              <w:rPr>
                <w:rFonts w:ascii="Arial" w:cs="Arial" w:eastAsia="Arial" w:hAnsi="Arial"/>
                <w:sz w:val="18"/>
                <w:szCs w:val="18"/>
                <w:b w:val="1"/>
                <w:bCs w:val="1"/>
                <w:color w:val="auto"/>
                <w:w w:val="89"/>
              </w:rPr>
              <w:t>September 30, 2021</w:t>
            </w:r>
          </w:p>
        </w:tc>
      </w:tr>
      <w:tr>
        <w:trPr>
          <w:trHeight w:val="208"/>
        </w:trPr>
        <w:tc>
          <w:tcPr>
            <w:tcW w:w="32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Amount drawn on ABL Facility</w:t>
            </w:r>
          </w:p>
        </w:tc>
        <w:tc>
          <w:tcPr>
            <w:tcW w:w="60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473.4</w:t>
            </w:r>
          </w:p>
        </w:tc>
        <w:tc>
          <w:tcPr>
            <w:tcW w:w="100" w:type="dxa"/>
            <w:vAlign w:val="bottom"/>
            <w:tcBorders>
              <w:top w:val="single" w:sz="8" w:color="CCEEFF"/>
            </w:tcBorders>
            <w:shd w:val="clear" w:color="auto" w:fill="CCEEFF"/>
          </w:tcPr>
          <w:p>
            <w:pPr>
              <w:spacing w:after="0"/>
              <w:rPr>
                <w:sz w:val="18"/>
                <w:szCs w:val="18"/>
                <w:color w:val="auto"/>
              </w:rPr>
            </w:pPr>
          </w:p>
        </w:tc>
      </w:tr>
      <w:tr>
        <w:trPr>
          <w:trHeight w:val="227"/>
        </w:trPr>
        <w:tc>
          <w:tcPr>
            <w:tcW w:w="3260" w:type="dxa"/>
            <w:vAlign w:val="bottom"/>
          </w:tcPr>
          <w:p>
            <w:pPr>
              <w:spacing w:after="0"/>
              <w:rPr>
                <w:sz w:val="20"/>
                <w:szCs w:val="20"/>
                <w:color w:val="auto"/>
              </w:rPr>
            </w:pPr>
            <w:r>
              <w:rPr>
                <w:rFonts w:ascii="Arial" w:cs="Arial" w:eastAsia="Arial" w:hAnsi="Arial"/>
                <w:sz w:val="18"/>
                <w:szCs w:val="18"/>
                <w:color w:val="auto"/>
              </w:rPr>
              <w:t>Less: Cash and cash equivalents</w:t>
            </w:r>
          </w:p>
        </w:tc>
        <w:tc>
          <w:tcPr>
            <w:tcW w:w="60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780" w:type="dxa"/>
            <w:vAlign w:val="bottom"/>
            <w:gridSpan w:val="2"/>
          </w:tcPr>
          <w:p>
            <w:pPr>
              <w:jc w:val="right"/>
              <w:ind w:right="40"/>
              <w:spacing w:after="0"/>
              <w:rPr>
                <w:sz w:val="20"/>
                <w:szCs w:val="20"/>
                <w:color w:val="auto"/>
              </w:rPr>
            </w:pPr>
            <w:r>
              <w:rPr>
                <w:rFonts w:ascii="Arial" w:cs="Arial" w:eastAsia="Arial" w:hAnsi="Arial"/>
                <w:sz w:val="18"/>
                <w:szCs w:val="18"/>
                <w:color w:val="auto"/>
              </w:rPr>
              <w:t>(43.4)</w:t>
            </w:r>
          </w:p>
        </w:tc>
      </w:tr>
      <w:tr>
        <w:trPr>
          <w:trHeight w:val="207"/>
        </w:trPr>
        <w:tc>
          <w:tcPr>
            <w:tcW w:w="32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Net debt</w:t>
            </w:r>
          </w:p>
        </w:tc>
        <w:tc>
          <w:tcPr>
            <w:tcW w:w="60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430.0</w:t>
            </w:r>
          </w:p>
        </w:tc>
        <w:tc>
          <w:tcPr>
            <w:tcW w:w="100" w:type="dxa"/>
            <w:vAlign w:val="bottom"/>
            <w:tcBorders>
              <w:top w:val="single" w:sz="8" w:color="CCEEFF"/>
            </w:tcBorders>
            <w:shd w:val="clear" w:color="auto" w:fill="CCEEFF"/>
          </w:tcPr>
          <w:p>
            <w:pPr>
              <w:spacing w:after="0"/>
              <w:rPr>
                <w:sz w:val="18"/>
                <w:szCs w:val="18"/>
                <w:color w:val="auto"/>
              </w:rPr>
            </w:pPr>
          </w:p>
        </w:tc>
      </w:tr>
      <w:tr>
        <w:trPr>
          <w:trHeight w:val="213"/>
        </w:trPr>
        <w:tc>
          <w:tcPr>
            <w:tcW w:w="3260" w:type="dxa"/>
            <w:vAlign w:val="bottom"/>
          </w:tcPr>
          <w:p>
            <w:pPr>
              <w:spacing w:after="0"/>
              <w:rPr>
                <w:sz w:val="18"/>
                <w:szCs w:val="18"/>
                <w:color w:val="auto"/>
              </w:rPr>
            </w:pPr>
          </w:p>
        </w:tc>
        <w:tc>
          <w:tcPr>
            <w:tcW w:w="60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3260" w:type="dxa"/>
            <w:vAlign w:val="bottom"/>
            <w:shd w:val="clear" w:color="auto" w:fill="CCEEFF"/>
          </w:tcPr>
          <w:p>
            <w:pPr>
              <w:spacing w:after="0"/>
              <w:rPr>
                <w:sz w:val="20"/>
                <w:szCs w:val="20"/>
                <w:color w:val="auto"/>
              </w:rPr>
            </w:pPr>
            <w:r>
              <w:rPr>
                <w:rFonts w:ascii="Arial" w:cs="Arial" w:eastAsia="Arial" w:hAnsi="Arial"/>
                <w:sz w:val="18"/>
                <w:szCs w:val="18"/>
                <w:color w:val="auto"/>
              </w:rPr>
              <w:t>Last Twelve Months Adjusted EBITDA</w:t>
            </w:r>
          </w:p>
        </w:tc>
        <w:tc>
          <w:tcPr>
            <w:tcW w:w="6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7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288.4</w:t>
            </w:r>
          </w:p>
        </w:tc>
      </w:tr>
      <w:tr>
        <w:trPr>
          <w:trHeight w:val="213"/>
        </w:trPr>
        <w:tc>
          <w:tcPr>
            <w:tcW w:w="3260" w:type="dxa"/>
            <w:vAlign w:val="bottom"/>
          </w:tcPr>
          <w:p>
            <w:pPr>
              <w:spacing w:after="0"/>
              <w:rPr>
                <w:sz w:val="18"/>
                <w:szCs w:val="18"/>
                <w:color w:val="auto"/>
              </w:rPr>
            </w:pPr>
          </w:p>
        </w:tc>
        <w:tc>
          <w:tcPr>
            <w:tcW w:w="60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3260" w:type="dxa"/>
            <w:vAlign w:val="bottom"/>
            <w:shd w:val="clear" w:color="auto" w:fill="CCEEFF"/>
          </w:tcPr>
          <w:p>
            <w:pPr>
              <w:spacing w:after="0"/>
              <w:rPr>
                <w:sz w:val="20"/>
                <w:szCs w:val="20"/>
                <w:color w:val="auto"/>
              </w:rPr>
            </w:pPr>
            <w:r>
              <w:rPr>
                <w:rFonts w:ascii="Arial" w:cs="Arial" w:eastAsia="Arial" w:hAnsi="Arial"/>
                <w:sz w:val="18"/>
                <w:szCs w:val="18"/>
                <w:color w:val="auto"/>
              </w:rPr>
              <w:t>Net debt to Adjusted EBITDA</w:t>
            </w:r>
          </w:p>
        </w:tc>
        <w:tc>
          <w:tcPr>
            <w:tcW w:w="60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1.5x</w:t>
            </w:r>
          </w:p>
        </w:tc>
      </w:tr>
    </w:tbl>
    <w:p>
      <w:pPr>
        <w:spacing w:after="0" w:line="222" w:lineRule="exact"/>
        <w:rPr>
          <w:sz w:val="20"/>
          <w:szCs w:val="20"/>
          <w:color w:val="auto"/>
        </w:rPr>
      </w:pPr>
    </w:p>
    <w:tbl>
      <w:tblPr>
        <w:tblLayout w:type="fixed"/>
        <w:tblInd w:w="0" w:type="dxa"/>
        <w:tblCellMar>
          <w:top w:w="0" w:type="dxa"/>
          <w:left w:w="0" w:type="dxa"/>
          <w:bottom w:w="0" w:type="dxa"/>
          <w:right w:w="0" w:type="dxa"/>
        </w:tblCellMar>
      </w:tblPr>
      <w:tr>
        <w:trPr>
          <w:trHeight w:val="227"/>
        </w:trPr>
        <w:tc>
          <w:tcPr>
            <w:tcW w:w="93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780" w:type="dxa"/>
            <w:vAlign w:val="bottom"/>
            <w:gridSpan w:val="3"/>
          </w:tcPr>
          <w:p>
            <w:pPr>
              <w:jc w:val="right"/>
              <w:ind w:right="240"/>
              <w:spacing w:after="0"/>
              <w:rPr>
                <w:sz w:val="20"/>
                <w:szCs w:val="20"/>
                <w:color w:val="auto"/>
              </w:rPr>
            </w:pPr>
            <w:r>
              <w:rPr>
                <w:rFonts w:ascii="Arial" w:cs="Arial" w:eastAsia="Arial" w:hAnsi="Arial"/>
                <w:sz w:val="18"/>
                <w:szCs w:val="18"/>
                <w:b w:val="1"/>
                <w:bCs w:val="1"/>
                <w:color w:val="auto"/>
                <w:w w:val="88"/>
              </w:rPr>
              <w:t>Last Twelve Months</w:t>
            </w:r>
          </w:p>
        </w:tc>
      </w:tr>
      <w:tr>
        <w:trPr>
          <w:trHeight w:val="231"/>
        </w:trPr>
        <w:tc>
          <w:tcPr>
            <w:tcW w:w="93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780" w:type="dxa"/>
            <w:vAlign w:val="bottom"/>
            <w:gridSpan w:val="3"/>
          </w:tcPr>
          <w:p>
            <w:pPr>
              <w:jc w:val="right"/>
              <w:ind w:right="260"/>
              <w:spacing w:after="0"/>
              <w:rPr>
                <w:sz w:val="20"/>
                <w:szCs w:val="20"/>
                <w:color w:val="auto"/>
              </w:rPr>
            </w:pPr>
            <w:r>
              <w:rPr>
                <w:rFonts w:ascii="Arial" w:cs="Arial" w:eastAsia="Arial" w:hAnsi="Arial"/>
                <w:sz w:val="18"/>
                <w:szCs w:val="18"/>
                <w:b w:val="1"/>
                <w:bCs w:val="1"/>
                <w:color w:val="auto"/>
                <w:w w:val="89"/>
              </w:rPr>
              <w:t>September 30, 2021</w:t>
            </w:r>
          </w:p>
        </w:tc>
      </w:tr>
      <w:tr>
        <w:trPr>
          <w:trHeight w:val="208"/>
        </w:trPr>
        <w:tc>
          <w:tcPr>
            <w:tcW w:w="93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Net income (loss)</w:t>
            </w:r>
          </w:p>
        </w:tc>
        <w:tc>
          <w:tcPr>
            <w:tcW w:w="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1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119.7</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13"/>
        </w:trPr>
        <w:tc>
          <w:tcPr>
            <w:tcW w:w="9340" w:type="dxa"/>
            <w:vAlign w:val="bottom"/>
          </w:tcPr>
          <w:p>
            <w:pPr>
              <w:spacing w:after="0"/>
              <w:rPr>
                <w:sz w:val="20"/>
                <w:szCs w:val="20"/>
                <w:color w:val="auto"/>
              </w:rPr>
            </w:pPr>
            <w:r>
              <w:rPr>
                <w:rFonts w:ascii="Arial" w:cs="Arial" w:eastAsia="Arial" w:hAnsi="Arial"/>
                <w:sz w:val="18"/>
                <w:szCs w:val="18"/>
                <w:color w:val="auto"/>
              </w:rPr>
              <w:t>Interest expense, net</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700" w:type="dxa"/>
            <w:vAlign w:val="bottom"/>
            <w:gridSpan w:val="2"/>
          </w:tcPr>
          <w:p>
            <w:pPr>
              <w:jc w:val="right"/>
              <w:ind w:right="20"/>
              <w:spacing w:after="0"/>
              <w:rPr>
                <w:sz w:val="20"/>
                <w:szCs w:val="20"/>
                <w:color w:val="auto"/>
              </w:rPr>
            </w:pPr>
            <w:r>
              <w:rPr>
                <w:rFonts w:ascii="Arial" w:cs="Arial" w:eastAsia="Arial" w:hAnsi="Arial"/>
                <w:sz w:val="18"/>
                <w:szCs w:val="18"/>
                <w:color w:val="auto"/>
              </w:rPr>
              <w:t>18.8</w:t>
            </w:r>
          </w:p>
        </w:tc>
        <w:tc>
          <w:tcPr>
            <w:tcW w:w="80" w:type="dxa"/>
            <w:vAlign w:val="bottom"/>
          </w:tcPr>
          <w:p>
            <w:pPr>
              <w:spacing w:after="0"/>
              <w:rPr>
                <w:sz w:val="18"/>
                <w:szCs w:val="18"/>
                <w:color w:val="auto"/>
              </w:rPr>
            </w:pPr>
          </w:p>
        </w:tc>
      </w:tr>
      <w:tr>
        <w:trPr>
          <w:trHeight w:val="213"/>
        </w:trPr>
        <w:tc>
          <w:tcPr>
            <w:tcW w:w="9340" w:type="dxa"/>
            <w:vAlign w:val="bottom"/>
            <w:shd w:val="clear" w:color="auto" w:fill="CCEEFF"/>
          </w:tcPr>
          <w:p>
            <w:pPr>
              <w:spacing w:after="0"/>
              <w:rPr>
                <w:sz w:val="20"/>
                <w:szCs w:val="20"/>
                <w:color w:val="auto"/>
              </w:rPr>
            </w:pPr>
            <w:r>
              <w:rPr>
                <w:rFonts w:ascii="Arial" w:cs="Arial" w:eastAsia="Arial" w:hAnsi="Arial"/>
                <w:sz w:val="18"/>
                <w:szCs w:val="18"/>
                <w:color w:val="auto"/>
              </w:rPr>
              <w:t>Income tax expense (benefit)</w:t>
            </w: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41.3</w:t>
            </w:r>
          </w:p>
        </w:tc>
        <w:tc>
          <w:tcPr>
            <w:tcW w:w="80" w:type="dxa"/>
            <w:vAlign w:val="bottom"/>
            <w:shd w:val="clear" w:color="auto" w:fill="CCEEFF"/>
          </w:tcPr>
          <w:p>
            <w:pPr>
              <w:spacing w:after="0"/>
              <w:rPr>
                <w:sz w:val="18"/>
                <w:szCs w:val="18"/>
                <w:color w:val="auto"/>
              </w:rPr>
            </w:pPr>
          </w:p>
        </w:tc>
      </w:tr>
      <w:tr>
        <w:trPr>
          <w:trHeight w:val="227"/>
        </w:trPr>
        <w:tc>
          <w:tcPr>
            <w:tcW w:w="9340" w:type="dxa"/>
            <w:vAlign w:val="bottom"/>
          </w:tcPr>
          <w:p>
            <w:pPr>
              <w:spacing w:after="0"/>
              <w:rPr>
                <w:sz w:val="20"/>
                <w:szCs w:val="20"/>
                <w:color w:val="auto"/>
              </w:rPr>
            </w:pPr>
            <w:r>
              <w:rPr>
                <w:rFonts w:ascii="Arial" w:cs="Arial" w:eastAsia="Arial" w:hAnsi="Arial"/>
                <w:sz w:val="18"/>
                <w:szCs w:val="18"/>
                <w:color w:val="auto"/>
              </w:rPr>
              <w:t>Depreciation and amortization</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700" w:type="dxa"/>
            <w:vAlign w:val="bottom"/>
            <w:gridSpan w:val="2"/>
          </w:tcPr>
          <w:p>
            <w:pPr>
              <w:jc w:val="right"/>
              <w:ind w:right="20"/>
              <w:spacing w:after="0"/>
              <w:rPr>
                <w:sz w:val="20"/>
                <w:szCs w:val="20"/>
                <w:color w:val="auto"/>
              </w:rPr>
            </w:pPr>
            <w:r>
              <w:rPr>
                <w:rFonts w:ascii="Arial" w:cs="Arial" w:eastAsia="Arial" w:hAnsi="Arial"/>
                <w:sz w:val="18"/>
                <w:szCs w:val="18"/>
                <w:color w:val="auto"/>
              </w:rPr>
              <w:t>56.7</w:t>
            </w:r>
          </w:p>
        </w:tc>
        <w:tc>
          <w:tcPr>
            <w:tcW w:w="80" w:type="dxa"/>
            <w:vAlign w:val="bottom"/>
          </w:tcPr>
          <w:p>
            <w:pPr>
              <w:spacing w:after="0"/>
              <w:rPr>
                <w:sz w:val="19"/>
                <w:szCs w:val="19"/>
                <w:color w:val="auto"/>
              </w:rPr>
            </w:pPr>
          </w:p>
        </w:tc>
      </w:tr>
      <w:tr>
        <w:trPr>
          <w:trHeight w:val="207"/>
        </w:trPr>
        <w:tc>
          <w:tcPr>
            <w:tcW w:w="93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EBITDA</w:t>
            </w:r>
          </w:p>
        </w:tc>
        <w:tc>
          <w:tcPr>
            <w:tcW w:w="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1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236.5</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13"/>
        </w:trPr>
        <w:tc>
          <w:tcPr>
            <w:tcW w:w="9340" w:type="dxa"/>
            <w:vAlign w:val="bottom"/>
          </w:tcPr>
          <w:p>
            <w:pPr>
              <w:spacing w:after="0"/>
              <w:rPr>
                <w:sz w:val="20"/>
                <w:szCs w:val="20"/>
                <w:color w:val="auto"/>
              </w:rPr>
            </w:pPr>
            <w:r>
              <w:rPr>
                <w:rFonts w:ascii="Arial" w:cs="Arial" w:eastAsia="Arial" w:hAnsi="Arial"/>
                <w:sz w:val="18"/>
                <w:szCs w:val="18"/>
                <w:color w:val="auto"/>
              </w:rPr>
              <w:t>Restructuring charges, net</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700" w:type="dxa"/>
            <w:vAlign w:val="bottom"/>
            <w:gridSpan w:val="2"/>
          </w:tcPr>
          <w:p>
            <w:pPr>
              <w:jc w:val="right"/>
              <w:ind w:right="20"/>
              <w:spacing w:after="0"/>
              <w:rPr>
                <w:sz w:val="20"/>
                <w:szCs w:val="20"/>
                <w:color w:val="auto"/>
              </w:rPr>
            </w:pPr>
            <w:r>
              <w:rPr>
                <w:rFonts w:ascii="Arial" w:cs="Arial" w:eastAsia="Arial" w:hAnsi="Arial"/>
                <w:sz w:val="18"/>
                <w:szCs w:val="18"/>
                <w:color w:val="auto"/>
              </w:rPr>
              <w:t>23.8</w:t>
            </w:r>
          </w:p>
        </w:tc>
        <w:tc>
          <w:tcPr>
            <w:tcW w:w="80" w:type="dxa"/>
            <w:vAlign w:val="bottom"/>
          </w:tcPr>
          <w:p>
            <w:pPr>
              <w:spacing w:after="0"/>
              <w:rPr>
                <w:sz w:val="18"/>
                <w:szCs w:val="18"/>
                <w:color w:val="auto"/>
              </w:rPr>
            </w:pPr>
          </w:p>
        </w:tc>
      </w:tr>
      <w:tr>
        <w:trPr>
          <w:trHeight w:val="213"/>
        </w:trPr>
        <w:tc>
          <w:tcPr>
            <w:tcW w:w="9340" w:type="dxa"/>
            <w:vAlign w:val="bottom"/>
            <w:shd w:val="clear" w:color="auto" w:fill="CCEEFF"/>
          </w:tcPr>
          <w:p>
            <w:pPr>
              <w:spacing w:after="0"/>
              <w:rPr>
                <w:sz w:val="20"/>
                <w:szCs w:val="20"/>
                <w:color w:val="auto"/>
              </w:rPr>
            </w:pPr>
            <w:r>
              <w:rPr>
                <w:rFonts w:ascii="Arial" w:cs="Arial" w:eastAsia="Arial" w:hAnsi="Arial"/>
                <w:sz w:val="18"/>
                <w:szCs w:val="18"/>
                <w:color w:val="auto"/>
              </w:rPr>
              <w:t>Facility closure charges, including (gain) loss from asset disposition</w:t>
            </w: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0.7</w:t>
            </w:r>
          </w:p>
        </w:tc>
        <w:tc>
          <w:tcPr>
            <w:tcW w:w="80" w:type="dxa"/>
            <w:vAlign w:val="bottom"/>
            <w:shd w:val="clear" w:color="auto" w:fill="CCEEFF"/>
          </w:tcPr>
          <w:p>
            <w:pPr>
              <w:spacing w:after="0"/>
              <w:rPr>
                <w:sz w:val="18"/>
                <w:szCs w:val="18"/>
                <w:color w:val="auto"/>
              </w:rPr>
            </w:pPr>
          </w:p>
        </w:tc>
      </w:tr>
      <w:tr>
        <w:trPr>
          <w:trHeight w:val="213"/>
        </w:trPr>
        <w:tc>
          <w:tcPr>
            <w:tcW w:w="9340" w:type="dxa"/>
            <w:vAlign w:val="bottom"/>
          </w:tcPr>
          <w:p>
            <w:pPr>
              <w:spacing w:after="0"/>
              <w:rPr>
                <w:sz w:val="20"/>
                <w:szCs w:val="20"/>
                <w:color w:val="auto"/>
              </w:rPr>
            </w:pPr>
            <w:r>
              <w:rPr>
                <w:rFonts w:ascii="Arial" w:cs="Arial" w:eastAsia="Arial" w:hAnsi="Arial"/>
                <w:sz w:val="18"/>
                <w:szCs w:val="18"/>
                <w:color w:val="auto"/>
              </w:rPr>
              <w:t>Stock-based compensation</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700" w:type="dxa"/>
            <w:vAlign w:val="bottom"/>
            <w:gridSpan w:val="2"/>
          </w:tcPr>
          <w:p>
            <w:pPr>
              <w:jc w:val="right"/>
              <w:ind w:right="20"/>
              <w:spacing w:after="0"/>
              <w:rPr>
                <w:sz w:val="20"/>
                <w:szCs w:val="20"/>
                <w:color w:val="auto"/>
              </w:rPr>
            </w:pPr>
            <w:r>
              <w:rPr>
                <w:rFonts w:ascii="Arial" w:cs="Arial" w:eastAsia="Arial" w:hAnsi="Arial"/>
                <w:sz w:val="18"/>
                <w:szCs w:val="18"/>
                <w:color w:val="auto"/>
              </w:rPr>
              <w:t>8.5</w:t>
            </w:r>
          </w:p>
        </w:tc>
        <w:tc>
          <w:tcPr>
            <w:tcW w:w="80" w:type="dxa"/>
            <w:vAlign w:val="bottom"/>
          </w:tcPr>
          <w:p>
            <w:pPr>
              <w:spacing w:after="0"/>
              <w:rPr>
                <w:sz w:val="18"/>
                <w:szCs w:val="18"/>
                <w:color w:val="auto"/>
              </w:rPr>
            </w:pPr>
          </w:p>
        </w:tc>
      </w:tr>
      <w:tr>
        <w:trPr>
          <w:trHeight w:val="213"/>
        </w:trPr>
        <w:tc>
          <w:tcPr>
            <w:tcW w:w="9340" w:type="dxa"/>
            <w:vAlign w:val="bottom"/>
            <w:shd w:val="clear" w:color="auto" w:fill="CCEEFF"/>
          </w:tcPr>
          <w:p>
            <w:pPr>
              <w:spacing w:after="0"/>
              <w:rPr>
                <w:sz w:val="20"/>
                <w:szCs w:val="20"/>
                <w:color w:val="auto"/>
              </w:rPr>
            </w:pPr>
            <w:r>
              <w:rPr>
                <w:rFonts w:ascii="Arial" w:cs="Arial" w:eastAsia="Arial" w:hAnsi="Arial"/>
                <w:sz w:val="18"/>
                <w:szCs w:val="18"/>
                <w:color w:val="auto"/>
              </w:rPr>
              <w:t>LIFO reserve (decrease) increase</w:t>
            </w: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34.3</w:t>
            </w:r>
          </w:p>
        </w:tc>
        <w:tc>
          <w:tcPr>
            <w:tcW w:w="80" w:type="dxa"/>
            <w:vAlign w:val="bottom"/>
            <w:shd w:val="clear" w:color="auto" w:fill="CCEEFF"/>
          </w:tcPr>
          <w:p>
            <w:pPr>
              <w:spacing w:after="0"/>
              <w:rPr>
                <w:sz w:val="18"/>
                <w:szCs w:val="18"/>
                <w:color w:val="auto"/>
              </w:rPr>
            </w:pPr>
          </w:p>
        </w:tc>
      </w:tr>
      <w:tr>
        <w:trPr>
          <w:trHeight w:val="213"/>
        </w:trPr>
        <w:tc>
          <w:tcPr>
            <w:tcW w:w="9340" w:type="dxa"/>
            <w:vAlign w:val="bottom"/>
          </w:tcPr>
          <w:p>
            <w:pPr>
              <w:spacing w:after="0"/>
              <w:rPr>
                <w:sz w:val="20"/>
                <w:szCs w:val="20"/>
                <w:color w:val="auto"/>
              </w:rPr>
            </w:pPr>
            <w:r>
              <w:rPr>
                <w:rFonts w:ascii="Arial" w:cs="Arial" w:eastAsia="Arial" w:hAnsi="Arial"/>
                <w:sz w:val="18"/>
                <w:szCs w:val="18"/>
                <w:color w:val="auto"/>
              </w:rPr>
              <w:t>Non-restructuring severance charges</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700" w:type="dxa"/>
            <w:vAlign w:val="bottom"/>
            <w:gridSpan w:val="2"/>
          </w:tcPr>
          <w:p>
            <w:pPr>
              <w:jc w:val="right"/>
              <w:ind w:right="20"/>
              <w:spacing w:after="0"/>
              <w:rPr>
                <w:sz w:val="20"/>
                <w:szCs w:val="20"/>
                <w:color w:val="auto"/>
              </w:rPr>
            </w:pPr>
            <w:r>
              <w:rPr>
                <w:rFonts w:ascii="Arial" w:cs="Arial" w:eastAsia="Arial" w:hAnsi="Arial"/>
                <w:sz w:val="18"/>
                <w:szCs w:val="18"/>
                <w:color w:val="auto"/>
              </w:rPr>
              <w:t>6.4</w:t>
            </w:r>
          </w:p>
        </w:tc>
        <w:tc>
          <w:tcPr>
            <w:tcW w:w="80" w:type="dxa"/>
            <w:vAlign w:val="bottom"/>
          </w:tcPr>
          <w:p>
            <w:pPr>
              <w:spacing w:after="0"/>
              <w:rPr>
                <w:sz w:val="18"/>
                <w:szCs w:val="18"/>
                <w:color w:val="auto"/>
              </w:rPr>
            </w:pPr>
          </w:p>
        </w:tc>
      </w:tr>
      <w:tr>
        <w:trPr>
          <w:trHeight w:val="213"/>
        </w:trPr>
        <w:tc>
          <w:tcPr>
            <w:tcW w:w="9340" w:type="dxa"/>
            <w:vAlign w:val="bottom"/>
            <w:shd w:val="clear" w:color="auto" w:fill="CCEEFF"/>
          </w:tcPr>
          <w:p>
            <w:pPr>
              <w:spacing w:after="0"/>
              <w:rPr>
                <w:sz w:val="20"/>
                <w:szCs w:val="20"/>
                <w:color w:val="auto"/>
              </w:rPr>
            </w:pPr>
            <w:r>
              <w:rPr>
                <w:rFonts w:ascii="Arial" w:cs="Arial" w:eastAsia="Arial" w:hAnsi="Arial"/>
                <w:sz w:val="18"/>
                <w:szCs w:val="18"/>
                <w:color w:val="auto"/>
              </w:rPr>
              <w:t>Fair value adjustment on Tax Receivable Agreement contingent liability</w:t>
            </w: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(20.1)</w:t>
            </w:r>
          </w:p>
        </w:tc>
      </w:tr>
      <w:tr>
        <w:trPr>
          <w:trHeight w:val="213"/>
        </w:trPr>
        <w:tc>
          <w:tcPr>
            <w:tcW w:w="9340" w:type="dxa"/>
            <w:vAlign w:val="bottom"/>
          </w:tcPr>
          <w:p>
            <w:pPr>
              <w:spacing w:after="0"/>
              <w:rPr>
                <w:sz w:val="20"/>
                <w:szCs w:val="20"/>
                <w:color w:val="auto"/>
              </w:rPr>
            </w:pPr>
            <w:r>
              <w:rPr>
                <w:rFonts w:ascii="Arial" w:cs="Arial" w:eastAsia="Arial" w:hAnsi="Arial"/>
                <w:sz w:val="18"/>
                <w:szCs w:val="18"/>
                <w:color w:val="auto"/>
              </w:rPr>
              <w:t>Escheat audit contingent liability</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780" w:type="dxa"/>
            <w:vAlign w:val="bottom"/>
            <w:gridSpan w:val="3"/>
          </w:tcPr>
          <w:p>
            <w:pPr>
              <w:jc w:val="right"/>
              <w:ind w:right="40"/>
              <w:spacing w:after="0"/>
              <w:rPr>
                <w:sz w:val="20"/>
                <w:szCs w:val="20"/>
                <w:color w:val="auto"/>
              </w:rPr>
            </w:pPr>
            <w:r>
              <w:rPr>
                <w:rFonts w:ascii="Arial" w:cs="Arial" w:eastAsia="Arial" w:hAnsi="Arial"/>
                <w:sz w:val="18"/>
                <w:szCs w:val="18"/>
                <w:color w:val="auto"/>
              </w:rPr>
              <w:t>(0.2)</w:t>
            </w:r>
          </w:p>
        </w:tc>
      </w:tr>
      <w:tr>
        <w:trPr>
          <w:trHeight w:val="227"/>
        </w:trPr>
        <w:tc>
          <w:tcPr>
            <w:tcW w:w="934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(1.5)</w:t>
            </w:r>
          </w:p>
        </w:tc>
      </w:tr>
      <w:tr>
        <w:trPr>
          <w:trHeight w:val="220"/>
        </w:trPr>
        <w:tc>
          <w:tcPr>
            <w:tcW w:w="9340" w:type="dxa"/>
            <w:vAlign w:val="bottom"/>
          </w:tcPr>
          <w:p>
            <w:pPr>
              <w:spacing w:after="0"/>
              <w:rPr>
                <w:sz w:val="20"/>
                <w:szCs w:val="20"/>
                <w:color w:val="auto"/>
              </w:rPr>
            </w:pPr>
            <w:r>
              <w:rPr>
                <w:rFonts w:ascii="Arial" w:cs="Arial" w:eastAsia="Arial" w:hAnsi="Arial"/>
                <w:sz w:val="18"/>
                <w:szCs w:val="18"/>
                <w:color w:val="auto"/>
              </w:rPr>
              <w:t>Adjusted EBITDA</w:t>
            </w:r>
          </w:p>
        </w:tc>
        <w:tc>
          <w:tcPr>
            <w:tcW w:w="20" w:type="dxa"/>
            <w:vAlign w:val="bottom"/>
            <w:tcBorders>
              <w:bottom w:val="single" w:sz="8" w:color="auto"/>
            </w:tcBorders>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1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288.4</w:t>
            </w:r>
          </w:p>
        </w:tc>
        <w:tc>
          <w:tcPr>
            <w:tcW w:w="20" w:type="dxa"/>
            <w:vAlign w:val="bottom"/>
            <w:tcBorders>
              <w:bottom w:val="single" w:sz="8" w:color="auto"/>
            </w:tcBorders>
          </w:tcPr>
          <w:p>
            <w:pPr>
              <w:spacing w:after="0"/>
              <w:rPr>
                <w:sz w:val="19"/>
                <w:szCs w:val="19"/>
                <w:color w:val="auto"/>
              </w:rPr>
            </w:pPr>
          </w:p>
        </w:tc>
        <w:tc>
          <w:tcPr>
            <w:tcW w:w="80" w:type="dxa"/>
            <w:vAlign w:val="bottom"/>
          </w:tcPr>
          <w:p>
            <w:pPr>
              <w:spacing w:after="0"/>
              <w:rPr>
                <w:sz w:val="19"/>
                <w:szCs w:val="19"/>
                <w:color w:val="auto"/>
              </w:rPr>
            </w:pPr>
          </w:p>
        </w:tc>
      </w:tr>
      <w:tr>
        <w:trPr>
          <w:trHeight w:val="20"/>
        </w:trPr>
        <w:tc>
          <w:tcPr>
            <w:tcW w:w="93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6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647"/>
        </w:trPr>
        <w:tc>
          <w:tcPr>
            <w:tcW w:w="93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6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15" w:name="page16"/>
    <w:bookmarkEnd w:id="15"/>
    <w:p>
      <w:pPr>
        <w:spacing w:after="0"/>
        <w:rPr>
          <w:sz w:val="20"/>
          <w:szCs w:val="20"/>
          <w:color w:val="auto"/>
        </w:rPr>
      </w:pPr>
      <w:r>
        <w:rPr>
          <w:rFonts w:ascii="Arial" w:cs="Arial" w:eastAsia="Arial" w:hAnsi="Arial"/>
          <w:sz w:val="18"/>
          <w:szCs w:val="18"/>
          <w:b w:val="1"/>
          <w:bCs w:val="1"/>
          <w:color w:val="auto"/>
        </w:rPr>
        <w:t>Veritiv Contacts:</w:t>
      </w:r>
    </w:p>
    <w:p>
      <w:pPr>
        <w:spacing w:after="0" w:line="224" w:lineRule="exact"/>
        <w:rPr>
          <w:sz w:val="20"/>
          <w:szCs w:val="20"/>
          <w:color w:val="auto"/>
        </w:rPr>
      </w:pPr>
    </w:p>
    <w:p>
      <w:pPr>
        <w:spacing w:after="0"/>
        <w:tabs>
          <w:tab w:leader="none" w:pos="3500" w:val="left"/>
        </w:tabs>
        <w:rPr>
          <w:sz w:val="20"/>
          <w:szCs w:val="20"/>
          <w:color w:val="auto"/>
        </w:rPr>
      </w:pPr>
      <w:r>
        <w:rPr>
          <w:rFonts w:ascii="Arial" w:cs="Arial" w:eastAsia="Arial" w:hAnsi="Arial"/>
          <w:sz w:val="18"/>
          <w:szCs w:val="18"/>
          <w:color w:val="auto"/>
        </w:rPr>
        <w:t>Investors: Scott Palfreeman, 844-845-2136</w:t>
      </w:r>
      <w:r>
        <w:rPr>
          <w:sz w:val="20"/>
          <w:szCs w:val="20"/>
          <w:color w:val="auto"/>
        </w:rPr>
        <w:tab/>
      </w:r>
      <w:r>
        <w:rPr>
          <w:rFonts w:ascii="Arial" w:cs="Arial" w:eastAsia="Arial" w:hAnsi="Arial"/>
          <w:sz w:val="16"/>
          <w:szCs w:val="16"/>
          <w:color w:val="auto"/>
        </w:rPr>
        <w:t>Media: Kristie Madara, 770-391-8471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436880</wp:posOffset>
            </wp:positionV>
            <wp:extent cx="7134225" cy="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0139"/>
          </w:cols>
          <w:pgMar w:left="320" w:top="895" w:right="1440" w:bottom="1440" w:gutter="0" w:footer="0" w:header="0"/>
        </w:sectPr>
      </w:pPr>
    </w:p>
    <w:bookmarkStart w:id="16" w:name="page17"/>
    <w:bookmarkEnd w:id="1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88900</wp:posOffset>
            </wp:positionV>
            <wp:extent cx="7196455" cy="43376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548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96455" cy="43548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0" w:name="page31"/>
    <w:bookmarkEnd w:id="3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1" w:name="page32"/>
    <w:bookmarkEnd w:id="3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465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96455" cy="43465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2" w:name="page33"/>
    <w:bookmarkEnd w:id="3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3" w:name="page34"/>
    <w:bookmarkEnd w:id="3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4" w:name="page35"/>
    <w:bookmarkEnd w:id="3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5" w:name="page36"/>
    <w:bookmarkEnd w:id="3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6" w:name="page37"/>
    <w:bookmarkEnd w:id="3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7" w:name="page38"/>
    <w:bookmarkEnd w:id="3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3376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96455" cy="433768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19495CFF"/>
    <w:multiLevelType w:val="hybridMultilevel"/>
    <w:lvl w:ilvl="0">
      <w:lvlJc w:val="left"/>
      <w:lvlText w:val="☐"/>
      <w:numFmt w:val="bullet"/>
      <w:start w:val="1"/>
    </w:lvl>
  </w:abstractNum>
  <w:abstractNum w:abstractNumId="1">
    <w:nsid w:val="2AE8944A"/>
    <w:multiLevelType w:val="hybridMultilevel"/>
    <w:lvl w:ilvl="0">
      <w:lvlJc w:val="left"/>
      <w:lvlText w:val="(%1)"/>
      <w:numFmt w:val="lowerLetter"/>
      <w:start w:val="4"/>
    </w:lvl>
  </w:abstractNum>
  <w:abstractNum w:abstractNumId="2">
    <w:nsid w:val="625558EC"/>
    <w:multiLevelType w:val="hybridMultilevel"/>
    <w:lvl w:ilvl="0">
      <w:lvlJc w:val="left"/>
      <w:lvlText w:val="•"/>
      <w:numFmt w:val="bullet"/>
      <w:start w:val="1"/>
    </w:lvl>
  </w:abstractNum>
  <w:abstractNum w:abstractNumId="3">
    <w:nsid w:val="238E1F29"/>
    <w:multiLevelType w:val="hybridMultilevel"/>
    <w:lvl w:ilvl="0">
      <w:lvlJc w:val="left"/>
      <w:lvlText w:val="•"/>
      <w:numFmt w:val="bullet"/>
      <w:start w:val="1"/>
    </w:lvl>
  </w:abstractNum>
  <w:abstractNum w:abstractNumId="4">
    <w:nsid w:val="46E87CCD"/>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2021-11-03T07:03:20Z</dcterms:created>
  <dcterms:modified xsi:type="dcterms:W3CDTF">2021-11-03T07:03:20Z</dcterms:modified>
</cp:coreProperties>
</file>