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203835</wp:posOffset>
            </wp:positionH>
            <wp:positionV relativeFrom="page">
              <wp:posOffset>297815</wp:posOffset>
            </wp:positionV>
            <wp:extent cx="7141210" cy="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41210" cy="24130"/>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329565</wp:posOffset>
            </wp:positionV>
            <wp:extent cx="714121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1210" cy="8255"/>
                    </a:xfrm>
                    <a:prstGeom prst="rect">
                      <a:avLst/>
                    </a:prstGeom>
                    <a:noFill/>
                  </pic:spPr>
                </pic:pic>
              </a:graphicData>
            </a:graphic>
          </wp:anchor>
        </w:drawing>
        <w:t>UNITED STATES</w:t>
      </w:r>
    </w:p>
    <w:p>
      <w:pPr>
        <w:spacing w:after="0" w:line="2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7"/>
          <w:szCs w:val="17"/>
          <w:b w:val="1"/>
          <w:bCs w:val="1"/>
          <w:color w:val="auto"/>
        </w:rPr>
        <w:t>SECURITIES AND EXCHANGE COMMISSION</w:t>
      </w:r>
    </w:p>
    <w:p>
      <w:pPr>
        <w:spacing w:after="0" w:line="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7"/>
          <w:szCs w:val="17"/>
          <w:b w:val="1"/>
          <w:bCs w:val="1"/>
          <w:color w:val="auto"/>
        </w:rPr>
        <w:t>Washington, D.C. 20549</w:t>
      </w:r>
    </w:p>
    <w:p>
      <w:pPr>
        <w:spacing w:after="0" w:line="18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SCHEDULE 14A</w:t>
      </w:r>
    </w:p>
    <w:p>
      <w:pPr>
        <w:spacing w:after="0" w:line="2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7"/>
          <w:szCs w:val="17"/>
          <w:color w:val="auto"/>
        </w:rPr>
        <w:t>Proxy Statement Pursuant to Section 14(a) of</w:t>
      </w:r>
    </w:p>
    <w:p>
      <w:pPr>
        <w:spacing w:after="0" w:line="23" w:lineRule="exact"/>
        <w:rPr>
          <w:sz w:val="24"/>
          <w:szCs w:val="24"/>
          <w:color w:val="auto"/>
        </w:rPr>
      </w:pPr>
    </w:p>
    <w:p>
      <w:pPr>
        <w:jc w:val="center"/>
        <w:ind w:right="13"/>
        <w:spacing w:after="0"/>
        <w:tabs>
          <w:tab w:leader="none" w:pos="180" w:val="left"/>
        </w:tabs>
        <w:rPr>
          <w:sz w:val="20"/>
          <w:szCs w:val="20"/>
          <w:color w:val="auto"/>
        </w:rPr>
      </w:pPr>
      <w:r>
        <w:rPr>
          <w:rFonts w:ascii="Times New Roman" w:cs="Times New Roman" w:eastAsia="Times New Roman" w:hAnsi="Times New Roman"/>
          <w:sz w:val="17"/>
          <w:szCs w:val="17"/>
          <w:color w:val="auto"/>
        </w:rPr>
        <w:t>the Securities Exchange Act of 1934 (Amendment No.</w:t>
        <w:tab/>
        <w:t>)</w:t>
      </w:r>
    </w:p>
    <w:p>
      <w:pPr>
        <w:spacing w:after="0" w:line="165" w:lineRule="exact"/>
        <w:rPr>
          <w:sz w:val="24"/>
          <w:szCs w:val="24"/>
          <w:color w:val="auto"/>
        </w:rPr>
      </w:pPr>
    </w:p>
    <w:p>
      <w:pPr>
        <w:ind w:left="7"/>
        <w:spacing w:after="0" w:line="196" w:lineRule="exact"/>
        <w:rPr>
          <w:sz w:val="20"/>
          <w:szCs w:val="20"/>
          <w:color w:val="auto"/>
        </w:rPr>
      </w:pPr>
      <w:r>
        <w:rPr>
          <w:rFonts w:ascii="Times New Roman" w:cs="Times New Roman" w:eastAsia="Times New Roman" w:hAnsi="Times New Roman"/>
          <w:sz w:val="17"/>
          <w:szCs w:val="17"/>
          <w:color w:val="auto"/>
        </w:rPr>
        <w:t xml:space="preserve">Filed by the Registrant </w:t>
      </w:r>
      <w:r>
        <w:rPr>
          <w:rFonts w:ascii="MS PGothic" w:cs="MS PGothic" w:eastAsia="MS PGothic" w:hAnsi="MS PGothic"/>
          <w:sz w:val="17"/>
          <w:szCs w:val="17"/>
          <w:color w:val="auto"/>
        </w:rPr>
        <w:t>☒</w:t>
      </w:r>
    </w:p>
    <w:p>
      <w:pPr>
        <w:spacing w:after="0" w:line="209" w:lineRule="exact"/>
        <w:rPr>
          <w:sz w:val="24"/>
          <w:szCs w:val="24"/>
          <w:color w:val="auto"/>
        </w:rPr>
      </w:pPr>
    </w:p>
    <w:p>
      <w:pPr>
        <w:ind w:left="7"/>
        <w:spacing w:after="0" w:line="196" w:lineRule="exact"/>
        <w:rPr>
          <w:sz w:val="20"/>
          <w:szCs w:val="20"/>
          <w:color w:val="auto"/>
        </w:rPr>
      </w:pPr>
      <w:r>
        <w:rPr>
          <w:rFonts w:ascii="Times New Roman" w:cs="Times New Roman" w:eastAsia="Times New Roman" w:hAnsi="Times New Roman"/>
          <w:sz w:val="17"/>
          <w:szCs w:val="17"/>
          <w:color w:val="auto"/>
        </w:rPr>
        <w:t xml:space="preserve">Filed by a Party other than the Registrant </w:t>
      </w:r>
      <w:r>
        <w:rPr>
          <w:rFonts w:ascii="MS PGothic" w:cs="MS PGothic" w:eastAsia="MS PGothic" w:hAnsi="MS PGothic"/>
          <w:sz w:val="17"/>
          <w:szCs w:val="17"/>
          <w:color w:val="auto"/>
        </w:rPr>
        <w:t>☐</w:t>
      </w:r>
    </w:p>
    <w:p>
      <w:pPr>
        <w:spacing w:after="0" w:line="237" w:lineRule="exact"/>
        <w:rPr>
          <w:sz w:val="24"/>
          <w:szCs w:val="24"/>
          <w:color w:val="auto"/>
        </w:rPr>
      </w:pPr>
    </w:p>
    <w:p>
      <w:pPr>
        <w:ind w:left="7"/>
        <w:spacing w:after="0"/>
        <w:rPr>
          <w:sz w:val="20"/>
          <w:szCs w:val="20"/>
          <w:color w:val="auto"/>
        </w:rPr>
      </w:pPr>
      <w:r>
        <w:rPr>
          <w:rFonts w:ascii="Times New Roman" w:cs="Times New Roman" w:eastAsia="Times New Roman" w:hAnsi="Times New Roman"/>
          <w:sz w:val="17"/>
          <w:szCs w:val="17"/>
          <w:color w:val="auto"/>
        </w:rPr>
        <w:t>Check the appropriate box:</w:t>
      </w:r>
    </w:p>
    <w:p>
      <w:pPr>
        <w:spacing w:after="0" w:line="18" w:lineRule="exact"/>
        <w:rPr>
          <w:sz w:val="24"/>
          <w:szCs w:val="24"/>
          <w:color w:val="auto"/>
        </w:rPr>
      </w:pPr>
    </w:p>
    <w:p>
      <w:pPr>
        <w:ind w:left="567" w:hanging="567"/>
        <w:spacing w:after="0"/>
        <w:tabs>
          <w:tab w:leader="none" w:pos="567"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Preliminary Proxy Statement</w:t>
      </w:r>
    </w:p>
    <w:p>
      <w:pPr>
        <w:spacing w:after="0" w:line="12" w:lineRule="exact"/>
        <w:rPr>
          <w:rFonts w:ascii="MS PGothic" w:cs="MS PGothic" w:eastAsia="MS PGothic" w:hAnsi="MS PGothic"/>
          <w:sz w:val="17"/>
          <w:szCs w:val="17"/>
          <w:color w:val="auto"/>
        </w:rPr>
      </w:pPr>
    </w:p>
    <w:p>
      <w:pPr>
        <w:ind w:left="567" w:hanging="567"/>
        <w:spacing w:after="0"/>
        <w:tabs>
          <w:tab w:leader="none" w:pos="567"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b w:val="1"/>
          <w:bCs w:val="1"/>
          <w:color w:val="auto"/>
        </w:rPr>
        <w:t>Confidential, for Use of the Commission Only (as permitted by Rule 14a-6(e)(2))</w:t>
      </w:r>
    </w:p>
    <w:p>
      <w:pPr>
        <w:spacing w:after="0" w:line="6" w:lineRule="exact"/>
        <w:rPr>
          <w:rFonts w:ascii="MS PGothic" w:cs="MS PGothic" w:eastAsia="MS PGothic" w:hAnsi="MS PGothic"/>
          <w:sz w:val="17"/>
          <w:szCs w:val="17"/>
          <w:color w:val="auto"/>
        </w:rPr>
      </w:pPr>
    </w:p>
    <w:p>
      <w:pPr>
        <w:ind w:left="567" w:hanging="567"/>
        <w:spacing w:after="0"/>
        <w:tabs>
          <w:tab w:leader="none" w:pos="567"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Definitive Proxy Statement</w:t>
      </w:r>
    </w:p>
    <w:p>
      <w:pPr>
        <w:ind w:left="567" w:hanging="567"/>
        <w:spacing w:after="0"/>
        <w:tabs>
          <w:tab w:leader="none" w:pos="567" w:val="left"/>
        </w:tabs>
        <w:numPr>
          <w:ilvl w:val="0"/>
          <w:numId w:val="2"/>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Definitive Additional Materials</w:t>
      </w:r>
    </w:p>
    <w:p>
      <w:pPr>
        <w:spacing w:after="0" w:line="7" w:lineRule="exact"/>
        <w:rPr>
          <w:sz w:val="24"/>
          <w:szCs w:val="24"/>
          <w:color w:val="auto"/>
        </w:rPr>
      </w:pPr>
    </w:p>
    <w:p>
      <w:pPr>
        <w:ind w:left="567" w:hanging="567"/>
        <w:spacing w:after="0"/>
        <w:tabs>
          <w:tab w:leader="none" w:pos="567" w:val="left"/>
        </w:tabs>
        <w:numPr>
          <w:ilvl w:val="0"/>
          <w:numId w:val="3"/>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Soliciting Material under §240.14a-12</w:t>
      </w:r>
    </w:p>
    <w:p>
      <w:pPr>
        <w:spacing w:after="0" w:line="19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Veritiv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714121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41210" cy="8255"/>
                    </a:xfrm>
                    <a:prstGeom prst="rect">
                      <a:avLst/>
                    </a:prstGeom>
                    <a:noFill/>
                  </pic:spPr>
                </pic:pic>
              </a:graphicData>
            </a:graphic>
          </wp:anchor>
        </w:drawing>
      </w:r>
    </w:p>
    <w:p>
      <w:pPr>
        <w:spacing w:after="0" w:line="1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7"/>
          <w:szCs w:val="17"/>
          <w:color w:val="auto"/>
        </w:rPr>
        <w:t>(Name of Registrant as Specified In Its Charter)</w:t>
      </w:r>
    </w:p>
    <w:p>
      <w:pPr>
        <w:spacing w:after="0" w:line="200" w:lineRule="exact"/>
        <w:rPr>
          <w:sz w:val="24"/>
          <w:szCs w:val="24"/>
          <w:color w:val="auto"/>
        </w:rPr>
      </w:pPr>
    </w:p>
    <w:p>
      <w:pPr>
        <w:spacing w:after="0" w:line="211" w:lineRule="exact"/>
        <w:rPr>
          <w:sz w:val="24"/>
          <w:szCs w:val="24"/>
          <w:color w:val="auto"/>
        </w:rPr>
      </w:pPr>
    </w:p>
    <w:p>
      <w:pPr>
        <w:ind w:left="3147"/>
        <w:spacing w:after="0"/>
        <w:rPr>
          <w:sz w:val="20"/>
          <w:szCs w:val="20"/>
          <w:color w:val="auto"/>
        </w:rPr>
      </w:pPr>
      <w:r>
        <w:rPr>
          <w:rFonts w:ascii="Times New Roman" w:cs="Times New Roman" w:eastAsia="Times New Roman" w:hAnsi="Times New Roman"/>
          <w:sz w:val="17"/>
          <w:szCs w:val="17"/>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-121285</wp:posOffset>
            </wp:positionV>
            <wp:extent cx="714121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41210" cy="8255"/>
                    </a:xfrm>
                    <a:prstGeom prst="rect">
                      <a:avLst/>
                    </a:prstGeom>
                    <a:noFill/>
                  </pic:spPr>
                </pic:pic>
              </a:graphicData>
            </a:graphic>
          </wp:anchor>
        </w:drawing>
      </w:r>
    </w:p>
    <w:p>
      <w:pPr>
        <w:spacing w:after="0" w:line="189" w:lineRule="exact"/>
        <w:rPr>
          <w:sz w:val="24"/>
          <w:szCs w:val="24"/>
          <w:color w:val="auto"/>
        </w:rPr>
      </w:pPr>
    </w:p>
    <w:p>
      <w:pPr>
        <w:ind w:left="7"/>
        <w:spacing w:after="0"/>
        <w:rPr>
          <w:sz w:val="20"/>
          <w:szCs w:val="20"/>
          <w:color w:val="auto"/>
        </w:rPr>
      </w:pPr>
      <w:r>
        <w:rPr>
          <w:rFonts w:ascii="Times New Roman" w:cs="Times New Roman" w:eastAsia="Times New Roman" w:hAnsi="Times New Roman"/>
          <w:sz w:val="17"/>
          <w:szCs w:val="17"/>
          <w:color w:val="auto"/>
        </w:rPr>
        <w:t>Payment of Filing Fee (Check the appropriate box):</w:t>
      </w:r>
    </w:p>
    <w:p>
      <w:pPr>
        <w:spacing w:after="0" w:line="18" w:lineRule="exact"/>
        <w:rPr>
          <w:sz w:val="24"/>
          <w:szCs w:val="24"/>
          <w:color w:val="auto"/>
        </w:rPr>
      </w:pPr>
    </w:p>
    <w:p>
      <w:pPr>
        <w:ind w:left="567" w:hanging="567"/>
        <w:spacing w:after="0"/>
        <w:tabs>
          <w:tab w:leader="none" w:pos="567" w:val="left"/>
        </w:tabs>
        <w:numPr>
          <w:ilvl w:val="0"/>
          <w:numId w:val="4"/>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No fee required.</w:t>
      </w:r>
    </w:p>
    <w:p>
      <w:pPr>
        <w:spacing w:after="0" w:line="7" w:lineRule="exact"/>
        <w:rPr>
          <w:sz w:val="24"/>
          <w:szCs w:val="24"/>
          <w:color w:val="auto"/>
        </w:rPr>
      </w:pPr>
    </w:p>
    <w:p>
      <w:pPr>
        <w:ind w:left="567" w:hanging="567"/>
        <w:spacing w:after="0"/>
        <w:tabs>
          <w:tab w:leader="none" w:pos="567" w:val="left"/>
        </w:tabs>
        <w:numPr>
          <w:ilvl w:val="0"/>
          <w:numId w:val="5"/>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Fee computed on table below per Exchange Act Rules 14a-6(i)(1) and 0-11.</w:t>
      </w:r>
    </w:p>
    <w:p>
      <w:pPr>
        <w:spacing w:after="0" w:line="12" w:lineRule="exact"/>
        <w:rPr>
          <w:rFonts w:ascii="MS PGothic" w:cs="MS PGothic" w:eastAsia="MS PGothic" w:hAnsi="MS PGothic"/>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Title of each class of securities to which transaction applies:</w:t>
      </w:r>
    </w:p>
    <w:p>
      <w:pPr>
        <w:spacing w:after="0" w:line="203"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number of securities to which transaction applies:</w:t>
      </w:r>
    </w:p>
    <w:p>
      <w:pPr>
        <w:spacing w:after="0" w:line="221" w:lineRule="exact"/>
        <w:rPr>
          <w:rFonts w:ascii="Times New Roman" w:cs="Times New Roman" w:eastAsia="Times New Roman" w:hAnsi="Times New Roman"/>
          <w:sz w:val="17"/>
          <w:szCs w:val="17"/>
          <w:color w:val="auto"/>
        </w:rPr>
      </w:pPr>
    </w:p>
    <w:p>
      <w:pPr>
        <w:ind w:left="1027" w:right="180" w:hanging="459"/>
        <w:spacing w:after="0" w:line="275" w:lineRule="auto"/>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 unit price or other underlying value of transaction computed pursuant to Exchange Act Rule 0-11 (set forth the amount on which the filing fee is calculated and state how it was determined):</w:t>
      </w:r>
    </w:p>
    <w:p>
      <w:pPr>
        <w:spacing w:after="0" w:line="171"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Proposed maximum aggregate value of transaction:</w:t>
      </w:r>
    </w:p>
    <w:p>
      <w:pPr>
        <w:spacing w:after="0" w:line="221"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Total fee paid:</w:t>
      </w:r>
    </w:p>
    <w:p>
      <w:pPr>
        <w:spacing w:after="0" w:line="200" w:lineRule="exact"/>
        <w:rPr>
          <w:rFonts w:ascii="Times New Roman" w:cs="Times New Roman" w:eastAsia="Times New Roman" w:hAnsi="Times New Roman"/>
          <w:sz w:val="17"/>
          <w:szCs w:val="17"/>
          <w:color w:val="auto"/>
        </w:rPr>
      </w:pPr>
    </w:p>
    <w:p>
      <w:pPr>
        <w:spacing w:after="0" w:line="223" w:lineRule="exact"/>
        <w:rPr>
          <w:rFonts w:ascii="Times New Roman" w:cs="Times New Roman" w:eastAsia="Times New Roman" w:hAnsi="Times New Roman"/>
          <w:sz w:val="17"/>
          <w:szCs w:val="17"/>
          <w:color w:val="auto"/>
        </w:rPr>
      </w:pPr>
    </w:p>
    <w:p>
      <w:pPr>
        <w:ind w:left="567" w:hanging="567"/>
        <w:spacing w:after="0"/>
        <w:tabs>
          <w:tab w:leader="none" w:pos="567" w:val="left"/>
        </w:tabs>
        <w:numPr>
          <w:ilvl w:val="0"/>
          <w:numId w:val="5"/>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Fee paid previously with preliminary materials.</w:t>
      </w:r>
    </w:p>
    <w:p>
      <w:pPr>
        <w:spacing w:after="0" w:line="24" w:lineRule="exact"/>
        <w:rPr>
          <w:rFonts w:ascii="MS PGothic" w:cs="MS PGothic" w:eastAsia="MS PGothic" w:hAnsi="MS PGothic"/>
          <w:sz w:val="17"/>
          <w:szCs w:val="17"/>
          <w:color w:val="auto"/>
        </w:rPr>
      </w:pPr>
    </w:p>
    <w:p>
      <w:pPr>
        <w:ind w:left="567" w:hanging="567"/>
        <w:spacing w:after="0" w:line="246" w:lineRule="auto"/>
        <w:tabs>
          <w:tab w:leader="none" w:pos="567" w:val="left"/>
        </w:tabs>
        <w:numPr>
          <w:ilvl w:val="0"/>
          <w:numId w:val="5"/>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 w:lineRule="exact"/>
        <w:rPr>
          <w:rFonts w:ascii="MS PGothic" w:cs="MS PGothic" w:eastAsia="MS PGothic" w:hAnsi="MS PGothic"/>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Previously Paid:</w:t>
      </w:r>
    </w:p>
    <w:p>
      <w:pPr>
        <w:spacing w:after="0" w:line="205"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Form, Schedule or Registration Statement No.:</w:t>
      </w:r>
    </w:p>
    <w:p>
      <w:pPr>
        <w:spacing w:after="0" w:line="221"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Filing Party:</w:t>
      </w:r>
    </w:p>
    <w:p>
      <w:pPr>
        <w:spacing w:after="0" w:line="221" w:lineRule="exact"/>
        <w:rPr>
          <w:rFonts w:ascii="Times New Roman" w:cs="Times New Roman" w:eastAsia="Times New Roman" w:hAnsi="Times New Roman"/>
          <w:sz w:val="17"/>
          <w:szCs w:val="17"/>
          <w:color w:val="auto"/>
        </w:rPr>
      </w:pPr>
    </w:p>
    <w:p>
      <w:pPr>
        <w:ind w:left="1027" w:hanging="459"/>
        <w:spacing w:after="0"/>
        <w:tabs>
          <w:tab w:leader="none" w:pos="1027" w:val="left"/>
        </w:tabs>
        <w:numPr>
          <w:ilvl w:val="1"/>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642620</wp:posOffset>
            </wp:positionH>
            <wp:positionV relativeFrom="paragraph">
              <wp:posOffset>142875</wp:posOffset>
            </wp:positionV>
            <wp:extent cx="64909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-121285</wp:posOffset>
            </wp:positionV>
            <wp:extent cx="64909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-386080</wp:posOffset>
            </wp:positionV>
            <wp:extent cx="64909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-650875</wp:posOffset>
            </wp:positionV>
            <wp:extent cx="64909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-1428750</wp:posOffset>
            </wp:positionV>
            <wp:extent cx="649097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-1693545</wp:posOffset>
            </wp:positionV>
            <wp:extent cx="649097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-1958340</wp:posOffset>
            </wp:positionV>
            <wp:extent cx="649097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-2351405</wp:posOffset>
            </wp:positionV>
            <wp:extent cx="64909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642620</wp:posOffset>
            </wp:positionH>
            <wp:positionV relativeFrom="paragraph">
              <wp:posOffset>-2616200</wp:posOffset>
            </wp:positionV>
            <wp:extent cx="649097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49097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311785</wp:posOffset>
            </wp:positionV>
            <wp:extent cx="714121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121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327660</wp:posOffset>
            </wp:positionV>
            <wp:extent cx="7141210" cy="241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1210" cy="2413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608330</wp:posOffset>
            </wp:positionV>
            <wp:extent cx="714121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1210" cy="8255"/>
                    </a:xfrm>
                    <a:prstGeom prst="rect">
                      <a:avLst/>
                    </a:prstGeom>
                    <a:noFill/>
                  </pic:spPr>
                </pic:pic>
              </a:graphicData>
            </a:graphic>
          </wp:anchor>
        </w:drawing>
      </w:r>
    </w:p>
    <w:p>
      <w:pPr>
        <w:sectPr>
          <w:pgSz w:w="11900" w:h="16838" w:orient="portrait"/>
          <w:cols w:equalWidth="0" w:num="1">
            <w:col w:w="11187"/>
          </w:cols>
          <w:pgMar w:left="333" w:top="789" w:right="37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554355</wp:posOffset>
            </wp:positionV>
            <wp:extent cx="7141210" cy="90906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1210" cy="909066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426085</wp:posOffset>
            </wp:positionV>
            <wp:extent cx="7141210" cy="90906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1210" cy="909066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2021-03-17T06:12:23Z</dcterms:created>
  <dcterms:modified xsi:type="dcterms:W3CDTF">2021-03-17T06:12:23Z</dcterms:modified>
</cp:coreProperties>
</file>