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spacing w:after="0"/>
        <w:rPr>
          <w:sz w:val="20"/>
          <w:szCs w:val="20"/>
          <w:color w:val="auto"/>
        </w:rPr>
      </w:pPr>
      <w:r>
        <w:rPr>
          <w:rFonts w:ascii="Arial" w:cs="Arial" w:eastAsia="Arial" w:hAnsi="Arial"/>
          <w:sz w:val="32"/>
          <w:szCs w:val="32"/>
          <w:b w:val="1"/>
          <w:bCs w:val="1"/>
          <w:color w:val="auto"/>
        </w:rPr>
        <w:drawing>
          <wp:anchor simplePos="0" relativeHeight="251657728" behindDoc="1" locked="0" layoutInCell="0" allowOverlap="1">
            <wp:simplePos x="0" y="0"/>
            <wp:positionH relativeFrom="page">
              <wp:posOffset>207645</wp:posOffset>
            </wp:positionH>
            <wp:positionV relativeFrom="page">
              <wp:posOffset>309245</wp:posOffset>
            </wp:positionV>
            <wp:extent cx="7134225" cy="254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134225" cy="25400"/>
                    </a:xfrm>
                    <a:prstGeom prst="rect">
                      <a:avLst/>
                    </a:prstGeom>
                    <a:noFill/>
                  </pic:spPr>
                </pic:pic>
              </a:graphicData>
            </a:graphic>
          </wp:anchor>
        </w:drawing>
        <w:drawing>
          <wp:anchor simplePos="0" relativeHeight="251657728" behindDoc="1" locked="0" layoutInCell="0" allowOverlap="1">
            <wp:simplePos x="0" y="0"/>
            <wp:positionH relativeFrom="page">
              <wp:posOffset>207645</wp:posOffset>
            </wp:positionH>
            <wp:positionV relativeFrom="page">
              <wp:posOffset>342900</wp:posOffset>
            </wp:positionV>
            <wp:extent cx="7134225" cy="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7134225" cy="8255"/>
                    </a:xfrm>
                    <a:prstGeom prst="rect">
                      <a:avLst/>
                    </a:prstGeom>
                    <a:noFill/>
                  </pic:spPr>
                </pic:pic>
              </a:graphicData>
            </a:graphic>
          </wp:anchor>
        </w:drawing>
        <w:t>UNITED STATES</w:t>
      </w:r>
    </w:p>
    <w:p>
      <w:pPr>
        <w:spacing w:after="0" w:line="27" w:lineRule="exact"/>
        <w:rPr>
          <w:sz w:val="24"/>
          <w:szCs w:val="24"/>
          <w:color w:val="auto"/>
        </w:rPr>
      </w:pPr>
    </w:p>
    <w:p>
      <w:pPr>
        <w:jc w:val="center"/>
        <w:spacing w:after="0"/>
        <w:rPr>
          <w:sz w:val="20"/>
          <w:szCs w:val="20"/>
          <w:color w:val="auto"/>
        </w:rPr>
      </w:pPr>
      <w:r>
        <w:rPr>
          <w:rFonts w:ascii="Arial" w:cs="Arial" w:eastAsia="Arial" w:hAnsi="Arial"/>
          <w:sz w:val="32"/>
          <w:szCs w:val="32"/>
          <w:b w:val="1"/>
          <w:bCs w:val="1"/>
          <w:color w:val="auto"/>
        </w:rPr>
        <w:t>SECURITIES AND EXCHANGE COMMISSION</w:t>
      </w:r>
    </w:p>
    <w:p>
      <w:pPr>
        <w:jc w:val="center"/>
        <w:spacing w:after="0"/>
        <w:rPr>
          <w:sz w:val="20"/>
          <w:szCs w:val="20"/>
          <w:color w:val="auto"/>
        </w:rPr>
      </w:pPr>
      <w:r>
        <w:rPr>
          <w:rFonts w:ascii="Arial" w:cs="Arial" w:eastAsia="Arial" w:hAnsi="Arial"/>
          <w:sz w:val="18"/>
          <w:szCs w:val="18"/>
          <w:b w:val="1"/>
          <w:bCs w:val="1"/>
          <w:color w:val="auto"/>
        </w:rPr>
        <w:t>WASHINGTON, D.C. 20549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2681605</wp:posOffset>
            </wp:positionH>
            <wp:positionV relativeFrom="paragraph">
              <wp:posOffset>138430</wp:posOffset>
            </wp:positionV>
            <wp:extent cx="1779270" cy="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1779270" cy="8255"/>
                    </a:xfrm>
                    <a:prstGeom prst="rect">
                      <a:avLst/>
                    </a:prstGeom>
                    <a:noFill/>
                  </pic:spPr>
                </pic:pic>
              </a:graphicData>
            </a:graphic>
          </wp:anchor>
        </w:drawing>
      </w:r>
    </w:p>
    <w:p>
      <w:pPr>
        <w:spacing w:after="0" w:line="397" w:lineRule="exact"/>
        <w:rPr>
          <w:sz w:val="24"/>
          <w:szCs w:val="24"/>
          <w:color w:val="auto"/>
        </w:rPr>
      </w:pPr>
    </w:p>
    <w:p>
      <w:pPr>
        <w:jc w:val="center"/>
        <w:spacing w:after="0"/>
        <w:rPr>
          <w:sz w:val="20"/>
          <w:szCs w:val="20"/>
          <w:color w:val="auto"/>
        </w:rPr>
      </w:pPr>
      <w:r>
        <w:rPr>
          <w:rFonts w:ascii="Arial" w:cs="Arial" w:eastAsia="Arial" w:hAnsi="Arial"/>
          <w:sz w:val="32"/>
          <w:szCs w:val="32"/>
          <w:b w:val="1"/>
          <w:bCs w:val="1"/>
          <w:color w:val="auto"/>
        </w:rPr>
        <w:t>FORM 8-K</w:t>
      </w:r>
    </w:p>
    <w:p>
      <w:pPr>
        <w:spacing w:after="0" w:line="219" w:lineRule="exact"/>
        <w:rPr>
          <w:sz w:val="24"/>
          <w:szCs w:val="24"/>
          <w:color w:val="auto"/>
        </w:rPr>
      </w:pPr>
    </w:p>
    <w:p>
      <w:pPr>
        <w:jc w:val="center"/>
        <w:spacing w:after="0"/>
        <w:rPr>
          <w:sz w:val="20"/>
          <w:szCs w:val="20"/>
          <w:color w:val="auto"/>
        </w:rPr>
      </w:pPr>
      <w:r>
        <w:rPr>
          <w:rFonts w:ascii="Arial" w:cs="Arial" w:eastAsia="Arial" w:hAnsi="Arial"/>
          <w:sz w:val="21"/>
          <w:szCs w:val="21"/>
          <w:b w:val="1"/>
          <w:bCs w:val="1"/>
          <w:color w:val="auto"/>
        </w:rPr>
        <w:t>CURRENT REPORT</w:t>
      </w:r>
    </w:p>
    <w:p>
      <w:pPr>
        <w:spacing w:after="0" w:line="23" w:lineRule="exact"/>
        <w:rPr>
          <w:sz w:val="24"/>
          <w:szCs w:val="24"/>
          <w:color w:val="auto"/>
        </w:rPr>
      </w:pPr>
    </w:p>
    <w:p>
      <w:pPr>
        <w:jc w:val="center"/>
        <w:spacing w:after="0"/>
        <w:rPr>
          <w:sz w:val="20"/>
          <w:szCs w:val="20"/>
          <w:color w:val="auto"/>
        </w:rPr>
      </w:pPr>
      <w:r>
        <w:rPr>
          <w:rFonts w:ascii="Arial" w:cs="Arial" w:eastAsia="Arial" w:hAnsi="Arial"/>
          <w:sz w:val="21"/>
          <w:szCs w:val="21"/>
          <w:b w:val="1"/>
          <w:bCs w:val="1"/>
          <w:color w:val="auto"/>
        </w:rPr>
        <w:t>Pursuant to Section 13 or 15(d) of The Securities Exchange Act of 1934</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2681605</wp:posOffset>
            </wp:positionH>
            <wp:positionV relativeFrom="paragraph">
              <wp:posOffset>137160</wp:posOffset>
            </wp:positionV>
            <wp:extent cx="1779270" cy="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1779270" cy="8255"/>
                    </a:xfrm>
                    <a:prstGeom prst="rect">
                      <a:avLst/>
                    </a:prstGeom>
                    <a:noFill/>
                  </pic:spPr>
                </pic:pic>
              </a:graphicData>
            </a:graphic>
          </wp:anchor>
        </w:drawing>
      </w:r>
    </w:p>
    <w:p>
      <w:pPr>
        <w:spacing w:after="0" w:line="200" w:lineRule="exact"/>
        <w:rPr>
          <w:sz w:val="24"/>
          <w:szCs w:val="24"/>
          <w:color w:val="auto"/>
        </w:rPr>
      </w:pPr>
    </w:p>
    <w:p>
      <w:pPr>
        <w:spacing w:after="0" w:line="231" w:lineRule="exact"/>
        <w:rPr>
          <w:sz w:val="24"/>
          <w:szCs w:val="24"/>
          <w:color w:val="auto"/>
        </w:rPr>
      </w:pPr>
    </w:p>
    <w:p>
      <w:pPr>
        <w:jc w:val="center"/>
        <w:spacing w:after="0"/>
        <w:rPr>
          <w:sz w:val="20"/>
          <w:szCs w:val="20"/>
          <w:color w:val="auto"/>
        </w:rPr>
      </w:pPr>
      <w:r>
        <w:rPr>
          <w:rFonts w:ascii="Arial" w:cs="Arial" w:eastAsia="Arial" w:hAnsi="Arial"/>
          <w:sz w:val="18"/>
          <w:szCs w:val="18"/>
          <w:b w:val="1"/>
          <w:bCs w:val="1"/>
          <w:color w:val="auto"/>
        </w:rPr>
        <w:t>Date of Report (Date of earliest event reported): November 5, 2020 (November 5, 2020)</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2681605</wp:posOffset>
            </wp:positionH>
            <wp:positionV relativeFrom="paragraph">
              <wp:posOffset>151130</wp:posOffset>
            </wp:positionV>
            <wp:extent cx="1779270" cy="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1779270" cy="8255"/>
                    </a:xfrm>
                    <a:prstGeom prst="rect">
                      <a:avLst/>
                    </a:prstGeom>
                    <a:noFill/>
                  </pic:spPr>
                </pic:pic>
              </a:graphicData>
            </a:graphic>
          </wp:anchor>
        </w:drawing>
        <w:drawing>
          <wp:anchor simplePos="0" relativeHeight="251657728" behindDoc="1" locked="0" layoutInCell="0" allowOverlap="1">
            <wp:simplePos x="0" y="0"/>
            <wp:positionH relativeFrom="column">
              <wp:posOffset>2291715</wp:posOffset>
            </wp:positionH>
            <wp:positionV relativeFrom="paragraph">
              <wp:posOffset>304165</wp:posOffset>
            </wp:positionV>
            <wp:extent cx="2524760" cy="6102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2524760" cy="610235"/>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45" w:lineRule="exact"/>
        <w:rPr>
          <w:sz w:val="24"/>
          <w:szCs w:val="24"/>
          <w:color w:val="auto"/>
        </w:rPr>
      </w:pPr>
    </w:p>
    <w:p>
      <w:pPr>
        <w:jc w:val="center"/>
        <w:spacing w:after="0"/>
        <w:rPr>
          <w:sz w:val="20"/>
          <w:szCs w:val="20"/>
          <w:color w:val="auto"/>
        </w:rPr>
      </w:pPr>
      <w:r>
        <w:rPr>
          <w:rFonts w:ascii="Arial" w:cs="Arial" w:eastAsia="Arial" w:hAnsi="Arial"/>
          <w:sz w:val="32"/>
          <w:szCs w:val="32"/>
          <w:b w:val="1"/>
          <w:bCs w:val="1"/>
          <w:color w:val="auto"/>
        </w:rPr>
        <w:t>VERITIV CORPORATION</w:t>
      </w:r>
    </w:p>
    <w:p>
      <w:pPr>
        <w:spacing w:after="0" w:line="35" w:lineRule="exact"/>
        <w:rPr>
          <w:sz w:val="24"/>
          <w:szCs w:val="24"/>
          <w:color w:val="auto"/>
        </w:rPr>
      </w:pPr>
    </w:p>
    <w:p>
      <w:pPr>
        <w:jc w:val="center"/>
        <w:spacing w:after="0"/>
        <w:rPr>
          <w:sz w:val="20"/>
          <w:szCs w:val="20"/>
          <w:color w:val="auto"/>
        </w:rPr>
      </w:pPr>
      <w:r>
        <w:rPr>
          <w:rFonts w:ascii="Arial" w:cs="Arial" w:eastAsia="Arial" w:hAnsi="Arial"/>
          <w:sz w:val="18"/>
          <w:szCs w:val="18"/>
          <w:color w:val="auto"/>
        </w:rPr>
        <w:t>(Exact name of registrant as specified in its charter)</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2681605</wp:posOffset>
            </wp:positionH>
            <wp:positionV relativeFrom="paragraph">
              <wp:posOffset>138430</wp:posOffset>
            </wp:positionV>
            <wp:extent cx="1779270" cy="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1779270" cy="8255"/>
                    </a:xfrm>
                    <a:prstGeom prst="rect">
                      <a:avLst/>
                    </a:prstGeom>
                    <a:noFill/>
                  </pic:spPr>
                </pic:pic>
              </a:graphicData>
            </a:graphic>
          </wp:anchor>
        </w:drawing>
      </w:r>
    </w:p>
    <w:p>
      <w:pPr>
        <w:spacing w:after="0" w:line="200" w:lineRule="exact"/>
        <w:rPr>
          <w:sz w:val="24"/>
          <w:szCs w:val="24"/>
          <w:color w:val="auto"/>
        </w:rPr>
      </w:pPr>
    </w:p>
    <w:p>
      <w:pPr>
        <w:spacing w:after="0" w:line="220" w:lineRule="exact"/>
        <w:rPr>
          <w:sz w:val="24"/>
          <w:szCs w:val="24"/>
          <w:color w:val="auto"/>
        </w:rPr>
      </w:pPr>
    </w:p>
    <w:p>
      <w:pPr>
        <w:jc w:val="center"/>
        <w:spacing w:after="0"/>
        <w:rPr>
          <w:sz w:val="20"/>
          <w:szCs w:val="20"/>
          <w:color w:val="auto"/>
        </w:rPr>
      </w:pPr>
      <w:r>
        <w:rPr>
          <w:rFonts w:ascii="Arial" w:cs="Arial" w:eastAsia="Arial" w:hAnsi="Arial"/>
          <w:sz w:val="18"/>
          <w:szCs w:val="18"/>
          <w:b w:val="1"/>
          <w:bCs w:val="1"/>
          <w:color w:val="auto"/>
        </w:rPr>
        <w:t>Delaware</w:t>
      </w:r>
    </w:p>
    <w:p>
      <w:pPr>
        <w:spacing w:after="0" w:line="23" w:lineRule="exact"/>
        <w:rPr>
          <w:sz w:val="24"/>
          <w:szCs w:val="24"/>
          <w:color w:val="auto"/>
        </w:rPr>
      </w:pPr>
    </w:p>
    <w:p>
      <w:pPr>
        <w:jc w:val="center"/>
        <w:spacing w:after="0"/>
        <w:rPr>
          <w:sz w:val="20"/>
          <w:szCs w:val="20"/>
          <w:color w:val="auto"/>
        </w:rPr>
      </w:pPr>
      <w:r>
        <w:rPr>
          <w:rFonts w:ascii="Arial" w:cs="Arial" w:eastAsia="Arial" w:hAnsi="Arial"/>
          <w:sz w:val="18"/>
          <w:szCs w:val="18"/>
          <w:color w:val="auto"/>
        </w:rPr>
        <w:t>(State or other jurisdiction of incorporation)</w:t>
      </w:r>
    </w:p>
    <w:p>
      <w:pPr>
        <w:spacing w:after="0" w:line="230" w:lineRule="exact"/>
        <w:rPr>
          <w:sz w:val="24"/>
          <w:szCs w:val="24"/>
          <w:color w:val="auto"/>
        </w:rPr>
      </w:pPr>
    </w:p>
    <w:tbl>
      <w:tblPr>
        <w:tblLayout w:type="fixed"/>
        <w:tblInd w:w="1360" w:type="dxa"/>
        <w:tblCellMar>
          <w:top w:w="0" w:type="dxa"/>
          <w:left w:w="0" w:type="dxa"/>
          <w:bottom w:w="0" w:type="dxa"/>
          <w:right w:w="0" w:type="dxa"/>
        </w:tblCellMar>
      </w:tblPr>
      <w:tr>
        <w:trPr>
          <w:trHeight w:val="217"/>
        </w:trPr>
        <w:tc>
          <w:tcPr>
            <w:tcW w:w="4320" w:type="dxa"/>
            <w:vAlign w:val="bottom"/>
          </w:tcPr>
          <w:p>
            <w:pPr>
              <w:jc w:val="center"/>
              <w:ind w:right="1431"/>
              <w:spacing w:after="0"/>
              <w:rPr>
                <w:sz w:val="20"/>
                <w:szCs w:val="20"/>
                <w:color w:val="auto"/>
              </w:rPr>
            </w:pPr>
            <w:r>
              <w:rPr>
                <w:rFonts w:ascii="Arial" w:cs="Arial" w:eastAsia="Arial" w:hAnsi="Arial"/>
                <w:sz w:val="18"/>
                <w:szCs w:val="18"/>
                <w:b w:val="1"/>
                <w:bCs w:val="1"/>
                <w:color w:val="auto"/>
                <w:w w:val="88"/>
              </w:rPr>
              <w:t>001-36479</w:t>
            </w:r>
          </w:p>
        </w:tc>
        <w:tc>
          <w:tcPr>
            <w:tcW w:w="4100" w:type="dxa"/>
            <w:vAlign w:val="bottom"/>
          </w:tcPr>
          <w:p>
            <w:pPr>
              <w:jc w:val="right"/>
              <w:ind w:right="771"/>
              <w:spacing w:after="0"/>
              <w:rPr>
                <w:sz w:val="20"/>
                <w:szCs w:val="20"/>
                <w:color w:val="auto"/>
              </w:rPr>
            </w:pPr>
            <w:r>
              <w:rPr>
                <w:rFonts w:ascii="Arial" w:cs="Arial" w:eastAsia="Arial" w:hAnsi="Arial"/>
                <w:sz w:val="18"/>
                <w:szCs w:val="18"/>
                <w:b w:val="1"/>
                <w:bCs w:val="1"/>
                <w:color w:val="auto"/>
              </w:rPr>
              <w:t>46-3234977</w:t>
            </w:r>
          </w:p>
        </w:tc>
      </w:tr>
      <w:tr>
        <w:trPr>
          <w:trHeight w:val="226"/>
        </w:trPr>
        <w:tc>
          <w:tcPr>
            <w:tcW w:w="4320" w:type="dxa"/>
            <w:vAlign w:val="bottom"/>
          </w:tcPr>
          <w:p>
            <w:pPr>
              <w:jc w:val="center"/>
              <w:ind w:right="1431"/>
              <w:spacing w:after="0"/>
              <w:rPr>
                <w:sz w:val="20"/>
                <w:szCs w:val="20"/>
                <w:color w:val="auto"/>
              </w:rPr>
            </w:pPr>
            <w:r>
              <w:rPr>
                <w:rFonts w:ascii="Arial" w:cs="Arial" w:eastAsia="Arial" w:hAnsi="Arial"/>
                <w:sz w:val="18"/>
                <w:szCs w:val="18"/>
                <w:color w:val="auto"/>
                <w:w w:val="91"/>
              </w:rPr>
              <w:t>(Commission File Number)</w:t>
            </w:r>
          </w:p>
        </w:tc>
        <w:tc>
          <w:tcPr>
            <w:tcW w:w="4100" w:type="dxa"/>
            <w:vAlign w:val="bottom"/>
          </w:tcPr>
          <w:p>
            <w:pPr>
              <w:jc w:val="center"/>
              <w:ind w:left="1431"/>
              <w:spacing w:after="0"/>
              <w:rPr>
                <w:sz w:val="20"/>
                <w:szCs w:val="20"/>
                <w:color w:val="auto"/>
              </w:rPr>
            </w:pPr>
            <w:r>
              <w:rPr>
                <w:rFonts w:ascii="Arial" w:cs="Arial" w:eastAsia="Arial" w:hAnsi="Arial"/>
                <w:sz w:val="18"/>
                <w:szCs w:val="18"/>
                <w:color w:val="auto"/>
                <w:w w:val="93"/>
              </w:rPr>
              <w:t>(I.R.S. Employer Identification No.)</w:t>
            </w:r>
          </w:p>
        </w:tc>
      </w:tr>
      <w:tr>
        <w:trPr>
          <w:trHeight w:val="437"/>
        </w:trPr>
        <w:tc>
          <w:tcPr>
            <w:tcW w:w="4320" w:type="dxa"/>
            <w:vAlign w:val="bottom"/>
          </w:tcPr>
          <w:p>
            <w:pPr>
              <w:jc w:val="center"/>
              <w:ind w:right="1431"/>
              <w:spacing w:after="0"/>
              <w:rPr>
                <w:sz w:val="20"/>
                <w:szCs w:val="20"/>
                <w:color w:val="auto"/>
              </w:rPr>
            </w:pPr>
            <w:r>
              <w:rPr>
                <w:rFonts w:ascii="Arial" w:cs="Arial" w:eastAsia="Arial" w:hAnsi="Arial"/>
                <w:sz w:val="18"/>
                <w:szCs w:val="18"/>
                <w:b w:val="1"/>
                <w:bCs w:val="1"/>
                <w:color w:val="auto"/>
                <w:w w:val="91"/>
              </w:rPr>
              <w:t>1000 Abernathy Road NE</w:t>
            </w:r>
          </w:p>
        </w:tc>
        <w:tc>
          <w:tcPr>
            <w:tcW w:w="4100" w:type="dxa"/>
            <w:vAlign w:val="bottom"/>
          </w:tcPr>
          <w:p>
            <w:pPr>
              <w:spacing w:after="0"/>
              <w:rPr>
                <w:sz w:val="24"/>
                <w:szCs w:val="24"/>
                <w:color w:val="auto"/>
              </w:rPr>
            </w:pPr>
          </w:p>
        </w:tc>
      </w:tr>
      <w:tr>
        <w:trPr>
          <w:trHeight w:val="213"/>
        </w:trPr>
        <w:tc>
          <w:tcPr>
            <w:tcW w:w="4320" w:type="dxa"/>
            <w:vAlign w:val="bottom"/>
          </w:tcPr>
          <w:p>
            <w:pPr>
              <w:jc w:val="center"/>
              <w:ind w:right="1431"/>
              <w:spacing w:after="0"/>
              <w:rPr>
                <w:sz w:val="20"/>
                <w:szCs w:val="20"/>
                <w:color w:val="auto"/>
              </w:rPr>
            </w:pPr>
            <w:r>
              <w:rPr>
                <w:rFonts w:ascii="Arial" w:cs="Arial" w:eastAsia="Arial" w:hAnsi="Arial"/>
                <w:sz w:val="18"/>
                <w:szCs w:val="18"/>
                <w:b w:val="1"/>
                <w:bCs w:val="1"/>
                <w:color w:val="auto"/>
                <w:w w:val="89"/>
              </w:rPr>
              <w:t>Building 400, Suite 1700</w:t>
            </w:r>
          </w:p>
        </w:tc>
        <w:tc>
          <w:tcPr>
            <w:tcW w:w="4100" w:type="dxa"/>
            <w:vAlign w:val="bottom"/>
          </w:tcPr>
          <w:p>
            <w:pPr>
              <w:spacing w:after="0"/>
              <w:rPr>
                <w:sz w:val="18"/>
                <w:szCs w:val="18"/>
                <w:color w:val="auto"/>
              </w:rPr>
            </w:pPr>
          </w:p>
        </w:tc>
      </w:tr>
      <w:tr>
        <w:trPr>
          <w:trHeight w:val="217"/>
        </w:trPr>
        <w:tc>
          <w:tcPr>
            <w:tcW w:w="4320" w:type="dxa"/>
            <w:vAlign w:val="bottom"/>
          </w:tcPr>
          <w:p>
            <w:pPr>
              <w:jc w:val="center"/>
              <w:ind w:right="1431"/>
              <w:spacing w:after="0"/>
              <w:rPr>
                <w:sz w:val="20"/>
                <w:szCs w:val="20"/>
                <w:color w:val="auto"/>
              </w:rPr>
            </w:pPr>
            <w:r>
              <w:rPr>
                <w:rFonts w:ascii="Arial" w:cs="Arial" w:eastAsia="Arial" w:hAnsi="Arial"/>
                <w:sz w:val="18"/>
                <w:szCs w:val="18"/>
                <w:b w:val="1"/>
                <w:bCs w:val="1"/>
                <w:color w:val="auto"/>
                <w:w w:val="92"/>
              </w:rPr>
              <w:t>Atlanta, Georgia</w:t>
            </w:r>
          </w:p>
        </w:tc>
        <w:tc>
          <w:tcPr>
            <w:tcW w:w="4100" w:type="dxa"/>
            <w:vAlign w:val="bottom"/>
          </w:tcPr>
          <w:p>
            <w:pPr>
              <w:jc w:val="right"/>
              <w:ind w:right="971"/>
              <w:spacing w:after="0"/>
              <w:rPr>
                <w:sz w:val="20"/>
                <w:szCs w:val="20"/>
                <w:color w:val="auto"/>
              </w:rPr>
            </w:pPr>
            <w:r>
              <w:rPr>
                <w:rFonts w:ascii="Arial" w:cs="Arial" w:eastAsia="Arial" w:hAnsi="Arial"/>
                <w:sz w:val="18"/>
                <w:szCs w:val="18"/>
                <w:b w:val="1"/>
                <w:bCs w:val="1"/>
                <w:color w:val="auto"/>
              </w:rPr>
              <w:t>30328</w:t>
            </w:r>
          </w:p>
        </w:tc>
      </w:tr>
      <w:tr>
        <w:trPr>
          <w:trHeight w:val="226"/>
        </w:trPr>
        <w:tc>
          <w:tcPr>
            <w:tcW w:w="4320" w:type="dxa"/>
            <w:vAlign w:val="bottom"/>
          </w:tcPr>
          <w:p>
            <w:pPr>
              <w:jc w:val="center"/>
              <w:ind w:right="1411"/>
              <w:spacing w:after="0"/>
              <w:rPr>
                <w:sz w:val="20"/>
                <w:szCs w:val="20"/>
                <w:color w:val="auto"/>
              </w:rPr>
            </w:pPr>
            <w:r>
              <w:rPr>
                <w:rFonts w:ascii="Arial" w:cs="Arial" w:eastAsia="Arial" w:hAnsi="Arial"/>
                <w:sz w:val="18"/>
                <w:szCs w:val="18"/>
                <w:color w:val="auto"/>
                <w:w w:val="91"/>
              </w:rPr>
              <w:t>(Address of principal executive offices)</w:t>
            </w:r>
          </w:p>
        </w:tc>
        <w:tc>
          <w:tcPr>
            <w:tcW w:w="4100" w:type="dxa"/>
            <w:vAlign w:val="bottom"/>
          </w:tcPr>
          <w:p>
            <w:pPr>
              <w:jc w:val="center"/>
              <w:ind w:left="1431"/>
              <w:spacing w:after="0"/>
              <w:rPr>
                <w:sz w:val="20"/>
                <w:szCs w:val="20"/>
                <w:color w:val="auto"/>
              </w:rPr>
            </w:pPr>
            <w:r>
              <w:rPr>
                <w:rFonts w:ascii="Arial" w:cs="Arial" w:eastAsia="Arial" w:hAnsi="Arial"/>
                <w:sz w:val="18"/>
                <w:szCs w:val="18"/>
                <w:color w:val="auto"/>
                <w:w w:val="91"/>
              </w:rPr>
              <w:t>(Zip Code)</w:t>
            </w:r>
          </w:p>
        </w:tc>
      </w:tr>
    </w:tbl>
    <w:p>
      <w:pPr>
        <w:spacing w:after="0" w:line="196" w:lineRule="exact"/>
        <w:rPr>
          <w:sz w:val="24"/>
          <w:szCs w:val="24"/>
          <w:color w:val="auto"/>
        </w:rPr>
      </w:pPr>
    </w:p>
    <w:p>
      <w:pPr>
        <w:jc w:val="center"/>
        <w:spacing w:after="0"/>
        <w:rPr>
          <w:sz w:val="20"/>
          <w:szCs w:val="20"/>
          <w:color w:val="auto"/>
        </w:rPr>
      </w:pPr>
      <w:r>
        <w:rPr>
          <w:rFonts w:ascii="Arial" w:cs="Arial" w:eastAsia="Arial" w:hAnsi="Arial"/>
          <w:sz w:val="18"/>
          <w:szCs w:val="18"/>
          <w:color w:val="auto"/>
        </w:rPr>
        <w:t xml:space="preserve">Registrant’s telephone number, including area code: </w:t>
      </w:r>
      <w:r>
        <w:rPr>
          <w:rFonts w:ascii="Arial" w:cs="Arial" w:eastAsia="Arial" w:hAnsi="Arial"/>
          <w:sz w:val="18"/>
          <w:szCs w:val="18"/>
          <w:b w:val="1"/>
          <w:bCs w:val="1"/>
          <w:color w:val="auto"/>
        </w:rPr>
        <w:t>(770) 391-8200</w:t>
      </w:r>
    </w:p>
    <w:p>
      <w:pPr>
        <w:spacing w:after="0" w:line="220" w:lineRule="exact"/>
        <w:rPr>
          <w:sz w:val="24"/>
          <w:szCs w:val="24"/>
          <w:color w:val="auto"/>
        </w:rPr>
      </w:pPr>
    </w:p>
    <w:p>
      <w:pPr>
        <w:jc w:val="center"/>
        <w:spacing w:after="0"/>
        <w:rPr>
          <w:sz w:val="20"/>
          <w:szCs w:val="20"/>
          <w:color w:val="auto"/>
        </w:rPr>
      </w:pPr>
      <w:r>
        <w:rPr>
          <w:rFonts w:ascii="Arial" w:cs="Arial" w:eastAsia="Arial" w:hAnsi="Arial"/>
          <w:sz w:val="18"/>
          <w:szCs w:val="18"/>
          <w:b w:val="1"/>
          <w:bCs w:val="1"/>
          <w:color w:val="auto"/>
        </w:rPr>
        <w:t>Not Applicable</w:t>
      </w:r>
    </w:p>
    <w:p>
      <w:pPr>
        <w:spacing w:after="0" w:line="23" w:lineRule="exact"/>
        <w:rPr>
          <w:sz w:val="24"/>
          <w:szCs w:val="24"/>
          <w:color w:val="auto"/>
        </w:rPr>
      </w:pPr>
    </w:p>
    <w:p>
      <w:pPr>
        <w:jc w:val="center"/>
        <w:spacing w:after="0"/>
        <w:rPr>
          <w:sz w:val="20"/>
          <w:szCs w:val="20"/>
          <w:color w:val="auto"/>
        </w:rPr>
      </w:pPr>
      <w:r>
        <w:rPr>
          <w:rFonts w:ascii="Arial" w:cs="Arial" w:eastAsia="Arial" w:hAnsi="Arial"/>
          <w:sz w:val="18"/>
          <w:szCs w:val="18"/>
          <w:color w:val="auto"/>
        </w:rPr>
        <w:t>(Former name or former address, if changed since last report)</w:t>
      </w:r>
    </w:p>
    <w:p>
      <w:pPr>
        <w:spacing w:after="0" w:line="207" w:lineRule="exact"/>
        <w:rPr>
          <w:sz w:val="24"/>
          <w:szCs w:val="24"/>
          <w:color w:val="auto"/>
        </w:rPr>
      </w:pPr>
    </w:p>
    <w:p>
      <w:pPr>
        <w:spacing w:after="0" w:line="270" w:lineRule="auto"/>
        <w:rPr>
          <w:sz w:val="20"/>
          <w:szCs w:val="20"/>
          <w:color w:val="auto"/>
        </w:rPr>
      </w:pPr>
      <w:r>
        <w:rPr>
          <w:rFonts w:ascii="Arial" w:cs="Arial" w:eastAsia="Arial" w:hAnsi="Arial"/>
          <w:sz w:val="18"/>
          <w:szCs w:val="18"/>
          <w:color w:val="auto"/>
        </w:rPr>
        <w:t>Check the appropriate box below if the Form 8-K filing is intended to simultaneously satisfy the filing obligation of the registrant under any of the following provisions:</w:t>
      </w:r>
    </w:p>
    <w:p>
      <w:pPr>
        <w:spacing w:after="0" w:line="175" w:lineRule="exact"/>
        <w:rPr>
          <w:sz w:val="24"/>
          <w:szCs w:val="24"/>
          <w:color w:val="auto"/>
        </w:rPr>
      </w:pPr>
    </w:p>
    <w:p>
      <w:pPr>
        <w:ind w:left="320" w:hanging="313"/>
        <w:spacing w:after="0"/>
        <w:tabs>
          <w:tab w:leader="none" w:pos="320" w:val="left"/>
        </w:tabs>
        <w:numPr>
          <w:ilvl w:val="0"/>
          <w:numId w:val="1"/>
        </w:numPr>
        <w:rPr>
          <w:rFonts w:ascii="MS PGothic" w:cs="MS PGothic" w:eastAsia="MS PGothic" w:hAnsi="MS PGothic"/>
          <w:sz w:val="18"/>
          <w:szCs w:val="18"/>
          <w:color w:val="auto"/>
        </w:rPr>
      </w:pPr>
      <w:r>
        <w:rPr>
          <w:rFonts w:ascii="Arial" w:cs="Arial" w:eastAsia="Arial" w:hAnsi="Arial"/>
          <w:sz w:val="18"/>
          <w:szCs w:val="18"/>
          <w:color w:val="auto"/>
        </w:rPr>
        <w:t>Written communications pursuant to Rule 425 under the Securities Act (17 CFR 230.425)</w:t>
      </w:r>
    </w:p>
    <w:p>
      <w:pPr>
        <w:spacing w:after="0" w:line="219" w:lineRule="exact"/>
        <w:rPr>
          <w:rFonts w:ascii="MS PGothic" w:cs="MS PGothic" w:eastAsia="MS PGothic" w:hAnsi="MS PGothic"/>
          <w:sz w:val="18"/>
          <w:szCs w:val="18"/>
          <w:color w:val="auto"/>
        </w:rPr>
      </w:pPr>
    </w:p>
    <w:p>
      <w:pPr>
        <w:ind w:left="320" w:hanging="313"/>
        <w:spacing w:after="0"/>
        <w:tabs>
          <w:tab w:leader="none" w:pos="320" w:val="left"/>
        </w:tabs>
        <w:numPr>
          <w:ilvl w:val="0"/>
          <w:numId w:val="1"/>
        </w:numPr>
        <w:rPr>
          <w:rFonts w:ascii="MS PGothic" w:cs="MS PGothic" w:eastAsia="MS PGothic" w:hAnsi="MS PGothic"/>
          <w:sz w:val="18"/>
          <w:szCs w:val="18"/>
          <w:color w:val="auto"/>
        </w:rPr>
      </w:pPr>
      <w:r>
        <w:rPr>
          <w:rFonts w:ascii="Arial" w:cs="Arial" w:eastAsia="Arial" w:hAnsi="Arial"/>
          <w:sz w:val="18"/>
          <w:szCs w:val="18"/>
          <w:color w:val="auto"/>
        </w:rPr>
        <w:t>Soliciting material pursuant to Rule 14a-12 under the Exchange Act (17 CFR 240.14a-12)</w:t>
      </w:r>
    </w:p>
    <w:p>
      <w:pPr>
        <w:spacing w:after="0" w:line="219" w:lineRule="exact"/>
        <w:rPr>
          <w:rFonts w:ascii="MS PGothic" w:cs="MS PGothic" w:eastAsia="MS PGothic" w:hAnsi="MS PGothic"/>
          <w:sz w:val="18"/>
          <w:szCs w:val="18"/>
          <w:color w:val="auto"/>
        </w:rPr>
      </w:pPr>
    </w:p>
    <w:p>
      <w:pPr>
        <w:ind w:left="320" w:hanging="313"/>
        <w:spacing w:after="0"/>
        <w:tabs>
          <w:tab w:leader="none" w:pos="320" w:val="left"/>
        </w:tabs>
        <w:numPr>
          <w:ilvl w:val="0"/>
          <w:numId w:val="1"/>
        </w:numPr>
        <w:rPr>
          <w:rFonts w:ascii="MS PGothic" w:cs="MS PGothic" w:eastAsia="MS PGothic" w:hAnsi="MS PGothic"/>
          <w:sz w:val="18"/>
          <w:szCs w:val="18"/>
          <w:color w:val="auto"/>
        </w:rPr>
      </w:pPr>
      <w:r>
        <w:rPr>
          <w:rFonts w:ascii="Arial" w:cs="Arial" w:eastAsia="Arial" w:hAnsi="Arial"/>
          <w:sz w:val="18"/>
          <w:szCs w:val="18"/>
          <w:color w:val="auto"/>
        </w:rPr>
        <w:t>Pre-commencement communications pursuant to Rule 14d-2(b) under the Exchange Act (17 CFR 240.14d-2(b))</w:t>
      </w:r>
    </w:p>
    <w:p>
      <w:pPr>
        <w:spacing w:after="0" w:line="219" w:lineRule="exact"/>
        <w:rPr>
          <w:rFonts w:ascii="MS PGothic" w:cs="MS PGothic" w:eastAsia="MS PGothic" w:hAnsi="MS PGothic"/>
          <w:sz w:val="18"/>
          <w:szCs w:val="18"/>
          <w:color w:val="auto"/>
        </w:rPr>
      </w:pPr>
    </w:p>
    <w:p>
      <w:pPr>
        <w:ind w:left="320" w:hanging="313"/>
        <w:spacing w:after="0"/>
        <w:tabs>
          <w:tab w:leader="none" w:pos="320" w:val="left"/>
        </w:tabs>
        <w:numPr>
          <w:ilvl w:val="0"/>
          <w:numId w:val="1"/>
        </w:numPr>
        <w:rPr>
          <w:rFonts w:ascii="MS PGothic" w:cs="MS PGothic" w:eastAsia="MS PGothic" w:hAnsi="MS PGothic"/>
          <w:sz w:val="18"/>
          <w:szCs w:val="18"/>
          <w:color w:val="auto"/>
        </w:rPr>
      </w:pPr>
      <w:r>
        <w:rPr>
          <w:rFonts w:ascii="Arial" w:cs="Arial" w:eastAsia="Arial" w:hAnsi="Arial"/>
          <w:sz w:val="18"/>
          <w:szCs w:val="18"/>
          <w:color w:val="auto"/>
        </w:rPr>
        <w:t>Pre-commencement communications pursuant to Rule 13e-4(c) under the Exchange Act (17 CFR 240.13e-4(c))</w:t>
      </w:r>
    </w:p>
    <w:p>
      <w:pPr>
        <w:spacing w:after="0" w:line="215" w:lineRule="exact"/>
        <w:rPr>
          <w:rFonts w:ascii="MS PGothic" w:cs="MS PGothic" w:eastAsia="MS PGothic" w:hAnsi="MS PGothic"/>
          <w:sz w:val="18"/>
          <w:szCs w:val="18"/>
          <w:color w:val="auto"/>
        </w:rPr>
      </w:pPr>
    </w:p>
    <w:p>
      <w:pPr>
        <w:ind w:left="3440"/>
        <w:spacing w:after="0"/>
        <w:rPr>
          <w:rFonts w:ascii="MS PGothic" w:cs="MS PGothic" w:eastAsia="MS PGothic" w:hAnsi="MS PGothic"/>
          <w:sz w:val="18"/>
          <w:szCs w:val="18"/>
          <w:color w:val="auto"/>
        </w:rPr>
      </w:pPr>
      <w:r>
        <w:rPr>
          <w:rFonts w:ascii="Arial" w:cs="Arial" w:eastAsia="Arial" w:hAnsi="Arial"/>
          <w:sz w:val="18"/>
          <w:szCs w:val="18"/>
          <w:b w:val="1"/>
          <w:bCs w:val="1"/>
          <w:color w:val="auto"/>
        </w:rPr>
        <w:t>Securities registered pursuant to Section 12(b) of the Act:</w:t>
      </w:r>
    </w:p>
    <w:p>
      <w:pPr>
        <w:spacing w:after="0" w:line="218" w:lineRule="exact"/>
        <w:rPr>
          <w:sz w:val="24"/>
          <w:szCs w:val="24"/>
          <w:color w:val="auto"/>
        </w:rPr>
      </w:pPr>
    </w:p>
    <w:tbl>
      <w:tblPr>
        <w:tblLayout w:type="fixed"/>
        <w:tblInd w:w="10" w:type="dxa"/>
        <w:tblCellMar>
          <w:top w:w="0" w:type="dxa"/>
          <w:left w:w="0" w:type="dxa"/>
          <w:bottom w:w="0" w:type="dxa"/>
          <w:right w:w="0" w:type="dxa"/>
        </w:tblCellMar>
      </w:tblPr>
      <w:tr>
        <w:trPr>
          <w:trHeight w:val="252"/>
        </w:trPr>
        <w:tc>
          <w:tcPr>
            <w:tcW w:w="3620" w:type="dxa"/>
            <w:vAlign w:val="bottom"/>
            <w:tcBorders>
              <w:top w:val="single" w:sz="8" w:color="auto"/>
              <w:left w:val="single" w:sz="8" w:color="auto"/>
              <w:right w:val="single" w:sz="8" w:color="auto"/>
            </w:tcBorders>
          </w:tcPr>
          <w:p>
            <w:pPr>
              <w:jc w:val="center"/>
              <w:spacing w:after="0"/>
              <w:rPr>
                <w:sz w:val="20"/>
                <w:szCs w:val="20"/>
                <w:color w:val="auto"/>
              </w:rPr>
            </w:pPr>
            <w:r>
              <w:rPr>
                <w:rFonts w:ascii="Arial" w:cs="Arial" w:eastAsia="Arial" w:hAnsi="Arial"/>
                <w:sz w:val="18"/>
                <w:szCs w:val="18"/>
                <w:b w:val="1"/>
                <w:bCs w:val="1"/>
                <w:color w:val="auto"/>
                <w:w w:val="86"/>
              </w:rPr>
              <w:t>Title of each class</w:t>
            </w:r>
          </w:p>
        </w:tc>
        <w:tc>
          <w:tcPr>
            <w:tcW w:w="2480" w:type="dxa"/>
            <w:vAlign w:val="bottom"/>
            <w:tcBorders>
              <w:top w:val="single" w:sz="8" w:color="auto"/>
              <w:right w:val="single" w:sz="8" w:color="auto"/>
            </w:tcBorders>
          </w:tcPr>
          <w:p>
            <w:pPr>
              <w:jc w:val="center"/>
              <w:spacing w:after="0"/>
              <w:rPr>
                <w:sz w:val="20"/>
                <w:szCs w:val="20"/>
                <w:color w:val="auto"/>
              </w:rPr>
            </w:pPr>
            <w:r>
              <w:rPr>
                <w:rFonts w:ascii="Arial" w:cs="Arial" w:eastAsia="Arial" w:hAnsi="Arial"/>
                <w:sz w:val="18"/>
                <w:szCs w:val="18"/>
                <w:b w:val="1"/>
                <w:bCs w:val="1"/>
                <w:color w:val="auto"/>
                <w:w w:val="89"/>
              </w:rPr>
              <w:t>Trading Symbol(s)</w:t>
            </w:r>
          </w:p>
        </w:tc>
        <w:tc>
          <w:tcPr>
            <w:tcW w:w="5140" w:type="dxa"/>
            <w:vAlign w:val="bottom"/>
            <w:tcBorders>
              <w:top w:val="single" w:sz="8" w:color="auto"/>
              <w:right w:val="single" w:sz="8" w:color="auto"/>
            </w:tcBorders>
          </w:tcPr>
          <w:p>
            <w:pPr>
              <w:jc w:val="center"/>
              <w:spacing w:after="0"/>
              <w:rPr>
                <w:sz w:val="20"/>
                <w:szCs w:val="20"/>
                <w:color w:val="auto"/>
              </w:rPr>
            </w:pPr>
            <w:r>
              <w:rPr>
                <w:rFonts w:ascii="Arial" w:cs="Arial" w:eastAsia="Arial" w:hAnsi="Arial"/>
                <w:sz w:val="18"/>
                <w:szCs w:val="18"/>
                <w:b w:val="1"/>
                <w:bCs w:val="1"/>
                <w:color w:val="auto"/>
                <w:w w:val="87"/>
              </w:rPr>
              <w:t>Name of each exchange on which registered</w:t>
            </w:r>
          </w:p>
        </w:tc>
      </w:tr>
      <w:tr>
        <w:trPr>
          <w:trHeight w:val="28"/>
        </w:trPr>
        <w:tc>
          <w:tcPr>
            <w:tcW w:w="3620" w:type="dxa"/>
            <w:vAlign w:val="bottom"/>
            <w:tcBorders>
              <w:left w:val="single" w:sz="8" w:color="auto"/>
              <w:bottom w:val="single" w:sz="8" w:color="auto"/>
              <w:right w:val="single" w:sz="8" w:color="auto"/>
            </w:tcBorders>
          </w:tcPr>
          <w:p>
            <w:pPr>
              <w:spacing w:after="0"/>
              <w:rPr>
                <w:sz w:val="2"/>
                <w:szCs w:val="2"/>
                <w:color w:val="auto"/>
              </w:rPr>
            </w:pPr>
          </w:p>
        </w:tc>
        <w:tc>
          <w:tcPr>
            <w:tcW w:w="2480" w:type="dxa"/>
            <w:vAlign w:val="bottom"/>
            <w:tcBorders>
              <w:bottom w:val="single" w:sz="8" w:color="auto"/>
              <w:right w:val="single" w:sz="8" w:color="auto"/>
            </w:tcBorders>
          </w:tcPr>
          <w:p>
            <w:pPr>
              <w:spacing w:after="0"/>
              <w:rPr>
                <w:sz w:val="2"/>
                <w:szCs w:val="2"/>
                <w:color w:val="auto"/>
              </w:rPr>
            </w:pPr>
          </w:p>
        </w:tc>
        <w:tc>
          <w:tcPr>
            <w:tcW w:w="5140" w:type="dxa"/>
            <w:vAlign w:val="bottom"/>
            <w:tcBorders>
              <w:bottom w:val="single" w:sz="8" w:color="auto"/>
              <w:right w:val="single" w:sz="8" w:color="auto"/>
            </w:tcBorders>
          </w:tcPr>
          <w:p>
            <w:pPr>
              <w:spacing w:after="0"/>
              <w:rPr>
                <w:sz w:val="2"/>
                <w:szCs w:val="2"/>
                <w:color w:val="auto"/>
              </w:rPr>
            </w:pPr>
          </w:p>
        </w:tc>
      </w:tr>
      <w:tr>
        <w:trPr>
          <w:trHeight w:val="232"/>
        </w:trPr>
        <w:tc>
          <w:tcPr>
            <w:tcW w:w="3620" w:type="dxa"/>
            <w:vAlign w:val="bottom"/>
            <w:tcBorders>
              <w:left w:val="single" w:sz="8" w:color="auto"/>
              <w:right w:val="single" w:sz="8" w:color="auto"/>
            </w:tcBorders>
          </w:tcPr>
          <w:p>
            <w:pPr>
              <w:jc w:val="center"/>
              <w:spacing w:after="0"/>
              <w:rPr>
                <w:sz w:val="20"/>
                <w:szCs w:val="20"/>
                <w:color w:val="auto"/>
              </w:rPr>
            </w:pPr>
            <w:r>
              <w:rPr>
                <w:rFonts w:ascii="Arial" w:cs="Arial" w:eastAsia="Arial" w:hAnsi="Arial"/>
                <w:sz w:val="18"/>
                <w:szCs w:val="18"/>
                <w:b w:val="1"/>
                <w:bCs w:val="1"/>
                <w:color w:val="auto"/>
                <w:w w:val="89"/>
              </w:rPr>
              <w:t>Common stock, $0.01 par value</w:t>
            </w:r>
          </w:p>
        </w:tc>
        <w:tc>
          <w:tcPr>
            <w:tcW w:w="2480" w:type="dxa"/>
            <w:vAlign w:val="bottom"/>
            <w:tcBorders>
              <w:right w:val="single" w:sz="8" w:color="auto"/>
            </w:tcBorders>
          </w:tcPr>
          <w:p>
            <w:pPr>
              <w:jc w:val="center"/>
              <w:spacing w:after="0"/>
              <w:rPr>
                <w:sz w:val="20"/>
                <w:szCs w:val="20"/>
                <w:color w:val="auto"/>
              </w:rPr>
            </w:pPr>
            <w:r>
              <w:rPr>
                <w:rFonts w:ascii="Arial" w:cs="Arial" w:eastAsia="Arial" w:hAnsi="Arial"/>
                <w:sz w:val="18"/>
                <w:szCs w:val="18"/>
                <w:b w:val="1"/>
                <w:bCs w:val="1"/>
                <w:color w:val="auto"/>
              </w:rPr>
              <w:t>VRTV</w:t>
            </w:r>
          </w:p>
        </w:tc>
        <w:tc>
          <w:tcPr>
            <w:tcW w:w="5140" w:type="dxa"/>
            <w:vAlign w:val="bottom"/>
            <w:tcBorders>
              <w:right w:val="single" w:sz="8" w:color="auto"/>
            </w:tcBorders>
          </w:tcPr>
          <w:p>
            <w:pPr>
              <w:jc w:val="center"/>
              <w:spacing w:after="0"/>
              <w:rPr>
                <w:sz w:val="20"/>
                <w:szCs w:val="20"/>
                <w:color w:val="auto"/>
              </w:rPr>
            </w:pPr>
            <w:r>
              <w:rPr>
                <w:rFonts w:ascii="Arial" w:cs="Arial" w:eastAsia="Arial" w:hAnsi="Arial"/>
                <w:sz w:val="18"/>
                <w:szCs w:val="18"/>
                <w:b w:val="1"/>
                <w:bCs w:val="1"/>
                <w:color w:val="auto"/>
                <w:w w:val="88"/>
              </w:rPr>
              <w:t>New York Stock Exchange</w:t>
            </w:r>
          </w:p>
        </w:tc>
      </w:tr>
      <w:tr>
        <w:trPr>
          <w:trHeight w:val="28"/>
        </w:trPr>
        <w:tc>
          <w:tcPr>
            <w:tcW w:w="3620" w:type="dxa"/>
            <w:vAlign w:val="bottom"/>
            <w:tcBorders>
              <w:left w:val="single" w:sz="8" w:color="auto"/>
              <w:bottom w:val="single" w:sz="8" w:color="auto"/>
              <w:right w:val="single" w:sz="8" w:color="auto"/>
            </w:tcBorders>
          </w:tcPr>
          <w:p>
            <w:pPr>
              <w:spacing w:after="0"/>
              <w:rPr>
                <w:sz w:val="2"/>
                <w:szCs w:val="2"/>
                <w:color w:val="auto"/>
              </w:rPr>
            </w:pPr>
          </w:p>
        </w:tc>
        <w:tc>
          <w:tcPr>
            <w:tcW w:w="2480" w:type="dxa"/>
            <w:vAlign w:val="bottom"/>
            <w:tcBorders>
              <w:bottom w:val="single" w:sz="8" w:color="auto"/>
              <w:right w:val="single" w:sz="8" w:color="auto"/>
            </w:tcBorders>
          </w:tcPr>
          <w:p>
            <w:pPr>
              <w:spacing w:after="0"/>
              <w:rPr>
                <w:sz w:val="2"/>
                <w:szCs w:val="2"/>
                <w:color w:val="auto"/>
              </w:rPr>
            </w:pPr>
          </w:p>
        </w:tc>
        <w:tc>
          <w:tcPr>
            <w:tcW w:w="5140" w:type="dxa"/>
            <w:vAlign w:val="bottom"/>
            <w:tcBorders>
              <w:bottom w:val="single" w:sz="8" w:color="auto"/>
              <w:right w:val="single" w:sz="8" w:color="auto"/>
            </w:tcBorders>
          </w:tcPr>
          <w:p>
            <w:pPr>
              <w:spacing w:after="0"/>
              <w:rPr>
                <w:sz w:val="2"/>
                <w:szCs w:val="2"/>
                <w:color w:val="auto"/>
              </w:rPr>
            </w:pPr>
          </w:p>
        </w:tc>
      </w:tr>
    </w:tbl>
    <w:p>
      <w:pPr>
        <w:spacing w:after="0" w:line="199" w:lineRule="exact"/>
        <w:rPr>
          <w:sz w:val="24"/>
          <w:szCs w:val="24"/>
          <w:color w:val="auto"/>
        </w:rPr>
      </w:pPr>
    </w:p>
    <w:p>
      <w:pPr>
        <w:jc w:val="both"/>
        <w:ind w:right="20"/>
        <w:spacing w:after="0" w:line="252" w:lineRule="auto"/>
        <w:rPr>
          <w:sz w:val="20"/>
          <w:szCs w:val="20"/>
          <w:color w:val="auto"/>
        </w:rPr>
      </w:pPr>
      <w:r>
        <w:rPr>
          <w:rFonts w:ascii="Arial" w:cs="Arial" w:eastAsia="Arial" w:hAnsi="Arial"/>
          <w:sz w:val="18"/>
          <w:szCs w:val="18"/>
          <w:color w:val="auto"/>
        </w:rPr>
        <w:t>Indicate by check mark whether the registrant is an emerging growth company as defined in Rule 405 of the Securities Act of 1933 (§230.405 of this chapter) or Rule 12b-2 of the Securities Exchange Act of 1934 (§240.12b-2 of this chapter).</w:t>
      </w:r>
    </w:p>
    <w:p>
      <w:pPr>
        <w:spacing w:after="0" w:line="2" w:lineRule="exact"/>
        <w:rPr>
          <w:sz w:val="24"/>
          <w:szCs w:val="24"/>
          <w:color w:val="auto"/>
        </w:rPr>
      </w:pPr>
    </w:p>
    <w:p>
      <w:pPr>
        <w:ind w:left="9100"/>
        <w:spacing w:after="0" w:line="184" w:lineRule="exact"/>
        <w:rPr>
          <w:sz w:val="20"/>
          <w:szCs w:val="20"/>
          <w:color w:val="auto"/>
        </w:rPr>
      </w:pPr>
      <w:r>
        <w:rPr>
          <w:rFonts w:ascii="Arial" w:cs="Arial" w:eastAsia="Arial" w:hAnsi="Arial"/>
          <w:sz w:val="16"/>
          <w:szCs w:val="16"/>
          <w:color w:val="auto"/>
        </w:rPr>
        <w:t xml:space="preserve">Emerging growth company </w:t>
      </w:r>
      <w:r>
        <w:rPr>
          <w:rFonts w:ascii="MS PGothic" w:cs="MS PGothic" w:eastAsia="MS PGothic" w:hAnsi="MS PGothic"/>
          <w:sz w:val="16"/>
          <w:szCs w:val="16"/>
          <w:color w:val="auto"/>
        </w:rPr>
        <w:t>☐</w:t>
      </w:r>
    </w:p>
    <w:p>
      <w:pPr>
        <w:spacing w:after="0" w:line="234" w:lineRule="exact"/>
        <w:rPr>
          <w:sz w:val="24"/>
          <w:szCs w:val="24"/>
          <w:color w:val="auto"/>
        </w:rPr>
      </w:pPr>
    </w:p>
    <w:p>
      <w:pPr>
        <w:jc w:val="both"/>
        <w:spacing w:after="0" w:line="230" w:lineRule="exact"/>
        <w:rPr>
          <w:sz w:val="20"/>
          <w:szCs w:val="20"/>
          <w:color w:val="auto"/>
        </w:rPr>
      </w:pPr>
      <w:r>
        <w:rPr>
          <w:rFonts w:ascii="Arial" w:cs="Arial" w:eastAsia="Arial" w:hAnsi="Arial"/>
          <w:sz w:val="18"/>
          <w:szCs w:val="18"/>
          <w:color w:val="auto"/>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Pr>
          <w:rFonts w:ascii="MS PGothic" w:cs="MS PGothic" w:eastAsia="MS PGothic" w:hAnsi="MS PGothic"/>
          <w:sz w:val="18"/>
          <w:szCs w:val="18"/>
          <w:color w:val="auto"/>
        </w:rPr>
        <w: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4445</wp:posOffset>
            </wp:positionH>
            <wp:positionV relativeFrom="paragraph">
              <wp:posOffset>124460</wp:posOffset>
            </wp:positionV>
            <wp:extent cx="7134225" cy="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7134225" cy="8255"/>
                    </a:xfrm>
                    <a:prstGeom prst="rect">
                      <a:avLst/>
                    </a:prstGeom>
                    <a:noFill/>
                  </pic:spPr>
                </pic:pic>
              </a:graphicData>
            </a:graphic>
          </wp:anchor>
        </w:drawing>
        <w:drawing>
          <wp:anchor simplePos="0" relativeHeight="251657728" behindDoc="1" locked="0" layoutInCell="0" allowOverlap="1">
            <wp:simplePos x="0" y="0"/>
            <wp:positionH relativeFrom="column">
              <wp:posOffset>4445</wp:posOffset>
            </wp:positionH>
            <wp:positionV relativeFrom="paragraph">
              <wp:posOffset>141605</wp:posOffset>
            </wp:positionV>
            <wp:extent cx="7134225" cy="254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7134225" cy="25400"/>
                    </a:xfrm>
                    <a:prstGeom prst="rect">
                      <a:avLst/>
                    </a:prstGeom>
                    <a:noFill/>
                  </pic:spPr>
                </pic:pic>
              </a:graphicData>
            </a:graphic>
          </wp:anchor>
        </w:drawing>
        <w:drawing>
          <wp:anchor simplePos="0" relativeHeight="251657728" behindDoc="1" locked="0" layoutInCell="0" allowOverlap="1">
            <wp:simplePos x="0" y="0"/>
            <wp:positionH relativeFrom="column">
              <wp:posOffset>4445</wp:posOffset>
            </wp:positionH>
            <wp:positionV relativeFrom="paragraph">
              <wp:posOffset>446405</wp:posOffset>
            </wp:positionV>
            <wp:extent cx="7134225" cy="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134225" cy="8255"/>
                    </a:xfrm>
                    <a:prstGeom prst="rect">
                      <a:avLst/>
                    </a:prstGeom>
                    <a:noFill/>
                  </pic:spPr>
                </pic:pic>
              </a:graphicData>
            </a:graphic>
          </wp:anchor>
        </w:drawing>
      </w:r>
    </w:p>
    <w:p>
      <w:pPr>
        <w:sectPr>
          <w:pgSz w:w="11900" w:h="16838" w:orient="portrait"/>
          <w:cols w:equalWidth="0" w:num="1">
            <w:col w:w="11240"/>
          </w:cols>
          <w:pgMar w:left="320" w:top="752" w:right="339" w:bottom="1440" w:gutter="0" w:footer="0" w:header="0"/>
        </w:sectPr>
      </w:pPr>
    </w:p>
    <w:bookmarkStart w:id="1" w:name="page2"/>
    <w:bookmarkEnd w:id="1"/>
    <w:p>
      <w:pPr>
        <w:spacing w:after="0"/>
        <w:tabs>
          <w:tab w:leader="none" w:pos="1260" w:val="left"/>
        </w:tabs>
        <w:rPr>
          <w:sz w:val="20"/>
          <w:szCs w:val="20"/>
          <w:color w:val="auto"/>
        </w:rPr>
      </w:pPr>
      <w:r>
        <w:rPr>
          <w:rFonts w:ascii="Arial" w:cs="Arial" w:eastAsia="Arial" w:hAnsi="Arial"/>
          <w:sz w:val="18"/>
          <w:szCs w:val="18"/>
          <w:b w:val="1"/>
          <w:bCs w:val="1"/>
          <w:color w:val="auto"/>
        </w:rPr>
        <w:t>Item 2.02.</w:t>
      </w:r>
      <w:r>
        <w:rPr>
          <w:sz w:val="20"/>
          <w:szCs w:val="20"/>
          <w:color w:val="auto"/>
        </w:rPr>
        <w:tab/>
      </w:r>
      <w:r>
        <w:rPr>
          <w:rFonts w:ascii="Arial" w:cs="Arial" w:eastAsia="Arial" w:hAnsi="Arial"/>
          <w:sz w:val="16"/>
          <w:szCs w:val="16"/>
          <w:b w:val="1"/>
          <w:bCs w:val="1"/>
          <w:color w:val="auto"/>
        </w:rPr>
        <w:t>Results of Operations and Financial Condition.</w:t>
      </w:r>
    </w:p>
    <w:p>
      <w:pPr>
        <w:spacing w:after="0" w:line="224" w:lineRule="exact"/>
        <w:rPr>
          <w:sz w:val="20"/>
          <w:szCs w:val="20"/>
          <w:color w:val="auto"/>
        </w:rPr>
      </w:pPr>
    </w:p>
    <w:p>
      <w:pPr>
        <w:jc w:val="both"/>
        <w:ind w:right="200" w:firstLine="480"/>
        <w:spacing w:after="0" w:line="258" w:lineRule="auto"/>
        <w:rPr>
          <w:sz w:val="20"/>
          <w:szCs w:val="20"/>
          <w:color w:val="auto"/>
        </w:rPr>
      </w:pPr>
      <w:r>
        <w:rPr>
          <w:rFonts w:ascii="Arial" w:cs="Arial" w:eastAsia="Arial" w:hAnsi="Arial"/>
          <w:sz w:val="18"/>
          <w:szCs w:val="18"/>
          <w:color w:val="auto"/>
        </w:rPr>
        <w:t>On November 5, 2020, Veritiv Corporation (the “Company”) issued a press release containing certain financial results of the Company and its direct and indirect wholly-owned subsidiaries for the three and nine months ended September 30, 2020. A copy of this press release is attached as Exhibit 99.1 to this Current Report on Form 8-K.</w:t>
      </w:r>
    </w:p>
    <w:p>
      <w:pPr>
        <w:spacing w:after="0" w:line="182" w:lineRule="exact"/>
        <w:rPr>
          <w:sz w:val="20"/>
          <w:szCs w:val="20"/>
          <w:color w:val="auto"/>
        </w:rPr>
      </w:pPr>
    </w:p>
    <w:p>
      <w:pPr>
        <w:spacing w:after="0"/>
        <w:tabs>
          <w:tab w:leader="none" w:pos="1260" w:val="left"/>
        </w:tabs>
        <w:rPr>
          <w:sz w:val="20"/>
          <w:szCs w:val="20"/>
          <w:color w:val="auto"/>
        </w:rPr>
      </w:pPr>
      <w:r>
        <w:rPr>
          <w:rFonts w:ascii="Arial" w:cs="Arial" w:eastAsia="Arial" w:hAnsi="Arial"/>
          <w:sz w:val="18"/>
          <w:szCs w:val="18"/>
          <w:b w:val="1"/>
          <w:bCs w:val="1"/>
          <w:color w:val="auto"/>
        </w:rPr>
        <w:t>Item 7.01.</w:t>
      </w:r>
      <w:r>
        <w:rPr>
          <w:sz w:val="20"/>
          <w:szCs w:val="20"/>
          <w:color w:val="auto"/>
        </w:rPr>
        <w:tab/>
      </w:r>
      <w:r>
        <w:rPr>
          <w:rFonts w:ascii="Arial" w:cs="Arial" w:eastAsia="Arial" w:hAnsi="Arial"/>
          <w:sz w:val="16"/>
          <w:szCs w:val="16"/>
          <w:b w:val="1"/>
          <w:bCs w:val="1"/>
          <w:color w:val="auto"/>
        </w:rPr>
        <w:t>Regulation FD Disclosure.</w:t>
      </w:r>
    </w:p>
    <w:p>
      <w:pPr>
        <w:spacing w:after="0" w:line="224" w:lineRule="exact"/>
        <w:rPr>
          <w:sz w:val="20"/>
          <w:szCs w:val="20"/>
          <w:color w:val="auto"/>
        </w:rPr>
      </w:pPr>
    </w:p>
    <w:p>
      <w:pPr>
        <w:ind w:right="80" w:firstLine="480"/>
        <w:spacing w:after="0" w:line="253" w:lineRule="auto"/>
        <w:rPr>
          <w:sz w:val="20"/>
          <w:szCs w:val="20"/>
          <w:color w:val="auto"/>
        </w:rPr>
      </w:pPr>
      <w:r>
        <w:rPr>
          <w:rFonts w:ascii="Arial" w:cs="Arial" w:eastAsia="Arial" w:hAnsi="Arial"/>
          <w:sz w:val="18"/>
          <w:szCs w:val="18"/>
          <w:color w:val="auto"/>
        </w:rPr>
        <w:t>The Company is furnishing herewith additional information in conjunction with the November 5, 2020 earnings release. This additional information includes general Company information and highlights of financial results of the Company and its direct and indirect wholly-owned subsidiaries for the three and nine months ended September 30, 2020. The additional information, attached as Exhibit 99.2 to this Current Report on Form 8-K, is being furnished and will not be deemed “filed” for the purposes of Section 18 of the Securities Exchange Act of 1934, as amended, or otherwise subject to the liabilities of that Section.</w:t>
      </w:r>
    </w:p>
    <w:p>
      <w:pPr>
        <w:spacing w:after="0" w:line="190" w:lineRule="exact"/>
        <w:rPr>
          <w:sz w:val="20"/>
          <w:szCs w:val="20"/>
          <w:color w:val="auto"/>
        </w:rPr>
      </w:pPr>
    </w:p>
    <w:p>
      <w:pPr>
        <w:ind w:right="200" w:firstLine="480"/>
        <w:spacing w:after="0" w:line="300" w:lineRule="auto"/>
        <w:rPr>
          <w:sz w:val="20"/>
          <w:szCs w:val="20"/>
          <w:color w:val="auto"/>
        </w:rPr>
      </w:pPr>
      <w:r>
        <w:rPr>
          <w:rFonts w:ascii="Arial" w:cs="Arial" w:eastAsia="Arial" w:hAnsi="Arial"/>
          <w:sz w:val="17"/>
          <w:szCs w:val="17"/>
          <w:color w:val="auto"/>
        </w:rPr>
        <w:t>The information in this Current Report on Form 8-K will not be incorporated by reference into any registration statement or other document filed by the Company under the Securities Act of 1933, as amended, unless specifically identified therein as being incorporated by reference.</w:t>
      </w:r>
    </w:p>
    <w:p>
      <w:pPr>
        <w:spacing w:after="0" w:line="148" w:lineRule="exact"/>
        <w:rPr>
          <w:sz w:val="20"/>
          <w:szCs w:val="20"/>
          <w:color w:val="auto"/>
        </w:rPr>
      </w:pPr>
    </w:p>
    <w:p>
      <w:pPr>
        <w:spacing w:after="0"/>
        <w:tabs>
          <w:tab w:leader="none" w:pos="1260" w:val="left"/>
        </w:tabs>
        <w:rPr>
          <w:sz w:val="20"/>
          <w:szCs w:val="20"/>
          <w:color w:val="auto"/>
        </w:rPr>
      </w:pPr>
      <w:r>
        <w:rPr>
          <w:rFonts w:ascii="Arial" w:cs="Arial" w:eastAsia="Arial" w:hAnsi="Arial"/>
          <w:sz w:val="18"/>
          <w:szCs w:val="18"/>
          <w:b w:val="1"/>
          <w:bCs w:val="1"/>
          <w:color w:val="auto"/>
        </w:rPr>
        <w:t>Item 9.01.</w:t>
      </w:r>
      <w:r>
        <w:rPr>
          <w:sz w:val="20"/>
          <w:szCs w:val="20"/>
          <w:color w:val="auto"/>
        </w:rPr>
        <w:tab/>
      </w:r>
      <w:r>
        <w:rPr>
          <w:rFonts w:ascii="Arial" w:cs="Arial" w:eastAsia="Arial" w:hAnsi="Arial"/>
          <w:sz w:val="16"/>
          <w:szCs w:val="16"/>
          <w:b w:val="1"/>
          <w:bCs w:val="1"/>
          <w:color w:val="auto"/>
        </w:rPr>
        <w:t>Financial Statements and Exhibits.</w:t>
      </w:r>
    </w:p>
    <w:p>
      <w:pPr>
        <w:spacing w:after="0" w:line="224" w:lineRule="exact"/>
        <w:rPr>
          <w:sz w:val="20"/>
          <w:szCs w:val="20"/>
          <w:color w:val="auto"/>
        </w:rPr>
      </w:pPr>
    </w:p>
    <w:p>
      <w:pPr>
        <w:ind w:left="1060" w:hanging="573"/>
        <w:spacing w:after="0"/>
        <w:tabs>
          <w:tab w:leader="none" w:pos="1060" w:val="left"/>
        </w:tabs>
        <w:numPr>
          <w:ilvl w:val="0"/>
          <w:numId w:val="2"/>
        </w:numPr>
        <w:rPr>
          <w:rFonts w:ascii="Arial" w:cs="Arial" w:eastAsia="Arial" w:hAnsi="Arial"/>
          <w:sz w:val="18"/>
          <w:szCs w:val="18"/>
          <w:color w:val="auto"/>
        </w:rPr>
      </w:pPr>
      <w:r>
        <w:rPr>
          <w:rFonts w:ascii="Arial" w:cs="Arial" w:eastAsia="Arial" w:hAnsi="Arial"/>
          <w:sz w:val="18"/>
          <w:szCs w:val="18"/>
          <w:color w:val="auto"/>
        </w:rPr>
        <w:t>Exhibits.</w:t>
      </w:r>
    </w:p>
    <w:p>
      <w:pPr>
        <w:spacing w:after="0" w:line="220" w:lineRule="exact"/>
        <w:rPr>
          <w:sz w:val="20"/>
          <w:szCs w:val="20"/>
          <w:color w:val="auto"/>
        </w:rPr>
      </w:pPr>
    </w:p>
    <w:p>
      <w:pPr>
        <w:ind w:left="480"/>
        <w:spacing w:after="0"/>
        <w:rPr>
          <w:sz w:val="20"/>
          <w:szCs w:val="20"/>
          <w:color w:val="auto"/>
        </w:rPr>
      </w:pPr>
      <w:r>
        <w:rPr>
          <w:rFonts w:ascii="Arial" w:cs="Arial" w:eastAsia="Arial" w:hAnsi="Arial"/>
          <w:sz w:val="18"/>
          <w:szCs w:val="18"/>
          <w:color w:val="auto"/>
        </w:rPr>
        <w:t>The following exhibits are included with this report:</w:t>
      </w:r>
    </w:p>
    <w:p>
      <w:pPr>
        <w:spacing w:after="0" w:line="220" w:lineRule="exact"/>
        <w:rPr>
          <w:sz w:val="20"/>
          <w:szCs w:val="20"/>
          <w:color w:val="auto"/>
        </w:rPr>
      </w:pPr>
    </w:p>
    <w:tbl>
      <w:tblPr>
        <w:tblLayout w:type="fixed"/>
        <w:tblInd w:w="0" w:type="dxa"/>
        <w:tblCellMar>
          <w:top w:w="0" w:type="dxa"/>
          <w:left w:w="0" w:type="dxa"/>
          <w:bottom w:w="0" w:type="dxa"/>
          <w:right w:w="0" w:type="dxa"/>
        </w:tblCellMar>
      </w:tblPr>
      <w:tr>
        <w:trPr>
          <w:trHeight w:val="227"/>
        </w:trPr>
        <w:tc>
          <w:tcPr>
            <w:tcW w:w="1360" w:type="dxa"/>
            <w:vAlign w:val="bottom"/>
            <w:gridSpan w:val="2"/>
          </w:tcPr>
          <w:p>
            <w:pPr>
              <w:spacing w:after="0"/>
              <w:rPr>
                <w:sz w:val="20"/>
                <w:szCs w:val="20"/>
                <w:color w:val="auto"/>
              </w:rPr>
            </w:pPr>
            <w:r>
              <w:rPr>
                <w:rFonts w:ascii="Arial" w:cs="Arial" w:eastAsia="Arial" w:hAnsi="Arial"/>
                <w:sz w:val="18"/>
                <w:szCs w:val="18"/>
                <w:color w:val="auto"/>
              </w:rPr>
              <w:t>Exhibit No.</w:t>
            </w:r>
          </w:p>
        </w:tc>
        <w:tc>
          <w:tcPr>
            <w:tcW w:w="9880" w:type="dxa"/>
            <w:vAlign w:val="bottom"/>
          </w:tcPr>
          <w:p>
            <w:pPr>
              <w:spacing w:after="0"/>
              <w:rPr>
                <w:sz w:val="20"/>
                <w:szCs w:val="20"/>
                <w:color w:val="auto"/>
              </w:rPr>
            </w:pPr>
            <w:r>
              <w:rPr>
                <w:rFonts w:ascii="Arial" w:cs="Arial" w:eastAsia="Arial" w:hAnsi="Arial"/>
                <w:sz w:val="18"/>
                <w:szCs w:val="18"/>
                <w:color w:val="auto"/>
              </w:rPr>
              <w:t>Exhibit Description</w:t>
            </w:r>
          </w:p>
        </w:tc>
      </w:tr>
      <w:tr>
        <w:trPr>
          <w:trHeight w:val="420"/>
        </w:trPr>
        <w:tc>
          <w:tcPr>
            <w:tcW w:w="1140" w:type="dxa"/>
            <w:vAlign w:val="bottom"/>
            <w:tcBorders>
              <w:top w:val="single" w:sz="8" w:color="auto"/>
            </w:tcBorders>
          </w:tcPr>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99.1</w:t>
              </w:r>
            </w:hyperlink>
          </w:p>
        </w:tc>
        <w:tc>
          <w:tcPr>
            <w:tcW w:w="220" w:type="dxa"/>
            <w:vAlign w:val="bottom"/>
          </w:tcPr>
          <w:p>
            <w:pPr>
              <w:spacing w:after="0"/>
              <w:rPr>
                <w:sz w:val="24"/>
                <w:szCs w:val="24"/>
                <w:color w:val="auto"/>
              </w:rPr>
            </w:pPr>
          </w:p>
        </w:tc>
        <w:tc>
          <w:tcPr>
            <w:tcW w:w="9880" w:type="dxa"/>
            <w:vAlign w:val="bottom"/>
            <w:tcBorders>
              <w:top w:val="single" w:sz="8" w:color="auto"/>
            </w:tcBorders>
          </w:tcPr>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Press Release of Veritiv Corporation issued November 5, 2020.</w:t>
              </w:r>
            </w:hyperlink>
          </w:p>
        </w:tc>
      </w:tr>
      <w:tr>
        <w:trPr>
          <w:trHeight w:val="427"/>
        </w:trPr>
        <w:tc>
          <w:tcPr>
            <w:tcW w:w="1140" w:type="dxa"/>
            <w:vAlign w:val="bottom"/>
          </w:tcPr>
          <w:p>
            <w:pPr>
              <w:spacing w:after="0"/>
              <w:rPr>
                <w:rFonts w:ascii="Arial" w:cs="Arial" w:eastAsia="Arial" w:hAnsi="Arial"/>
                <w:sz w:val="18"/>
                <w:szCs w:val="18"/>
                <w:u w:val="single" w:color="auto"/>
                <w:color w:val="0000EE"/>
              </w:rPr>
            </w:pPr>
            <w:hyperlink w:anchor="page15">
              <w:r>
                <w:rPr>
                  <w:rFonts w:ascii="Arial" w:cs="Arial" w:eastAsia="Arial" w:hAnsi="Arial"/>
                  <w:sz w:val="18"/>
                  <w:szCs w:val="18"/>
                  <w:u w:val="single" w:color="auto"/>
                  <w:color w:val="0000EE"/>
                </w:rPr>
                <w:t>99.2</w:t>
              </w:r>
            </w:hyperlink>
          </w:p>
        </w:tc>
        <w:tc>
          <w:tcPr>
            <w:tcW w:w="220" w:type="dxa"/>
            <w:vAlign w:val="bottom"/>
          </w:tcPr>
          <w:p>
            <w:pPr>
              <w:spacing w:after="0"/>
              <w:rPr>
                <w:sz w:val="24"/>
                <w:szCs w:val="24"/>
                <w:color w:val="auto"/>
              </w:rPr>
            </w:pPr>
          </w:p>
        </w:tc>
        <w:tc>
          <w:tcPr>
            <w:tcW w:w="9880" w:type="dxa"/>
            <w:vAlign w:val="bottom"/>
          </w:tcPr>
          <w:p>
            <w:pPr>
              <w:spacing w:after="0"/>
              <w:rPr>
                <w:rFonts w:ascii="Arial" w:cs="Arial" w:eastAsia="Arial" w:hAnsi="Arial"/>
                <w:sz w:val="18"/>
                <w:szCs w:val="18"/>
                <w:u w:val="single" w:color="auto"/>
                <w:color w:val="0000EE"/>
              </w:rPr>
            </w:pPr>
            <w:hyperlink w:anchor="page15">
              <w:r>
                <w:rPr>
                  <w:rFonts w:ascii="Arial" w:cs="Arial" w:eastAsia="Arial" w:hAnsi="Arial"/>
                  <w:sz w:val="18"/>
                  <w:szCs w:val="18"/>
                  <w:u w:val="single" w:color="auto"/>
                  <w:color w:val="0000EE"/>
                </w:rPr>
                <w:t>Additional Information of Veritiv Corporation issued November 5, 2020.</w:t>
              </w:r>
            </w:hyperlink>
          </w:p>
        </w:tc>
      </w:tr>
      <w:tr>
        <w:trPr>
          <w:trHeight w:val="427"/>
        </w:trPr>
        <w:tc>
          <w:tcPr>
            <w:tcW w:w="1140" w:type="dxa"/>
            <w:vAlign w:val="bottom"/>
          </w:tcPr>
          <w:p>
            <w:pPr>
              <w:spacing w:after="0"/>
              <w:rPr>
                <w:sz w:val="20"/>
                <w:szCs w:val="20"/>
                <w:color w:val="auto"/>
              </w:rPr>
            </w:pPr>
            <w:r>
              <w:rPr>
                <w:rFonts w:ascii="Arial" w:cs="Arial" w:eastAsia="Arial" w:hAnsi="Arial"/>
                <w:sz w:val="18"/>
                <w:szCs w:val="18"/>
                <w:color w:val="auto"/>
              </w:rPr>
              <w:t>104</w:t>
            </w:r>
          </w:p>
        </w:tc>
        <w:tc>
          <w:tcPr>
            <w:tcW w:w="220" w:type="dxa"/>
            <w:vAlign w:val="bottom"/>
          </w:tcPr>
          <w:p>
            <w:pPr>
              <w:spacing w:after="0"/>
              <w:rPr>
                <w:sz w:val="24"/>
                <w:szCs w:val="24"/>
                <w:color w:val="auto"/>
              </w:rPr>
            </w:pPr>
          </w:p>
        </w:tc>
        <w:tc>
          <w:tcPr>
            <w:tcW w:w="9880" w:type="dxa"/>
            <w:vAlign w:val="bottom"/>
          </w:tcPr>
          <w:p>
            <w:pPr>
              <w:spacing w:after="0"/>
              <w:rPr>
                <w:sz w:val="20"/>
                <w:szCs w:val="20"/>
                <w:color w:val="auto"/>
              </w:rPr>
            </w:pPr>
            <w:r>
              <w:rPr>
                <w:rFonts w:ascii="Arial" w:cs="Arial" w:eastAsia="Arial" w:hAnsi="Arial"/>
                <w:sz w:val="18"/>
                <w:szCs w:val="18"/>
                <w:color w:val="auto"/>
              </w:rPr>
              <w:t>Cover Page Interactive Data File (embedded within the Inline XBRL document).</w:t>
            </w:r>
          </w:p>
        </w:tc>
      </w:tr>
      <w:tr>
        <w:trPr>
          <w:trHeight w:val="428"/>
        </w:trPr>
        <w:tc>
          <w:tcPr>
            <w:tcW w:w="114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9880" w:type="dxa"/>
            <w:vAlign w:val="bottom"/>
            <w:tcBorders>
              <w:bottom w:val="single" w:sz="8" w:color="auto"/>
            </w:tcBorders>
          </w:tcPr>
          <w:p>
            <w:pPr>
              <w:spacing w:after="0"/>
              <w:rPr>
                <w:sz w:val="24"/>
                <w:szCs w:val="24"/>
                <w:color w:val="auto"/>
              </w:rPr>
            </w:pPr>
          </w:p>
        </w:tc>
      </w:tr>
    </w:tbl>
    <w:p>
      <w:pPr>
        <w:sectPr>
          <w:pgSz w:w="11900" w:h="16838" w:orient="portrait"/>
          <w:cols w:equalWidth="0" w:num="1">
            <w:col w:w="11240"/>
          </w:cols>
          <w:pgMar w:left="320" w:top="895" w:right="339" w:bottom="1440" w:gutter="0" w:footer="0" w:header="0"/>
        </w:sectPr>
      </w:pPr>
    </w:p>
    <w:bookmarkStart w:id="2" w:name="page3"/>
    <w:bookmarkEnd w:id="2"/>
    <w:p>
      <w:pPr>
        <w:jc w:val="center"/>
        <w:spacing w:after="0"/>
        <w:rPr>
          <w:sz w:val="20"/>
          <w:szCs w:val="20"/>
          <w:color w:val="auto"/>
        </w:rPr>
      </w:pPr>
      <w:r>
        <w:rPr>
          <w:rFonts w:ascii="Arial" w:cs="Arial" w:eastAsia="Arial" w:hAnsi="Arial"/>
          <w:sz w:val="18"/>
          <w:szCs w:val="18"/>
          <w:b w:val="1"/>
          <w:bCs w:val="1"/>
          <w:color w:val="auto"/>
        </w:rPr>
        <w:t>SIGNATURES</w:t>
      </w:r>
    </w:p>
    <w:p>
      <w:pPr>
        <w:spacing w:after="0" w:line="224" w:lineRule="exact"/>
        <w:rPr>
          <w:sz w:val="20"/>
          <w:szCs w:val="20"/>
          <w:color w:val="auto"/>
        </w:rPr>
      </w:pPr>
    </w:p>
    <w:p>
      <w:pPr>
        <w:ind w:right="440" w:firstLine="640"/>
        <w:spacing w:after="0" w:line="270" w:lineRule="auto"/>
        <w:rPr>
          <w:sz w:val="20"/>
          <w:szCs w:val="20"/>
          <w:color w:val="auto"/>
        </w:rPr>
      </w:pPr>
      <w:r>
        <w:rPr>
          <w:rFonts w:ascii="Arial" w:cs="Arial" w:eastAsia="Arial" w:hAnsi="Arial"/>
          <w:sz w:val="18"/>
          <w:szCs w:val="18"/>
          <w:color w:val="auto"/>
        </w:rPr>
        <w:t>Pursuant to the requirements of the Securities Exchange Act of 1934, the registrant has duly caused this report to be signed on its behalf by the undersigned hereunto duly authorized.</w:t>
      </w:r>
    </w:p>
    <w:p>
      <w:pPr>
        <w:spacing w:after="0" w:line="171"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800" w:type="dxa"/>
            <w:vAlign w:val="bottom"/>
          </w:tcPr>
          <w:p>
            <w:pPr>
              <w:spacing w:after="0"/>
              <w:rPr>
                <w:sz w:val="20"/>
                <w:szCs w:val="20"/>
                <w:color w:val="auto"/>
              </w:rPr>
            </w:pPr>
          </w:p>
        </w:tc>
        <w:tc>
          <w:tcPr>
            <w:tcW w:w="2020" w:type="dxa"/>
            <w:vAlign w:val="bottom"/>
          </w:tcPr>
          <w:p>
            <w:pPr>
              <w:spacing w:after="0"/>
              <w:rPr>
                <w:sz w:val="20"/>
                <w:szCs w:val="20"/>
                <w:color w:val="auto"/>
              </w:rPr>
            </w:pPr>
          </w:p>
        </w:tc>
        <w:tc>
          <w:tcPr>
            <w:tcW w:w="2240" w:type="dxa"/>
            <w:vAlign w:val="bottom"/>
          </w:tcPr>
          <w:p>
            <w:pPr>
              <w:spacing w:after="0"/>
              <w:rPr>
                <w:sz w:val="20"/>
                <w:szCs w:val="20"/>
                <w:color w:val="auto"/>
              </w:rPr>
            </w:pPr>
          </w:p>
        </w:tc>
        <w:tc>
          <w:tcPr>
            <w:tcW w:w="6180" w:type="dxa"/>
            <w:vAlign w:val="bottom"/>
          </w:tcPr>
          <w:p>
            <w:pPr>
              <w:spacing w:after="0"/>
              <w:rPr>
                <w:sz w:val="20"/>
                <w:szCs w:val="20"/>
                <w:color w:val="auto"/>
              </w:rPr>
            </w:pPr>
            <w:r>
              <w:rPr>
                <w:rFonts w:ascii="Arial" w:cs="Arial" w:eastAsia="Arial" w:hAnsi="Arial"/>
                <w:sz w:val="18"/>
                <w:szCs w:val="18"/>
                <w:b w:val="1"/>
                <w:bCs w:val="1"/>
                <w:color w:val="auto"/>
              </w:rPr>
              <w:t>VERITIV CORPORATION</w:t>
            </w:r>
          </w:p>
        </w:tc>
      </w:tr>
      <w:tr>
        <w:trPr>
          <w:trHeight w:val="428"/>
        </w:trPr>
        <w:tc>
          <w:tcPr>
            <w:tcW w:w="5060" w:type="dxa"/>
            <w:vAlign w:val="bottom"/>
            <w:gridSpan w:val="3"/>
          </w:tcPr>
          <w:p>
            <w:pPr>
              <w:spacing w:after="0"/>
              <w:rPr>
                <w:sz w:val="20"/>
                <w:szCs w:val="20"/>
                <w:color w:val="auto"/>
              </w:rPr>
            </w:pPr>
            <w:r>
              <w:rPr>
                <w:rFonts w:ascii="Arial" w:cs="Arial" w:eastAsia="Arial" w:hAnsi="Arial"/>
                <w:sz w:val="18"/>
                <w:szCs w:val="18"/>
                <w:color w:val="auto"/>
              </w:rPr>
              <w:t>Dated:    November 5, 2020</w:t>
            </w:r>
          </w:p>
        </w:tc>
        <w:tc>
          <w:tcPr>
            <w:tcW w:w="6180" w:type="dxa"/>
            <w:vAlign w:val="bottom"/>
          </w:tcPr>
          <w:p>
            <w:pPr>
              <w:spacing w:after="0"/>
              <w:rPr>
                <w:sz w:val="20"/>
                <w:szCs w:val="20"/>
                <w:color w:val="auto"/>
              </w:rPr>
            </w:pPr>
            <w:r>
              <w:rPr>
                <w:rFonts w:ascii="Arial" w:cs="Arial" w:eastAsia="Arial" w:hAnsi="Arial"/>
                <w:sz w:val="18"/>
                <w:szCs w:val="18"/>
                <w:color w:val="auto"/>
              </w:rPr>
              <w:t>/s/ Mark W. Hianik</w:t>
            </w:r>
          </w:p>
        </w:tc>
      </w:tr>
      <w:tr>
        <w:trPr>
          <w:trHeight w:val="193"/>
        </w:trPr>
        <w:tc>
          <w:tcPr>
            <w:tcW w:w="800" w:type="dxa"/>
            <w:vAlign w:val="bottom"/>
          </w:tcPr>
          <w:p>
            <w:pPr>
              <w:spacing w:after="0"/>
              <w:rPr>
                <w:sz w:val="16"/>
                <w:szCs w:val="16"/>
                <w:color w:val="auto"/>
              </w:rPr>
            </w:pPr>
          </w:p>
        </w:tc>
        <w:tc>
          <w:tcPr>
            <w:tcW w:w="2020" w:type="dxa"/>
            <w:vAlign w:val="bottom"/>
            <w:tcBorders>
              <w:top w:val="single" w:sz="8" w:color="auto"/>
            </w:tcBorders>
          </w:tcPr>
          <w:p>
            <w:pPr>
              <w:spacing w:after="0"/>
              <w:rPr>
                <w:sz w:val="16"/>
                <w:szCs w:val="16"/>
                <w:color w:val="auto"/>
              </w:rPr>
            </w:pPr>
          </w:p>
        </w:tc>
        <w:tc>
          <w:tcPr>
            <w:tcW w:w="2240" w:type="dxa"/>
            <w:vAlign w:val="bottom"/>
          </w:tcPr>
          <w:p>
            <w:pPr>
              <w:spacing w:after="0"/>
              <w:rPr>
                <w:sz w:val="16"/>
                <w:szCs w:val="16"/>
                <w:color w:val="auto"/>
              </w:rPr>
            </w:pPr>
          </w:p>
        </w:tc>
        <w:tc>
          <w:tcPr>
            <w:tcW w:w="6180" w:type="dxa"/>
            <w:vAlign w:val="bottom"/>
            <w:tcBorders>
              <w:top w:val="single" w:sz="8" w:color="auto"/>
            </w:tcBorders>
          </w:tcPr>
          <w:p>
            <w:pPr>
              <w:spacing w:after="0" w:line="193" w:lineRule="exact"/>
              <w:rPr>
                <w:sz w:val="20"/>
                <w:szCs w:val="20"/>
                <w:color w:val="auto"/>
              </w:rPr>
            </w:pPr>
            <w:r>
              <w:rPr>
                <w:rFonts w:ascii="Arial" w:cs="Arial" w:eastAsia="Arial" w:hAnsi="Arial"/>
                <w:sz w:val="18"/>
                <w:szCs w:val="18"/>
                <w:color w:val="auto"/>
              </w:rPr>
              <w:t>Mark W. Hianik</w:t>
            </w:r>
          </w:p>
        </w:tc>
      </w:tr>
      <w:tr>
        <w:trPr>
          <w:trHeight w:val="226"/>
        </w:trPr>
        <w:tc>
          <w:tcPr>
            <w:tcW w:w="800" w:type="dxa"/>
            <w:vAlign w:val="bottom"/>
          </w:tcPr>
          <w:p>
            <w:pPr>
              <w:spacing w:after="0"/>
              <w:rPr>
                <w:sz w:val="19"/>
                <w:szCs w:val="19"/>
                <w:color w:val="auto"/>
              </w:rPr>
            </w:pPr>
          </w:p>
        </w:tc>
        <w:tc>
          <w:tcPr>
            <w:tcW w:w="2020" w:type="dxa"/>
            <w:vAlign w:val="bottom"/>
          </w:tcPr>
          <w:p>
            <w:pPr>
              <w:spacing w:after="0"/>
              <w:rPr>
                <w:sz w:val="19"/>
                <w:szCs w:val="19"/>
                <w:color w:val="auto"/>
              </w:rPr>
            </w:pPr>
          </w:p>
        </w:tc>
        <w:tc>
          <w:tcPr>
            <w:tcW w:w="2240" w:type="dxa"/>
            <w:vAlign w:val="bottom"/>
          </w:tcPr>
          <w:p>
            <w:pPr>
              <w:spacing w:after="0"/>
              <w:rPr>
                <w:sz w:val="19"/>
                <w:szCs w:val="19"/>
                <w:color w:val="auto"/>
              </w:rPr>
            </w:pPr>
          </w:p>
        </w:tc>
        <w:tc>
          <w:tcPr>
            <w:tcW w:w="6180" w:type="dxa"/>
            <w:vAlign w:val="bottom"/>
          </w:tcPr>
          <w:p>
            <w:pPr>
              <w:spacing w:after="0"/>
              <w:rPr>
                <w:sz w:val="20"/>
                <w:szCs w:val="20"/>
                <w:color w:val="auto"/>
              </w:rPr>
            </w:pPr>
            <w:r>
              <w:rPr>
                <w:rFonts w:ascii="Arial" w:cs="Arial" w:eastAsia="Arial" w:hAnsi="Arial"/>
                <w:sz w:val="18"/>
                <w:szCs w:val="18"/>
                <w:color w:val="auto"/>
              </w:rPr>
              <w:t>Senior Vice President, General Counsel &amp; Corporate Secretary</w:t>
            </w:r>
          </w:p>
        </w:tc>
      </w:tr>
      <w:tr>
        <w:trPr>
          <w:trHeight w:val="428"/>
        </w:trPr>
        <w:tc>
          <w:tcPr>
            <w:tcW w:w="800" w:type="dxa"/>
            <w:vAlign w:val="bottom"/>
            <w:tcBorders>
              <w:bottom w:val="single" w:sz="8" w:color="auto"/>
            </w:tcBorders>
          </w:tcPr>
          <w:p>
            <w:pPr>
              <w:spacing w:after="0"/>
              <w:rPr>
                <w:sz w:val="24"/>
                <w:szCs w:val="24"/>
                <w:color w:val="auto"/>
              </w:rPr>
            </w:pPr>
          </w:p>
        </w:tc>
        <w:tc>
          <w:tcPr>
            <w:tcW w:w="2020" w:type="dxa"/>
            <w:vAlign w:val="bottom"/>
            <w:tcBorders>
              <w:bottom w:val="single" w:sz="8" w:color="auto"/>
            </w:tcBorders>
          </w:tcPr>
          <w:p>
            <w:pPr>
              <w:spacing w:after="0"/>
              <w:rPr>
                <w:sz w:val="24"/>
                <w:szCs w:val="24"/>
                <w:color w:val="auto"/>
              </w:rPr>
            </w:pPr>
          </w:p>
        </w:tc>
        <w:tc>
          <w:tcPr>
            <w:tcW w:w="2240" w:type="dxa"/>
            <w:vAlign w:val="bottom"/>
            <w:tcBorders>
              <w:bottom w:val="single" w:sz="8" w:color="auto"/>
            </w:tcBorders>
          </w:tcPr>
          <w:p>
            <w:pPr>
              <w:spacing w:after="0"/>
              <w:rPr>
                <w:sz w:val="24"/>
                <w:szCs w:val="24"/>
                <w:color w:val="auto"/>
              </w:rPr>
            </w:pPr>
          </w:p>
        </w:tc>
        <w:tc>
          <w:tcPr>
            <w:tcW w:w="6180" w:type="dxa"/>
            <w:vAlign w:val="bottom"/>
            <w:tcBorders>
              <w:bottom w:val="single" w:sz="8" w:color="auto"/>
            </w:tcBorders>
          </w:tcPr>
          <w:p>
            <w:pPr>
              <w:spacing w:after="0"/>
              <w:rPr>
                <w:sz w:val="24"/>
                <w:szCs w:val="24"/>
                <w:color w:val="auto"/>
              </w:rPr>
            </w:pPr>
          </w:p>
        </w:tc>
      </w:tr>
    </w:tbl>
    <w:p>
      <w:pPr>
        <w:sectPr>
          <w:pgSz w:w="11900" w:h="16838" w:orient="portrait"/>
          <w:cols w:equalWidth="0" w:num="1">
            <w:col w:w="11240"/>
          </w:cols>
          <w:pgMar w:left="320" w:top="895" w:right="339" w:bottom="1440" w:gutter="0" w:footer="0" w:header="0"/>
        </w:sectPr>
      </w:pPr>
    </w:p>
    <w:bookmarkStart w:id="3" w:name="page4"/>
    <w:bookmarkEnd w:id="3"/>
    <w:p>
      <w:pPr>
        <w:jc w:val="right"/>
        <w:spacing w:after="0"/>
        <w:rPr>
          <w:sz w:val="20"/>
          <w:szCs w:val="20"/>
          <w:color w:val="auto"/>
        </w:rPr>
      </w:pPr>
      <w:r>
        <w:rPr>
          <w:rFonts w:ascii="Arial" w:cs="Arial" w:eastAsia="Arial" w:hAnsi="Arial"/>
          <w:sz w:val="18"/>
          <w:szCs w:val="18"/>
          <w:b w:val="1"/>
          <w:bCs w:val="1"/>
          <w:color w:val="auto"/>
        </w:rPr>
        <w:t>Exhibit 99.1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342900</wp:posOffset>
            </wp:positionH>
            <wp:positionV relativeFrom="paragraph">
              <wp:posOffset>151130</wp:posOffset>
            </wp:positionV>
            <wp:extent cx="6481445" cy="13811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6481445" cy="13811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006600"/>
        </w:rPr>
        <w:t>Veritiv Announces Third Quarter 2020</w:t>
      </w:r>
    </w:p>
    <w:p>
      <w:pPr>
        <w:spacing w:after="0" w:line="2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006600"/>
        </w:rPr>
        <w:t>Financial Results</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b w:val="1"/>
          <w:bCs w:val="1"/>
          <w:i w:val="1"/>
          <w:iCs w:val="1"/>
          <w:color w:val="auto"/>
        </w:rPr>
        <w:t>Reports Third Quarter Net Sales of $1.6 Billion,</w:t>
      </w:r>
    </w:p>
    <w:p>
      <w:pPr>
        <w:spacing w:after="0" w:line="19" w:lineRule="exact"/>
        <w:rPr>
          <w:sz w:val="20"/>
          <w:szCs w:val="20"/>
          <w:color w:val="auto"/>
        </w:rPr>
      </w:pPr>
    </w:p>
    <w:p>
      <w:pPr>
        <w:jc w:val="center"/>
        <w:spacing w:after="0"/>
        <w:rPr>
          <w:sz w:val="20"/>
          <w:szCs w:val="20"/>
          <w:color w:val="auto"/>
        </w:rPr>
      </w:pPr>
      <w:r>
        <w:rPr>
          <w:rFonts w:ascii="Arial" w:cs="Arial" w:eastAsia="Arial" w:hAnsi="Arial"/>
          <w:sz w:val="18"/>
          <w:szCs w:val="18"/>
          <w:b w:val="1"/>
          <w:bCs w:val="1"/>
          <w:i w:val="1"/>
          <w:iCs w:val="1"/>
          <w:color w:val="auto"/>
        </w:rPr>
        <w:t>Net Income of $21.1 Million,</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18"/>
          <w:szCs w:val="18"/>
          <w:b w:val="1"/>
          <w:bCs w:val="1"/>
          <w:i w:val="1"/>
          <w:iCs w:val="1"/>
          <w:color w:val="auto"/>
        </w:rPr>
        <w:t>Basic and Diluted Earnings per Share of $1.33 and $1.30, respectively, and</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18"/>
          <w:szCs w:val="18"/>
          <w:b w:val="1"/>
          <w:bCs w:val="1"/>
          <w:i w:val="1"/>
          <w:iCs w:val="1"/>
          <w:color w:val="auto"/>
        </w:rPr>
        <w:t>Adjusted EBITDA of $49.9 Million</w:t>
      </w:r>
    </w:p>
    <w:p>
      <w:pPr>
        <w:spacing w:after="0" w:line="203" w:lineRule="exact"/>
        <w:rPr>
          <w:sz w:val="20"/>
          <w:szCs w:val="20"/>
          <w:color w:val="auto"/>
        </w:rPr>
      </w:pPr>
    </w:p>
    <w:p>
      <w:pPr>
        <w:ind w:right="520"/>
        <w:spacing w:after="0" w:line="274" w:lineRule="auto"/>
        <w:rPr>
          <w:sz w:val="20"/>
          <w:szCs w:val="20"/>
          <w:color w:val="auto"/>
        </w:rPr>
      </w:pPr>
      <w:r>
        <w:rPr>
          <w:rFonts w:ascii="Arial" w:cs="Arial" w:eastAsia="Arial" w:hAnsi="Arial"/>
          <w:sz w:val="18"/>
          <w:szCs w:val="18"/>
          <w:b w:val="1"/>
          <w:bCs w:val="1"/>
          <w:color w:val="auto"/>
        </w:rPr>
        <w:t xml:space="preserve">ATLANTA (November 5, 2020) – </w:t>
      </w:r>
      <w:r>
        <w:rPr>
          <w:rFonts w:ascii="Arial" w:cs="Arial" w:eastAsia="Arial" w:hAnsi="Arial"/>
          <w:sz w:val="18"/>
          <w:szCs w:val="18"/>
          <w:color w:val="auto"/>
        </w:rPr>
        <w:t>Veritiv Corporation (NYSE: VRTV), a North American leader in business-to-business distribution solutions, today</w:t>
      </w:r>
      <w:r>
        <w:rPr>
          <w:rFonts w:ascii="Arial" w:cs="Arial" w:eastAsia="Arial" w:hAnsi="Arial"/>
          <w:sz w:val="18"/>
          <w:szCs w:val="18"/>
          <w:b w:val="1"/>
          <w:bCs w:val="1"/>
          <w:color w:val="auto"/>
        </w:rPr>
        <w:t xml:space="preserve"> </w:t>
      </w:r>
      <w:r>
        <w:rPr>
          <w:rFonts w:ascii="Arial" w:cs="Arial" w:eastAsia="Arial" w:hAnsi="Arial"/>
          <w:sz w:val="18"/>
          <w:szCs w:val="18"/>
          <w:color w:val="auto"/>
        </w:rPr>
        <w:t>announced financial results for the third quarter ended September 30, 2020.</w:t>
      </w:r>
    </w:p>
    <w:p>
      <w:pPr>
        <w:spacing w:after="0" w:line="172" w:lineRule="exact"/>
        <w:rPr>
          <w:sz w:val="20"/>
          <w:szCs w:val="20"/>
          <w:color w:val="auto"/>
        </w:rPr>
      </w:pPr>
    </w:p>
    <w:p>
      <w:pPr>
        <w:ind w:right="40"/>
        <w:spacing w:after="0" w:line="255" w:lineRule="auto"/>
        <w:rPr>
          <w:sz w:val="20"/>
          <w:szCs w:val="20"/>
          <w:color w:val="auto"/>
        </w:rPr>
      </w:pPr>
      <w:r>
        <w:rPr>
          <w:rFonts w:ascii="Arial" w:cs="Arial" w:eastAsia="Arial" w:hAnsi="Arial"/>
          <w:sz w:val="18"/>
          <w:szCs w:val="18"/>
          <w:color w:val="auto"/>
        </w:rPr>
        <w:t>“Continuing execution of our multi-year strategy and broad-based efficiency programs led to record Adjusted EBITDA margins in the third quarter,” said Sal Abbate, Chief Executive Officer. “We are fully operational and meeting the needs of our employees and customers both safely and efficiently. Our significantly improved fundamentals and the flexibility of our business model drove a year-over-year improvement in Adjusted EBITDA despite a challenging and dynamic market environment.”</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color w:val="auto"/>
        </w:rPr>
        <w:t>For the three months ended September 30, 2020, compared to the three months ended September 30, 2019:</w:t>
      </w:r>
    </w:p>
    <w:p>
      <w:pPr>
        <w:spacing w:after="0" w:line="220" w:lineRule="exact"/>
        <w:rPr>
          <w:sz w:val="20"/>
          <w:szCs w:val="20"/>
          <w:color w:val="auto"/>
        </w:rPr>
      </w:pPr>
    </w:p>
    <w:p>
      <w:pPr>
        <w:ind w:left="640" w:hanging="313"/>
        <w:spacing w:after="0"/>
        <w:tabs>
          <w:tab w:leader="none" w:pos="640" w:val="left"/>
        </w:tabs>
        <w:numPr>
          <w:ilvl w:val="0"/>
          <w:numId w:val="3"/>
        </w:numPr>
        <w:rPr>
          <w:rFonts w:ascii="Arial" w:cs="Arial" w:eastAsia="Arial" w:hAnsi="Arial"/>
          <w:sz w:val="18"/>
          <w:szCs w:val="18"/>
          <w:b w:val="1"/>
          <w:bCs w:val="1"/>
          <w:color w:val="auto"/>
        </w:rPr>
      </w:pPr>
      <w:r>
        <w:rPr>
          <w:rFonts w:ascii="Arial" w:cs="Arial" w:eastAsia="Arial" w:hAnsi="Arial"/>
          <w:sz w:val="18"/>
          <w:szCs w:val="18"/>
          <w:color w:val="auto"/>
        </w:rPr>
        <w:t>Net sales were $1.6 billion, a decrease of 17.3% from the prior year. The foreign currency effect on net sales was negligible.</w:t>
      </w:r>
    </w:p>
    <w:p>
      <w:pPr>
        <w:spacing w:after="0" w:line="19" w:lineRule="exact"/>
        <w:rPr>
          <w:rFonts w:ascii="Arial" w:cs="Arial" w:eastAsia="Arial" w:hAnsi="Arial"/>
          <w:sz w:val="18"/>
          <w:szCs w:val="18"/>
          <w:b w:val="1"/>
          <w:bCs w:val="1"/>
          <w:color w:val="auto"/>
        </w:rPr>
      </w:pPr>
    </w:p>
    <w:p>
      <w:pPr>
        <w:ind w:left="640" w:right="340" w:hanging="313"/>
        <w:spacing w:after="0" w:line="247" w:lineRule="auto"/>
        <w:tabs>
          <w:tab w:leader="none" w:pos="640" w:val="left"/>
        </w:tabs>
        <w:numPr>
          <w:ilvl w:val="0"/>
          <w:numId w:val="3"/>
        </w:numPr>
        <w:rPr>
          <w:rFonts w:ascii="Arial" w:cs="Arial" w:eastAsia="Arial" w:hAnsi="Arial"/>
          <w:sz w:val="18"/>
          <w:szCs w:val="18"/>
          <w:b w:val="1"/>
          <w:bCs w:val="1"/>
          <w:color w:val="auto"/>
        </w:rPr>
      </w:pPr>
      <w:r>
        <w:rPr>
          <w:rFonts w:ascii="Arial" w:cs="Arial" w:eastAsia="Arial" w:hAnsi="Arial"/>
          <w:sz w:val="18"/>
          <w:szCs w:val="18"/>
          <w:color w:val="auto"/>
        </w:rPr>
        <w:t>Net income was $21.1 million, compared to net income of $5.1 million in the prior year. Net restructuring charges were $7.9 million in the third quarter of 2020 compared to $7.6 million in the prior year.</w:t>
      </w:r>
    </w:p>
    <w:p>
      <w:pPr>
        <w:ind w:left="640" w:hanging="313"/>
        <w:spacing w:after="0"/>
        <w:tabs>
          <w:tab w:leader="none" w:pos="640" w:val="left"/>
        </w:tabs>
        <w:numPr>
          <w:ilvl w:val="0"/>
          <w:numId w:val="3"/>
        </w:numPr>
        <w:rPr>
          <w:rFonts w:ascii="Arial" w:cs="Arial" w:eastAsia="Arial" w:hAnsi="Arial"/>
          <w:sz w:val="17"/>
          <w:szCs w:val="17"/>
          <w:b w:val="1"/>
          <w:bCs w:val="1"/>
          <w:color w:val="auto"/>
        </w:rPr>
      </w:pPr>
      <w:r>
        <w:rPr>
          <w:rFonts w:ascii="Arial" w:cs="Arial" w:eastAsia="Arial" w:hAnsi="Arial"/>
          <w:sz w:val="17"/>
          <w:szCs w:val="17"/>
          <w:color w:val="auto"/>
        </w:rPr>
        <w:t>Basic and diluted earnings per share were $1.33 and $1.30, respectively, compared to $0.32 and $0.31, respectively, in the prior year.</w:t>
      </w:r>
    </w:p>
    <w:p>
      <w:pPr>
        <w:spacing w:after="0" w:line="18" w:lineRule="exact"/>
        <w:rPr>
          <w:rFonts w:ascii="Arial" w:cs="Arial" w:eastAsia="Arial" w:hAnsi="Arial"/>
          <w:sz w:val="17"/>
          <w:szCs w:val="17"/>
          <w:b w:val="1"/>
          <w:bCs w:val="1"/>
          <w:color w:val="auto"/>
        </w:rPr>
      </w:pPr>
    </w:p>
    <w:p>
      <w:pPr>
        <w:ind w:left="640" w:hanging="313"/>
        <w:spacing w:after="0"/>
        <w:tabs>
          <w:tab w:leader="none" w:pos="640" w:val="left"/>
        </w:tabs>
        <w:numPr>
          <w:ilvl w:val="0"/>
          <w:numId w:val="3"/>
        </w:numPr>
        <w:rPr>
          <w:rFonts w:ascii="Arial" w:cs="Arial" w:eastAsia="Arial" w:hAnsi="Arial"/>
          <w:sz w:val="18"/>
          <w:szCs w:val="18"/>
          <w:b w:val="1"/>
          <w:bCs w:val="1"/>
          <w:color w:val="auto"/>
        </w:rPr>
      </w:pPr>
      <w:r>
        <w:rPr>
          <w:rFonts w:ascii="Arial" w:cs="Arial" w:eastAsia="Arial" w:hAnsi="Arial"/>
          <w:sz w:val="18"/>
          <w:szCs w:val="18"/>
          <w:color w:val="auto"/>
        </w:rPr>
        <w:t>Adjusted EBITDA was $49.9 million, an increase of 10.9% from the prior year.</w:t>
      </w:r>
    </w:p>
    <w:p>
      <w:pPr>
        <w:spacing w:after="0" w:line="6" w:lineRule="exact"/>
        <w:rPr>
          <w:rFonts w:ascii="Arial" w:cs="Arial" w:eastAsia="Arial" w:hAnsi="Arial"/>
          <w:sz w:val="18"/>
          <w:szCs w:val="18"/>
          <w:b w:val="1"/>
          <w:bCs w:val="1"/>
          <w:color w:val="auto"/>
        </w:rPr>
      </w:pPr>
    </w:p>
    <w:p>
      <w:pPr>
        <w:ind w:left="640" w:hanging="313"/>
        <w:spacing w:after="0"/>
        <w:tabs>
          <w:tab w:leader="none" w:pos="640" w:val="left"/>
        </w:tabs>
        <w:numPr>
          <w:ilvl w:val="0"/>
          <w:numId w:val="3"/>
        </w:numPr>
        <w:rPr>
          <w:rFonts w:ascii="Arial" w:cs="Arial" w:eastAsia="Arial" w:hAnsi="Arial"/>
          <w:sz w:val="18"/>
          <w:szCs w:val="18"/>
          <w:b w:val="1"/>
          <w:bCs w:val="1"/>
          <w:color w:val="auto"/>
        </w:rPr>
      </w:pPr>
      <w:r>
        <w:rPr>
          <w:rFonts w:ascii="Arial" w:cs="Arial" w:eastAsia="Arial" w:hAnsi="Arial"/>
          <w:sz w:val="18"/>
          <w:szCs w:val="18"/>
          <w:color w:val="auto"/>
        </w:rPr>
        <w:t>Adjusted EBITDA as a percentage of net sales was 3.1%, an increase of 80 basis points from the prior year.</w:t>
      </w:r>
    </w:p>
    <w:p>
      <w:pPr>
        <w:spacing w:after="0" w:line="207" w:lineRule="exact"/>
        <w:rPr>
          <w:sz w:val="20"/>
          <w:szCs w:val="20"/>
          <w:color w:val="auto"/>
        </w:rPr>
      </w:pPr>
    </w:p>
    <w:p>
      <w:pPr>
        <w:spacing w:after="0"/>
        <w:rPr>
          <w:sz w:val="20"/>
          <w:szCs w:val="20"/>
          <w:color w:val="auto"/>
        </w:rPr>
      </w:pPr>
      <w:r>
        <w:rPr>
          <w:rFonts w:ascii="Arial" w:cs="Arial" w:eastAsia="Arial" w:hAnsi="Arial"/>
          <w:sz w:val="18"/>
          <w:szCs w:val="18"/>
          <w:color w:val="auto"/>
        </w:rPr>
        <w:t>For the nine months ended September 30, 2020, compared to the nine months ended September 30, 2019:</w:t>
      </w:r>
    </w:p>
    <w:p>
      <w:pPr>
        <w:spacing w:after="0" w:line="220" w:lineRule="exact"/>
        <w:rPr>
          <w:sz w:val="20"/>
          <w:szCs w:val="20"/>
          <w:color w:val="auto"/>
        </w:rPr>
      </w:pPr>
    </w:p>
    <w:p>
      <w:pPr>
        <w:ind w:left="640" w:right="80" w:hanging="313"/>
        <w:spacing w:after="0" w:line="255" w:lineRule="auto"/>
        <w:tabs>
          <w:tab w:leader="none" w:pos="640" w:val="left"/>
        </w:tabs>
        <w:numPr>
          <w:ilvl w:val="0"/>
          <w:numId w:val="4"/>
        </w:numPr>
        <w:rPr>
          <w:rFonts w:ascii="Arial" w:cs="Arial" w:eastAsia="Arial" w:hAnsi="Arial"/>
          <w:sz w:val="18"/>
          <w:szCs w:val="18"/>
          <w:b w:val="1"/>
          <w:bCs w:val="1"/>
          <w:color w:val="auto"/>
        </w:rPr>
      </w:pPr>
      <w:r>
        <w:rPr>
          <w:rFonts w:ascii="Arial" w:cs="Arial" w:eastAsia="Arial" w:hAnsi="Arial"/>
          <w:sz w:val="18"/>
          <w:szCs w:val="18"/>
          <w:color w:val="auto"/>
        </w:rPr>
        <w:t>Net sales were $4.7 billion, a decrease of 19.2% from the prior year. Net sales decreased 19.5% from the prior year, excluding the negative effect of foreign currency.</w:t>
      </w:r>
    </w:p>
    <w:p>
      <w:pPr>
        <w:ind w:left="640" w:right="620" w:hanging="313"/>
        <w:spacing w:after="0" w:line="247" w:lineRule="auto"/>
        <w:tabs>
          <w:tab w:leader="none" w:pos="640" w:val="left"/>
        </w:tabs>
        <w:numPr>
          <w:ilvl w:val="0"/>
          <w:numId w:val="4"/>
        </w:numPr>
        <w:rPr>
          <w:rFonts w:ascii="Arial" w:cs="Arial" w:eastAsia="Arial" w:hAnsi="Arial"/>
          <w:sz w:val="18"/>
          <w:szCs w:val="18"/>
          <w:b w:val="1"/>
          <w:bCs w:val="1"/>
          <w:color w:val="auto"/>
        </w:rPr>
      </w:pPr>
      <w:r>
        <w:rPr>
          <w:rFonts w:ascii="Arial" w:cs="Arial" w:eastAsia="Arial" w:hAnsi="Arial"/>
          <w:sz w:val="18"/>
          <w:szCs w:val="18"/>
          <w:color w:val="auto"/>
        </w:rPr>
        <w:t>Net income was $2.2 million, compared to net loss of $(32.9) million in the prior year. Net restructuring charges were $40.4 million in 2020 compared to $16.9 million in the prior year.</w:t>
      </w:r>
    </w:p>
    <w:p>
      <w:pPr>
        <w:ind w:left="640" w:hanging="313"/>
        <w:spacing w:after="0"/>
        <w:tabs>
          <w:tab w:leader="none" w:pos="640" w:val="left"/>
        </w:tabs>
        <w:numPr>
          <w:ilvl w:val="0"/>
          <w:numId w:val="4"/>
        </w:numPr>
        <w:rPr>
          <w:rFonts w:ascii="Arial" w:cs="Arial" w:eastAsia="Arial" w:hAnsi="Arial"/>
          <w:sz w:val="18"/>
          <w:szCs w:val="18"/>
          <w:b w:val="1"/>
          <w:bCs w:val="1"/>
          <w:color w:val="auto"/>
        </w:rPr>
      </w:pPr>
      <w:r>
        <w:rPr>
          <w:rFonts w:ascii="Arial" w:cs="Arial" w:eastAsia="Arial" w:hAnsi="Arial"/>
          <w:sz w:val="18"/>
          <w:szCs w:val="18"/>
          <w:color w:val="auto"/>
        </w:rPr>
        <w:t>Basic and diluted earnings (loss) per share were $0.14 compared to $(2.05) in the prior year.</w:t>
      </w:r>
    </w:p>
    <w:p>
      <w:pPr>
        <w:spacing w:after="0" w:line="6" w:lineRule="exact"/>
        <w:rPr>
          <w:rFonts w:ascii="Arial" w:cs="Arial" w:eastAsia="Arial" w:hAnsi="Arial"/>
          <w:sz w:val="18"/>
          <w:szCs w:val="18"/>
          <w:b w:val="1"/>
          <w:bCs w:val="1"/>
          <w:color w:val="auto"/>
        </w:rPr>
      </w:pPr>
    </w:p>
    <w:p>
      <w:pPr>
        <w:ind w:left="640" w:hanging="313"/>
        <w:spacing w:after="0"/>
        <w:tabs>
          <w:tab w:leader="none" w:pos="640" w:val="left"/>
        </w:tabs>
        <w:numPr>
          <w:ilvl w:val="0"/>
          <w:numId w:val="4"/>
        </w:numPr>
        <w:rPr>
          <w:rFonts w:ascii="Arial" w:cs="Arial" w:eastAsia="Arial" w:hAnsi="Arial"/>
          <w:sz w:val="18"/>
          <w:szCs w:val="18"/>
          <w:b w:val="1"/>
          <w:bCs w:val="1"/>
          <w:color w:val="auto"/>
        </w:rPr>
      </w:pPr>
      <w:r>
        <w:rPr>
          <w:rFonts w:ascii="Arial" w:cs="Arial" w:eastAsia="Arial" w:hAnsi="Arial"/>
          <w:sz w:val="18"/>
          <w:szCs w:val="18"/>
          <w:color w:val="auto"/>
        </w:rPr>
        <w:t>Adjusted EBITDA was $125.9 million, an increase of 15.8% from the prior year.</w:t>
      </w:r>
    </w:p>
    <w:p>
      <w:pPr>
        <w:spacing w:after="0" w:line="6" w:lineRule="exact"/>
        <w:rPr>
          <w:rFonts w:ascii="Arial" w:cs="Arial" w:eastAsia="Arial" w:hAnsi="Arial"/>
          <w:sz w:val="18"/>
          <w:szCs w:val="18"/>
          <w:b w:val="1"/>
          <w:bCs w:val="1"/>
          <w:color w:val="auto"/>
        </w:rPr>
      </w:pPr>
    </w:p>
    <w:p>
      <w:pPr>
        <w:ind w:left="640" w:hanging="313"/>
        <w:spacing w:after="0"/>
        <w:tabs>
          <w:tab w:leader="none" w:pos="640" w:val="left"/>
        </w:tabs>
        <w:numPr>
          <w:ilvl w:val="0"/>
          <w:numId w:val="4"/>
        </w:numPr>
        <w:rPr>
          <w:rFonts w:ascii="Arial" w:cs="Arial" w:eastAsia="Arial" w:hAnsi="Arial"/>
          <w:sz w:val="18"/>
          <w:szCs w:val="18"/>
          <w:b w:val="1"/>
          <w:bCs w:val="1"/>
          <w:color w:val="auto"/>
        </w:rPr>
      </w:pPr>
      <w:r>
        <w:rPr>
          <w:rFonts w:ascii="Arial" w:cs="Arial" w:eastAsia="Arial" w:hAnsi="Arial"/>
          <w:sz w:val="18"/>
          <w:szCs w:val="18"/>
          <w:color w:val="auto"/>
        </w:rPr>
        <w:t>Adjusted EBITDA as a percentage of net sales was 2.7%, an increase of 80 basis points from the prior year.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276225</wp:posOffset>
            </wp:positionV>
            <wp:extent cx="7134225" cy="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134225" cy="8255"/>
                    </a:xfrm>
                    <a:prstGeom prst="rect">
                      <a:avLst/>
                    </a:prstGeom>
                    <a:noFill/>
                  </pic:spPr>
                </pic:pic>
              </a:graphicData>
            </a:graphic>
          </wp:anchor>
        </w:drawing>
      </w:r>
    </w:p>
    <w:p>
      <w:pPr>
        <w:sectPr>
          <w:pgSz w:w="11900" w:h="16838" w:orient="portrait"/>
          <w:cols w:equalWidth="0" w:num="1">
            <w:col w:w="11240"/>
          </w:cols>
          <w:pgMar w:left="320" w:top="361" w:right="339" w:bottom="1440" w:gutter="0" w:footer="0" w:header="0"/>
        </w:sectPr>
      </w:pPr>
    </w:p>
    <w:bookmarkStart w:id="4" w:name="page5"/>
    <w:bookmarkEnd w:id="4"/>
    <w:p>
      <w:pPr>
        <w:spacing w:after="0"/>
        <w:rPr>
          <w:sz w:val="20"/>
          <w:szCs w:val="20"/>
          <w:color w:val="auto"/>
        </w:rPr>
      </w:pPr>
      <w:r>
        <w:rPr>
          <w:rFonts w:ascii="Arial" w:cs="Arial" w:eastAsia="Arial" w:hAnsi="Arial"/>
          <w:sz w:val="18"/>
          <w:szCs w:val="18"/>
          <w:color w:val="auto"/>
        </w:rPr>
        <w:t>For the quarter ended September 30, 2020, net cash provided by operating activities was $54.2 million and free cash flow was $49.1 million.</w:t>
      </w:r>
    </w:p>
    <w:p>
      <w:pPr>
        <w:spacing w:after="0" w:line="220" w:lineRule="exact"/>
        <w:rPr>
          <w:sz w:val="20"/>
          <w:szCs w:val="20"/>
          <w:color w:val="auto"/>
        </w:rPr>
      </w:pPr>
    </w:p>
    <w:p>
      <w:pPr>
        <w:ind w:right="100"/>
        <w:spacing w:after="0" w:line="255" w:lineRule="auto"/>
        <w:rPr>
          <w:sz w:val="20"/>
          <w:szCs w:val="20"/>
          <w:color w:val="auto"/>
        </w:rPr>
      </w:pPr>
      <w:r>
        <w:rPr>
          <w:rFonts w:ascii="Arial" w:cs="Arial" w:eastAsia="Arial" w:hAnsi="Arial"/>
          <w:sz w:val="18"/>
          <w:szCs w:val="18"/>
          <w:color w:val="auto"/>
        </w:rPr>
        <w:t>"Our third quarter free cash flow generation was strong due to positive earnings, and lower days sales outstanding and days inventory on hand over sequential quarters, driven by our continuing efforts to improve working capital," said Stephen Smith, Senior Vice President and Chief Financial Officer. "Our liquidity position remains healthy, and at the end of September 2020, our net debt to Adjusted EBITDA leverage ratio was 2.4x, down from 3.6x in the prior year period and improved from the prior sequential quarter.</w:t>
      </w:r>
    </w:p>
    <w:p>
      <w:pPr>
        <w:spacing w:after="0" w:line="188" w:lineRule="exact"/>
        <w:rPr>
          <w:sz w:val="20"/>
          <w:szCs w:val="20"/>
          <w:color w:val="auto"/>
        </w:rPr>
      </w:pPr>
    </w:p>
    <w:p>
      <w:pPr>
        <w:ind w:right="280"/>
        <w:spacing w:after="0" w:line="270" w:lineRule="auto"/>
        <w:rPr>
          <w:sz w:val="20"/>
          <w:szCs w:val="20"/>
          <w:color w:val="auto"/>
        </w:rPr>
      </w:pPr>
      <w:r>
        <w:rPr>
          <w:rFonts w:ascii="Arial" w:cs="Arial" w:eastAsia="Arial" w:hAnsi="Arial"/>
          <w:sz w:val="18"/>
          <w:szCs w:val="18"/>
          <w:color w:val="auto"/>
        </w:rPr>
        <w:t>Due to the uncertainty and ongoing impacts of COVID-19, we withdrew our full-year guidance earlier this year. At this time, we expect the fourth quarter earnings will drive our 2020 full year Adjusted EBITDA above our 2019 full year Adjusted EBITDA.</w:t>
      </w:r>
    </w:p>
    <w:p>
      <w:pPr>
        <w:spacing w:after="0" w:line="175" w:lineRule="exact"/>
        <w:rPr>
          <w:sz w:val="20"/>
          <w:szCs w:val="20"/>
          <w:color w:val="auto"/>
        </w:rPr>
      </w:pPr>
    </w:p>
    <w:p>
      <w:pPr>
        <w:ind w:right="120"/>
        <w:spacing w:after="0" w:line="255" w:lineRule="auto"/>
        <w:rPr>
          <w:sz w:val="20"/>
          <w:szCs w:val="20"/>
          <w:color w:val="auto"/>
        </w:rPr>
      </w:pPr>
      <w:r>
        <w:rPr>
          <w:rFonts w:ascii="Arial" w:cs="Arial" w:eastAsia="Arial" w:hAnsi="Arial"/>
          <w:sz w:val="18"/>
          <w:szCs w:val="18"/>
          <w:color w:val="auto"/>
        </w:rPr>
        <w:t xml:space="preserve">Veritiv Corporation will host a live conference call and webcast today, November 5, 2020, at 10 a.m. (ET) to discuss its third quarter financial results. To participate, callers within the United States ("U.S.") and Canada can dial (833) 968-2246, and international callers can dial (825) 312-2066, both using conference ID number 6545339. Interested parties can also listen online at </w:t>
      </w:r>
      <w:r>
        <w:rPr>
          <w:rFonts w:ascii="Arial" w:cs="Arial" w:eastAsia="Arial" w:hAnsi="Arial"/>
          <w:sz w:val="18"/>
          <w:szCs w:val="18"/>
          <w:u w:val="single" w:color="auto"/>
          <w:color w:val="auto"/>
        </w:rPr>
        <w:t>ir.veritivcorp.com</w:t>
      </w:r>
      <w:r>
        <w:rPr>
          <w:rFonts w:ascii="Arial" w:cs="Arial" w:eastAsia="Arial" w:hAnsi="Arial"/>
          <w:sz w:val="18"/>
          <w:szCs w:val="18"/>
          <w:color w:val="auto"/>
        </w:rPr>
        <w:t xml:space="preserve">. A replay of the call and webcast will be available online for a limited period of time at </w:t>
      </w:r>
      <w:r>
        <w:rPr>
          <w:rFonts w:ascii="Arial" w:cs="Arial" w:eastAsia="Arial" w:hAnsi="Arial"/>
          <w:sz w:val="18"/>
          <w:szCs w:val="18"/>
          <w:u w:val="single" w:color="auto"/>
          <w:color w:val="auto"/>
        </w:rPr>
        <w:t>ir.veritivcorp.com</w:t>
      </w:r>
      <w:r>
        <w:rPr>
          <w:rFonts w:ascii="Arial" w:cs="Arial" w:eastAsia="Arial" w:hAnsi="Arial"/>
          <w:sz w:val="18"/>
          <w:szCs w:val="18"/>
          <w:color w:val="auto"/>
        </w:rPr>
        <w:t xml:space="preserve"> shortly after the live webcast is completed.</w:t>
      </w:r>
    </w:p>
    <w:p>
      <w:pPr>
        <w:spacing w:after="0" w:line="188" w:lineRule="exact"/>
        <w:rPr>
          <w:sz w:val="20"/>
          <w:szCs w:val="20"/>
          <w:color w:val="auto"/>
        </w:rPr>
      </w:pPr>
    </w:p>
    <w:p>
      <w:pPr>
        <w:ind w:right="120"/>
        <w:spacing w:after="0" w:line="300" w:lineRule="auto"/>
        <w:rPr>
          <w:sz w:val="20"/>
          <w:szCs w:val="20"/>
          <w:color w:val="auto"/>
        </w:rPr>
      </w:pPr>
      <w:r>
        <w:rPr>
          <w:rFonts w:ascii="Arial" w:cs="Arial" w:eastAsia="Arial" w:hAnsi="Arial"/>
          <w:sz w:val="17"/>
          <w:szCs w:val="17"/>
          <w:color w:val="auto"/>
        </w:rPr>
        <w:t>Important information regarding U.S. generally accepted accounting principles ("U.S. GAAP") and related reconciliations of non-GAAP financial measures to the most comparable U.S. GAAP measures can be found in the schedules to this press release, which should be thoroughly reviewed.</w:t>
      </w:r>
    </w:p>
    <w:p>
      <w:pPr>
        <w:spacing w:after="0" w:line="148" w:lineRule="exact"/>
        <w:rPr>
          <w:sz w:val="20"/>
          <w:szCs w:val="20"/>
          <w:color w:val="auto"/>
        </w:rPr>
      </w:pPr>
    </w:p>
    <w:p>
      <w:pPr>
        <w:spacing w:after="0"/>
        <w:rPr>
          <w:sz w:val="20"/>
          <w:szCs w:val="20"/>
          <w:color w:val="auto"/>
        </w:rPr>
      </w:pPr>
      <w:r>
        <w:rPr>
          <w:rFonts w:ascii="Arial" w:cs="Arial" w:eastAsia="Arial" w:hAnsi="Arial"/>
          <w:sz w:val="18"/>
          <w:szCs w:val="18"/>
          <w:b w:val="1"/>
          <w:bCs w:val="1"/>
          <w:color w:val="006600"/>
        </w:rPr>
        <w:t>About Veritiv</w:t>
      </w:r>
    </w:p>
    <w:p>
      <w:pPr>
        <w:spacing w:after="0" w:line="228" w:lineRule="exact"/>
        <w:rPr>
          <w:sz w:val="20"/>
          <w:szCs w:val="20"/>
          <w:color w:val="auto"/>
        </w:rPr>
      </w:pPr>
    </w:p>
    <w:p>
      <w:pPr>
        <w:ind w:right="80"/>
        <w:spacing w:after="0" w:line="258" w:lineRule="auto"/>
        <w:rPr>
          <w:sz w:val="20"/>
          <w:szCs w:val="20"/>
          <w:color w:val="auto"/>
        </w:rPr>
      </w:pPr>
      <w:r>
        <w:rPr>
          <w:rFonts w:ascii="Arial" w:cs="Arial" w:eastAsia="Arial" w:hAnsi="Arial"/>
          <w:sz w:val="16"/>
          <w:szCs w:val="16"/>
          <w:color w:val="auto"/>
        </w:rPr>
        <w:t>Veritiv Corporation (NYSE: VRTV), headquartered in Atlanta and a Fortune 500</w:t>
      </w:r>
      <w:r>
        <w:rPr>
          <w:rFonts w:ascii="Arial" w:cs="Arial" w:eastAsia="Arial" w:hAnsi="Arial"/>
          <w:sz w:val="26"/>
          <w:szCs w:val="26"/>
          <w:color w:val="auto"/>
          <w:vertAlign w:val="superscript"/>
        </w:rPr>
        <w:t>®</w:t>
      </w:r>
      <w:r>
        <w:rPr>
          <w:rFonts w:ascii="Arial" w:cs="Arial" w:eastAsia="Arial" w:hAnsi="Arial"/>
          <w:sz w:val="16"/>
          <w:szCs w:val="16"/>
          <w:color w:val="auto"/>
        </w:rPr>
        <w:t xml:space="preserve"> company, is a leading North American business-to-business distributor of packaging, facility solutions, print and publishing products and services. Additionally, Veritiv provides logistics and supply chain management solutions. Serving customers in a wide range of industries, Veritiv has distribution centers throughout the U.S., Canada and Mexico, and team members around the world helping shape the success of its customers. For more information about Veritiv and its business segments visit </w:t>
      </w:r>
      <w:r>
        <w:rPr>
          <w:rFonts w:ascii="Arial" w:cs="Arial" w:eastAsia="Arial" w:hAnsi="Arial"/>
          <w:sz w:val="16"/>
          <w:szCs w:val="16"/>
          <w:b w:val="1"/>
          <w:bCs w:val="1"/>
          <w:u w:val="single" w:color="auto"/>
          <w:color w:val="auto"/>
        </w:rPr>
        <w:t>www.veritivcorp.com</w:t>
      </w:r>
      <w:r>
        <w:rPr>
          <w:rFonts w:ascii="Arial" w:cs="Arial" w:eastAsia="Arial" w:hAnsi="Arial"/>
          <w:sz w:val="16"/>
          <w:szCs w:val="16"/>
          <w:b w:val="1"/>
          <w:bCs w:val="1"/>
          <w:color w:val="auto"/>
        </w:rPr>
        <w:t>.</w:t>
      </w:r>
    </w:p>
    <w:p>
      <w:pPr>
        <w:spacing w:after="0" w:line="185" w:lineRule="exact"/>
        <w:rPr>
          <w:sz w:val="20"/>
          <w:szCs w:val="20"/>
          <w:color w:val="auto"/>
        </w:rPr>
      </w:pPr>
    </w:p>
    <w:p>
      <w:pPr>
        <w:spacing w:after="0"/>
        <w:rPr>
          <w:sz w:val="20"/>
          <w:szCs w:val="20"/>
          <w:color w:val="auto"/>
        </w:rPr>
      </w:pPr>
      <w:r>
        <w:rPr>
          <w:rFonts w:ascii="Arial" w:cs="Arial" w:eastAsia="Arial" w:hAnsi="Arial"/>
          <w:sz w:val="18"/>
          <w:szCs w:val="18"/>
          <w:b w:val="1"/>
          <w:bCs w:val="1"/>
          <w:color w:val="006600"/>
        </w:rPr>
        <w:t>Safe Harbor Provision</w:t>
      </w:r>
    </w:p>
    <w:p>
      <w:pPr>
        <w:spacing w:after="0" w:line="224" w:lineRule="exact"/>
        <w:rPr>
          <w:sz w:val="20"/>
          <w:szCs w:val="20"/>
          <w:color w:val="auto"/>
        </w:rPr>
      </w:pPr>
    </w:p>
    <w:p>
      <w:pPr>
        <w:spacing w:after="0" w:line="285" w:lineRule="auto"/>
        <w:rPr>
          <w:sz w:val="20"/>
          <w:szCs w:val="20"/>
          <w:color w:val="auto"/>
        </w:rPr>
      </w:pPr>
      <w:r>
        <w:rPr>
          <w:rFonts w:ascii="Arial" w:cs="Arial" w:eastAsia="Arial" w:hAnsi="Arial"/>
          <w:sz w:val="16"/>
          <w:szCs w:val="16"/>
          <w:color w:val="auto"/>
        </w:rPr>
        <w:t>Certain statements contained in this press release regarding Veritiv Corporation’s (the "Company") future operating results, performance, business plans, including prospects, guidance, the 2020 Restructuring Plan and any other restructuring, statements related to the impact of COVID-19 and any other statements not constituting historical fact are "forward-looking statements" subject to the safe harbor created by the Private Securities Litigation Reform Act of 1995. Where possible, the words "believe," "expect," "anticipate," "continue," "intend," "should," "will," "would," "planned," "estimated," "potential," "goal," "outlook," "may," "predicts," "could," or the negative of such terms, or other comparable expressions, as they relate to the Company or its business, have been used to identify such forward-looking statements. All forward-looking statements reflect only the Company’s current beliefs and assumptions with respect to future operating results, performance, business plans, prospects, guidance and other matters, and are based on information currently available to the Company. Accordingly, the statements are subject to significant risks, uncertainties and contingencies, which could cause the Company’s actual operating results, performance, business plans, prospects or guidance to differ materially from those expressed in, or implied by, these statements.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251460</wp:posOffset>
            </wp:positionV>
            <wp:extent cx="7134225" cy="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134225" cy="8255"/>
                    </a:xfrm>
                    <a:prstGeom prst="rect">
                      <a:avLst/>
                    </a:prstGeom>
                    <a:noFill/>
                  </pic:spPr>
                </pic:pic>
              </a:graphicData>
            </a:graphic>
          </wp:anchor>
        </w:drawing>
      </w:r>
    </w:p>
    <w:p>
      <w:pPr>
        <w:sectPr>
          <w:pgSz w:w="11900" w:h="16838" w:orient="portrait"/>
          <w:cols w:equalWidth="0" w:num="1">
            <w:col w:w="11240"/>
          </w:cols>
          <w:pgMar w:left="320" w:top="899" w:right="339" w:bottom="1440" w:gutter="0" w:footer="0" w:header="0"/>
        </w:sectPr>
      </w:pPr>
    </w:p>
    <w:bookmarkStart w:id="5" w:name="page6"/>
    <w:bookmarkEnd w:id="5"/>
    <w:p>
      <w:pPr>
        <w:spacing w:after="0"/>
        <w:rPr>
          <w:sz w:val="20"/>
          <w:szCs w:val="20"/>
          <w:color w:val="auto"/>
        </w:rPr>
      </w:pPr>
      <w:r>
        <w:rPr>
          <w:rFonts w:ascii="Arial" w:cs="Arial" w:eastAsia="Arial" w:hAnsi="Arial"/>
          <w:sz w:val="16"/>
          <w:szCs w:val="16"/>
          <w:color w:val="auto"/>
        </w:rPr>
        <w:t>Factors that could cause actual results to differ materially from current expectations include risks and other factors described under "Risk Factors" in our</w:t>
      </w:r>
    </w:p>
    <w:p>
      <w:pPr>
        <w:spacing w:after="0" w:line="42" w:lineRule="exact"/>
        <w:rPr>
          <w:sz w:val="20"/>
          <w:szCs w:val="20"/>
          <w:color w:val="auto"/>
        </w:rPr>
      </w:pPr>
    </w:p>
    <w:p>
      <w:pPr>
        <w:spacing w:after="0"/>
        <w:rPr>
          <w:sz w:val="20"/>
          <w:szCs w:val="20"/>
          <w:color w:val="auto"/>
        </w:rPr>
      </w:pPr>
      <w:r>
        <w:rPr>
          <w:rFonts w:ascii="Arial" w:cs="Arial" w:eastAsia="Arial" w:hAnsi="Arial"/>
          <w:sz w:val="16"/>
          <w:szCs w:val="16"/>
          <w:color w:val="auto"/>
        </w:rPr>
        <w:t>Annual Report on Form 10-K and subsequent Quarterly Reports on Form 10-Q and elsewhere in the Company’s publicly available reports filed with the</w:t>
      </w:r>
    </w:p>
    <w:p>
      <w:pPr>
        <w:spacing w:after="0" w:line="29" w:lineRule="exact"/>
        <w:rPr>
          <w:sz w:val="20"/>
          <w:szCs w:val="20"/>
          <w:color w:val="auto"/>
        </w:rPr>
      </w:pPr>
    </w:p>
    <w:p>
      <w:pPr>
        <w:spacing w:after="0" w:line="280" w:lineRule="auto"/>
        <w:rPr>
          <w:sz w:val="20"/>
          <w:szCs w:val="20"/>
          <w:color w:val="auto"/>
        </w:rPr>
      </w:pPr>
      <w:r>
        <w:rPr>
          <w:rFonts w:ascii="Arial" w:cs="Arial" w:eastAsia="Arial" w:hAnsi="Arial"/>
          <w:sz w:val="16"/>
          <w:szCs w:val="16"/>
          <w:color w:val="auto"/>
        </w:rPr>
        <w:t>Securities and Exchange Commission ("SEC"), which contain a discussion of various factors that may affect the Company’s business or financial results. Such risks and other factors, which in some instances are beyond the Company’s control, include: the industry-wide decline in demand for paper and related products; adverse impacts of the COVID-19 pandemic; uncertainties as to the structure, timing, benefits and costs of the 2020 Restructuring Plan or any future restructuring plan that the Company may undertake; increased competition from existing and non-traditional sources; adverse developments in general business and economic conditions as well as conditions in the global capital and credit markets impacting our Company and our customers; foreign currency fluctuations; our ability to attract, train and retain highly qualified employees; the effects of work stoppages, union negotiations and labor disputes; the loss of any of our significant customers; changes in business conditions in our international operations; procurement and other risks in obtaining packaging, facility products and paper from our suppliers for resale to our customers; changes in prices for raw materials; increases in the cost of fuel and third-party freight and the availability of third-party freight providers; changes in trade policies and regulations; inclement weather, widespread outbreak of an illness or responses thereto, anti-terrorism measures and other disruptions to our supply chain, distribution system and operations; our dependence on a variety of information technology and telecommunications systems and the Internet; our reliance on third-party vendors for various services; cybersecurity risks; costs to comply with laws, rules and regulations, including environmental, health and safety laws, and to satisfy any liability or obligation imposed under such laws; regulatory changes and judicial rulings impacting our business; adverse results from litigation, governmental investigations or audits, or tax-related proceedings or audits; our ability to adequately protect our material intellectual property and other proprietary rights, or to defend successfully against intellectual property infringement claims by third parties; our pension and health care costs and participation in multi-employer pension, health and welfare plans; increasing interest rates; our ability to generate sufficient cash to service our debt; our ability to comply with the covenants contained in our debt agreements; our ability to refinance or restructure our debt on reasonable terms and conditions as might be necessary from time to time; changes in accounting standards and methodologies; and other events of which we are presently unaware or that we currently deem immaterial that may result in unexpected adverse operating results. The Company is not responsible for updating the information contained in this press release beyond the published date, or for changes made to this document by wire services or Internet service providers. This press release is being furnished to the SEC through a Form 8-K. The Company’s Quarterly Report on Form 10-Q for the three and nine months ended September 30, 2020 to be filed with the SEC may contain updates to the information included in this release.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255905</wp:posOffset>
            </wp:positionV>
            <wp:extent cx="7134225" cy="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134225" cy="8255"/>
                    </a:xfrm>
                    <a:prstGeom prst="rect">
                      <a:avLst/>
                    </a:prstGeom>
                    <a:noFill/>
                  </pic:spPr>
                </pic:pic>
              </a:graphicData>
            </a:graphic>
          </wp:anchor>
        </w:drawing>
      </w:r>
    </w:p>
    <w:p>
      <w:pPr>
        <w:sectPr>
          <w:pgSz w:w="11900" w:h="16838" w:orient="portrait"/>
          <w:cols w:equalWidth="0" w:num="1">
            <w:col w:w="11240"/>
          </w:cols>
          <w:pgMar w:left="320" w:top="899" w:right="339" w:bottom="1440" w:gutter="0" w:footer="0" w:header="0"/>
        </w:sectPr>
      </w:pPr>
    </w:p>
    <w:bookmarkStart w:id="6" w:name="page7"/>
    <w:bookmarkEnd w:id="6"/>
    <w:tbl>
      <w:tblPr>
        <w:tblLayout w:type="fixed"/>
        <w:tblInd w:w="0" w:type="dxa"/>
        <w:tblCellMar>
          <w:top w:w="0" w:type="dxa"/>
          <w:left w:w="0" w:type="dxa"/>
          <w:bottom w:w="0" w:type="dxa"/>
          <w:right w:w="0" w:type="dxa"/>
        </w:tblCellMar>
      </w:tblPr>
      <w:tr>
        <w:trPr>
          <w:trHeight w:val="230"/>
        </w:trPr>
        <w:tc>
          <w:tcPr>
            <w:tcW w:w="2840" w:type="dxa"/>
            <w:vAlign w:val="bottom"/>
          </w:tcPr>
          <w:p>
            <w:pPr>
              <w:spacing w:after="0"/>
              <w:rPr>
                <w:sz w:val="20"/>
                <w:szCs w:val="20"/>
                <w:color w:val="auto"/>
              </w:rPr>
            </w:pPr>
            <w:r>
              <w:rPr>
                <w:rFonts w:ascii="Arial" w:cs="Arial" w:eastAsia="Arial" w:hAnsi="Arial"/>
                <w:sz w:val="18"/>
                <w:szCs w:val="18"/>
                <w:b w:val="1"/>
                <w:bCs w:val="1"/>
                <w:color w:val="006600"/>
              </w:rPr>
              <w:t>Financial Statements</w:t>
            </w:r>
          </w:p>
        </w:tc>
        <w:tc>
          <w:tcPr>
            <w:tcW w:w="27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9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8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9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800" w:type="dxa"/>
            <w:vAlign w:val="bottom"/>
          </w:tcPr>
          <w:p>
            <w:pPr>
              <w:spacing w:after="0"/>
              <w:rPr>
                <w:sz w:val="20"/>
                <w:szCs w:val="20"/>
                <w:color w:val="auto"/>
              </w:rPr>
            </w:pPr>
          </w:p>
        </w:tc>
        <w:tc>
          <w:tcPr>
            <w:tcW w:w="100" w:type="dxa"/>
            <w:vAlign w:val="bottom"/>
          </w:tcPr>
          <w:p>
            <w:pPr>
              <w:spacing w:after="0"/>
              <w:rPr>
                <w:sz w:val="20"/>
                <w:szCs w:val="20"/>
                <w:color w:val="auto"/>
              </w:rPr>
            </w:pPr>
          </w:p>
        </w:tc>
      </w:tr>
      <w:tr>
        <w:trPr>
          <w:trHeight w:val="623"/>
        </w:trPr>
        <w:tc>
          <w:tcPr>
            <w:tcW w:w="2840" w:type="dxa"/>
            <w:vAlign w:val="bottom"/>
          </w:tcPr>
          <w:p>
            <w:pPr>
              <w:spacing w:after="0"/>
              <w:rPr>
                <w:sz w:val="24"/>
                <w:szCs w:val="24"/>
                <w:color w:val="auto"/>
              </w:rPr>
            </w:pPr>
          </w:p>
        </w:tc>
        <w:tc>
          <w:tcPr>
            <w:tcW w:w="4180" w:type="dxa"/>
            <w:vAlign w:val="bottom"/>
            <w:gridSpan w:val="4"/>
          </w:tcPr>
          <w:p>
            <w:pPr>
              <w:jc w:val="center"/>
              <w:ind w:left="1311"/>
              <w:spacing w:after="0"/>
              <w:rPr>
                <w:sz w:val="20"/>
                <w:szCs w:val="20"/>
                <w:color w:val="auto"/>
              </w:rPr>
            </w:pPr>
            <w:r>
              <w:rPr>
                <w:rFonts w:ascii="Arial" w:cs="Arial" w:eastAsia="Arial" w:hAnsi="Arial"/>
                <w:sz w:val="18"/>
                <w:szCs w:val="18"/>
                <w:b w:val="1"/>
                <w:bCs w:val="1"/>
                <w:color w:val="auto"/>
              </w:rPr>
              <w:t>VERITIV CORPORATION</w:t>
            </w:r>
          </w:p>
        </w:tc>
        <w:tc>
          <w:tcPr>
            <w:tcW w:w="42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100" w:type="dxa"/>
            <w:vAlign w:val="bottom"/>
          </w:tcPr>
          <w:p>
            <w:pPr>
              <w:spacing w:after="0"/>
              <w:rPr>
                <w:sz w:val="24"/>
                <w:szCs w:val="24"/>
                <w:color w:val="auto"/>
              </w:rPr>
            </w:pPr>
          </w:p>
        </w:tc>
      </w:tr>
      <w:tr>
        <w:trPr>
          <w:trHeight w:val="217"/>
        </w:trPr>
        <w:tc>
          <w:tcPr>
            <w:tcW w:w="2840" w:type="dxa"/>
            <w:vAlign w:val="bottom"/>
          </w:tcPr>
          <w:p>
            <w:pPr>
              <w:spacing w:after="0"/>
              <w:rPr>
                <w:sz w:val="18"/>
                <w:szCs w:val="18"/>
                <w:color w:val="auto"/>
              </w:rPr>
            </w:pPr>
          </w:p>
        </w:tc>
        <w:tc>
          <w:tcPr>
            <w:tcW w:w="5620" w:type="dxa"/>
            <w:vAlign w:val="bottom"/>
            <w:gridSpan w:val="7"/>
          </w:tcPr>
          <w:p>
            <w:pPr>
              <w:jc w:val="center"/>
              <w:ind w:right="60"/>
              <w:spacing w:after="0"/>
              <w:rPr>
                <w:sz w:val="20"/>
                <w:szCs w:val="20"/>
                <w:color w:val="auto"/>
              </w:rPr>
            </w:pPr>
            <w:r>
              <w:rPr>
                <w:rFonts w:ascii="Arial" w:cs="Arial" w:eastAsia="Arial" w:hAnsi="Arial"/>
                <w:sz w:val="18"/>
                <w:szCs w:val="18"/>
                <w:b w:val="1"/>
                <w:bCs w:val="1"/>
                <w:color w:val="auto"/>
                <w:w w:val="97"/>
              </w:rPr>
              <w:t>CONDENSED CONSOLIDATED STATEMENTS OF OPERATIONS</w:t>
            </w:r>
          </w:p>
        </w:tc>
        <w:tc>
          <w:tcPr>
            <w:tcW w:w="2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26"/>
        </w:trPr>
        <w:tc>
          <w:tcPr>
            <w:tcW w:w="2840" w:type="dxa"/>
            <w:vAlign w:val="bottom"/>
          </w:tcPr>
          <w:p>
            <w:pPr>
              <w:spacing w:after="0"/>
              <w:rPr>
                <w:sz w:val="19"/>
                <w:szCs w:val="19"/>
                <w:color w:val="auto"/>
              </w:rPr>
            </w:pPr>
          </w:p>
        </w:tc>
        <w:tc>
          <w:tcPr>
            <w:tcW w:w="4600" w:type="dxa"/>
            <w:vAlign w:val="bottom"/>
            <w:gridSpan w:val="5"/>
          </w:tcPr>
          <w:p>
            <w:pPr>
              <w:jc w:val="center"/>
              <w:ind w:left="891"/>
              <w:spacing w:after="0"/>
              <w:rPr>
                <w:sz w:val="20"/>
                <w:szCs w:val="20"/>
                <w:color w:val="auto"/>
              </w:rPr>
            </w:pPr>
            <w:r>
              <w:rPr>
                <w:rFonts w:ascii="Arial" w:cs="Arial" w:eastAsia="Arial" w:hAnsi="Arial"/>
                <w:sz w:val="18"/>
                <w:szCs w:val="18"/>
                <w:color w:val="auto"/>
                <w:w w:val="89"/>
              </w:rPr>
              <w:t>(in millions, except per share data, unaudited)</w:t>
            </w:r>
          </w:p>
        </w:tc>
        <w:tc>
          <w:tcPr>
            <w:tcW w:w="8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100" w:type="dxa"/>
            <w:vAlign w:val="bottom"/>
          </w:tcPr>
          <w:p>
            <w:pPr>
              <w:spacing w:after="0"/>
              <w:rPr>
                <w:sz w:val="19"/>
                <w:szCs w:val="19"/>
                <w:color w:val="auto"/>
              </w:rPr>
            </w:pPr>
          </w:p>
        </w:tc>
      </w:tr>
      <w:tr>
        <w:trPr>
          <w:trHeight w:val="437"/>
        </w:trPr>
        <w:tc>
          <w:tcPr>
            <w:tcW w:w="2840" w:type="dxa"/>
            <w:vAlign w:val="bottom"/>
          </w:tcPr>
          <w:p>
            <w:pPr>
              <w:spacing w:after="0"/>
              <w:rPr>
                <w:sz w:val="24"/>
                <w:szCs w:val="24"/>
                <w:color w:val="auto"/>
              </w:rPr>
            </w:pPr>
          </w:p>
        </w:tc>
        <w:tc>
          <w:tcPr>
            <w:tcW w:w="27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660" w:type="dxa"/>
            <w:vAlign w:val="bottom"/>
            <w:gridSpan w:val="5"/>
          </w:tcPr>
          <w:p>
            <w:pPr>
              <w:jc w:val="right"/>
              <w:ind w:right="760"/>
              <w:spacing w:after="0"/>
              <w:rPr>
                <w:sz w:val="20"/>
                <w:szCs w:val="20"/>
                <w:color w:val="auto"/>
              </w:rPr>
            </w:pPr>
            <w:r>
              <w:rPr>
                <w:rFonts w:ascii="Arial" w:cs="Arial" w:eastAsia="Arial" w:hAnsi="Arial"/>
                <w:sz w:val="18"/>
                <w:szCs w:val="18"/>
                <w:b w:val="1"/>
                <w:bCs w:val="1"/>
                <w:color w:val="auto"/>
              </w:rPr>
              <w:t>Three Months Ended</w:t>
            </w:r>
          </w:p>
        </w:tc>
        <w:tc>
          <w:tcPr>
            <w:tcW w:w="260" w:type="dxa"/>
            <w:vAlign w:val="bottom"/>
          </w:tcPr>
          <w:p>
            <w:pPr>
              <w:spacing w:after="0"/>
              <w:rPr>
                <w:sz w:val="24"/>
                <w:szCs w:val="24"/>
                <w:color w:val="auto"/>
              </w:rPr>
            </w:pPr>
          </w:p>
        </w:tc>
        <w:tc>
          <w:tcPr>
            <w:tcW w:w="2520" w:type="dxa"/>
            <w:vAlign w:val="bottom"/>
            <w:gridSpan w:val="5"/>
          </w:tcPr>
          <w:p>
            <w:pPr>
              <w:jc w:val="right"/>
              <w:ind w:right="602"/>
              <w:spacing w:after="0"/>
              <w:rPr>
                <w:sz w:val="20"/>
                <w:szCs w:val="20"/>
                <w:color w:val="auto"/>
              </w:rPr>
            </w:pPr>
            <w:r>
              <w:rPr>
                <w:rFonts w:ascii="Arial" w:cs="Arial" w:eastAsia="Arial" w:hAnsi="Arial"/>
                <w:sz w:val="18"/>
                <w:szCs w:val="18"/>
                <w:b w:val="1"/>
                <w:bCs w:val="1"/>
                <w:color w:val="auto"/>
              </w:rPr>
              <w:t>Nine Months Ended</w:t>
            </w:r>
          </w:p>
        </w:tc>
      </w:tr>
      <w:tr>
        <w:trPr>
          <w:trHeight w:val="231"/>
        </w:trPr>
        <w:tc>
          <w:tcPr>
            <w:tcW w:w="2840" w:type="dxa"/>
            <w:vAlign w:val="bottom"/>
          </w:tcPr>
          <w:p>
            <w:pPr>
              <w:spacing w:after="0"/>
              <w:rPr>
                <w:sz w:val="20"/>
                <w:szCs w:val="20"/>
                <w:color w:val="auto"/>
              </w:rPr>
            </w:pPr>
          </w:p>
        </w:tc>
        <w:tc>
          <w:tcPr>
            <w:tcW w:w="2700" w:type="dxa"/>
            <w:vAlign w:val="bottom"/>
          </w:tcPr>
          <w:p>
            <w:pPr>
              <w:spacing w:after="0"/>
              <w:rPr>
                <w:sz w:val="20"/>
                <w:szCs w:val="20"/>
                <w:color w:val="auto"/>
              </w:rPr>
            </w:pPr>
          </w:p>
        </w:tc>
        <w:tc>
          <w:tcPr>
            <w:tcW w:w="260" w:type="dxa"/>
            <w:vAlign w:val="bottom"/>
            <w:tcBorders>
              <w:bottom w:val="single" w:sz="8" w:color="auto"/>
            </w:tcBorders>
          </w:tcPr>
          <w:p>
            <w:pPr>
              <w:spacing w:after="0"/>
              <w:rPr>
                <w:sz w:val="20"/>
                <w:szCs w:val="20"/>
                <w:color w:val="auto"/>
              </w:rPr>
            </w:pPr>
          </w:p>
        </w:tc>
        <w:tc>
          <w:tcPr>
            <w:tcW w:w="1640" w:type="dxa"/>
            <w:vAlign w:val="bottom"/>
            <w:tcBorders>
              <w:bottom w:val="single" w:sz="8" w:color="auto"/>
            </w:tcBorders>
            <w:gridSpan w:val="3"/>
          </w:tcPr>
          <w:p>
            <w:pPr>
              <w:jc w:val="right"/>
              <w:spacing w:after="0"/>
              <w:rPr>
                <w:sz w:val="20"/>
                <w:szCs w:val="20"/>
                <w:color w:val="auto"/>
              </w:rPr>
            </w:pPr>
            <w:r>
              <w:rPr>
                <w:rFonts w:ascii="Arial" w:cs="Arial" w:eastAsia="Arial" w:hAnsi="Arial"/>
                <w:sz w:val="18"/>
                <w:szCs w:val="18"/>
                <w:b w:val="1"/>
                <w:bCs w:val="1"/>
                <w:color w:val="auto"/>
              </w:rPr>
              <w:t>September 30,</w:t>
            </w:r>
          </w:p>
        </w:tc>
        <w:tc>
          <w:tcPr>
            <w:tcW w:w="820" w:type="dxa"/>
            <w:vAlign w:val="bottom"/>
            <w:tcBorders>
              <w:bottom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260" w:type="dxa"/>
            <w:vAlign w:val="bottom"/>
            <w:tcBorders>
              <w:bottom w:val="single" w:sz="8" w:color="auto"/>
            </w:tcBorders>
          </w:tcPr>
          <w:p>
            <w:pPr>
              <w:spacing w:after="0"/>
              <w:rPr>
                <w:sz w:val="20"/>
                <w:szCs w:val="20"/>
                <w:color w:val="auto"/>
              </w:rPr>
            </w:pPr>
          </w:p>
        </w:tc>
        <w:tc>
          <w:tcPr>
            <w:tcW w:w="1620" w:type="dxa"/>
            <w:vAlign w:val="bottom"/>
            <w:tcBorders>
              <w:bottom w:val="single" w:sz="8" w:color="auto"/>
            </w:tcBorders>
            <w:gridSpan w:val="3"/>
          </w:tcPr>
          <w:p>
            <w:pPr>
              <w:jc w:val="right"/>
              <w:spacing w:after="0"/>
              <w:rPr>
                <w:sz w:val="20"/>
                <w:szCs w:val="20"/>
                <w:color w:val="auto"/>
              </w:rPr>
            </w:pPr>
            <w:r>
              <w:rPr>
                <w:rFonts w:ascii="Arial" w:cs="Arial" w:eastAsia="Arial" w:hAnsi="Arial"/>
                <w:sz w:val="18"/>
                <w:szCs w:val="18"/>
                <w:b w:val="1"/>
                <w:bCs w:val="1"/>
                <w:color w:val="auto"/>
              </w:rPr>
              <w:t>September 30,</w:t>
            </w:r>
          </w:p>
        </w:tc>
        <w:tc>
          <w:tcPr>
            <w:tcW w:w="800" w:type="dxa"/>
            <w:vAlign w:val="bottom"/>
            <w:tcBorders>
              <w:bottom w:val="single" w:sz="8" w:color="auto"/>
            </w:tcBorders>
          </w:tcPr>
          <w:p>
            <w:pPr>
              <w:spacing w:after="0"/>
              <w:rPr>
                <w:sz w:val="20"/>
                <w:szCs w:val="20"/>
                <w:color w:val="auto"/>
              </w:rPr>
            </w:pPr>
          </w:p>
        </w:tc>
        <w:tc>
          <w:tcPr>
            <w:tcW w:w="100" w:type="dxa"/>
            <w:vAlign w:val="bottom"/>
          </w:tcPr>
          <w:p>
            <w:pPr>
              <w:spacing w:after="0"/>
              <w:rPr>
                <w:sz w:val="20"/>
                <w:szCs w:val="20"/>
                <w:color w:val="auto"/>
              </w:rPr>
            </w:pPr>
          </w:p>
        </w:tc>
      </w:tr>
      <w:tr>
        <w:trPr>
          <w:trHeight w:val="221"/>
        </w:trPr>
        <w:tc>
          <w:tcPr>
            <w:tcW w:w="2840" w:type="dxa"/>
            <w:vAlign w:val="bottom"/>
            <w:tcBorders>
              <w:bottom w:val="single" w:sz="8" w:color="CCEEFF"/>
            </w:tcBorders>
          </w:tcPr>
          <w:p>
            <w:pPr>
              <w:spacing w:after="0"/>
              <w:rPr>
                <w:sz w:val="19"/>
                <w:szCs w:val="19"/>
                <w:color w:val="auto"/>
              </w:rPr>
            </w:pPr>
          </w:p>
        </w:tc>
        <w:tc>
          <w:tcPr>
            <w:tcW w:w="2700" w:type="dxa"/>
            <w:vAlign w:val="bottom"/>
            <w:tcBorders>
              <w:bottom w:val="single" w:sz="8" w:color="CCEEFF"/>
            </w:tcBorders>
          </w:tcPr>
          <w:p>
            <w:pPr>
              <w:spacing w:after="0"/>
              <w:rPr>
                <w:sz w:val="19"/>
                <w:szCs w:val="19"/>
                <w:color w:val="auto"/>
              </w:rPr>
            </w:pPr>
          </w:p>
        </w:tc>
        <w:tc>
          <w:tcPr>
            <w:tcW w:w="260" w:type="dxa"/>
            <w:vAlign w:val="bottom"/>
            <w:tcBorders>
              <w:bottom w:val="single" w:sz="8" w:color="auto"/>
            </w:tcBorders>
          </w:tcPr>
          <w:p>
            <w:pPr>
              <w:spacing w:after="0"/>
              <w:rPr>
                <w:sz w:val="19"/>
                <w:szCs w:val="19"/>
                <w:color w:val="auto"/>
              </w:rPr>
            </w:pPr>
          </w:p>
        </w:tc>
        <w:tc>
          <w:tcPr>
            <w:tcW w:w="980" w:type="dxa"/>
            <w:vAlign w:val="bottom"/>
            <w:tcBorders>
              <w:bottom w:val="single" w:sz="8" w:color="auto"/>
            </w:tcBorders>
          </w:tcPr>
          <w:p>
            <w:pPr>
              <w:jc w:val="right"/>
              <w:ind w:right="351"/>
              <w:spacing w:after="0"/>
              <w:rPr>
                <w:sz w:val="20"/>
                <w:szCs w:val="20"/>
                <w:color w:val="auto"/>
              </w:rPr>
            </w:pPr>
            <w:r>
              <w:rPr>
                <w:rFonts w:ascii="Arial" w:cs="Arial" w:eastAsia="Arial" w:hAnsi="Arial"/>
                <w:sz w:val="18"/>
                <w:szCs w:val="18"/>
                <w:b w:val="1"/>
                <w:bCs w:val="1"/>
                <w:color w:val="auto"/>
              </w:rPr>
              <w:t>2020</w:t>
            </w:r>
          </w:p>
        </w:tc>
        <w:tc>
          <w:tcPr>
            <w:tcW w:w="240" w:type="dxa"/>
            <w:vAlign w:val="bottom"/>
            <w:tcBorders>
              <w:bottom w:val="single" w:sz="8" w:color="CCEEFF"/>
            </w:tcBorders>
          </w:tcPr>
          <w:p>
            <w:pPr>
              <w:spacing w:after="0"/>
              <w:rPr>
                <w:sz w:val="19"/>
                <w:szCs w:val="19"/>
                <w:color w:val="auto"/>
              </w:rPr>
            </w:pPr>
          </w:p>
        </w:tc>
        <w:tc>
          <w:tcPr>
            <w:tcW w:w="420" w:type="dxa"/>
            <w:vAlign w:val="bottom"/>
            <w:tcBorders>
              <w:bottom w:val="single" w:sz="8" w:color="auto"/>
            </w:tcBorders>
          </w:tcPr>
          <w:p>
            <w:pPr>
              <w:spacing w:after="0"/>
              <w:rPr>
                <w:sz w:val="19"/>
                <w:szCs w:val="19"/>
                <w:color w:val="auto"/>
              </w:rPr>
            </w:pPr>
          </w:p>
        </w:tc>
        <w:tc>
          <w:tcPr>
            <w:tcW w:w="820" w:type="dxa"/>
            <w:vAlign w:val="bottom"/>
            <w:tcBorders>
              <w:bottom w:val="single" w:sz="8" w:color="auto"/>
            </w:tcBorders>
          </w:tcPr>
          <w:p>
            <w:pPr>
              <w:jc w:val="right"/>
              <w:ind w:right="351"/>
              <w:spacing w:after="0"/>
              <w:rPr>
                <w:sz w:val="20"/>
                <w:szCs w:val="20"/>
                <w:color w:val="auto"/>
              </w:rPr>
            </w:pPr>
            <w:r>
              <w:rPr>
                <w:rFonts w:ascii="Arial" w:cs="Arial" w:eastAsia="Arial" w:hAnsi="Arial"/>
                <w:sz w:val="18"/>
                <w:szCs w:val="18"/>
                <w:b w:val="1"/>
                <w:bCs w:val="1"/>
                <w:color w:val="auto"/>
                <w:w w:val="89"/>
              </w:rPr>
              <w:t>2019</w:t>
            </w:r>
          </w:p>
        </w:tc>
        <w:tc>
          <w:tcPr>
            <w:tcW w:w="200" w:type="dxa"/>
            <w:vAlign w:val="bottom"/>
            <w:tcBorders>
              <w:bottom w:val="single" w:sz="8" w:color="CCEEFF"/>
            </w:tcBorders>
          </w:tcPr>
          <w:p>
            <w:pPr>
              <w:spacing w:after="0"/>
              <w:rPr>
                <w:sz w:val="19"/>
                <w:szCs w:val="19"/>
                <w:color w:val="auto"/>
              </w:rPr>
            </w:pPr>
          </w:p>
        </w:tc>
        <w:tc>
          <w:tcPr>
            <w:tcW w:w="260" w:type="dxa"/>
            <w:vAlign w:val="bottom"/>
            <w:tcBorders>
              <w:bottom w:val="single" w:sz="8" w:color="auto"/>
            </w:tcBorders>
          </w:tcPr>
          <w:p>
            <w:pPr>
              <w:spacing w:after="0"/>
              <w:rPr>
                <w:sz w:val="19"/>
                <w:szCs w:val="19"/>
                <w:color w:val="auto"/>
              </w:rPr>
            </w:pPr>
          </w:p>
        </w:tc>
        <w:tc>
          <w:tcPr>
            <w:tcW w:w="980" w:type="dxa"/>
            <w:vAlign w:val="bottom"/>
            <w:tcBorders>
              <w:bottom w:val="single" w:sz="8" w:color="auto"/>
            </w:tcBorders>
          </w:tcPr>
          <w:p>
            <w:pPr>
              <w:jc w:val="right"/>
              <w:ind w:right="351"/>
              <w:spacing w:after="0"/>
              <w:rPr>
                <w:sz w:val="20"/>
                <w:szCs w:val="20"/>
                <w:color w:val="auto"/>
              </w:rPr>
            </w:pPr>
            <w:r>
              <w:rPr>
                <w:rFonts w:ascii="Arial" w:cs="Arial" w:eastAsia="Arial" w:hAnsi="Arial"/>
                <w:sz w:val="18"/>
                <w:szCs w:val="18"/>
                <w:b w:val="1"/>
                <w:bCs w:val="1"/>
                <w:color w:val="auto"/>
              </w:rPr>
              <w:t>2020</w:t>
            </w:r>
          </w:p>
        </w:tc>
        <w:tc>
          <w:tcPr>
            <w:tcW w:w="200" w:type="dxa"/>
            <w:vAlign w:val="bottom"/>
            <w:tcBorders>
              <w:bottom w:val="single" w:sz="8" w:color="CCEEFF"/>
            </w:tcBorders>
          </w:tcPr>
          <w:p>
            <w:pPr>
              <w:spacing w:after="0"/>
              <w:rPr>
                <w:sz w:val="19"/>
                <w:szCs w:val="19"/>
                <w:color w:val="auto"/>
              </w:rPr>
            </w:pPr>
          </w:p>
        </w:tc>
        <w:tc>
          <w:tcPr>
            <w:tcW w:w="440" w:type="dxa"/>
            <w:vAlign w:val="bottom"/>
            <w:tcBorders>
              <w:bottom w:val="single" w:sz="8" w:color="auto"/>
            </w:tcBorders>
          </w:tcPr>
          <w:p>
            <w:pPr>
              <w:spacing w:after="0"/>
              <w:rPr>
                <w:sz w:val="19"/>
                <w:szCs w:val="19"/>
                <w:color w:val="auto"/>
              </w:rPr>
            </w:pPr>
          </w:p>
        </w:tc>
        <w:tc>
          <w:tcPr>
            <w:tcW w:w="800" w:type="dxa"/>
            <w:vAlign w:val="bottom"/>
            <w:tcBorders>
              <w:bottom w:val="single" w:sz="8" w:color="auto"/>
            </w:tcBorders>
          </w:tcPr>
          <w:p>
            <w:pPr>
              <w:jc w:val="right"/>
              <w:ind w:right="351"/>
              <w:spacing w:after="0"/>
              <w:rPr>
                <w:sz w:val="20"/>
                <w:szCs w:val="20"/>
                <w:color w:val="auto"/>
              </w:rPr>
            </w:pPr>
            <w:r>
              <w:rPr>
                <w:rFonts w:ascii="Arial" w:cs="Arial" w:eastAsia="Arial" w:hAnsi="Arial"/>
                <w:sz w:val="18"/>
                <w:szCs w:val="18"/>
                <w:b w:val="1"/>
                <w:bCs w:val="1"/>
                <w:color w:val="auto"/>
                <w:w w:val="84"/>
              </w:rPr>
              <w:t>2019</w:t>
            </w:r>
          </w:p>
        </w:tc>
        <w:tc>
          <w:tcPr>
            <w:tcW w:w="100" w:type="dxa"/>
            <w:vAlign w:val="bottom"/>
            <w:tcBorders>
              <w:bottom w:val="single" w:sz="8" w:color="CCEEFF"/>
            </w:tcBorders>
          </w:tcPr>
          <w:p>
            <w:pPr>
              <w:spacing w:after="0"/>
              <w:rPr>
                <w:sz w:val="19"/>
                <w:szCs w:val="19"/>
                <w:color w:val="auto"/>
              </w:rPr>
            </w:pPr>
          </w:p>
        </w:tc>
      </w:tr>
      <w:tr>
        <w:trPr>
          <w:trHeight w:val="207"/>
        </w:trPr>
        <w:tc>
          <w:tcPr>
            <w:tcW w:w="2840" w:type="dxa"/>
            <w:vAlign w:val="bottom"/>
            <w:shd w:val="clear" w:color="auto" w:fill="CCEEFF"/>
          </w:tcPr>
          <w:p>
            <w:pPr>
              <w:spacing w:after="0"/>
              <w:rPr>
                <w:sz w:val="20"/>
                <w:szCs w:val="20"/>
                <w:color w:val="auto"/>
              </w:rPr>
            </w:pPr>
            <w:r>
              <w:rPr>
                <w:rFonts w:ascii="Arial" w:cs="Arial" w:eastAsia="Arial" w:hAnsi="Arial"/>
                <w:sz w:val="18"/>
                <w:szCs w:val="18"/>
                <w:color w:val="auto"/>
              </w:rPr>
              <w:t>Net sales</w:t>
            </w:r>
          </w:p>
        </w:tc>
        <w:tc>
          <w:tcPr>
            <w:tcW w:w="2700" w:type="dxa"/>
            <w:vAlign w:val="bottom"/>
            <w:shd w:val="clear" w:color="auto" w:fill="CCEEFF"/>
          </w:tcPr>
          <w:p>
            <w:pPr>
              <w:spacing w:after="0"/>
              <w:rPr>
                <w:sz w:val="17"/>
                <w:szCs w:val="17"/>
                <w:color w:val="auto"/>
              </w:rPr>
            </w:pPr>
          </w:p>
        </w:tc>
        <w:tc>
          <w:tcPr>
            <w:tcW w:w="260" w:type="dxa"/>
            <w:vAlign w:val="bottom"/>
            <w:shd w:val="clear" w:color="auto" w:fill="CCEEFF"/>
          </w:tcPr>
          <w:p>
            <w:pPr>
              <w:jc w:val="right"/>
              <w:ind w:right="108"/>
              <w:spacing w:after="0"/>
              <w:rPr>
                <w:sz w:val="20"/>
                <w:szCs w:val="20"/>
                <w:color w:val="auto"/>
              </w:rPr>
            </w:pPr>
            <w:r>
              <w:rPr>
                <w:rFonts w:ascii="Arial" w:cs="Arial" w:eastAsia="Arial" w:hAnsi="Arial"/>
                <w:sz w:val="14"/>
                <w:szCs w:val="14"/>
                <w:color w:val="auto"/>
                <w:w w:val="76"/>
              </w:rPr>
              <w:t>$</w:t>
            </w: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1,591.2</w:t>
            </w:r>
          </w:p>
        </w:tc>
        <w:tc>
          <w:tcPr>
            <w:tcW w:w="240" w:type="dxa"/>
            <w:vAlign w:val="bottom"/>
            <w:shd w:val="clear" w:color="auto" w:fill="CCEEFF"/>
          </w:tcPr>
          <w:p>
            <w:pPr>
              <w:spacing w:after="0"/>
              <w:rPr>
                <w:sz w:val="17"/>
                <w:szCs w:val="17"/>
                <w:color w:val="auto"/>
              </w:rPr>
            </w:pPr>
          </w:p>
        </w:tc>
        <w:tc>
          <w:tcPr>
            <w:tcW w:w="420" w:type="dxa"/>
            <w:vAlign w:val="bottom"/>
            <w:shd w:val="clear" w:color="auto" w:fill="CCEEFF"/>
          </w:tcPr>
          <w:p>
            <w:pPr>
              <w:jc w:val="right"/>
              <w:ind w:right="231"/>
              <w:spacing w:after="0"/>
              <w:rPr>
                <w:sz w:val="20"/>
                <w:szCs w:val="20"/>
                <w:color w:val="auto"/>
              </w:rPr>
            </w:pPr>
            <w:r>
              <w:rPr>
                <w:rFonts w:ascii="Arial" w:cs="Arial" w:eastAsia="Arial" w:hAnsi="Arial"/>
                <w:sz w:val="18"/>
                <w:szCs w:val="18"/>
                <w:color w:val="auto"/>
                <w:w w:val="79"/>
              </w:rPr>
              <w:t>$</w:t>
            </w: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1,924.5</w:t>
            </w: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jc w:val="right"/>
              <w:ind w:right="71"/>
              <w:spacing w:after="0"/>
              <w:rPr>
                <w:sz w:val="20"/>
                <w:szCs w:val="20"/>
                <w:color w:val="auto"/>
              </w:rPr>
            </w:pPr>
            <w:r>
              <w:rPr>
                <w:rFonts w:ascii="Arial" w:cs="Arial" w:eastAsia="Arial" w:hAnsi="Arial"/>
                <w:sz w:val="18"/>
                <w:szCs w:val="18"/>
                <w:color w:val="auto"/>
                <w:w w:val="79"/>
              </w:rPr>
              <w:t>$</w:t>
            </w: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4,703.3</w:t>
            </w:r>
          </w:p>
        </w:tc>
        <w:tc>
          <w:tcPr>
            <w:tcW w:w="200" w:type="dxa"/>
            <w:vAlign w:val="bottom"/>
            <w:shd w:val="clear" w:color="auto" w:fill="CCEEFF"/>
          </w:tcPr>
          <w:p>
            <w:pPr>
              <w:spacing w:after="0"/>
              <w:rPr>
                <w:sz w:val="17"/>
                <w:szCs w:val="17"/>
                <w:color w:val="auto"/>
              </w:rPr>
            </w:pPr>
          </w:p>
        </w:tc>
        <w:tc>
          <w:tcPr>
            <w:tcW w:w="440" w:type="dxa"/>
            <w:vAlign w:val="bottom"/>
            <w:shd w:val="clear" w:color="auto" w:fill="CCEEFF"/>
          </w:tcPr>
          <w:p>
            <w:pPr>
              <w:jc w:val="right"/>
              <w:ind w:right="251"/>
              <w:spacing w:after="0"/>
              <w:rPr>
                <w:sz w:val="20"/>
                <w:szCs w:val="20"/>
                <w:color w:val="auto"/>
              </w:rPr>
            </w:pPr>
            <w:r>
              <w:rPr>
                <w:rFonts w:ascii="Arial" w:cs="Arial" w:eastAsia="Arial" w:hAnsi="Arial"/>
                <w:sz w:val="18"/>
                <w:szCs w:val="18"/>
                <w:color w:val="auto"/>
                <w:w w:val="79"/>
              </w:rPr>
              <w:t>$</w:t>
            </w: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5,824.2</w:t>
            </w:r>
          </w:p>
        </w:tc>
        <w:tc>
          <w:tcPr>
            <w:tcW w:w="100" w:type="dxa"/>
            <w:vAlign w:val="bottom"/>
            <w:shd w:val="clear" w:color="auto" w:fill="CCEEFF"/>
          </w:tcPr>
          <w:p>
            <w:pPr>
              <w:spacing w:after="0"/>
              <w:rPr>
                <w:sz w:val="17"/>
                <w:szCs w:val="17"/>
                <w:color w:val="auto"/>
              </w:rPr>
            </w:pPr>
          </w:p>
        </w:tc>
      </w:tr>
      <w:tr>
        <w:trPr>
          <w:trHeight w:val="199"/>
        </w:trPr>
        <w:tc>
          <w:tcPr>
            <w:tcW w:w="5800" w:type="dxa"/>
            <w:vAlign w:val="bottom"/>
            <w:gridSpan w:val="3"/>
          </w:tcPr>
          <w:p>
            <w:pPr>
              <w:spacing w:after="0" w:line="199" w:lineRule="exact"/>
              <w:rPr>
                <w:sz w:val="20"/>
                <w:szCs w:val="20"/>
                <w:color w:val="auto"/>
              </w:rPr>
            </w:pPr>
            <w:r>
              <w:rPr>
                <w:rFonts w:ascii="Arial" w:cs="Arial" w:eastAsia="Arial" w:hAnsi="Arial"/>
                <w:sz w:val="18"/>
                <w:szCs w:val="18"/>
                <w:color w:val="auto"/>
              </w:rPr>
              <w:t>Cost of products sold (exclusive of depreciation and amortization shown</w:t>
            </w:r>
          </w:p>
        </w:tc>
        <w:tc>
          <w:tcPr>
            <w:tcW w:w="9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9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27"/>
        </w:trPr>
        <w:tc>
          <w:tcPr>
            <w:tcW w:w="2840" w:type="dxa"/>
            <w:vAlign w:val="bottom"/>
          </w:tcPr>
          <w:p>
            <w:pPr>
              <w:spacing w:after="0"/>
              <w:rPr>
                <w:sz w:val="20"/>
                <w:szCs w:val="20"/>
                <w:color w:val="auto"/>
              </w:rPr>
            </w:pPr>
            <w:r>
              <w:rPr>
                <w:rFonts w:ascii="Arial" w:cs="Arial" w:eastAsia="Arial" w:hAnsi="Arial"/>
                <w:sz w:val="18"/>
                <w:szCs w:val="18"/>
                <w:color w:val="auto"/>
              </w:rPr>
              <w:t>separately below)</w:t>
            </w:r>
          </w:p>
        </w:tc>
        <w:tc>
          <w:tcPr>
            <w:tcW w:w="27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1,262.4</w:t>
            </w:r>
          </w:p>
        </w:tc>
        <w:tc>
          <w:tcPr>
            <w:tcW w:w="24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1020" w:type="dxa"/>
            <w:vAlign w:val="bottom"/>
            <w:gridSpan w:val="2"/>
          </w:tcPr>
          <w:p>
            <w:pPr>
              <w:jc w:val="right"/>
              <w:ind w:right="200"/>
              <w:spacing w:after="0"/>
              <w:rPr>
                <w:sz w:val="20"/>
                <w:szCs w:val="20"/>
                <w:color w:val="auto"/>
              </w:rPr>
            </w:pPr>
            <w:r>
              <w:rPr>
                <w:rFonts w:ascii="Arial" w:cs="Arial" w:eastAsia="Arial" w:hAnsi="Arial"/>
                <w:sz w:val="18"/>
                <w:szCs w:val="18"/>
                <w:color w:val="auto"/>
              </w:rPr>
              <w:t>1,550.8</w:t>
            </w:r>
          </w:p>
        </w:tc>
        <w:tc>
          <w:tcPr>
            <w:tcW w:w="260" w:type="dxa"/>
            <w:vAlign w:val="bottom"/>
          </w:tcPr>
          <w:p>
            <w:pPr>
              <w:spacing w:after="0"/>
              <w:rPr>
                <w:sz w:val="19"/>
                <w:szCs w:val="19"/>
                <w:color w:val="auto"/>
              </w:rPr>
            </w:pPr>
          </w:p>
        </w:tc>
        <w:tc>
          <w:tcPr>
            <w:tcW w:w="1180" w:type="dxa"/>
            <w:vAlign w:val="bottom"/>
            <w:gridSpan w:val="2"/>
          </w:tcPr>
          <w:p>
            <w:pPr>
              <w:jc w:val="right"/>
              <w:ind w:right="200"/>
              <w:spacing w:after="0"/>
              <w:rPr>
                <w:sz w:val="20"/>
                <w:szCs w:val="20"/>
                <w:color w:val="auto"/>
              </w:rPr>
            </w:pPr>
            <w:r>
              <w:rPr>
                <w:rFonts w:ascii="Arial" w:cs="Arial" w:eastAsia="Arial" w:hAnsi="Arial"/>
                <w:sz w:val="18"/>
                <w:szCs w:val="18"/>
                <w:color w:val="auto"/>
              </w:rPr>
              <w:t>3,728.8</w:t>
            </w:r>
          </w:p>
        </w:tc>
        <w:tc>
          <w:tcPr>
            <w:tcW w:w="440" w:type="dxa"/>
            <w:vAlign w:val="bottom"/>
          </w:tcPr>
          <w:p>
            <w:pPr>
              <w:spacing w:after="0"/>
              <w:rPr>
                <w:sz w:val="19"/>
                <w:szCs w:val="19"/>
                <w:color w:val="auto"/>
              </w:rPr>
            </w:pPr>
          </w:p>
        </w:tc>
        <w:tc>
          <w:tcPr>
            <w:tcW w:w="900" w:type="dxa"/>
            <w:vAlign w:val="bottom"/>
            <w:gridSpan w:val="2"/>
          </w:tcPr>
          <w:p>
            <w:pPr>
              <w:jc w:val="right"/>
              <w:ind w:right="22"/>
              <w:spacing w:after="0"/>
              <w:rPr>
                <w:sz w:val="20"/>
                <w:szCs w:val="20"/>
                <w:color w:val="auto"/>
              </w:rPr>
            </w:pPr>
            <w:r>
              <w:rPr>
                <w:rFonts w:ascii="Arial" w:cs="Arial" w:eastAsia="Arial" w:hAnsi="Arial"/>
                <w:sz w:val="18"/>
                <w:szCs w:val="18"/>
                <w:color w:val="auto"/>
              </w:rPr>
              <w:t>4,726.5</w:t>
            </w:r>
          </w:p>
        </w:tc>
      </w:tr>
      <w:tr>
        <w:trPr>
          <w:trHeight w:val="214"/>
        </w:trPr>
        <w:tc>
          <w:tcPr>
            <w:tcW w:w="2840" w:type="dxa"/>
            <w:vAlign w:val="bottom"/>
            <w:shd w:val="clear" w:color="auto" w:fill="CCEEFF"/>
          </w:tcPr>
          <w:p>
            <w:pPr>
              <w:spacing w:after="0"/>
              <w:rPr>
                <w:sz w:val="20"/>
                <w:szCs w:val="20"/>
                <w:color w:val="auto"/>
              </w:rPr>
            </w:pPr>
            <w:r>
              <w:rPr>
                <w:rFonts w:ascii="Arial" w:cs="Arial" w:eastAsia="Arial" w:hAnsi="Arial"/>
                <w:sz w:val="18"/>
                <w:szCs w:val="18"/>
                <w:color w:val="auto"/>
              </w:rPr>
              <w:t>Distribution expenses</w:t>
            </w:r>
          </w:p>
        </w:tc>
        <w:tc>
          <w:tcPr>
            <w:tcW w:w="27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100.6</w:t>
            </w:r>
          </w:p>
        </w:tc>
        <w:tc>
          <w:tcPr>
            <w:tcW w:w="24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124.9</w:t>
            </w: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323.9</w:t>
            </w:r>
          </w:p>
        </w:tc>
        <w:tc>
          <w:tcPr>
            <w:tcW w:w="44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387.3</w:t>
            </w:r>
          </w:p>
        </w:tc>
      </w:tr>
      <w:tr>
        <w:trPr>
          <w:trHeight w:val="213"/>
        </w:trPr>
        <w:tc>
          <w:tcPr>
            <w:tcW w:w="2840" w:type="dxa"/>
            <w:vAlign w:val="bottom"/>
          </w:tcPr>
          <w:p>
            <w:pPr>
              <w:spacing w:after="0"/>
              <w:rPr>
                <w:sz w:val="20"/>
                <w:szCs w:val="20"/>
                <w:color w:val="auto"/>
              </w:rPr>
            </w:pPr>
            <w:r>
              <w:rPr>
                <w:rFonts w:ascii="Arial" w:cs="Arial" w:eastAsia="Arial" w:hAnsi="Arial"/>
                <w:sz w:val="18"/>
                <w:szCs w:val="18"/>
                <w:color w:val="auto"/>
                <w:w w:val="98"/>
              </w:rPr>
              <w:t>Selling and administrative expenses</w:t>
            </w:r>
          </w:p>
        </w:tc>
        <w:tc>
          <w:tcPr>
            <w:tcW w:w="27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177.4</w:t>
            </w:r>
          </w:p>
        </w:tc>
        <w:tc>
          <w:tcPr>
            <w:tcW w:w="24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1020" w:type="dxa"/>
            <w:vAlign w:val="bottom"/>
            <w:gridSpan w:val="2"/>
          </w:tcPr>
          <w:p>
            <w:pPr>
              <w:jc w:val="right"/>
              <w:ind w:right="200"/>
              <w:spacing w:after="0"/>
              <w:rPr>
                <w:sz w:val="20"/>
                <w:szCs w:val="20"/>
                <w:color w:val="auto"/>
              </w:rPr>
            </w:pPr>
            <w:r>
              <w:rPr>
                <w:rFonts w:ascii="Arial" w:cs="Arial" w:eastAsia="Arial" w:hAnsi="Arial"/>
                <w:sz w:val="18"/>
                <w:szCs w:val="18"/>
                <w:color w:val="auto"/>
              </w:rPr>
              <w:t>204.3</w:t>
            </w:r>
          </w:p>
        </w:tc>
        <w:tc>
          <w:tcPr>
            <w:tcW w:w="260" w:type="dxa"/>
            <w:vAlign w:val="bottom"/>
          </w:tcPr>
          <w:p>
            <w:pPr>
              <w:spacing w:after="0"/>
              <w:rPr>
                <w:sz w:val="18"/>
                <w:szCs w:val="18"/>
                <w:color w:val="auto"/>
              </w:rPr>
            </w:pPr>
          </w:p>
        </w:tc>
        <w:tc>
          <w:tcPr>
            <w:tcW w:w="1180" w:type="dxa"/>
            <w:vAlign w:val="bottom"/>
            <w:gridSpan w:val="2"/>
          </w:tcPr>
          <w:p>
            <w:pPr>
              <w:jc w:val="right"/>
              <w:ind w:right="200"/>
              <w:spacing w:after="0"/>
              <w:rPr>
                <w:sz w:val="20"/>
                <w:szCs w:val="20"/>
                <w:color w:val="auto"/>
              </w:rPr>
            </w:pPr>
            <w:r>
              <w:rPr>
                <w:rFonts w:ascii="Arial" w:cs="Arial" w:eastAsia="Arial" w:hAnsi="Arial"/>
                <w:sz w:val="18"/>
                <w:szCs w:val="18"/>
                <w:color w:val="auto"/>
              </w:rPr>
              <w:t>545.4</w:t>
            </w:r>
          </w:p>
        </w:tc>
        <w:tc>
          <w:tcPr>
            <w:tcW w:w="440" w:type="dxa"/>
            <w:vAlign w:val="bottom"/>
          </w:tcPr>
          <w:p>
            <w:pPr>
              <w:spacing w:after="0"/>
              <w:rPr>
                <w:sz w:val="18"/>
                <w:szCs w:val="18"/>
                <w:color w:val="auto"/>
              </w:rPr>
            </w:pPr>
          </w:p>
        </w:tc>
        <w:tc>
          <w:tcPr>
            <w:tcW w:w="900" w:type="dxa"/>
            <w:vAlign w:val="bottom"/>
            <w:gridSpan w:val="2"/>
          </w:tcPr>
          <w:p>
            <w:pPr>
              <w:jc w:val="right"/>
              <w:ind w:right="22"/>
              <w:spacing w:after="0"/>
              <w:rPr>
                <w:sz w:val="20"/>
                <w:szCs w:val="20"/>
                <w:color w:val="auto"/>
              </w:rPr>
            </w:pPr>
            <w:r>
              <w:rPr>
                <w:rFonts w:ascii="Arial" w:cs="Arial" w:eastAsia="Arial" w:hAnsi="Arial"/>
                <w:sz w:val="18"/>
                <w:szCs w:val="18"/>
                <w:color w:val="auto"/>
              </w:rPr>
              <w:t>631.6</w:t>
            </w:r>
          </w:p>
        </w:tc>
      </w:tr>
      <w:tr>
        <w:trPr>
          <w:trHeight w:val="213"/>
        </w:trPr>
        <w:tc>
          <w:tcPr>
            <w:tcW w:w="2840" w:type="dxa"/>
            <w:vAlign w:val="bottom"/>
            <w:shd w:val="clear" w:color="auto" w:fill="CCEEFF"/>
          </w:tcPr>
          <w:p>
            <w:pPr>
              <w:spacing w:after="0"/>
              <w:rPr>
                <w:sz w:val="20"/>
                <w:szCs w:val="20"/>
                <w:color w:val="auto"/>
              </w:rPr>
            </w:pPr>
            <w:r>
              <w:rPr>
                <w:rFonts w:ascii="Arial" w:cs="Arial" w:eastAsia="Arial" w:hAnsi="Arial"/>
                <w:sz w:val="18"/>
                <w:szCs w:val="18"/>
                <w:color w:val="auto"/>
              </w:rPr>
              <w:t>Depreciation and amortization</w:t>
            </w:r>
          </w:p>
        </w:tc>
        <w:tc>
          <w:tcPr>
            <w:tcW w:w="27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22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15.0</w:t>
            </w:r>
          </w:p>
        </w:tc>
        <w:tc>
          <w:tcPr>
            <w:tcW w:w="42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13.3</w:t>
            </w: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43.1</w:t>
            </w:r>
          </w:p>
        </w:tc>
        <w:tc>
          <w:tcPr>
            <w:tcW w:w="44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39.5</w:t>
            </w:r>
          </w:p>
        </w:tc>
      </w:tr>
      <w:tr>
        <w:trPr>
          <w:trHeight w:val="213"/>
        </w:trPr>
        <w:tc>
          <w:tcPr>
            <w:tcW w:w="2840" w:type="dxa"/>
            <w:vAlign w:val="bottom"/>
          </w:tcPr>
          <w:p>
            <w:pPr>
              <w:spacing w:after="0"/>
              <w:rPr>
                <w:sz w:val="20"/>
                <w:szCs w:val="20"/>
                <w:color w:val="auto"/>
              </w:rPr>
            </w:pPr>
            <w:r>
              <w:rPr>
                <w:rFonts w:ascii="Arial" w:cs="Arial" w:eastAsia="Arial" w:hAnsi="Arial"/>
                <w:sz w:val="18"/>
                <w:szCs w:val="18"/>
                <w:color w:val="auto"/>
              </w:rPr>
              <w:t>Integration expenses</w:t>
            </w:r>
          </w:p>
        </w:tc>
        <w:tc>
          <w:tcPr>
            <w:tcW w:w="27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220" w:type="dxa"/>
            <w:vAlign w:val="bottom"/>
            <w:gridSpan w:val="2"/>
          </w:tcPr>
          <w:p>
            <w:pPr>
              <w:jc w:val="right"/>
              <w:ind w:right="240"/>
              <w:spacing w:after="0"/>
              <w:rPr>
                <w:sz w:val="20"/>
                <w:szCs w:val="20"/>
                <w:color w:val="auto"/>
              </w:rPr>
            </w:pPr>
            <w:r>
              <w:rPr>
                <w:rFonts w:ascii="Arial" w:cs="Arial" w:eastAsia="Arial" w:hAnsi="Arial"/>
                <w:sz w:val="18"/>
                <w:szCs w:val="18"/>
                <w:color w:val="auto"/>
              </w:rPr>
              <w:t>—</w:t>
            </w:r>
          </w:p>
        </w:tc>
        <w:tc>
          <w:tcPr>
            <w:tcW w:w="420" w:type="dxa"/>
            <w:vAlign w:val="bottom"/>
          </w:tcPr>
          <w:p>
            <w:pPr>
              <w:spacing w:after="0"/>
              <w:rPr>
                <w:sz w:val="18"/>
                <w:szCs w:val="18"/>
                <w:color w:val="auto"/>
              </w:rPr>
            </w:pPr>
          </w:p>
        </w:tc>
        <w:tc>
          <w:tcPr>
            <w:tcW w:w="1020" w:type="dxa"/>
            <w:vAlign w:val="bottom"/>
            <w:gridSpan w:val="2"/>
          </w:tcPr>
          <w:p>
            <w:pPr>
              <w:jc w:val="right"/>
              <w:ind w:right="200"/>
              <w:spacing w:after="0"/>
              <w:rPr>
                <w:sz w:val="20"/>
                <w:szCs w:val="20"/>
                <w:color w:val="auto"/>
              </w:rPr>
            </w:pPr>
            <w:r>
              <w:rPr>
                <w:rFonts w:ascii="Arial" w:cs="Arial" w:eastAsia="Arial" w:hAnsi="Arial"/>
                <w:sz w:val="18"/>
                <w:szCs w:val="18"/>
                <w:color w:val="auto"/>
              </w:rPr>
              <w:t>4.5</w:t>
            </w:r>
          </w:p>
        </w:tc>
        <w:tc>
          <w:tcPr>
            <w:tcW w:w="260" w:type="dxa"/>
            <w:vAlign w:val="bottom"/>
          </w:tcPr>
          <w:p>
            <w:pPr>
              <w:spacing w:after="0"/>
              <w:rPr>
                <w:sz w:val="18"/>
                <w:szCs w:val="18"/>
                <w:color w:val="auto"/>
              </w:rPr>
            </w:pPr>
          </w:p>
        </w:tc>
        <w:tc>
          <w:tcPr>
            <w:tcW w:w="118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440" w:type="dxa"/>
            <w:vAlign w:val="bottom"/>
          </w:tcPr>
          <w:p>
            <w:pPr>
              <w:spacing w:after="0"/>
              <w:rPr>
                <w:sz w:val="18"/>
                <w:szCs w:val="18"/>
                <w:color w:val="auto"/>
              </w:rPr>
            </w:pPr>
          </w:p>
        </w:tc>
        <w:tc>
          <w:tcPr>
            <w:tcW w:w="900" w:type="dxa"/>
            <w:vAlign w:val="bottom"/>
            <w:gridSpan w:val="2"/>
          </w:tcPr>
          <w:p>
            <w:pPr>
              <w:jc w:val="right"/>
              <w:ind w:right="22"/>
              <w:spacing w:after="0"/>
              <w:rPr>
                <w:sz w:val="20"/>
                <w:szCs w:val="20"/>
                <w:color w:val="auto"/>
              </w:rPr>
            </w:pPr>
            <w:r>
              <w:rPr>
                <w:rFonts w:ascii="Arial" w:cs="Arial" w:eastAsia="Arial" w:hAnsi="Arial"/>
                <w:sz w:val="18"/>
                <w:szCs w:val="18"/>
                <w:color w:val="auto"/>
              </w:rPr>
              <w:t>13.3</w:t>
            </w:r>
          </w:p>
        </w:tc>
      </w:tr>
      <w:tr>
        <w:trPr>
          <w:trHeight w:val="227"/>
        </w:trPr>
        <w:tc>
          <w:tcPr>
            <w:tcW w:w="2840" w:type="dxa"/>
            <w:vAlign w:val="bottom"/>
            <w:shd w:val="clear" w:color="auto" w:fill="CCEEFF"/>
          </w:tcPr>
          <w:p>
            <w:pPr>
              <w:spacing w:after="0"/>
              <w:rPr>
                <w:sz w:val="20"/>
                <w:szCs w:val="20"/>
                <w:color w:val="auto"/>
              </w:rPr>
            </w:pPr>
            <w:r>
              <w:rPr>
                <w:rFonts w:ascii="Arial" w:cs="Arial" w:eastAsia="Arial" w:hAnsi="Arial"/>
                <w:sz w:val="18"/>
                <w:szCs w:val="18"/>
                <w:color w:val="auto"/>
              </w:rPr>
              <w:t>Restructuring charges, net</w:t>
            </w:r>
          </w:p>
        </w:tc>
        <w:tc>
          <w:tcPr>
            <w:tcW w:w="270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7.9</w:t>
            </w:r>
          </w:p>
        </w:tc>
        <w:tc>
          <w:tcPr>
            <w:tcW w:w="240" w:type="dxa"/>
            <w:vAlign w:val="bottom"/>
            <w:shd w:val="clear" w:color="auto" w:fill="CCEEFF"/>
          </w:tcPr>
          <w:p>
            <w:pPr>
              <w:spacing w:after="0"/>
              <w:rPr>
                <w:sz w:val="19"/>
                <w:szCs w:val="19"/>
                <w:color w:val="auto"/>
              </w:rPr>
            </w:pPr>
          </w:p>
        </w:tc>
        <w:tc>
          <w:tcPr>
            <w:tcW w:w="420" w:type="dxa"/>
            <w:vAlign w:val="bottom"/>
            <w:shd w:val="clear" w:color="auto" w:fill="CCEEFF"/>
          </w:tcPr>
          <w:p>
            <w:pPr>
              <w:spacing w:after="0"/>
              <w:rPr>
                <w:sz w:val="19"/>
                <w:szCs w:val="19"/>
                <w:color w:val="auto"/>
              </w:rPr>
            </w:pPr>
          </w:p>
        </w:tc>
        <w:tc>
          <w:tcPr>
            <w:tcW w:w="10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7.6</w:t>
            </w:r>
          </w:p>
        </w:tc>
        <w:tc>
          <w:tcPr>
            <w:tcW w:w="260" w:type="dxa"/>
            <w:vAlign w:val="bottom"/>
            <w:shd w:val="clear" w:color="auto" w:fill="CCEEFF"/>
          </w:tcPr>
          <w:p>
            <w:pPr>
              <w:spacing w:after="0"/>
              <w:rPr>
                <w:sz w:val="19"/>
                <w:szCs w:val="19"/>
                <w:color w:val="auto"/>
              </w:rPr>
            </w:pPr>
          </w:p>
        </w:tc>
        <w:tc>
          <w:tcPr>
            <w:tcW w:w="11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40.4</w:t>
            </w:r>
          </w:p>
        </w:tc>
        <w:tc>
          <w:tcPr>
            <w:tcW w:w="440" w:type="dxa"/>
            <w:vAlign w:val="bottom"/>
            <w:shd w:val="clear" w:color="auto" w:fill="CCEEFF"/>
          </w:tcPr>
          <w:p>
            <w:pPr>
              <w:spacing w:after="0"/>
              <w:rPr>
                <w:sz w:val="19"/>
                <w:szCs w:val="19"/>
                <w:color w:val="auto"/>
              </w:rPr>
            </w:pPr>
          </w:p>
        </w:tc>
        <w:tc>
          <w:tcPr>
            <w:tcW w:w="90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16.9</w:t>
            </w:r>
          </w:p>
        </w:tc>
      </w:tr>
      <w:tr>
        <w:trPr>
          <w:trHeight w:val="207"/>
        </w:trPr>
        <w:tc>
          <w:tcPr>
            <w:tcW w:w="2840" w:type="dxa"/>
            <w:vAlign w:val="bottom"/>
          </w:tcPr>
          <w:p>
            <w:pPr>
              <w:spacing w:after="0"/>
              <w:rPr>
                <w:sz w:val="20"/>
                <w:szCs w:val="20"/>
                <w:color w:val="auto"/>
              </w:rPr>
            </w:pPr>
            <w:r>
              <w:rPr>
                <w:rFonts w:ascii="Arial" w:cs="Arial" w:eastAsia="Arial" w:hAnsi="Arial"/>
                <w:sz w:val="18"/>
                <w:szCs w:val="18"/>
                <w:b w:val="1"/>
                <w:bCs w:val="1"/>
                <w:color w:val="auto"/>
              </w:rPr>
              <w:t>Operating income (loss)</w:t>
            </w:r>
          </w:p>
        </w:tc>
        <w:tc>
          <w:tcPr>
            <w:tcW w:w="2700" w:type="dxa"/>
            <w:vAlign w:val="bottom"/>
          </w:tcPr>
          <w:p>
            <w:pPr>
              <w:spacing w:after="0"/>
              <w:rPr>
                <w:sz w:val="17"/>
                <w:szCs w:val="17"/>
                <w:color w:val="auto"/>
              </w:rPr>
            </w:pPr>
          </w:p>
        </w:tc>
        <w:tc>
          <w:tcPr>
            <w:tcW w:w="260" w:type="dxa"/>
            <w:vAlign w:val="bottom"/>
            <w:tcBorders>
              <w:top w:val="single" w:sz="8" w:color="auto"/>
            </w:tcBorders>
          </w:tcPr>
          <w:p>
            <w:pPr>
              <w:spacing w:after="0"/>
              <w:rPr>
                <w:sz w:val="17"/>
                <w:szCs w:val="17"/>
                <w:color w:val="auto"/>
              </w:rPr>
            </w:pPr>
          </w:p>
        </w:tc>
        <w:tc>
          <w:tcPr>
            <w:tcW w:w="9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27.9</w:t>
            </w:r>
          </w:p>
        </w:tc>
        <w:tc>
          <w:tcPr>
            <w:tcW w:w="240" w:type="dxa"/>
            <w:vAlign w:val="bottom"/>
          </w:tcPr>
          <w:p>
            <w:pPr>
              <w:spacing w:after="0"/>
              <w:rPr>
                <w:sz w:val="17"/>
                <w:szCs w:val="17"/>
                <w:color w:val="auto"/>
              </w:rPr>
            </w:pPr>
          </w:p>
        </w:tc>
        <w:tc>
          <w:tcPr>
            <w:tcW w:w="420" w:type="dxa"/>
            <w:vAlign w:val="bottom"/>
            <w:tcBorders>
              <w:top w:val="single" w:sz="8" w:color="auto"/>
            </w:tcBorders>
          </w:tcPr>
          <w:p>
            <w:pPr>
              <w:spacing w:after="0"/>
              <w:rPr>
                <w:sz w:val="17"/>
                <w:szCs w:val="17"/>
                <w:color w:val="auto"/>
              </w:rPr>
            </w:pPr>
          </w:p>
        </w:tc>
        <w:tc>
          <w:tcPr>
            <w:tcW w:w="8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19.1</w:t>
            </w:r>
          </w:p>
        </w:tc>
        <w:tc>
          <w:tcPr>
            <w:tcW w:w="200" w:type="dxa"/>
            <w:vAlign w:val="bottom"/>
          </w:tcPr>
          <w:p>
            <w:pPr>
              <w:spacing w:after="0"/>
              <w:rPr>
                <w:sz w:val="17"/>
                <w:szCs w:val="17"/>
                <w:color w:val="auto"/>
              </w:rPr>
            </w:pPr>
          </w:p>
        </w:tc>
        <w:tc>
          <w:tcPr>
            <w:tcW w:w="260" w:type="dxa"/>
            <w:vAlign w:val="bottom"/>
            <w:tcBorders>
              <w:top w:val="single" w:sz="8" w:color="auto"/>
            </w:tcBorders>
          </w:tcPr>
          <w:p>
            <w:pPr>
              <w:spacing w:after="0"/>
              <w:rPr>
                <w:sz w:val="17"/>
                <w:szCs w:val="17"/>
                <w:color w:val="auto"/>
              </w:rPr>
            </w:pPr>
          </w:p>
        </w:tc>
        <w:tc>
          <w:tcPr>
            <w:tcW w:w="9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21.7</w:t>
            </w:r>
          </w:p>
        </w:tc>
        <w:tc>
          <w:tcPr>
            <w:tcW w:w="200" w:type="dxa"/>
            <w:vAlign w:val="bottom"/>
          </w:tcPr>
          <w:p>
            <w:pPr>
              <w:spacing w:after="0"/>
              <w:rPr>
                <w:sz w:val="17"/>
                <w:szCs w:val="17"/>
                <w:color w:val="auto"/>
              </w:rPr>
            </w:pPr>
          </w:p>
        </w:tc>
        <w:tc>
          <w:tcPr>
            <w:tcW w:w="440" w:type="dxa"/>
            <w:vAlign w:val="bottom"/>
            <w:tcBorders>
              <w:top w:val="single" w:sz="8" w:color="auto"/>
            </w:tcBorders>
          </w:tcPr>
          <w:p>
            <w:pPr>
              <w:spacing w:after="0"/>
              <w:rPr>
                <w:sz w:val="17"/>
                <w:szCs w:val="17"/>
                <w:color w:val="auto"/>
              </w:rPr>
            </w:pPr>
          </w:p>
        </w:tc>
        <w:tc>
          <w:tcPr>
            <w:tcW w:w="8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9.1</w:t>
            </w:r>
          </w:p>
        </w:tc>
        <w:tc>
          <w:tcPr>
            <w:tcW w:w="100" w:type="dxa"/>
            <w:vAlign w:val="bottom"/>
          </w:tcPr>
          <w:p>
            <w:pPr>
              <w:spacing w:after="0"/>
              <w:rPr>
                <w:sz w:val="17"/>
                <w:szCs w:val="17"/>
                <w:color w:val="auto"/>
              </w:rPr>
            </w:pPr>
          </w:p>
        </w:tc>
      </w:tr>
      <w:tr>
        <w:trPr>
          <w:trHeight w:val="213"/>
        </w:trPr>
        <w:tc>
          <w:tcPr>
            <w:tcW w:w="2840" w:type="dxa"/>
            <w:vAlign w:val="bottom"/>
            <w:shd w:val="clear" w:color="auto" w:fill="CCEEFF"/>
          </w:tcPr>
          <w:p>
            <w:pPr>
              <w:spacing w:after="0"/>
              <w:rPr>
                <w:sz w:val="20"/>
                <w:szCs w:val="20"/>
                <w:color w:val="auto"/>
              </w:rPr>
            </w:pPr>
            <w:r>
              <w:rPr>
                <w:rFonts w:ascii="Arial" w:cs="Arial" w:eastAsia="Arial" w:hAnsi="Arial"/>
                <w:sz w:val="18"/>
                <w:szCs w:val="18"/>
                <w:color w:val="auto"/>
              </w:rPr>
              <w:t>Interest expense, net</w:t>
            </w:r>
          </w:p>
        </w:tc>
        <w:tc>
          <w:tcPr>
            <w:tcW w:w="27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5.5</w:t>
            </w:r>
          </w:p>
        </w:tc>
        <w:tc>
          <w:tcPr>
            <w:tcW w:w="24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8.9</w:t>
            </w: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19.7</w:t>
            </w:r>
          </w:p>
        </w:tc>
        <w:tc>
          <w:tcPr>
            <w:tcW w:w="44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30.5</w:t>
            </w:r>
          </w:p>
        </w:tc>
      </w:tr>
      <w:tr>
        <w:trPr>
          <w:trHeight w:val="227"/>
        </w:trPr>
        <w:tc>
          <w:tcPr>
            <w:tcW w:w="2840" w:type="dxa"/>
            <w:vAlign w:val="bottom"/>
          </w:tcPr>
          <w:p>
            <w:pPr>
              <w:spacing w:after="0"/>
              <w:rPr>
                <w:sz w:val="20"/>
                <w:szCs w:val="20"/>
                <w:color w:val="auto"/>
              </w:rPr>
            </w:pPr>
            <w:r>
              <w:rPr>
                <w:rFonts w:ascii="Arial" w:cs="Arial" w:eastAsia="Arial" w:hAnsi="Arial"/>
                <w:sz w:val="18"/>
                <w:szCs w:val="18"/>
                <w:color w:val="auto"/>
              </w:rPr>
              <w:t>Other (income) expense, net</w:t>
            </w:r>
          </w:p>
        </w:tc>
        <w:tc>
          <w:tcPr>
            <w:tcW w:w="27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1.4</w:t>
            </w:r>
          </w:p>
        </w:tc>
        <w:tc>
          <w:tcPr>
            <w:tcW w:w="24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1020" w:type="dxa"/>
            <w:vAlign w:val="bottom"/>
            <w:gridSpan w:val="2"/>
          </w:tcPr>
          <w:p>
            <w:pPr>
              <w:jc w:val="right"/>
              <w:ind w:right="140"/>
              <w:spacing w:after="0"/>
              <w:rPr>
                <w:sz w:val="20"/>
                <w:szCs w:val="20"/>
                <w:color w:val="auto"/>
              </w:rPr>
            </w:pPr>
            <w:r>
              <w:rPr>
                <w:rFonts w:ascii="Arial" w:cs="Arial" w:eastAsia="Arial" w:hAnsi="Arial"/>
                <w:sz w:val="18"/>
                <w:szCs w:val="18"/>
                <w:color w:val="auto"/>
              </w:rPr>
              <w:t>(2.5)</w:t>
            </w:r>
          </w:p>
        </w:tc>
        <w:tc>
          <w:tcPr>
            <w:tcW w:w="260" w:type="dxa"/>
            <w:vAlign w:val="bottom"/>
          </w:tcPr>
          <w:p>
            <w:pPr>
              <w:spacing w:after="0"/>
              <w:rPr>
                <w:sz w:val="19"/>
                <w:szCs w:val="19"/>
                <w:color w:val="auto"/>
              </w:rPr>
            </w:pPr>
          </w:p>
        </w:tc>
        <w:tc>
          <w:tcPr>
            <w:tcW w:w="1180" w:type="dxa"/>
            <w:vAlign w:val="bottom"/>
            <w:gridSpan w:val="2"/>
          </w:tcPr>
          <w:p>
            <w:pPr>
              <w:jc w:val="right"/>
              <w:ind w:right="200"/>
              <w:spacing w:after="0"/>
              <w:rPr>
                <w:sz w:val="20"/>
                <w:szCs w:val="20"/>
                <w:color w:val="auto"/>
              </w:rPr>
            </w:pPr>
            <w:r>
              <w:rPr>
                <w:rFonts w:ascii="Arial" w:cs="Arial" w:eastAsia="Arial" w:hAnsi="Arial"/>
                <w:sz w:val="18"/>
                <w:szCs w:val="18"/>
                <w:color w:val="auto"/>
              </w:rPr>
              <w:t>0.0</w:t>
            </w:r>
          </w:p>
        </w:tc>
        <w:tc>
          <w:tcPr>
            <w:tcW w:w="440" w:type="dxa"/>
            <w:vAlign w:val="bottom"/>
          </w:tcPr>
          <w:p>
            <w:pPr>
              <w:spacing w:after="0"/>
              <w:rPr>
                <w:sz w:val="19"/>
                <w:szCs w:val="19"/>
                <w:color w:val="auto"/>
              </w:rPr>
            </w:pPr>
          </w:p>
        </w:tc>
        <w:tc>
          <w:tcPr>
            <w:tcW w:w="900" w:type="dxa"/>
            <w:vAlign w:val="bottom"/>
            <w:gridSpan w:val="2"/>
          </w:tcPr>
          <w:p>
            <w:pPr>
              <w:jc w:val="right"/>
              <w:ind w:right="22"/>
              <w:spacing w:after="0"/>
              <w:rPr>
                <w:sz w:val="20"/>
                <w:szCs w:val="20"/>
                <w:color w:val="auto"/>
              </w:rPr>
            </w:pPr>
            <w:r>
              <w:rPr>
                <w:rFonts w:ascii="Arial" w:cs="Arial" w:eastAsia="Arial" w:hAnsi="Arial"/>
                <w:sz w:val="18"/>
                <w:szCs w:val="18"/>
                <w:color w:val="auto"/>
              </w:rPr>
              <w:t>11.3</w:t>
            </w:r>
          </w:p>
        </w:tc>
      </w:tr>
      <w:tr>
        <w:trPr>
          <w:trHeight w:val="207"/>
        </w:trPr>
        <w:tc>
          <w:tcPr>
            <w:tcW w:w="284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w w:val="95"/>
              </w:rPr>
              <w:t>Income (loss) before income taxes</w:t>
            </w:r>
          </w:p>
        </w:tc>
        <w:tc>
          <w:tcPr>
            <w:tcW w:w="2700" w:type="dxa"/>
            <w:vAlign w:val="bottom"/>
            <w:tcBorders>
              <w:top w:val="single" w:sz="8" w:color="CCEEFF"/>
            </w:tcBorders>
            <w:shd w:val="clear" w:color="auto" w:fill="CCEEFF"/>
          </w:tcPr>
          <w:p>
            <w:pPr>
              <w:spacing w:after="0"/>
              <w:rPr>
                <w:sz w:val="18"/>
                <w:szCs w:val="18"/>
                <w:color w:val="auto"/>
              </w:rPr>
            </w:pPr>
          </w:p>
        </w:tc>
        <w:tc>
          <w:tcPr>
            <w:tcW w:w="260" w:type="dxa"/>
            <w:vAlign w:val="bottom"/>
            <w:tcBorders>
              <w:top w:val="single" w:sz="8" w:color="auto"/>
            </w:tcBorders>
            <w:shd w:val="clear" w:color="auto" w:fill="CCEEFF"/>
          </w:tcPr>
          <w:p>
            <w:pPr>
              <w:spacing w:after="0"/>
              <w:rPr>
                <w:sz w:val="18"/>
                <w:szCs w:val="18"/>
                <w:color w:val="auto"/>
              </w:rPr>
            </w:pPr>
          </w:p>
        </w:tc>
        <w:tc>
          <w:tcPr>
            <w:tcW w:w="9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21.0</w:t>
            </w:r>
          </w:p>
        </w:tc>
        <w:tc>
          <w:tcPr>
            <w:tcW w:w="240" w:type="dxa"/>
            <w:vAlign w:val="bottom"/>
            <w:tcBorders>
              <w:top w:val="single" w:sz="8" w:color="CCEEFF"/>
            </w:tcBorders>
            <w:shd w:val="clear" w:color="auto" w:fill="CCEEFF"/>
          </w:tcPr>
          <w:p>
            <w:pPr>
              <w:spacing w:after="0"/>
              <w:rPr>
                <w:sz w:val="18"/>
                <w:szCs w:val="18"/>
                <w:color w:val="auto"/>
              </w:rPr>
            </w:pPr>
          </w:p>
        </w:tc>
        <w:tc>
          <w:tcPr>
            <w:tcW w:w="420" w:type="dxa"/>
            <w:vAlign w:val="bottom"/>
            <w:tcBorders>
              <w:top w:val="single" w:sz="8" w:color="auto"/>
            </w:tcBorders>
            <w:shd w:val="clear" w:color="auto" w:fill="CCEEFF"/>
          </w:tcPr>
          <w:p>
            <w:pPr>
              <w:spacing w:after="0"/>
              <w:rPr>
                <w:sz w:val="18"/>
                <w:szCs w:val="18"/>
                <w:color w:val="auto"/>
              </w:rPr>
            </w:pPr>
          </w:p>
        </w:tc>
        <w:tc>
          <w:tcPr>
            <w:tcW w:w="8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12.7</w:t>
            </w:r>
          </w:p>
        </w:tc>
        <w:tc>
          <w:tcPr>
            <w:tcW w:w="200" w:type="dxa"/>
            <w:vAlign w:val="bottom"/>
            <w:tcBorders>
              <w:top w:val="single" w:sz="8" w:color="CCEEFF"/>
            </w:tcBorders>
            <w:shd w:val="clear" w:color="auto" w:fill="CCEEFF"/>
          </w:tcPr>
          <w:p>
            <w:pPr>
              <w:spacing w:after="0"/>
              <w:rPr>
                <w:sz w:val="18"/>
                <w:szCs w:val="18"/>
                <w:color w:val="auto"/>
              </w:rPr>
            </w:pPr>
          </w:p>
        </w:tc>
        <w:tc>
          <w:tcPr>
            <w:tcW w:w="260" w:type="dxa"/>
            <w:vAlign w:val="bottom"/>
            <w:tcBorders>
              <w:top w:val="single" w:sz="8" w:color="auto"/>
            </w:tcBorders>
            <w:shd w:val="clear" w:color="auto" w:fill="CCEEFF"/>
          </w:tcPr>
          <w:p>
            <w:pPr>
              <w:spacing w:after="0"/>
              <w:rPr>
                <w:sz w:val="18"/>
                <w:szCs w:val="18"/>
                <w:color w:val="auto"/>
              </w:rPr>
            </w:pPr>
          </w:p>
        </w:tc>
        <w:tc>
          <w:tcPr>
            <w:tcW w:w="9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2.0</w:t>
            </w:r>
          </w:p>
        </w:tc>
        <w:tc>
          <w:tcPr>
            <w:tcW w:w="200" w:type="dxa"/>
            <w:vAlign w:val="bottom"/>
            <w:tcBorders>
              <w:top w:val="single" w:sz="8" w:color="CCEEFF"/>
            </w:tcBorders>
            <w:shd w:val="clear" w:color="auto" w:fill="CCEEFF"/>
          </w:tcPr>
          <w:p>
            <w:pPr>
              <w:spacing w:after="0"/>
              <w:rPr>
                <w:sz w:val="18"/>
                <w:szCs w:val="18"/>
                <w:color w:val="auto"/>
              </w:rPr>
            </w:pPr>
          </w:p>
        </w:tc>
        <w:tc>
          <w:tcPr>
            <w:tcW w:w="440" w:type="dxa"/>
            <w:vAlign w:val="bottom"/>
            <w:tcBorders>
              <w:top w:val="single" w:sz="8" w:color="auto"/>
            </w:tcBorders>
            <w:shd w:val="clear" w:color="auto" w:fill="CCEEFF"/>
          </w:tcPr>
          <w:p>
            <w:pPr>
              <w:spacing w:after="0"/>
              <w:rPr>
                <w:sz w:val="18"/>
                <w:szCs w:val="18"/>
                <w:color w:val="auto"/>
              </w:rPr>
            </w:pPr>
          </w:p>
        </w:tc>
        <w:tc>
          <w:tcPr>
            <w:tcW w:w="8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(32.7)</w:t>
            </w:r>
          </w:p>
        </w:tc>
        <w:tc>
          <w:tcPr>
            <w:tcW w:w="100" w:type="dxa"/>
            <w:vAlign w:val="bottom"/>
            <w:tcBorders>
              <w:top w:val="single" w:sz="8" w:color="CCEEFF"/>
            </w:tcBorders>
            <w:shd w:val="clear" w:color="auto" w:fill="CCEEFF"/>
          </w:tcPr>
          <w:p>
            <w:pPr>
              <w:spacing w:after="0"/>
              <w:rPr>
                <w:sz w:val="18"/>
                <w:szCs w:val="18"/>
                <w:color w:val="auto"/>
              </w:rPr>
            </w:pPr>
          </w:p>
        </w:tc>
      </w:tr>
      <w:tr>
        <w:trPr>
          <w:trHeight w:val="227"/>
        </w:trPr>
        <w:tc>
          <w:tcPr>
            <w:tcW w:w="2840" w:type="dxa"/>
            <w:vAlign w:val="bottom"/>
          </w:tcPr>
          <w:p>
            <w:pPr>
              <w:spacing w:after="0"/>
              <w:rPr>
                <w:sz w:val="20"/>
                <w:szCs w:val="20"/>
                <w:color w:val="auto"/>
              </w:rPr>
            </w:pPr>
            <w:r>
              <w:rPr>
                <w:rFonts w:ascii="Arial" w:cs="Arial" w:eastAsia="Arial" w:hAnsi="Arial"/>
                <w:sz w:val="18"/>
                <w:szCs w:val="18"/>
                <w:color w:val="auto"/>
              </w:rPr>
              <w:t>Income tax expense (benefit)</w:t>
            </w:r>
          </w:p>
        </w:tc>
        <w:tc>
          <w:tcPr>
            <w:tcW w:w="27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220" w:type="dxa"/>
            <w:vAlign w:val="bottom"/>
            <w:gridSpan w:val="2"/>
          </w:tcPr>
          <w:p>
            <w:pPr>
              <w:jc w:val="right"/>
              <w:ind w:right="180"/>
              <w:spacing w:after="0"/>
              <w:rPr>
                <w:sz w:val="20"/>
                <w:szCs w:val="20"/>
                <w:color w:val="auto"/>
              </w:rPr>
            </w:pPr>
            <w:r>
              <w:rPr>
                <w:rFonts w:ascii="Arial" w:cs="Arial" w:eastAsia="Arial" w:hAnsi="Arial"/>
                <w:sz w:val="18"/>
                <w:szCs w:val="18"/>
                <w:color w:val="auto"/>
              </w:rPr>
              <w:t>(0.1)</w:t>
            </w:r>
          </w:p>
        </w:tc>
        <w:tc>
          <w:tcPr>
            <w:tcW w:w="420" w:type="dxa"/>
            <w:vAlign w:val="bottom"/>
          </w:tcPr>
          <w:p>
            <w:pPr>
              <w:spacing w:after="0"/>
              <w:rPr>
                <w:sz w:val="19"/>
                <w:szCs w:val="19"/>
                <w:color w:val="auto"/>
              </w:rPr>
            </w:pPr>
          </w:p>
        </w:tc>
        <w:tc>
          <w:tcPr>
            <w:tcW w:w="1020" w:type="dxa"/>
            <w:vAlign w:val="bottom"/>
            <w:gridSpan w:val="2"/>
          </w:tcPr>
          <w:p>
            <w:pPr>
              <w:jc w:val="right"/>
              <w:ind w:right="200"/>
              <w:spacing w:after="0"/>
              <w:rPr>
                <w:sz w:val="20"/>
                <w:szCs w:val="20"/>
                <w:color w:val="auto"/>
              </w:rPr>
            </w:pPr>
            <w:r>
              <w:rPr>
                <w:rFonts w:ascii="Arial" w:cs="Arial" w:eastAsia="Arial" w:hAnsi="Arial"/>
                <w:sz w:val="18"/>
                <w:szCs w:val="18"/>
                <w:color w:val="auto"/>
              </w:rPr>
              <w:t>7.6</w:t>
            </w:r>
          </w:p>
        </w:tc>
        <w:tc>
          <w:tcPr>
            <w:tcW w:w="260" w:type="dxa"/>
            <w:vAlign w:val="bottom"/>
          </w:tcPr>
          <w:p>
            <w:pPr>
              <w:spacing w:after="0"/>
              <w:rPr>
                <w:sz w:val="19"/>
                <w:szCs w:val="19"/>
                <w:color w:val="auto"/>
              </w:rPr>
            </w:pPr>
          </w:p>
        </w:tc>
        <w:tc>
          <w:tcPr>
            <w:tcW w:w="1180" w:type="dxa"/>
            <w:vAlign w:val="bottom"/>
            <w:gridSpan w:val="2"/>
          </w:tcPr>
          <w:p>
            <w:pPr>
              <w:jc w:val="right"/>
              <w:ind w:right="140"/>
              <w:spacing w:after="0"/>
              <w:rPr>
                <w:sz w:val="20"/>
                <w:szCs w:val="20"/>
                <w:color w:val="auto"/>
              </w:rPr>
            </w:pPr>
            <w:r>
              <w:rPr>
                <w:rFonts w:ascii="Arial" w:cs="Arial" w:eastAsia="Arial" w:hAnsi="Arial"/>
                <w:sz w:val="18"/>
                <w:szCs w:val="18"/>
                <w:color w:val="auto"/>
              </w:rPr>
              <w:t>(0.2)</w:t>
            </w:r>
          </w:p>
        </w:tc>
        <w:tc>
          <w:tcPr>
            <w:tcW w:w="440" w:type="dxa"/>
            <w:vAlign w:val="bottom"/>
          </w:tcPr>
          <w:p>
            <w:pPr>
              <w:spacing w:after="0"/>
              <w:rPr>
                <w:sz w:val="19"/>
                <w:szCs w:val="19"/>
                <w:color w:val="auto"/>
              </w:rPr>
            </w:pPr>
          </w:p>
        </w:tc>
        <w:tc>
          <w:tcPr>
            <w:tcW w:w="900" w:type="dxa"/>
            <w:vAlign w:val="bottom"/>
            <w:gridSpan w:val="2"/>
          </w:tcPr>
          <w:p>
            <w:pPr>
              <w:jc w:val="right"/>
              <w:ind w:right="22"/>
              <w:spacing w:after="0"/>
              <w:rPr>
                <w:sz w:val="20"/>
                <w:szCs w:val="20"/>
                <w:color w:val="auto"/>
              </w:rPr>
            </w:pPr>
            <w:r>
              <w:rPr>
                <w:rFonts w:ascii="Arial" w:cs="Arial" w:eastAsia="Arial" w:hAnsi="Arial"/>
                <w:sz w:val="18"/>
                <w:szCs w:val="18"/>
                <w:color w:val="auto"/>
              </w:rPr>
              <w:t>0.2</w:t>
            </w:r>
          </w:p>
        </w:tc>
      </w:tr>
      <w:tr>
        <w:trPr>
          <w:trHeight w:val="220"/>
        </w:trPr>
        <w:tc>
          <w:tcPr>
            <w:tcW w:w="2840" w:type="dxa"/>
            <w:vAlign w:val="bottom"/>
            <w:tcBorders>
              <w:top w:val="single" w:sz="8" w:color="CCEEFF"/>
              <w:bottom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rPr>
              <w:t>Net income (loss)</w:t>
            </w:r>
          </w:p>
        </w:tc>
        <w:tc>
          <w:tcPr>
            <w:tcW w:w="2700" w:type="dxa"/>
            <w:vAlign w:val="bottom"/>
            <w:tcBorders>
              <w:top w:val="single" w:sz="8" w:color="CCEEFF"/>
              <w:bottom w:val="single" w:sz="8" w:color="CCEEFF"/>
            </w:tcBorders>
            <w:shd w:val="clear" w:color="auto" w:fill="CCEEFF"/>
          </w:tcPr>
          <w:p>
            <w:pPr>
              <w:spacing w:after="0"/>
              <w:rPr>
                <w:sz w:val="19"/>
                <w:szCs w:val="19"/>
                <w:color w:val="auto"/>
              </w:rPr>
            </w:pPr>
          </w:p>
        </w:tc>
        <w:tc>
          <w:tcPr>
            <w:tcW w:w="260" w:type="dxa"/>
            <w:vAlign w:val="bottom"/>
            <w:tcBorders>
              <w:top w:val="single" w:sz="8" w:color="auto"/>
              <w:bottom w:val="single" w:sz="8" w:color="auto"/>
            </w:tcBorders>
            <w:shd w:val="clear" w:color="auto" w:fill="CCEEFF"/>
          </w:tcPr>
          <w:p>
            <w:pPr>
              <w:jc w:val="right"/>
              <w:ind w:right="108"/>
              <w:spacing w:after="0"/>
              <w:rPr>
                <w:sz w:val="20"/>
                <w:szCs w:val="20"/>
                <w:color w:val="auto"/>
              </w:rPr>
            </w:pPr>
            <w:r>
              <w:rPr>
                <w:rFonts w:ascii="Arial" w:cs="Arial" w:eastAsia="Arial" w:hAnsi="Arial"/>
                <w:sz w:val="14"/>
                <w:szCs w:val="14"/>
                <w:color w:val="auto"/>
                <w:w w:val="76"/>
              </w:rPr>
              <w:t>$</w:t>
            </w:r>
          </w:p>
        </w:tc>
        <w:tc>
          <w:tcPr>
            <w:tcW w:w="9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21.1</w:t>
            </w:r>
          </w:p>
        </w:tc>
        <w:tc>
          <w:tcPr>
            <w:tcW w:w="240" w:type="dxa"/>
            <w:vAlign w:val="bottom"/>
            <w:tcBorders>
              <w:top w:val="single" w:sz="8" w:color="CCEEFF"/>
              <w:bottom w:val="single" w:sz="8" w:color="CCEEFF"/>
            </w:tcBorders>
            <w:shd w:val="clear" w:color="auto" w:fill="CCEEFF"/>
          </w:tcPr>
          <w:p>
            <w:pPr>
              <w:spacing w:after="0"/>
              <w:rPr>
                <w:sz w:val="19"/>
                <w:szCs w:val="19"/>
                <w:color w:val="auto"/>
              </w:rPr>
            </w:pPr>
          </w:p>
        </w:tc>
        <w:tc>
          <w:tcPr>
            <w:tcW w:w="420" w:type="dxa"/>
            <w:vAlign w:val="bottom"/>
            <w:tcBorders>
              <w:top w:val="single" w:sz="8" w:color="auto"/>
              <w:bottom w:val="single" w:sz="8" w:color="auto"/>
            </w:tcBorders>
            <w:shd w:val="clear" w:color="auto" w:fill="CCEEFF"/>
          </w:tcPr>
          <w:p>
            <w:pPr>
              <w:jc w:val="right"/>
              <w:ind w:right="231"/>
              <w:spacing w:after="0"/>
              <w:rPr>
                <w:sz w:val="20"/>
                <w:szCs w:val="20"/>
                <w:color w:val="auto"/>
              </w:rPr>
            </w:pPr>
            <w:r>
              <w:rPr>
                <w:rFonts w:ascii="Arial" w:cs="Arial" w:eastAsia="Arial" w:hAnsi="Arial"/>
                <w:sz w:val="18"/>
                <w:szCs w:val="18"/>
                <w:color w:val="auto"/>
                <w:w w:val="79"/>
              </w:rPr>
              <w:t>$</w:t>
            </w:r>
          </w:p>
        </w:tc>
        <w:tc>
          <w:tcPr>
            <w:tcW w:w="8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5.1</w:t>
            </w:r>
          </w:p>
        </w:tc>
        <w:tc>
          <w:tcPr>
            <w:tcW w:w="200" w:type="dxa"/>
            <w:vAlign w:val="bottom"/>
            <w:tcBorders>
              <w:top w:val="single" w:sz="8" w:color="CCEEFF"/>
              <w:bottom w:val="single" w:sz="8" w:color="CCEEFF"/>
            </w:tcBorders>
            <w:shd w:val="clear" w:color="auto" w:fill="CCEEFF"/>
          </w:tcPr>
          <w:p>
            <w:pPr>
              <w:spacing w:after="0"/>
              <w:rPr>
                <w:sz w:val="19"/>
                <w:szCs w:val="19"/>
                <w:color w:val="auto"/>
              </w:rPr>
            </w:pPr>
          </w:p>
        </w:tc>
        <w:tc>
          <w:tcPr>
            <w:tcW w:w="260" w:type="dxa"/>
            <w:vAlign w:val="bottom"/>
            <w:tcBorders>
              <w:top w:val="single" w:sz="8" w:color="auto"/>
              <w:bottom w:val="single" w:sz="8" w:color="auto"/>
            </w:tcBorders>
            <w:shd w:val="clear" w:color="auto" w:fill="CCEEFF"/>
          </w:tcPr>
          <w:p>
            <w:pPr>
              <w:jc w:val="right"/>
              <w:ind w:right="71"/>
              <w:spacing w:after="0"/>
              <w:rPr>
                <w:sz w:val="20"/>
                <w:szCs w:val="20"/>
                <w:color w:val="auto"/>
              </w:rPr>
            </w:pPr>
            <w:r>
              <w:rPr>
                <w:rFonts w:ascii="Arial" w:cs="Arial" w:eastAsia="Arial" w:hAnsi="Arial"/>
                <w:sz w:val="18"/>
                <w:szCs w:val="18"/>
                <w:color w:val="auto"/>
                <w:w w:val="79"/>
              </w:rPr>
              <w:t>$</w:t>
            </w:r>
          </w:p>
        </w:tc>
        <w:tc>
          <w:tcPr>
            <w:tcW w:w="9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2.2</w:t>
            </w:r>
          </w:p>
        </w:tc>
        <w:tc>
          <w:tcPr>
            <w:tcW w:w="200" w:type="dxa"/>
            <w:vAlign w:val="bottom"/>
            <w:tcBorders>
              <w:top w:val="single" w:sz="8" w:color="CCEEFF"/>
              <w:bottom w:val="single" w:sz="8" w:color="CCEEFF"/>
            </w:tcBorders>
            <w:shd w:val="clear" w:color="auto" w:fill="CCEEFF"/>
          </w:tcPr>
          <w:p>
            <w:pPr>
              <w:spacing w:after="0"/>
              <w:rPr>
                <w:sz w:val="19"/>
                <w:szCs w:val="19"/>
                <w:color w:val="auto"/>
              </w:rPr>
            </w:pPr>
          </w:p>
        </w:tc>
        <w:tc>
          <w:tcPr>
            <w:tcW w:w="440" w:type="dxa"/>
            <w:vAlign w:val="bottom"/>
            <w:tcBorders>
              <w:top w:val="single" w:sz="8" w:color="auto"/>
              <w:bottom w:val="single" w:sz="8" w:color="auto"/>
            </w:tcBorders>
            <w:shd w:val="clear" w:color="auto" w:fill="CCEEFF"/>
          </w:tcPr>
          <w:p>
            <w:pPr>
              <w:jc w:val="right"/>
              <w:ind w:right="251"/>
              <w:spacing w:after="0"/>
              <w:rPr>
                <w:sz w:val="20"/>
                <w:szCs w:val="20"/>
                <w:color w:val="auto"/>
              </w:rPr>
            </w:pPr>
            <w:r>
              <w:rPr>
                <w:rFonts w:ascii="Arial" w:cs="Arial" w:eastAsia="Arial" w:hAnsi="Arial"/>
                <w:sz w:val="18"/>
                <w:szCs w:val="18"/>
                <w:color w:val="auto"/>
                <w:w w:val="79"/>
              </w:rPr>
              <w:t>$</w:t>
            </w:r>
          </w:p>
        </w:tc>
        <w:tc>
          <w:tcPr>
            <w:tcW w:w="8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(32.9</w:t>
            </w:r>
          </w:p>
        </w:tc>
        <w:tc>
          <w:tcPr>
            <w:tcW w:w="100" w:type="dxa"/>
            <w:vAlign w:val="bottom"/>
            <w:tcBorders>
              <w:top w:val="single" w:sz="8" w:color="CCEEFF"/>
              <w:bottom w:val="single" w:sz="8" w:color="CCEEFF"/>
            </w:tcBorders>
            <w:shd w:val="clear" w:color="auto" w:fill="CCEEFF"/>
          </w:tcPr>
          <w:p>
            <w:pPr>
              <w:jc w:val="right"/>
              <w:spacing w:after="0"/>
              <w:rPr>
                <w:sz w:val="20"/>
                <w:szCs w:val="20"/>
                <w:color w:val="auto"/>
              </w:rPr>
            </w:pPr>
            <w:r>
              <w:rPr>
                <w:rFonts w:ascii="Arial" w:cs="Arial" w:eastAsia="Arial" w:hAnsi="Arial"/>
                <w:sz w:val="16"/>
                <w:szCs w:val="16"/>
                <w:color w:val="auto"/>
                <w:w w:val="74"/>
              </w:rPr>
              <w:t>)</w:t>
            </w:r>
          </w:p>
        </w:tc>
      </w:tr>
      <w:tr>
        <w:trPr>
          <w:trHeight w:val="20"/>
        </w:trPr>
        <w:tc>
          <w:tcPr>
            <w:tcW w:w="2840" w:type="dxa"/>
            <w:vAlign w:val="bottom"/>
          </w:tcPr>
          <w:p>
            <w:pPr>
              <w:spacing w:after="0" w:line="20" w:lineRule="exact"/>
              <w:rPr>
                <w:sz w:val="1"/>
                <w:szCs w:val="1"/>
                <w:color w:val="auto"/>
              </w:rPr>
            </w:pPr>
          </w:p>
        </w:tc>
        <w:tc>
          <w:tcPr>
            <w:tcW w:w="270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98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98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94"/>
        </w:trPr>
        <w:tc>
          <w:tcPr>
            <w:tcW w:w="2840" w:type="dxa"/>
            <w:vAlign w:val="bottom"/>
          </w:tcPr>
          <w:p>
            <w:pPr>
              <w:spacing w:after="0"/>
              <w:rPr>
                <w:sz w:val="16"/>
                <w:szCs w:val="16"/>
                <w:color w:val="auto"/>
              </w:rPr>
            </w:pPr>
          </w:p>
        </w:tc>
        <w:tc>
          <w:tcPr>
            <w:tcW w:w="270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8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800" w:type="dxa"/>
            <w:vAlign w:val="bottom"/>
          </w:tcPr>
          <w:p>
            <w:pPr>
              <w:spacing w:after="0"/>
              <w:rPr>
                <w:sz w:val="16"/>
                <w:szCs w:val="16"/>
                <w:color w:val="auto"/>
              </w:rPr>
            </w:pPr>
          </w:p>
        </w:tc>
        <w:tc>
          <w:tcPr>
            <w:tcW w:w="100" w:type="dxa"/>
            <w:vAlign w:val="bottom"/>
          </w:tcPr>
          <w:p>
            <w:pPr>
              <w:spacing w:after="0"/>
              <w:rPr>
                <w:sz w:val="16"/>
                <w:szCs w:val="16"/>
                <w:color w:val="auto"/>
              </w:rPr>
            </w:pPr>
          </w:p>
        </w:tc>
      </w:tr>
      <w:tr>
        <w:trPr>
          <w:trHeight w:val="213"/>
        </w:trPr>
        <w:tc>
          <w:tcPr>
            <w:tcW w:w="2840" w:type="dxa"/>
            <w:vAlign w:val="bottom"/>
            <w:shd w:val="clear" w:color="auto" w:fill="CCEEFF"/>
          </w:tcPr>
          <w:p>
            <w:pPr>
              <w:spacing w:after="0"/>
              <w:rPr>
                <w:sz w:val="20"/>
                <w:szCs w:val="20"/>
                <w:color w:val="auto"/>
              </w:rPr>
            </w:pPr>
            <w:r>
              <w:rPr>
                <w:rFonts w:ascii="Arial" w:cs="Arial" w:eastAsia="Arial" w:hAnsi="Arial"/>
                <w:sz w:val="18"/>
                <w:szCs w:val="18"/>
                <w:color w:val="auto"/>
              </w:rPr>
              <w:t>Earnings (loss) per share:</w:t>
            </w:r>
          </w:p>
        </w:tc>
        <w:tc>
          <w:tcPr>
            <w:tcW w:w="27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r>
      <w:tr>
        <w:trPr>
          <w:trHeight w:val="213"/>
        </w:trPr>
        <w:tc>
          <w:tcPr>
            <w:tcW w:w="2840" w:type="dxa"/>
            <w:vAlign w:val="bottom"/>
          </w:tcPr>
          <w:p>
            <w:pPr>
              <w:ind w:left="160"/>
              <w:spacing w:after="0"/>
              <w:rPr>
                <w:sz w:val="20"/>
                <w:szCs w:val="20"/>
                <w:color w:val="auto"/>
              </w:rPr>
            </w:pPr>
            <w:r>
              <w:rPr>
                <w:rFonts w:ascii="Arial" w:cs="Arial" w:eastAsia="Arial" w:hAnsi="Arial"/>
                <w:sz w:val="18"/>
                <w:szCs w:val="18"/>
                <w:color w:val="auto"/>
              </w:rPr>
              <w:t>Basic earnings (loss) per share</w:t>
            </w:r>
          </w:p>
        </w:tc>
        <w:tc>
          <w:tcPr>
            <w:tcW w:w="2960" w:type="dxa"/>
            <w:vAlign w:val="bottom"/>
            <w:gridSpan w:val="2"/>
          </w:tcPr>
          <w:p>
            <w:pPr>
              <w:jc w:val="right"/>
              <w:ind w:right="108"/>
              <w:spacing w:after="0"/>
              <w:rPr>
                <w:sz w:val="20"/>
                <w:szCs w:val="20"/>
                <w:color w:val="auto"/>
              </w:rPr>
            </w:pPr>
            <w:r>
              <w:rPr>
                <w:rFonts w:ascii="Arial" w:cs="Arial" w:eastAsia="Arial" w:hAnsi="Arial"/>
                <w:sz w:val="18"/>
                <w:szCs w:val="18"/>
                <w:color w:val="auto"/>
              </w:rPr>
              <w:t>$</w:t>
            </w:r>
          </w:p>
        </w:tc>
        <w:tc>
          <w:tcPr>
            <w:tcW w:w="1220" w:type="dxa"/>
            <w:vAlign w:val="bottom"/>
            <w:gridSpan w:val="2"/>
          </w:tcPr>
          <w:p>
            <w:pPr>
              <w:jc w:val="right"/>
              <w:ind w:right="240"/>
              <w:spacing w:after="0"/>
              <w:rPr>
                <w:sz w:val="20"/>
                <w:szCs w:val="20"/>
                <w:color w:val="auto"/>
              </w:rPr>
            </w:pPr>
            <w:r>
              <w:rPr>
                <w:rFonts w:ascii="Arial" w:cs="Arial" w:eastAsia="Arial" w:hAnsi="Arial"/>
                <w:sz w:val="18"/>
                <w:szCs w:val="18"/>
                <w:color w:val="auto"/>
              </w:rPr>
              <w:t>1.33</w:t>
            </w:r>
          </w:p>
        </w:tc>
        <w:tc>
          <w:tcPr>
            <w:tcW w:w="420" w:type="dxa"/>
            <w:vAlign w:val="bottom"/>
          </w:tcPr>
          <w:p>
            <w:pPr>
              <w:jc w:val="right"/>
              <w:ind w:right="231"/>
              <w:spacing w:after="0"/>
              <w:rPr>
                <w:sz w:val="20"/>
                <w:szCs w:val="20"/>
                <w:color w:val="auto"/>
              </w:rPr>
            </w:pPr>
            <w:r>
              <w:rPr>
                <w:rFonts w:ascii="Arial" w:cs="Arial" w:eastAsia="Arial" w:hAnsi="Arial"/>
                <w:sz w:val="18"/>
                <w:szCs w:val="18"/>
                <w:color w:val="auto"/>
                <w:w w:val="79"/>
              </w:rPr>
              <w:t>$</w:t>
            </w:r>
          </w:p>
        </w:tc>
        <w:tc>
          <w:tcPr>
            <w:tcW w:w="1020" w:type="dxa"/>
            <w:vAlign w:val="bottom"/>
            <w:gridSpan w:val="2"/>
          </w:tcPr>
          <w:p>
            <w:pPr>
              <w:jc w:val="right"/>
              <w:ind w:right="200"/>
              <w:spacing w:after="0"/>
              <w:rPr>
                <w:sz w:val="20"/>
                <w:szCs w:val="20"/>
                <w:color w:val="auto"/>
              </w:rPr>
            </w:pPr>
            <w:r>
              <w:rPr>
                <w:rFonts w:ascii="Arial" w:cs="Arial" w:eastAsia="Arial" w:hAnsi="Arial"/>
                <w:sz w:val="18"/>
                <w:szCs w:val="18"/>
                <w:color w:val="auto"/>
              </w:rPr>
              <w:t>0.32</w:t>
            </w:r>
          </w:p>
        </w:tc>
        <w:tc>
          <w:tcPr>
            <w:tcW w:w="260" w:type="dxa"/>
            <w:vAlign w:val="bottom"/>
          </w:tcPr>
          <w:p>
            <w:pPr>
              <w:jc w:val="right"/>
              <w:ind w:right="71"/>
              <w:spacing w:after="0"/>
              <w:rPr>
                <w:sz w:val="20"/>
                <w:szCs w:val="20"/>
                <w:color w:val="auto"/>
              </w:rPr>
            </w:pPr>
            <w:r>
              <w:rPr>
                <w:rFonts w:ascii="Arial" w:cs="Arial" w:eastAsia="Arial" w:hAnsi="Arial"/>
                <w:sz w:val="18"/>
                <w:szCs w:val="18"/>
                <w:color w:val="auto"/>
                <w:w w:val="79"/>
              </w:rPr>
              <w:t>$</w:t>
            </w:r>
          </w:p>
        </w:tc>
        <w:tc>
          <w:tcPr>
            <w:tcW w:w="1180" w:type="dxa"/>
            <w:vAlign w:val="bottom"/>
            <w:gridSpan w:val="2"/>
          </w:tcPr>
          <w:p>
            <w:pPr>
              <w:jc w:val="right"/>
              <w:ind w:right="200"/>
              <w:spacing w:after="0"/>
              <w:rPr>
                <w:sz w:val="20"/>
                <w:szCs w:val="20"/>
                <w:color w:val="auto"/>
              </w:rPr>
            </w:pPr>
            <w:r>
              <w:rPr>
                <w:rFonts w:ascii="Arial" w:cs="Arial" w:eastAsia="Arial" w:hAnsi="Arial"/>
                <w:sz w:val="18"/>
                <w:szCs w:val="18"/>
                <w:color w:val="auto"/>
              </w:rPr>
              <w:t>0.14</w:t>
            </w:r>
          </w:p>
        </w:tc>
        <w:tc>
          <w:tcPr>
            <w:tcW w:w="440" w:type="dxa"/>
            <w:vAlign w:val="bottom"/>
          </w:tcPr>
          <w:p>
            <w:pPr>
              <w:jc w:val="right"/>
              <w:ind w:right="251"/>
              <w:spacing w:after="0"/>
              <w:rPr>
                <w:sz w:val="20"/>
                <w:szCs w:val="20"/>
                <w:color w:val="auto"/>
              </w:rPr>
            </w:pPr>
            <w:r>
              <w:rPr>
                <w:rFonts w:ascii="Arial" w:cs="Arial" w:eastAsia="Arial" w:hAnsi="Arial"/>
                <w:sz w:val="18"/>
                <w:szCs w:val="18"/>
                <w:color w:val="auto"/>
                <w:w w:val="79"/>
              </w:rPr>
              <w:t>$</w:t>
            </w:r>
          </w:p>
        </w:tc>
        <w:tc>
          <w:tcPr>
            <w:tcW w:w="900" w:type="dxa"/>
            <w:vAlign w:val="bottom"/>
            <w:gridSpan w:val="2"/>
          </w:tcPr>
          <w:p>
            <w:pPr>
              <w:jc w:val="right"/>
              <w:spacing w:after="0"/>
              <w:rPr>
                <w:sz w:val="20"/>
                <w:szCs w:val="20"/>
                <w:color w:val="auto"/>
              </w:rPr>
            </w:pPr>
            <w:r>
              <w:rPr>
                <w:rFonts w:ascii="Arial" w:cs="Arial" w:eastAsia="Arial" w:hAnsi="Arial"/>
                <w:sz w:val="18"/>
                <w:szCs w:val="18"/>
                <w:color w:val="auto"/>
              </w:rPr>
              <w:t>(2.05)</w:t>
            </w:r>
          </w:p>
        </w:tc>
      </w:tr>
      <w:tr>
        <w:trPr>
          <w:trHeight w:val="213"/>
        </w:trPr>
        <w:tc>
          <w:tcPr>
            <w:tcW w:w="28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Diluted earnings (loss) per share</w:t>
            </w:r>
          </w:p>
        </w:tc>
        <w:tc>
          <w:tcPr>
            <w:tcW w:w="2960" w:type="dxa"/>
            <w:vAlign w:val="bottom"/>
            <w:gridSpan w:val="2"/>
            <w:shd w:val="clear" w:color="auto" w:fill="CCEEFF"/>
          </w:tcPr>
          <w:p>
            <w:pPr>
              <w:jc w:val="right"/>
              <w:ind w:right="108"/>
              <w:spacing w:after="0"/>
              <w:rPr>
                <w:sz w:val="20"/>
                <w:szCs w:val="20"/>
                <w:color w:val="auto"/>
              </w:rPr>
            </w:pPr>
            <w:r>
              <w:rPr>
                <w:rFonts w:ascii="Arial" w:cs="Arial" w:eastAsia="Arial" w:hAnsi="Arial"/>
                <w:sz w:val="18"/>
                <w:szCs w:val="18"/>
                <w:color w:val="auto"/>
              </w:rPr>
              <w:t>$</w:t>
            </w:r>
          </w:p>
        </w:tc>
        <w:tc>
          <w:tcPr>
            <w:tcW w:w="122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1.30</w:t>
            </w:r>
          </w:p>
        </w:tc>
        <w:tc>
          <w:tcPr>
            <w:tcW w:w="420" w:type="dxa"/>
            <w:vAlign w:val="bottom"/>
            <w:shd w:val="clear" w:color="auto" w:fill="CCEEFF"/>
          </w:tcPr>
          <w:p>
            <w:pPr>
              <w:jc w:val="right"/>
              <w:ind w:right="231"/>
              <w:spacing w:after="0"/>
              <w:rPr>
                <w:sz w:val="20"/>
                <w:szCs w:val="20"/>
                <w:color w:val="auto"/>
              </w:rPr>
            </w:pPr>
            <w:r>
              <w:rPr>
                <w:rFonts w:ascii="Arial" w:cs="Arial" w:eastAsia="Arial" w:hAnsi="Arial"/>
                <w:sz w:val="18"/>
                <w:szCs w:val="18"/>
                <w:color w:val="auto"/>
                <w:w w:val="79"/>
              </w:rPr>
              <w:t>$</w:t>
            </w:r>
          </w:p>
        </w:tc>
        <w:tc>
          <w:tcPr>
            <w:tcW w:w="10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0.31</w:t>
            </w:r>
          </w:p>
        </w:tc>
        <w:tc>
          <w:tcPr>
            <w:tcW w:w="260" w:type="dxa"/>
            <w:vAlign w:val="bottom"/>
            <w:shd w:val="clear" w:color="auto" w:fill="CCEEFF"/>
          </w:tcPr>
          <w:p>
            <w:pPr>
              <w:jc w:val="right"/>
              <w:ind w:right="71"/>
              <w:spacing w:after="0"/>
              <w:rPr>
                <w:sz w:val="20"/>
                <w:szCs w:val="20"/>
                <w:color w:val="auto"/>
              </w:rPr>
            </w:pPr>
            <w:r>
              <w:rPr>
                <w:rFonts w:ascii="Arial" w:cs="Arial" w:eastAsia="Arial" w:hAnsi="Arial"/>
                <w:sz w:val="18"/>
                <w:szCs w:val="18"/>
                <w:color w:val="auto"/>
                <w:w w:val="79"/>
              </w:rPr>
              <w:t>$</w:t>
            </w:r>
          </w:p>
        </w:tc>
        <w:tc>
          <w:tcPr>
            <w:tcW w:w="11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0.14</w:t>
            </w:r>
          </w:p>
        </w:tc>
        <w:tc>
          <w:tcPr>
            <w:tcW w:w="440" w:type="dxa"/>
            <w:vAlign w:val="bottom"/>
            <w:shd w:val="clear" w:color="auto" w:fill="CCEEFF"/>
          </w:tcPr>
          <w:p>
            <w:pPr>
              <w:jc w:val="right"/>
              <w:ind w:right="251"/>
              <w:spacing w:after="0"/>
              <w:rPr>
                <w:sz w:val="20"/>
                <w:szCs w:val="20"/>
                <w:color w:val="auto"/>
              </w:rPr>
            </w:pPr>
            <w:r>
              <w:rPr>
                <w:rFonts w:ascii="Arial" w:cs="Arial" w:eastAsia="Arial" w:hAnsi="Arial"/>
                <w:sz w:val="18"/>
                <w:szCs w:val="18"/>
                <w:color w:val="auto"/>
                <w:w w:val="79"/>
              </w:rPr>
              <w:t>$</w:t>
            </w:r>
          </w:p>
        </w:tc>
        <w:tc>
          <w:tcPr>
            <w:tcW w:w="9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(2.05)</w:t>
            </w:r>
          </w:p>
        </w:tc>
      </w:tr>
      <w:tr>
        <w:trPr>
          <w:trHeight w:val="213"/>
        </w:trPr>
        <w:tc>
          <w:tcPr>
            <w:tcW w:w="2840" w:type="dxa"/>
            <w:vAlign w:val="bottom"/>
          </w:tcPr>
          <w:p>
            <w:pPr>
              <w:spacing w:after="0"/>
              <w:rPr>
                <w:sz w:val="18"/>
                <w:szCs w:val="18"/>
                <w:color w:val="auto"/>
              </w:rPr>
            </w:pPr>
          </w:p>
        </w:tc>
        <w:tc>
          <w:tcPr>
            <w:tcW w:w="27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13"/>
        </w:trPr>
        <w:tc>
          <w:tcPr>
            <w:tcW w:w="2840" w:type="dxa"/>
            <w:vAlign w:val="bottom"/>
            <w:shd w:val="clear" w:color="auto" w:fill="CCEEFF"/>
          </w:tcPr>
          <w:p>
            <w:pPr>
              <w:spacing w:after="0"/>
              <w:rPr>
                <w:sz w:val="20"/>
                <w:szCs w:val="20"/>
                <w:color w:val="auto"/>
              </w:rPr>
            </w:pPr>
            <w:r>
              <w:rPr>
                <w:rFonts w:ascii="Arial" w:cs="Arial" w:eastAsia="Arial" w:hAnsi="Arial"/>
                <w:sz w:val="18"/>
                <w:szCs w:val="18"/>
                <w:color w:val="auto"/>
                <w:w w:val="91"/>
              </w:rPr>
              <w:t>Weighted-average shares outstanding:</w:t>
            </w:r>
          </w:p>
        </w:tc>
        <w:tc>
          <w:tcPr>
            <w:tcW w:w="27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r>
      <w:tr>
        <w:trPr>
          <w:trHeight w:val="213"/>
        </w:trPr>
        <w:tc>
          <w:tcPr>
            <w:tcW w:w="2840" w:type="dxa"/>
            <w:vAlign w:val="bottom"/>
          </w:tcPr>
          <w:p>
            <w:pPr>
              <w:ind w:left="160"/>
              <w:spacing w:after="0"/>
              <w:rPr>
                <w:sz w:val="20"/>
                <w:szCs w:val="20"/>
                <w:color w:val="auto"/>
              </w:rPr>
            </w:pPr>
            <w:r>
              <w:rPr>
                <w:rFonts w:ascii="Arial" w:cs="Arial" w:eastAsia="Arial" w:hAnsi="Arial"/>
                <w:sz w:val="18"/>
                <w:szCs w:val="18"/>
                <w:color w:val="auto"/>
              </w:rPr>
              <w:t>Basic</w:t>
            </w:r>
          </w:p>
        </w:tc>
        <w:tc>
          <w:tcPr>
            <w:tcW w:w="27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15.89</w:t>
            </w:r>
          </w:p>
        </w:tc>
        <w:tc>
          <w:tcPr>
            <w:tcW w:w="24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1020" w:type="dxa"/>
            <w:vAlign w:val="bottom"/>
            <w:gridSpan w:val="2"/>
          </w:tcPr>
          <w:p>
            <w:pPr>
              <w:jc w:val="right"/>
              <w:ind w:right="200"/>
              <w:spacing w:after="0"/>
              <w:rPr>
                <w:sz w:val="20"/>
                <w:szCs w:val="20"/>
                <w:color w:val="auto"/>
              </w:rPr>
            </w:pPr>
            <w:r>
              <w:rPr>
                <w:rFonts w:ascii="Arial" w:cs="Arial" w:eastAsia="Arial" w:hAnsi="Arial"/>
                <w:sz w:val="18"/>
                <w:szCs w:val="18"/>
                <w:color w:val="auto"/>
              </w:rPr>
              <w:t>16.10</w:t>
            </w:r>
          </w:p>
        </w:tc>
        <w:tc>
          <w:tcPr>
            <w:tcW w:w="260" w:type="dxa"/>
            <w:vAlign w:val="bottom"/>
          </w:tcPr>
          <w:p>
            <w:pPr>
              <w:spacing w:after="0"/>
              <w:rPr>
                <w:sz w:val="18"/>
                <w:szCs w:val="18"/>
                <w:color w:val="auto"/>
              </w:rPr>
            </w:pPr>
          </w:p>
        </w:tc>
        <w:tc>
          <w:tcPr>
            <w:tcW w:w="1180" w:type="dxa"/>
            <w:vAlign w:val="bottom"/>
            <w:gridSpan w:val="2"/>
          </w:tcPr>
          <w:p>
            <w:pPr>
              <w:jc w:val="right"/>
              <w:ind w:right="200"/>
              <w:spacing w:after="0"/>
              <w:rPr>
                <w:sz w:val="20"/>
                <w:szCs w:val="20"/>
                <w:color w:val="auto"/>
              </w:rPr>
            </w:pPr>
            <w:r>
              <w:rPr>
                <w:rFonts w:ascii="Arial" w:cs="Arial" w:eastAsia="Arial" w:hAnsi="Arial"/>
                <w:sz w:val="18"/>
                <w:szCs w:val="18"/>
                <w:color w:val="auto"/>
              </w:rPr>
              <w:t>15.99</w:t>
            </w:r>
          </w:p>
        </w:tc>
        <w:tc>
          <w:tcPr>
            <w:tcW w:w="440" w:type="dxa"/>
            <w:vAlign w:val="bottom"/>
          </w:tcPr>
          <w:p>
            <w:pPr>
              <w:spacing w:after="0"/>
              <w:rPr>
                <w:sz w:val="18"/>
                <w:szCs w:val="18"/>
                <w:color w:val="auto"/>
              </w:rPr>
            </w:pPr>
          </w:p>
        </w:tc>
        <w:tc>
          <w:tcPr>
            <w:tcW w:w="900" w:type="dxa"/>
            <w:vAlign w:val="bottom"/>
            <w:gridSpan w:val="2"/>
          </w:tcPr>
          <w:p>
            <w:pPr>
              <w:jc w:val="right"/>
              <w:ind w:right="22"/>
              <w:spacing w:after="0"/>
              <w:rPr>
                <w:sz w:val="20"/>
                <w:szCs w:val="20"/>
                <w:color w:val="auto"/>
              </w:rPr>
            </w:pPr>
            <w:r>
              <w:rPr>
                <w:rFonts w:ascii="Arial" w:cs="Arial" w:eastAsia="Arial" w:hAnsi="Arial"/>
                <w:sz w:val="18"/>
                <w:szCs w:val="18"/>
                <w:color w:val="auto"/>
              </w:rPr>
              <w:t>16.04</w:t>
            </w:r>
          </w:p>
        </w:tc>
      </w:tr>
      <w:tr>
        <w:trPr>
          <w:trHeight w:val="213"/>
        </w:trPr>
        <w:tc>
          <w:tcPr>
            <w:tcW w:w="28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Diluted</w:t>
            </w:r>
          </w:p>
        </w:tc>
        <w:tc>
          <w:tcPr>
            <w:tcW w:w="27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16.21</w:t>
            </w:r>
          </w:p>
        </w:tc>
        <w:tc>
          <w:tcPr>
            <w:tcW w:w="24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16.24</w:t>
            </w: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16.18</w:t>
            </w:r>
          </w:p>
        </w:tc>
        <w:tc>
          <w:tcPr>
            <w:tcW w:w="44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16.04</w:t>
            </w:r>
          </w:p>
        </w:tc>
      </w:tr>
      <w:tr>
        <w:trPr>
          <w:trHeight w:val="427"/>
        </w:trPr>
        <w:tc>
          <w:tcPr>
            <w:tcW w:w="2840" w:type="dxa"/>
            <w:vAlign w:val="bottom"/>
            <w:tcBorders>
              <w:bottom w:val="single" w:sz="8" w:color="auto"/>
            </w:tcBorders>
          </w:tcPr>
          <w:p>
            <w:pPr>
              <w:spacing w:after="0"/>
              <w:rPr>
                <w:sz w:val="24"/>
                <w:szCs w:val="24"/>
                <w:color w:val="auto"/>
              </w:rPr>
            </w:pPr>
          </w:p>
        </w:tc>
        <w:tc>
          <w:tcPr>
            <w:tcW w:w="270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980" w:type="dxa"/>
            <w:vAlign w:val="bottom"/>
            <w:tcBorders>
              <w:bottom w:val="single" w:sz="8" w:color="auto"/>
            </w:tcBorders>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420" w:type="dxa"/>
            <w:vAlign w:val="bottom"/>
            <w:tcBorders>
              <w:bottom w:val="single" w:sz="8" w:color="auto"/>
            </w:tcBorders>
          </w:tcPr>
          <w:p>
            <w:pPr>
              <w:spacing w:after="0"/>
              <w:rPr>
                <w:sz w:val="24"/>
                <w:szCs w:val="24"/>
                <w:color w:val="auto"/>
              </w:rPr>
            </w:pPr>
          </w:p>
        </w:tc>
        <w:tc>
          <w:tcPr>
            <w:tcW w:w="82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98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c>
          <w:tcPr>
            <w:tcW w:w="80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r>
    </w:tbl>
    <w:p>
      <w:pPr>
        <w:sectPr>
          <w:pgSz w:w="11900" w:h="16838" w:orient="portrait"/>
          <w:cols w:equalWidth="0" w:num="1">
            <w:col w:w="11240"/>
          </w:cols>
          <w:pgMar w:left="320" w:top="895" w:right="339" w:bottom="1440" w:gutter="0" w:footer="0" w:header="0"/>
        </w:sectPr>
      </w:pPr>
    </w:p>
    <w:bookmarkStart w:id="7" w:name="page8"/>
    <w:bookmarkEnd w:id="7"/>
    <w:p>
      <w:pPr>
        <w:jc w:val="center"/>
        <w:spacing w:after="0"/>
        <w:rPr>
          <w:sz w:val="20"/>
          <w:szCs w:val="20"/>
          <w:color w:val="auto"/>
        </w:rPr>
      </w:pPr>
      <w:r>
        <w:rPr>
          <w:rFonts w:ascii="Arial" w:cs="Arial" w:eastAsia="Arial" w:hAnsi="Arial"/>
          <w:sz w:val="18"/>
          <w:szCs w:val="18"/>
          <w:b w:val="1"/>
          <w:bCs w:val="1"/>
          <w:color w:val="auto"/>
        </w:rPr>
        <w:t>VERITIV CORPORATION</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CONDENSED CONSOLIDATED BALANCE SHEETS</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(dollars in millions, except par value, unaudited)</w:t>
      </w:r>
    </w:p>
    <w:p>
      <w:pPr>
        <w:spacing w:after="0" w:line="243" w:lineRule="exact"/>
        <w:rPr>
          <w:sz w:val="20"/>
          <w:szCs w:val="20"/>
          <w:color w:val="auto"/>
        </w:rPr>
      </w:pPr>
    </w:p>
    <w:tbl>
      <w:tblPr>
        <w:tblLayout w:type="fixed"/>
        <w:tblInd w:w="0" w:type="dxa"/>
        <w:tblCellMar>
          <w:top w:w="0" w:type="dxa"/>
          <w:left w:w="0" w:type="dxa"/>
          <w:bottom w:w="0" w:type="dxa"/>
          <w:right w:w="0" w:type="dxa"/>
        </w:tblCellMar>
      </w:tblPr>
      <w:tr>
        <w:trPr>
          <w:trHeight w:val="231"/>
        </w:trPr>
        <w:tc>
          <w:tcPr>
            <w:tcW w:w="8020" w:type="dxa"/>
            <w:vAlign w:val="bottom"/>
          </w:tcPr>
          <w:p>
            <w:pPr>
              <w:spacing w:after="0"/>
              <w:rPr>
                <w:sz w:val="20"/>
                <w:szCs w:val="20"/>
                <w:color w:val="auto"/>
              </w:rPr>
            </w:pPr>
          </w:p>
        </w:tc>
        <w:tc>
          <w:tcPr>
            <w:tcW w:w="1680" w:type="dxa"/>
            <w:vAlign w:val="bottom"/>
            <w:gridSpan w:val="3"/>
          </w:tcPr>
          <w:p>
            <w:pPr>
              <w:spacing w:after="0"/>
              <w:rPr>
                <w:sz w:val="20"/>
                <w:szCs w:val="20"/>
                <w:color w:val="auto"/>
              </w:rPr>
            </w:pPr>
            <w:r>
              <w:rPr>
                <w:rFonts w:ascii="Arial" w:cs="Arial" w:eastAsia="Arial" w:hAnsi="Arial"/>
                <w:sz w:val="18"/>
                <w:szCs w:val="18"/>
                <w:b w:val="1"/>
                <w:bCs w:val="1"/>
                <w:color w:val="auto"/>
                <w:w w:val="98"/>
              </w:rPr>
              <w:t>September 30, 2020</w:t>
            </w:r>
          </w:p>
        </w:tc>
        <w:tc>
          <w:tcPr>
            <w:tcW w:w="1540" w:type="dxa"/>
            <w:vAlign w:val="bottom"/>
            <w:gridSpan w:val="5"/>
          </w:tcPr>
          <w:p>
            <w:pPr>
              <w:spacing w:after="0"/>
              <w:rPr>
                <w:sz w:val="20"/>
                <w:szCs w:val="20"/>
                <w:color w:val="auto"/>
              </w:rPr>
            </w:pPr>
            <w:r>
              <w:rPr>
                <w:rFonts w:ascii="Arial" w:cs="Arial" w:eastAsia="Arial" w:hAnsi="Arial"/>
                <w:sz w:val="18"/>
                <w:szCs w:val="18"/>
                <w:b w:val="1"/>
                <w:bCs w:val="1"/>
                <w:color w:val="auto"/>
                <w:w w:val="93"/>
              </w:rPr>
              <w:t>December 31, 2019</w:t>
            </w:r>
          </w:p>
        </w:tc>
      </w:tr>
      <w:tr>
        <w:trPr>
          <w:trHeight w:val="208"/>
        </w:trPr>
        <w:tc>
          <w:tcPr>
            <w:tcW w:w="802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rPr>
              <w:t>Assets</w:t>
            </w:r>
          </w:p>
        </w:tc>
        <w:tc>
          <w:tcPr>
            <w:tcW w:w="520" w:type="dxa"/>
            <w:vAlign w:val="bottom"/>
            <w:tcBorders>
              <w:top w:val="single" w:sz="8" w:color="auto"/>
            </w:tcBorders>
            <w:shd w:val="clear" w:color="auto" w:fill="CCEEFF"/>
          </w:tcPr>
          <w:p>
            <w:pPr>
              <w:spacing w:after="0"/>
              <w:rPr>
                <w:sz w:val="18"/>
                <w:szCs w:val="18"/>
                <w:color w:val="auto"/>
              </w:rPr>
            </w:pPr>
          </w:p>
        </w:tc>
        <w:tc>
          <w:tcPr>
            <w:tcW w:w="960" w:type="dxa"/>
            <w:vAlign w:val="bottom"/>
            <w:tcBorders>
              <w:top w:val="single" w:sz="8" w:color="auto"/>
            </w:tcBorders>
            <w:shd w:val="clear" w:color="auto" w:fill="CCEEFF"/>
          </w:tcPr>
          <w:p>
            <w:pPr>
              <w:spacing w:after="0"/>
              <w:rPr>
                <w:sz w:val="18"/>
                <w:szCs w:val="18"/>
                <w:color w:val="auto"/>
              </w:rPr>
            </w:pPr>
          </w:p>
        </w:tc>
        <w:tc>
          <w:tcPr>
            <w:tcW w:w="200" w:type="dxa"/>
            <w:vAlign w:val="bottom"/>
            <w:tcBorders>
              <w:top w:val="single" w:sz="8" w:color="CCEEFF"/>
            </w:tcBorders>
            <w:shd w:val="clear" w:color="auto" w:fill="CCEEFF"/>
          </w:tcPr>
          <w:p>
            <w:pPr>
              <w:spacing w:after="0"/>
              <w:rPr>
                <w:sz w:val="18"/>
                <w:szCs w:val="18"/>
                <w:color w:val="auto"/>
              </w:rPr>
            </w:pPr>
          </w:p>
        </w:tc>
        <w:tc>
          <w:tcPr>
            <w:tcW w:w="20" w:type="dxa"/>
            <w:vAlign w:val="bottom"/>
            <w:tcBorders>
              <w:top w:val="single" w:sz="8" w:color="CCEEFF"/>
            </w:tcBorders>
            <w:shd w:val="clear" w:color="auto" w:fill="CCEEFF"/>
          </w:tcPr>
          <w:p>
            <w:pPr>
              <w:spacing w:after="0"/>
              <w:rPr>
                <w:sz w:val="18"/>
                <w:szCs w:val="18"/>
                <w:color w:val="auto"/>
              </w:rPr>
            </w:pPr>
          </w:p>
        </w:tc>
        <w:tc>
          <w:tcPr>
            <w:tcW w:w="480" w:type="dxa"/>
            <w:vAlign w:val="bottom"/>
            <w:tcBorders>
              <w:top w:val="single" w:sz="8" w:color="auto"/>
            </w:tcBorders>
            <w:shd w:val="clear" w:color="auto" w:fill="CCEEFF"/>
          </w:tcPr>
          <w:p>
            <w:pPr>
              <w:spacing w:after="0"/>
              <w:rPr>
                <w:sz w:val="18"/>
                <w:szCs w:val="18"/>
                <w:color w:val="auto"/>
              </w:rPr>
            </w:pPr>
          </w:p>
        </w:tc>
        <w:tc>
          <w:tcPr>
            <w:tcW w:w="940" w:type="dxa"/>
            <w:vAlign w:val="bottom"/>
            <w:tcBorders>
              <w:top w:val="single" w:sz="8" w:color="auto"/>
            </w:tcBorders>
            <w:shd w:val="clear" w:color="auto" w:fill="CCEEFF"/>
          </w:tcPr>
          <w:p>
            <w:pPr>
              <w:spacing w:after="0"/>
              <w:rPr>
                <w:sz w:val="18"/>
                <w:szCs w:val="18"/>
                <w:color w:val="auto"/>
              </w:rPr>
            </w:pPr>
          </w:p>
        </w:tc>
        <w:tc>
          <w:tcPr>
            <w:tcW w:w="20" w:type="dxa"/>
            <w:vAlign w:val="bottom"/>
            <w:tcBorders>
              <w:top w:val="single" w:sz="8" w:color="CCEEFF"/>
            </w:tcBorders>
            <w:shd w:val="clear" w:color="auto" w:fill="CCEEFF"/>
          </w:tcPr>
          <w:p>
            <w:pPr>
              <w:spacing w:after="0"/>
              <w:rPr>
                <w:sz w:val="18"/>
                <w:szCs w:val="18"/>
                <w:color w:val="auto"/>
              </w:rPr>
            </w:pPr>
          </w:p>
        </w:tc>
        <w:tc>
          <w:tcPr>
            <w:tcW w:w="80" w:type="dxa"/>
            <w:vAlign w:val="bottom"/>
            <w:tcBorders>
              <w:top w:val="single" w:sz="8" w:color="CCEEFF"/>
            </w:tcBorders>
            <w:shd w:val="clear" w:color="auto" w:fill="CCEEFF"/>
          </w:tcPr>
          <w:p>
            <w:pPr>
              <w:spacing w:after="0"/>
              <w:rPr>
                <w:sz w:val="18"/>
                <w:szCs w:val="18"/>
                <w:color w:val="auto"/>
              </w:rPr>
            </w:pPr>
          </w:p>
        </w:tc>
      </w:tr>
      <w:tr>
        <w:trPr>
          <w:trHeight w:val="213"/>
        </w:trPr>
        <w:tc>
          <w:tcPr>
            <w:tcW w:w="8020" w:type="dxa"/>
            <w:vAlign w:val="bottom"/>
          </w:tcPr>
          <w:p>
            <w:pPr>
              <w:spacing w:after="0"/>
              <w:rPr>
                <w:sz w:val="20"/>
                <w:szCs w:val="20"/>
                <w:color w:val="auto"/>
              </w:rPr>
            </w:pPr>
            <w:r>
              <w:rPr>
                <w:rFonts w:ascii="Arial" w:cs="Arial" w:eastAsia="Arial" w:hAnsi="Arial"/>
                <w:sz w:val="18"/>
                <w:szCs w:val="18"/>
                <w:color w:val="auto"/>
              </w:rPr>
              <w:t>Current assets:</w:t>
            </w:r>
          </w:p>
        </w:tc>
        <w:tc>
          <w:tcPr>
            <w:tcW w:w="520" w:type="dxa"/>
            <w:vAlign w:val="bottom"/>
          </w:tcPr>
          <w:p>
            <w:pPr>
              <w:spacing w:after="0"/>
              <w:rPr>
                <w:sz w:val="18"/>
                <w:szCs w:val="18"/>
                <w:color w:val="auto"/>
              </w:rPr>
            </w:pPr>
          </w:p>
        </w:tc>
        <w:tc>
          <w:tcPr>
            <w:tcW w:w="9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r>
      <w:tr>
        <w:trPr>
          <w:trHeight w:val="213"/>
        </w:trPr>
        <w:tc>
          <w:tcPr>
            <w:tcW w:w="8020" w:type="dxa"/>
            <w:vAlign w:val="bottom"/>
            <w:shd w:val="clear" w:color="auto" w:fill="CCEEFF"/>
          </w:tcPr>
          <w:p>
            <w:pPr>
              <w:spacing w:after="0"/>
              <w:rPr>
                <w:sz w:val="20"/>
                <w:szCs w:val="20"/>
                <w:color w:val="auto"/>
              </w:rPr>
            </w:pPr>
            <w:r>
              <w:rPr>
                <w:rFonts w:ascii="Arial" w:cs="Arial" w:eastAsia="Arial" w:hAnsi="Arial"/>
                <w:sz w:val="18"/>
                <w:szCs w:val="18"/>
                <w:color w:val="auto"/>
              </w:rPr>
              <w:t>Cash and cash equivalents</w:t>
            </w:r>
          </w:p>
        </w:tc>
        <w:tc>
          <w:tcPr>
            <w:tcW w:w="52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11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112.5</w:t>
            </w:r>
          </w:p>
        </w:tc>
        <w:tc>
          <w:tcPr>
            <w:tcW w:w="5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38.0</w:t>
            </w:r>
          </w:p>
        </w:tc>
        <w:tc>
          <w:tcPr>
            <w:tcW w:w="80" w:type="dxa"/>
            <w:vAlign w:val="bottom"/>
            <w:shd w:val="clear" w:color="auto" w:fill="CCEEFF"/>
          </w:tcPr>
          <w:p>
            <w:pPr>
              <w:spacing w:after="0"/>
              <w:rPr>
                <w:sz w:val="18"/>
                <w:szCs w:val="18"/>
                <w:color w:val="auto"/>
              </w:rPr>
            </w:pPr>
          </w:p>
        </w:tc>
      </w:tr>
      <w:tr>
        <w:trPr>
          <w:trHeight w:val="213"/>
        </w:trPr>
        <w:tc>
          <w:tcPr>
            <w:tcW w:w="8020" w:type="dxa"/>
            <w:vAlign w:val="bottom"/>
          </w:tcPr>
          <w:p>
            <w:pPr>
              <w:spacing w:after="0"/>
              <w:rPr>
                <w:sz w:val="20"/>
                <w:szCs w:val="20"/>
                <w:color w:val="auto"/>
              </w:rPr>
            </w:pPr>
            <w:r>
              <w:rPr>
                <w:rFonts w:ascii="Arial" w:cs="Arial" w:eastAsia="Arial" w:hAnsi="Arial"/>
                <w:sz w:val="18"/>
                <w:szCs w:val="18"/>
                <w:color w:val="auto"/>
              </w:rPr>
              <w:t>Accounts receivable, less allowances of $43.7 and $43.8, respectively</w:t>
            </w:r>
          </w:p>
        </w:tc>
        <w:tc>
          <w:tcPr>
            <w:tcW w:w="520" w:type="dxa"/>
            <w:vAlign w:val="bottom"/>
          </w:tcPr>
          <w:p>
            <w:pPr>
              <w:spacing w:after="0"/>
              <w:rPr>
                <w:sz w:val="18"/>
                <w:szCs w:val="18"/>
                <w:color w:val="auto"/>
              </w:rPr>
            </w:pPr>
          </w:p>
        </w:tc>
        <w:tc>
          <w:tcPr>
            <w:tcW w:w="1160" w:type="dxa"/>
            <w:vAlign w:val="bottom"/>
            <w:gridSpan w:val="2"/>
          </w:tcPr>
          <w:p>
            <w:pPr>
              <w:jc w:val="right"/>
              <w:ind w:right="200"/>
              <w:spacing w:after="0"/>
              <w:rPr>
                <w:sz w:val="20"/>
                <w:szCs w:val="20"/>
                <w:color w:val="auto"/>
              </w:rPr>
            </w:pPr>
            <w:r>
              <w:rPr>
                <w:rFonts w:ascii="Arial" w:cs="Arial" w:eastAsia="Arial" w:hAnsi="Arial"/>
                <w:sz w:val="18"/>
                <w:szCs w:val="18"/>
                <w:color w:val="auto"/>
              </w:rPr>
              <w:t>840.1</w:t>
            </w:r>
          </w:p>
        </w:tc>
        <w:tc>
          <w:tcPr>
            <w:tcW w:w="2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960" w:type="dxa"/>
            <w:vAlign w:val="bottom"/>
            <w:gridSpan w:val="2"/>
          </w:tcPr>
          <w:p>
            <w:pPr>
              <w:jc w:val="right"/>
              <w:ind w:right="20"/>
              <w:spacing w:after="0"/>
              <w:rPr>
                <w:sz w:val="20"/>
                <w:szCs w:val="20"/>
                <w:color w:val="auto"/>
              </w:rPr>
            </w:pPr>
            <w:r>
              <w:rPr>
                <w:rFonts w:ascii="Arial" w:cs="Arial" w:eastAsia="Arial" w:hAnsi="Arial"/>
                <w:sz w:val="18"/>
                <w:szCs w:val="18"/>
                <w:color w:val="auto"/>
              </w:rPr>
              <w:t>910.8</w:t>
            </w:r>
          </w:p>
        </w:tc>
        <w:tc>
          <w:tcPr>
            <w:tcW w:w="80" w:type="dxa"/>
            <w:vAlign w:val="bottom"/>
          </w:tcPr>
          <w:p>
            <w:pPr>
              <w:spacing w:after="0"/>
              <w:rPr>
                <w:sz w:val="18"/>
                <w:szCs w:val="18"/>
                <w:color w:val="auto"/>
              </w:rPr>
            </w:pPr>
          </w:p>
        </w:tc>
      </w:tr>
      <w:tr>
        <w:trPr>
          <w:trHeight w:val="213"/>
        </w:trPr>
        <w:tc>
          <w:tcPr>
            <w:tcW w:w="8020" w:type="dxa"/>
            <w:vAlign w:val="bottom"/>
            <w:shd w:val="clear" w:color="auto" w:fill="CCEEFF"/>
          </w:tcPr>
          <w:p>
            <w:pPr>
              <w:spacing w:after="0"/>
              <w:rPr>
                <w:sz w:val="20"/>
                <w:szCs w:val="20"/>
                <w:color w:val="auto"/>
              </w:rPr>
            </w:pPr>
            <w:r>
              <w:rPr>
                <w:rFonts w:ascii="Arial" w:cs="Arial" w:eastAsia="Arial" w:hAnsi="Arial"/>
                <w:sz w:val="18"/>
                <w:szCs w:val="18"/>
                <w:color w:val="auto"/>
              </w:rPr>
              <w:t>Related party receivable</w:t>
            </w:r>
          </w:p>
        </w:tc>
        <w:tc>
          <w:tcPr>
            <w:tcW w:w="52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2.4</w:t>
            </w:r>
          </w:p>
        </w:tc>
        <w:tc>
          <w:tcPr>
            <w:tcW w:w="2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2.8</w:t>
            </w:r>
          </w:p>
        </w:tc>
        <w:tc>
          <w:tcPr>
            <w:tcW w:w="80" w:type="dxa"/>
            <w:vAlign w:val="bottom"/>
            <w:shd w:val="clear" w:color="auto" w:fill="CCEEFF"/>
          </w:tcPr>
          <w:p>
            <w:pPr>
              <w:spacing w:after="0"/>
              <w:rPr>
                <w:sz w:val="18"/>
                <w:szCs w:val="18"/>
                <w:color w:val="auto"/>
              </w:rPr>
            </w:pPr>
          </w:p>
        </w:tc>
      </w:tr>
      <w:tr>
        <w:trPr>
          <w:trHeight w:val="213"/>
        </w:trPr>
        <w:tc>
          <w:tcPr>
            <w:tcW w:w="8020" w:type="dxa"/>
            <w:vAlign w:val="bottom"/>
          </w:tcPr>
          <w:p>
            <w:pPr>
              <w:spacing w:after="0"/>
              <w:rPr>
                <w:sz w:val="20"/>
                <w:szCs w:val="20"/>
                <w:color w:val="auto"/>
              </w:rPr>
            </w:pPr>
            <w:r>
              <w:rPr>
                <w:rFonts w:ascii="Arial" w:cs="Arial" w:eastAsia="Arial" w:hAnsi="Arial"/>
                <w:sz w:val="18"/>
                <w:szCs w:val="18"/>
                <w:color w:val="auto"/>
              </w:rPr>
              <w:t>Inventories</w:t>
            </w:r>
          </w:p>
        </w:tc>
        <w:tc>
          <w:tcPr>
            <w:tcW w:w="520" w:type="dxa"/>
            <w:vAlign w:val="bottom"/>
          </w:tcPr>
          <w:p>
            <w:pPr>
              <w:spacing w:after="0"/>
              <w:rPr>
                <w:sz w:val="18"/>
                <w:szCs w:val="18"/>
                <w:color w:val="auto"/>
              </w:rPr>
            </w:pPr>
          </w:p>
        </w:tc>
        <w:tc>
          <w:tcPr>
            <w:tcW w:w="1160" w:type="dxa"/>
            <w:vAlign w:val="bottom"/>
            <w:gridSpan w:val="2"/>
          </w:tcPr>
          <w:p>
            <w:pPr>
              <w:jc w:val="right"/>
              <w:ind w:right="200"/>
              <w:spacing w:after="0"/>
              <w:rPr>
                <w:sz w:val="20"/>
                <w:szCs w:val="20"/>
                <w:color w:val="auto"/>
              </w:rPr>
            </w:pPr>
            <w:r>
              <w:rPr>
                <w:rFonts w:ascii="Arial" w:cs="Arial" w:eastAsia="Arial" w:hAnsi="Arial"/>
                <w:sz w:val="18"/>
                <w:szCs w:val="18"/>
                <w:color w:val="auto"/>
              </w:rPr>
              <w:t>484.5</w:t>
            </w:r>
          </w:p>
        </w:tc>
        <w:tc>
          <w:tcPr>
            <w:tcW w:w="2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960" w:type="dxa"/>
            <w:vAlign w:val="bottom"/>
            <w:gridSpan w:val="2"/>
          </w:tcPr>
          <w:p>
            <w:pPr>
              <w:jc w:val="right"/>
              <w:ind w:right="20"/>
              <w:spacing w:after="0"/>
              <w:rPr>
                <w:sz w:val="20"/>
                <w:szCs w:val="20"/>
                <w:color w:val="auto"/>
              </w:rPr>
            </w:pPr>
            <w:r>
              <w:rPr>
                <w:rFonts w:ascii="Arial" w:cs="Arial" w:eastAsia="Arial" w:hAnsi="Arial"/>
                <w:sz w:val="18"/>
                <w:szCs w:val="18"/>
                <w:color w:val="auto"/>
              </w:rPr>
              <w:t>552.9</w:t>
            </w:r>
          </w:p>
        </w:tc>
        <w:tc>
          <w:tcPr>
            <w:tcW w:w="80" w:type="dxa"/>
            <w:vAlign w:val="bottom"/>
          </w:tcPr>
          <w:p>
            <w:pPr>
              <w:spacing w:after="0"/>
              <w:rPr>
                <w:sz w:val="18"/>
                <w:szCs w:val="18"/>
                <w:color w:val="auto"/>
              </w:rPr>
            </w:pPr>
          </w:p>
        </w:tc>
      </w:tr>
      <w:tr>
        <w:trPr>
          <w:trHeight w:val="227"/>
        </w:trPr>
        <w:tc>
          <w:tcPr>
            <w:tcW w:w="8020" w:type="dxa"/>
            <w:vAlign w:val="bottom"/>
            <w:shd w:val="clear" w:color="auto" w:fill="CCEEFF"/>
          </w:tcPr>
          <w:p>
            <w:pPr>
              <w:spacing w:after="0"/>
              <w:rPr>
                <w:sz w:val="20"/>
                <w:szCs w:val="20"/>
                <w:color w:val="auto"/>
              </w:rPr>
            </w:pPr>
            <w:r>
              <w:rPr>
                <w:rFonts w:ascii="Arial" w:cs="Arial" w:eastAsia="Arial" w:hAnsi="Arial"/>
                <w:sz w:val="18"/>
                <w:szCs w:val="18"/>
                <w:color w:val="auto"/>
              </w:rPr>
              <w:t>Other current assets</w:t>
            </w:r>
          </w:p>
        </w:tc>
        <w:tc>
          <w:tcPr>
            <w:tcW w:w="520" w:type="dxa"/>
            <w:vAlign w:val="bottom"/>
            <w:shd w:val="clear" w:color="auto" w:fill="CCEEFF"/>
          </w:tcPr>
          <w:p>
            <w:pPr>
              <w:spacing w:after="0"/>
              <w:rPr>
                <w:sz w:val="19"/>
                <w:szCs w:val="19"/>
                <w:color w:val="auto"/>
              </w:rPr>
            </w:pPr>
          </w:p>
        </w:tc>
        <w:tc>
          <w:tcPr>
            <w:tcW w:w="11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116.1</w:t>
            </w:r>
          </w:p>
        </w:tc>
        <w:tc>
          <w:tcPr>
            <w:tcW w:w="20" w:type="dxa"/>
            <w:vAlign w:val="bottom"/>
            <w:shd w:val="clear" w:color="auto" w:fill="CCEEFF"/>
          </w:tcPr>
          <w:p>
            <w:pPr>
              <w:spacing w:after="0"/>
              <w:rPr>
                <w:sz w:val="19"/>
                <w:szCs w:val="19"/>
                <w:color w:val="auto"/>
              </w:rPr>
            </w:pPr>
          </w:p>
        </w:tc>
        <w:tc>
          <w:tcPr>
            <w:tcW w:w="480" w:type="dxa"/>
            <w:vAlign w:val="bottom"/>
            <w:shd w:val="clear" w:color="auto" w:fill="CCEEFF"/>
          </w:tcPr>
          <w:p>
            <w:pPr>
              <w:spacing w:after="0"/>
              <w:rPr>
                <w:sz w:val="19"/>
                <w:szCs w:val="19"/>
                <w:color w:val="auto"/>
              </w:rPr>
            </w:pPr>
          </w:p>
        </w:tc>
        <w:tc>
          <w:tcPr>
            <w:tcW w:w="9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126.1</w:t>
            </w:r>
          </w:p>
        </w:tc>
        <w:tc>
          <w:tcPr>
            <w:tcW w:w="80" w:type="dxa"/>
            <w:vAlign w:val="bottom"/>
            <w:shd w:val="clear" w:color="auto" w:fill="CCEEFF"/>
          </w:tcPr>
          <w:p>
            <w:pPr>
              <w:spacing w:after="0"/>
              <w:rPr>
                <w:sz w:val="19"/>
                <w:szCs w:val="19"/>
                <w:color w:val="auto"/>
              </w:rPr>
            </w:pPr>
          </w:p>
        </w:tc>
      </w:tr>
      <w:tr>
        <w:trPr>
          <w:trHeight w:val="207"/>
        </w:trPr>
        <w:tc>
          <w:tcPr>
            <w:tcW w:w="8020" w:type="dxa"/>
            <w:vAlign w:val="bottom"/>
          </w:tcPr>
          <w:p>
            <w:pPr>
              <w:spacing w:after="0"/>
              <w:rPr>
                <w:sz w:val="20"/>
                <w:szCs w:val="20"/>
                <w:color w:val="auto"/>
              </w:rPr>
            </w:pPr>
            <w:r>
              <w:rPr>
                <w:rFonts w:ascii="Arial" w:cs="Arial" w:eastAsia="Arial" w:hAnsi="Arial"/>
                <w:sz w:val="18"/>
                <w:szCs w:val="18"/>
                <w:b w:val="1"/>
                <w:bCs w:val="1"/>
                <w:color w:val="auto"/>
              </w:rPr>
              <w:t>Total current assets</w:t>
            </w:r>
          </w:p>
        </w:tc>
        <w:tc>
          <w:tcPr>
            <w:tcW w:w="520" w:type="dxa"/>
            <w:vAlign w:val="bottom"/>
            <w:tcBorders>
              <w:top w:val="single" w:sz="8" w:color="auto"/>
            </w:tcBorders>
          </w:tcPr>
          <w:p>
            <w:pPr>
              <w:spacing w:after="0"/>
              <w:rPr>
                <w:sz w:val="17"/>
                <w:szCs w:val="17"/>
                <w:color w:val="auto"/>
              </w:rPr>
            </w:pPr>
          </w:p>
        </w:tc>
        <w:tc>
          <w:tcPr>
            <w:tcW w:w="9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1,555.6</w:t>
            </w:r>
          </w:p>
        </w:tc>
        <w:tc>
          <w:tcPr>
            <w:tcW w:w="2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480" w:type="dxa"/>
            <w:vAlign w:val="bottom"/>
            <w:tcBorders>
              <w:top w:val="single" w:sz="8" w:color="auto"/>
            </w:tcBorders>
          </w:tcPr>
          <w:p>
            <w:pPr>
              <w:spacing w:after="0"/>
              <w:rPr>
                <w:sz w:val="17"/>
                <w:szCs w:val="17"/>
                <w:color w:val="auto"/>
              </w:rPr>
            </w:pPr>
          </w:p>
        </w:tc>
        <w:tc>
          <w:tcPr>
            <w:tcW w:w="9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1,630.6</w:t>
            </w: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r>
      <w:tr>
        <w:trPr>
          <w:trHeight w:val="199"/>
        </w:trPr>
        <w:tc>
          <w:tcPr>
            <w:tcW w:w="8020" w:type="dxa"/>
            <w:vAlign w:val="bottom"/>
            <w:shd w:val="clear" w:color="auto" w:fill="CCEEFF"/>
          </w:tcPr>
          <w:p>
            <w:pPr>
              <w:spacing w:after="0" w:line="199" w:lineRule="exact"/>
              <w:rPr>
                <w:sz w:val="20"/>
                <w:szCs w:val="20"/>
                <w:color w:val="auto"/>
              </w:rPr>
            </w:pPr>
            <w:r>
              <w:rPr>
                <w:rFonts w:ascii="Arial" w:cs="Arial" w:eastAsia="Arial" w:hAnsi="Arial"/>
                <w:sz w:val="18"/>
                <w:szCs w:val="18"/>
                <w:color w:val="auto"/>
              </w:rPr>
              <w:t>Property and equipment (net of accumulated depreciation and amortization of $366.9 and $342.6,</w:t>
            </w:r>
          </w:p>
        </w:tc>
        <w:tc>
          <w:tcPr>
            <w:tcW w:w="520" w:type="dxa"/>
            <w:vAlign w:val="bottom"/>
            <w:shd w:val="clear" w:color="auto" w:fill="CCEEFF"/>
          </w:tcPr>
          <w:p>
            <w:pPr>
              <w:spacing w:after="0"/>
              <w:rPr>
                <w:sz w:val="17"/>
                <w:szCs w:val="17"/>
                <w:color w:val="auto"/>
              </w:rPr>
            </w:pPr>
          </w:p>
        </w:tc>
        <w:tc>
          <w:tcPr>
            <w:tcW w:w="9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r>
      <w:tr>
        <w:trPr>
          <w:trHeight w:val="228"/>
        </w:trPr>
        <w:tc>
          <w:tcPr>
            <w:tcW w:w="8020" w:type="dxa"/>
            <w:vAlign w:val="bottom"/>
            <w:shd w:val="clear" w:color="auto" w:fill="CCEEFF"/>
          </w:tcPr>
          <w:p>
            <w:pPr>
              <w:spacing w:after="0"/>
              <w:rPr>
                <w:sz w:val="20"/>
                <w:szCs w:val="20"/>
                <w:color w:val="auto"/>
              </w:rPr>
            </w:pPr>
            <w:r>
              <w:rPr>
                <w:rFonts w:ascii="Arial" w:cs="Arial" w:eastAsia="Arial" w:hAnsi="Arial"/>
                <w:sz w:val="18"/>
                <w:szCs w:val="18"/>
                <w:color w:val="auto"/>
              </w:rPr>
              <w:t>respectively)</w:t>
            </w:r>
          </w:p>
        </w:tc>
        <w:tc>
          <w:tcPr>
            <w:tcW w:w="520" w:type="dxa"/>
            <w:vAlign w:val="bottom"/>
            <w:shd w:val="clear" w:color="auto" w:fill="CCEEFF"/>
          </w:tcPr>
          <w:p>
            <w:pPr>
              <w:spacing w:after="0"/>
              <w:rPr>
                <w:sz w:val="19"/>
                <w:szCs w:val="19"/>
                <w:color w:val="auto"/>
              </w:rPr>
            </w:pPr>
          </w:p>
        </w:tc>
        <w:tc>
          <w:tcPr>
            <w:tcW w:w="11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202.2</w:t>
            </w:r>
          </w:p>
        </w:tc>
        <w:tc>
          <w:tcPr>
            <w:tcW w:w="20" w:type="dxa"/>
            <w:vAlign w:val="bottom"/>
            <w:shd w:val="clear" w:color="auto" w:fill="CCEEFF"/>
          </w:tcPr>
          <w:p>
            <w:pPr>
              <w:spacing w:after="0"/>
              <w:rPr>
                <w:sz w:val="19"/>
                <w:szCs w:val="19"/>
                <w:color w:val="auto"/>
              </w:rPr>
            </w:pPr>
          </w:p>
        </w:tc>
        <w:tc>
          <w:tcPr>
            <w:tcW w:w="480" w:type="dxa"/>
            <w:vAlign w:val="bottom"/>
            <w:shd w:val="clear" w:color="auto" w:fill="CCEEFF"/>
          </w:tcPr>
          <w:p>
            <w:pPr>
              <w:spacing w:after="0"/>
              <w:rPr>
                <w:sz w:val="19"/>
                <w:szCs w:val="19"/>
                <w:color w:val="auto"/>
              </w:rPr>
            </w:pPr>
          </w:p>
        </w:tc>
        <w:tc>
          <w:tcPr>
            <w:tcW w:w="9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216.9</w:t>
            </w:r>
          </w:p>
        </w:tc>
        <w:tc>
          <w:tcPr>
            <w:tcW w:w="80" w:type="dxa"/>
            <w:vAlign w:val="bottom"/>
            <w:shd w:val="clear" w:color="auto" w:fill="CCEEFF"/>
          </w:tcPr>
          <w:p>
            <w:pPr>
              <w:spacing w:after="0"/>
              <w:rPr>
                <w:sz w:val="19"/>
                <w:szCs w:val="19"/>
                <w:color w:val="auto"/>
              </w:rPr>
            </w:pPr>
          </w:p>
        </w:tc>
      </w:tr>
      <w:tr>
        <w:trPr>
          <w:trHeight w:val="213"/>
        </w:trPr>
        <w:tc>
          <w:tcPr>
            <w:tcW w:w="8020" w:type="dxa"/>
            <w:vAlign w:val="bottom"/>
          </w:tcPr>
          <w:p>
            <w:pPr>
              <w:spacing w:after="0"/>
              <w:rPr>
                <w:sz w:val="20"/>
                <w:szCs w:val="20"/>
                <w:color w:val="auto"/>
              </w:rPr>
            </w:pPr>
            <w:r>
              <w:rPr>
                <w:rFonts w:ascii="Arial" w:cs="Arial" w:eastAsia="Arial" w:hAnsi="Arial"/>
                <w:sz w:val="18"/>
                <w:szCs w:val="18"/>
                <w:color w:val="auto"/>
              </w:rPr>
              <w:t>Goodwill</w:t>
            </w:r>
          </w:p>
        </w:tc>
        <w:tc>
          <w:tcPr>
            <w:tcW w:w="520" w:type="dxa"/>
            <w:vAlign w:val="bottom"/>
          </w:tcPr>
          <w:p>
            <w:pPr>
              <w:spacing w:after="0"/>
              <w:rPr>
                <w:sz w:val="18"/>
                <w:szCs w:val="18"/>
                <w:color w:val="auto"/>
              </w:rPr>
            </w:pPr>
          </w:p>
        </w:tc>
        <w:tc>
          <w:tcPr>
            <w:tcW w:w="1160" w:type="dxa"/>
            <w:vAlign w:val="bottom"/>
            <w:gridSpan w:val="2"/>
          </w:tcPr>
          <w:p>
            <w:pPr>
              <w:jc w:val="right"/>
              <w:ind w:right="200"/>
              <w:spacing w:after="0"/>
              <w:rPr>
                <w:sz w:val="20"/>
                <w:szCs w:val="20"/>
                <w:color w:val="auto"/>
              </w:rPr>
            </w:pPr>
            <w:r>
              <w:rPr>
                <w:rFonts w:ascii="Arial" w:cs="Arial" w:eastAsia="Arial" w:hAnsi="Arial"/>
                <w:sz w:val="18"/>
                <w:szCs w:val="18"/>
                <w:color w:val="auto"/>
              </w:rPr>
              <w:t>99.6</w:t>
            </w:r>
          </w:p>
        </w:tc>
        <w:tc>
          <w:tcPr>
            <w:tcW w:w="2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960" w:type="dxa"/>
            <w:vAlign w:val="bottom"/>
            <w:gridSpan w:val="2"/>
          </w:tcPr>
          <w:p>
            <w:pPr>
              <w:jc w:val="right"/>
              <w:ind w:right="20"/>
              <w:spacing w:after="0"/>
              <w:rPr>
                <w:sz w:val="20"/>
                <w:szCs w:val="20"/>
                <w:color w:val="auto"/>
              </w:rPr>
            </w:pPr>
            <w:r>
              <w:rPr>
                <w:rFonts w:ascii="Arial" w:cs="Arial" w:eastAsia="Arial" w:hAnsi="Arial"/>
                <w:sz w:val="18"/>
                <w:szCs w:val="18"/>
                <w:color w:val="auto"/>
              </w:rPr>
              <w:t>99.6</w:t>
            </w:r>
          </w:p>
        </w:tc>
        <w:tc>
          <w:tcPr>
            <w:tcW w:w="80" w:type="dxa"/>
            <w:vAlign w:val="bottom"/>
          </w:tcPr>
          <w:p>
            <w:pPr>
              <w:spacing w:after="0"/>
              <w:rPr>
                <w:sz w:val="18"/>
                <w:szCs w:val="18"/>
                <w:color w:val="auto"/>
              </w:rPr>
            </w:pPr>
          </w:p>
        </w:tc>
      </w:tr>
      <w:tr>
        <w:trPr>
          <w:trHeight w:val="213"/>
        </w:trPr>
        <w:tc>
          <w:tcPr>
            <w:tcW w:w="8020" w:type="dxa"/>
            <w:vAlign w:val="bottom"/>
            <w:shd w:val="clear" w:color="auto" w:fill="CCEEFF"/>
          </w:tcPr>
          <w:p>
            <w:pPr>
              <w:spacing w:after="0"/>
              <w:rPr>
                <w:sz w:val="20"/>
                <w:szCs w:val="20"/>
                <w:color w:val="auto"/>
              </w:rPr>
            </w:pPr>
            <w:r>
              <w:rPr>
                <w:rFonts w:ascii="Arial" w:cs="Arial" w:eastAsia="Arial" w:hAnsi="Arial"/>
                <w:sz w:val="18"/>
                <w:szCs w:val="18"/>
                <w:color w:val="auto"/>
              </w:rPr>
              <w:t>Other intangibles, net</w:t>
            </w:r>
          </w:p>
        </w:tc>
        <w:tc>
          <w:tcPr>
            <w:tcW w:w="52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48.6</w:t>
            </w:r>
          </w:p>
        </w:tc>
        <w:tc>
          <w:tcPr>
            <w:tcW w:w="2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52.2</w:t>
            </w:r>
          </w:p>
        </w:tc>
        <w:tc>
          <w:tcPr>
            <w:tcW w:w="80" w:type="dxa"/>
            <w:vAlign w:val="bottom"/>
            <w:shd w:val="clear" w:color="auto" w:fill="CCEEFF"/>
          </w:tcPr>
          <w:p>
            <w:pPr>
              <w:spacing w:after="0"/>
              <w:rPr>
                <w:sz w:val="18"/>
                <w:szCs w:val="18"/>
                <w:color w:val="auto"/>
              </w:rPr>
            </w:pPr>
          </w:p>
        </w:tc>
      </w:tr>
      <w:tr>
        <w:trPr>
          <w:trHeight w:val="213"/>
        </w:trPr>
        <w:tc>
          <w:tcPr>
            <w:tcW w:w="8020" w:type="dxa"/>
            <w:vAlign w:val="bottom"/>
          </w:tcPr>
          <w:p>
            <w:pPr>
              <w:spacing w:after="0"/>
              <w:rPr>
                <w:sz w:val="20"/>
                <w:szCs w:val="20"/>
                <w:color w:val="auto"/>
              </w:rPr>
            </w:pPr>
            <w:r>
              <w:rPr>
                <w:rFonts w:ascii="Arial" w:cs="Arial" w:eastAsia="Arial" w:hAnsi="Arial"/>
                <w:sz w:val="18"/>
                <w:szCs w:val="18"/>
                <w:color w:val="auto"/>
              </w:rPr>
              <w:t>Deferred income tax assets</w:t>
            </w:r>
          </w:p>
        </w:tc>
        <w:tc>
          <w:tcPr>
            <w:tcW w:w="520" w:type="dxa"/>
            <w:vAlign w:val="bottom"/>
          </w:tcPr>
          <w:p>
            <w:pPr>
              <w:spacing w:after="0"/>
              <w:rPr>
                <w:sz w:val="18"/>
                <w:szCs w:val="18"/>
                <w:color w:val="auto"/>
              </w:rPr>
            </w:pPr>
          </w:p>
        </w:tc>
        <w:tc>
          <w:tcPr>
            <w:tcW w:w="1160" w:type="dxa"/>
            <w:vAlign w:val="bottom"/>
            <w:gridSpan w:val="2"/>
          </w:tcPr>
          <w:p>
            <w:pPr>
              <w:jc w:val="right"/>
              <w:ind w:right="200"/>
              <w:spacing w:after="0"/>
              <w:rPr>
                <w:sz w:val="20"/>
                <w:szCs w:val="20"/>
                <w:color w:val="auto"/>
              </w:rPr>
            </w:pPr>
            <w:r>
              <w:rPr>
                <w:rFonts w:ascii="Arial" w:cs="Arial" w:eastAsia="Arial" w:hAnsi="Arial"/>
                <w:sz w:val="18"/>
                <w:szCs w:val="18"/>
                <w:color w:val="auto"/>
              </w:rPr>
              <w:t>57.2</w:t>
            </w:r>
          </w:p>
        </w:tc>
        <w:tc>
          <w:tcPr>
            <w:tcW w:w="2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960" w:type="dxa"/>
            <w:vAlign w:val="bottom"/>
            <w:gridSpan w:val="2"/>
          </w:tcPr>
          <w:p>
            <w:pPr>
              <w:jc w:val="right"/>
              <w:ind w:right="20"/>
              <w:spacing w:after="0"/>
              <w:rPr>
                <w:sz w:val="20"/>
                <w:szCs w:val="20"/>
                <w:color w:val="auto"/>
              </w:rPr>
            </w:pPr>
            <w:r>
              <w:rPr>
                <w:rFonts w:ascii="Arial" w:cs="Arial" w:eastAsia="Arial" w:hAnsi="Arial"/>
                <w:sz w:val="18"/>
                <w:szCs w:val="18"/>
                <w:color w:val="auto"/>
              </w:rPr>
              <w:t>57.0</w:t>
            </w:r>
          </w:p>
        </w:tc>
        <w:tc>
          <w:tcPr>
            <w:tcW w:w="80" w:type="dxa"/>
            <w:vAlign w:val="bottom"/>
          </w:tcPr>
          <w:p>
            <w:pPr>
              <w:spacing w:after="0"/>
              <w:rPr>
                <w:sz w:val="18"/>
                <w:szCs w:val="18"/>
                <w:color w:val="auto"/>
              </w:rPr>
            </w:pPr>
          </w:p>
        </w:tc>
      </w:tr>
      <w:tr>
        <w:trPr>
          <w:trHeight w:val="227"/>
        </w:trPr>
        <w:tc>
          <w:tcPr>
            <w:tcW w:w="8020" w:type="dxa"/>
            <w:vAlign w:val="bottom"/>
            <w:shd w:val="clear" w:color="auto" w:fill="CCEEFF"/>
          </w:tcPr>
          <w:p>
            <w:pPr>
              <w:spacing w:after="0"/>
              <w:rPr>
                <w:sz w:val="20"/>
                <w:szCs w:val="20"/>
                <w:color w:val="auto"/>
              </w:rPr>
            </w:pPr>
            <w:r>
              <w:rPr>
                <w:rFonts w:ascii="Arial" w:cs="Arial" w:eastAsia="Arial" w:hAnsi="Arial"/>
                <w:sz w:val="18"/>
                <w:szCs w:val="18"/>
                <w:color w:val="auto"/>
              </w:rPr>
              <w:t>Other non-current assets</w:t>
            </w:r>
          </w:p>
        </w:tc>
        <w:tc>
          <w:tcPr>
            <w:tcW w:w="520" w:type="dxa"/>
            <w:vAlign w:val="bottom"/>
            <w:shd w:val="clear" w:color="auto" w:fill="CCEEFF"/>
          </w:tcPr>
          <w:p>
            <w:pPr>
              <w:spacing w:after="0"/>
              <w:rPr>
                <w:sz w:val="19"/>
                <w:szCs w:val="19"/>
                <w:color w:val="auto"/>
              </w:rPr>
            </w:pPr>
          </w:p>
        </w:tc>
        <w:tc>
          <w:tcPr>
            <w:tcW w:w="11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396.4</w:t>
            </w:r>
          </w:p>
        </w:tc>
        <w:tc>
          <w:tcPr>
            <w:tcW w:w="20" w:type="dxa"/>
            <w:vAlign w:val="bottom"/>
            <w:shd w:val="clear" w:color="auto" w:fill="CCEEFF"/>
          </w:tcPr>
          <w:p>
            <w:pPr>
              <w:spacing w:after="0"/>
              <w:rPr>
                <w:sz w:val="19"/>
                <w:szCs w:val="19"/>
                <w:color w:val="auto"/>
              </w:rPr>
            </w:pPr>
          </w:p>
        </w:tc>
        <w:tc>
          <w:tcPr>
            <w:tcW w:w="480" w:type="dxa"/>
            <w:vAlign w:val="bottom"/>
            <w:shd w:val="clear" w:color="auto" w:fill="CCEEFF"/>
          </w:tcPr>
          <w:p>
            <w:pPr>
              <w:spacing w:after="0"/>
              <w:rPr>
                <w:sz w:val="19"/>
                <w:szCs w:val="19"/>
                <w:color w:val="auto"/>
              </w:rPr>
            </w:pPr>
          </w:p>
        </w:tc>
        <w:tc>
          <w:tcPr>
            <w:tcW w:w="9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454.8</w:t>
            </w:r>
          </w:p>
        </w:tc>
        <w:tc>
          <w:tcPr>
            <w:tcW w:w="80" w:type="dxa"/>
            <w:vAlign w:val="bottom"/>
            <w:shd w:val="clear" w:color="auto" w:fill="CCEEFF"/>
          </w:tcPr>
          <w:p>
            <w:pPr>
              <w:spacing w:after="0"/>
              <w:rPr>
                <w:sz w:val="19"/>
                <w:szCs w:val="19"/>
                <w:color w:val="auto"/>
              </w:rPr>
            </w:pPr>
          </w:p>
        </w:tc>
      </w:tr>
      <w:tr>
        <w:trPr>
          <w:trHeight w:val="260"/>
        </w:trPr>
        <w:tc>
          <w:tcPr>
            <w:tcW w:w="8020" w:type="dxa"/>
            <w:vAlign w:val="bottom"/>
            <w:tcBorders>
              <w:bottom w:val="single" w:sz="8" w:color="CCEEFF"/>
            </w:tcBorders>
          </w:tcPr>
          <w:p>
            <w:pPr>
              <w:spacing w:after="0"/>
              <w:rPr>
                <w:sz w:val="20"/>
                <w:szCs w:val="20"/>
                <w:color w:val="auto"/>
              </w:rPr>
            </w:pPr>
            <w:r>
              <w:rPr>
                <w:rFonts w:ascii="Arial" w:cs="Arial" w:eastAsia="Arial" w:hAnsi="Arial"/>
                <w:sz w:val="18"/>
                <w:szCs w:val="18"/>
                <w:b w:val="1"/>
                <w:bCs w:val="1"/>
                <w:color w:val="auto"/>
              </w:rPr>
              <w:t>Total assets</w:t>
            </w:r>
          </w:p>
        </w:tc>
        <w:tc>
          <w:tcPr>
            <w:tcW w:w="52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9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2,359.6</w:t>
            </w:r>
          </w:p>
        </w:tc>
        <w:tc>
          <w:tcPr>
            <w:tcW w:w="200" w:type="dxa"/>
            <w:vAlign w:val="bottom"/>
            <w:tcBorders>
              <w:bottom w:val="single" w:sz="8" w:color="CCEEFF"/>
            </w:tcBorders>
          </w:tcPr>
          <w:p>
            <w:pPr>
              <w:spacing w:after="0"/>
              <w:rPr>
                <w:sz w:val="22"/>
                <w:szCs w:val="22"/>
                <w:color w:val="auto"/>
              </w:rPr>
            </w:pPr>
          </w:p>
        </w:tc>
        <w:tc>
          <w:tcPr>
            <w:tcW w:w="20" w:type="dxa"/>
            <w:vAlign w:val="bottom"/>
            <w:tcBorders>
              <w:bottom w:val="single" w:sz="8" w:color="CCEEFF"/>
            </w:tcBorders>
          </w:tcPr>
          <w:p>
            <w:pPr>
              <w:spacing w:after="0"/>
              <w:rPr>
                <w:sz w:val="22"/>
                <w:szCs w:val="22"/>
                <w:color w:val="auto"/>
              </w:rPr>
            </w:pPr>
          </w:p>
        </w:tc>
        <w:tc>
          <w:tcPr>
            <w:tcW w:w="48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9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2,511.1</w:t>
            </w:r>
          </w:p>
        </w:tc>
        <w:tc>
          <w:tcPr>
            <w:tcW w:w="20" w:type="dxa"/>
            <w:vAlign w:val="bottom"/>
            <w:tcBorders>
              <w:bottom w:val="single" w:sz="8" w:color="CCEEFF"/>
            </w:tcBorders>
          </w:tcPr>
          <w:p>
            <w:pPr>
              <w:spacing w:after="0"/>
              <w:rPr>
                <w:sz w:val="22"/>
                <w:szCs w:val="22"/>
                <w:color w:val="auto"/>
              </w:rPr>
            </w:pPr>
          </w:p>
        </w:tc>
        <w:tc>
          <w:tcPr>
            <w:tcW w:w="80" w:type="dxa"/>
            <w:vAlign w:val="bottom"/>
            <w:tcBorders>
              <w:bottom w:val="single" w:sz="8" w:color="CCEEFF"/>
            </w:tcBorders>
          </w:tcPr>
          <w:p>
            <w:pPr>
              <w:spacing w:after="0"/>
              <w:rPr>
                <w:sz w:val="22"/>
                <w:szCs w:val="22"/>
                <w:color w:val="auto"/>
              </w:rPr>
            </w:pPr>
          </w:p>
        </w:tc>
      </w:tr>
      <w:tr>
        <w:trPr>
          <w:trHeight w:val="194"/>
        </w:trPr>
        <w:tc>
          <w:tcPr>
            <w:tcW w:w="8020" w:type="dxa"/>
            <w:vAlign w:val="bottom"/>
            <w:shd w:val="clear" w:color="auto" w:fill="CCEEFF"/>
          </w:tcPr>
          <w:p>
            <w:pPr>
              <w:spacing w:after="0" w:line="192" w:lineRule="exact"/>
              <w:rPr>
                <w:sz w:val="20"/>
                <w:szCs w:val="20"/>
                <w:color w:val="auto"/>
              </w:rPr>
            </w:pPr>
            <w:r>
              <w:rPr>
                <w:rFonts w:ascii="Arial" w:cs="Arial" w:eastAsia="Arial" w:hAnsi="Arial"/>
                <w:sz w:val="18"/>
                <w:szCs w:val="18"/>
                <w:b w:val="1"/>
                <w:bCs w:val="1"/>
                <w:color w:val="auto"/>
              </w:rPr>
              <w:t>Liabilities and shareholders' equity</w:t>
            </w:r>
          </w:p>
        </w:tc>
        <w:tc>
          <w:tcPr>
            <w:tcW w:w="520" w:type="dxa"/>
            <w:vAlign w:val="bottom"/>
            <w:shd w:val="clear" w:color="auto" w:fill="CCEEFF"/>
          </w:tcPr>
          <w:p>
            <w:pPr>
              <w:spacing w:after="0"/>
              <w:rPr>
                <w:sz w:val="16"/>
                <w:szCs w:val="16"/>
                <w:color w:val="auto"/>
              </w:rPr>
            </w:pPr>
          </w:p>
        </w:tc>
        <w:tc>
          <w:tcPr>
            <w:tcW w:w="96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480" w:type="dxa"/>
            <w:vAlign w:val="bottom"/>
            <w:shd w:val="clear" w:color="auto" w:fill="CCEEFF"/>
          </w:tcPr>
          <w:p>
            <w:pPr>
              <w:spacing w:after="0"/>
              <w:rPr>
                <w:sz w:val="16"/>
                <w:szCs w:val="16"/>
                <w:color w:val="auto"/>
              </w:rPr>
            </w:pPr>
          </w:p>
        </w:tc>
        <w:tc>
          <w:tcPr>
            <w:tcW w:w="94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r>
      <w:tr>
        <w:trPr>
          <w:trHeight w:val="213"/>
        </w:trPr>
        <w:tc>
          <w:tcPr>
            <w:tcW w:w="8020" w:type="dxa"/>
            <w:vAlign w:val="bottom"/>
          </w:tcPr>
          <w:p>
            <w:pPr>
              <w:spacing w:after="0"/>
              <w:rPr>
                <w:sz w:val="20"/>
                <w:szCs w:val="20"/>
                <w:color w:val="auto"/>
              </w:rPr>
            </w:pPr>
            <w:r>
              <w:rPr>
                <w:rFonts w:ascii="Arial" w:cs="Arial" w:eastAsia="Arial" w:hAnsi="Arial"/>
                <w:sz w:val="18"/>
                <w:szCs w:val="18"/>
                <w:color w:val="auto"/>
              </w:rPr>
              <w:t>Current liabilities:</w:t>
            </w:r>
          </w:p>
        </w:tc>
        <w:tc>
          <w:tcPr>
            <w:tcW w:w="520" w:type="dxa"/>
            <w:vAlign w:val="bottom"/>
          </w:tcPr>
          <w:p>
            <w:pPr>
              <w:spacing w:after="0"/>
              <w:rPr>
                <w:sz w:val="18"/>
                <w:szCs w:val="18"/>
                <w:color w:val="auto"/>
              </w:rPr>
            </w:pPr>
          </w:p>
        </w:tc>
        <w:tc>
          <w:tcPr>
            <w:tcW w:w="9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r>
      <w:tr>
        <w:trPr>
          <w:trHeight w:val="213"/>
        </w:trPr>
        <w:tc>
          <w:tcPr>
            <w:tcW w:w="8020" w:type="dxa"/>
            <w:vAlign w:val="bottom"/>
            <w:shd w:val="clear" w:color="auto" w:fill="CCEEFF"/>
          </w:tcPr>
          <w:p>
            <w:pPr>
              <w:spacing w:after="0"/>
              <w:rPr>
                <w:sz w:val="20"/>
                <w:szCs w:val="20"/>
                <w:color w:val="auto"/>
              </w:rPr>
            </w:pPr>
            <w:r>
              <w:rPr>
                <w:rFonts w:ascii="Arial" w:cs="Arial" w:eastAsia="Arial" w:hAnsi="Arial"/>
                <w:sz w:val="18"/>
                <w:szCs w:val="18"/>
                <w:color w:val="auto"/>
              </w:rPr>
              <w:t>Accounts payable</w:t>
            </w:r>
          </w:p>
        </w:tc>
        <w:tc>
          <w:tcPr>
            <w:tcW w:w="52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11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496.9</w:t>
            </w:r>
          </w:p>
        </w:tc>
        <w:tc>
          <w:tcPr>
            <w:tcW w:w="5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476.9</w:t>
            </w:r>
          </w:p>
        </w:tc>
        <w:tc>
          <w:tcPr>
            <w:tcW w:w="80" w:type="dxa"/>
            <w:vAlign w:val="bottom"/>
            <w:shd w:val="clear" w:color="auto" w:fill="CCEEFF"/>
          </w:tcPr>
          <w:p>
            <w:pPr>
              <w:spacing w:after="0"/>
              <w:rPr>
                <w:sz w:val="18"/>
                <w:szCs w:val="18"/>
                <w:color w:val="auto"/>
              </w:rPr>
            </w:pPr>
          </w:p>
        </w:tc>
      </w:tr>
      <w:tr>
        <w:trPr>
          <w:trHeight w:val="213"/>
        </w:trPr>
        <w:tc>
          <w:tcPr>
            <w:tcW w:w="8020" w:type="dxa"/>
            <w:vAlign w:val="bottom"/>
          </w:tcPr>
          <w:p>
            <w:pPr>
              <w:spacing w:after="0"/>
              <w:rPr>
                <w:sz w:val="20"/>
                <w:szCs w:val="20"/>
                <w:color w:val="auto"/>
              </w:rPr>
            </w:pPr>
            <w:r>
              <w:rPr>
                <w:rFonts w:ascii="Arial" w:cs="Arial" w:eastAsia="Arial" w:hAnsi="Arial"/>
                <w:sz w:val="18"/>
                <w:szCs w:val="18"/>
                <w:color w:val="auto"/>
              </w:rPr>
              <w:t>Related party payable</w:t>
            </w:r>
          </w:p>
        </w:tc>
        <w:tc>
          <w:tcPr>
            <w:tcW w:w="520" w:type="dxa"/>
            <w:vAlign w:val="bottom"/>
          </w:tcPr>
          <w:p>
            <w:pPr>
              <w:spacing w:after="0"/>
              <w:rPr>
                <w:sz w:val="18"/>
                <w:szCs w:val="18"/>
                <w:color w:val="auto"/>
              </w:rPr>
            </w:pPr>
          </w:p>
        </w:tc>
        <w:tc>
          <w:tcPr>
            <w:tcW w:w="1160" w:type="dxa"/>
            <w:vAlign w:val="bottom"/>
            <w:gridSpan w:val="2"/>
          </w:tcPr>
          <w:p>
            <w:pPr>
              <w:jc w:val="right"/>
              <w:ind w:right="200"/>
              <w:spacing w:after="0"/>
              <w:rPr>
                <w:sz w:val="20"/>
                <w:szCs w:val="20"/>
                <w:color w:val="auto"/>
              </w:rPr>
            </w:pPr>
            <w:r>
              <w:rPr>
                <w:rFonts w:ascii="Arial" w:cs="Arial" w:eastAsia="Arial" w:hAnsi="Arial"/>
                <w:sz w:val="18"/>
                <w:szCs w:val="18"/>
                <w:color w:val="auto"/>
              </w:rPr>
              <w:t>4.0</w:t>
            </w:r>
          </w:p>
        </w:tc>
        <w:tc>
          <w:tcPr>
            <w:tcW w:w="2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960" w:type="dxa"/>
            <w:vAlign w:val="bottom"/>
            <w:gridSpan w:val="2"/>
          </w:tcPr>
          <w:p>
            <w:pPr>
              <w:jc w:val="right"/>
              <w:ind w:right="20"/>
              <w:spacing w:after="0"/>
              <w:rPr>
                <w:sz w:val="20"/>
                <w:szCs w:val="20"/>
                <w:color w:val="auto"/>
              </w:rPr>
            </w:pPr>
            <w:r>
              <w:rPr>
                <w:rFonts w:ascii="Arial" w:cs="Arial" w:eastAsia="Arial" w:hAnsi="Arial"/>
                <w:sz w:val="18"/>
                <w:szCs w:val="18"/>
                <w:color w:val="auto"/>
              </w:rPr>
              <w:t>4.3</w:t>
            </w:r>
          </w:p>
        </w:tc>
        <w:tc>
          <w:tcPr>
            <w:tcW w:w="80" w:type="dxa"/>
            <w:vAlign w:val="bottom"/>
          </w:tcPr>
          <w:p>
            <w:pPr>
              <w:spacing w:after="0"/>
              <w:rPr>
                <w:sz w:val="18"/>
                <w:szCs w:val="18"/>
                <w:color w:val="auto"/>
              </w:rPr>
            </w:pPr>
          </w:p>
        </w:tc>
      </w:tr>
      <w:tr>
        <w:trPr>
          <w:trHeight w:val="213"/>
        </w:trPr>
        <w:tc>
          <w:tcPr>
            <w:tcW w:w="8020" w:type="dxa"/>
            <w:vAlign w:val="bottom"/>
            <w:shd w:val="clear" w:color="auto" w:fill="CCEEFF"/>
          </w:tcPr>
          <w:p>
            <w:pPr>
              <w:spacing w:after="0"/>
              <w:rPr>
                <w:sz w:val="20"/>
                <w:szCs w:val="20"/>
                <w:color w:val="auto"/>
              </w:rPr>
            </w:pPr>
            <w:r>
              <w:rPr>
                <w:rFonts w:ascii="Arial" w:cs="Arial" w:eastAsia="Arial" w:hAnsi="Arial"/>
                <w:sz w:val="18"/>
                <w:szCs w:val="18"/>
                <w:color w:val="auto"/>
              </w:rPr>
              <w:t>Accrued payroll and benefits</w:t>
            </w:r>
          </w:p>
        </w:tc>
        <w:tc>
          <w:tcPr>
            <w:tcW w:w="52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66.2</w:t>
            </w:r>
          </w:p>
        </w:tc>
        <w:tc>
          <w:tcPr>
            <w:tcW w:w="2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53.9</w:t>
            </w:r>
          </w:p>
        </w:tc>
        <w:tc>
          <w:tcPr>
            <w:tcW w:w="80" w:type="dxa"/>
            <w:vAlign w:val="bottom"/>
            <w:shd w:val="clear" w:color="auto" w:fill="CCEEFF"/>
          </w:tcPr>
          <w:p>
            <w:pPr>
              <w:spacing w:after="0"/>
              <w:rPr>
                <w:sz w:val="18"/>
                <w:szCs w:val="18"/>
                <w:color w:val="auto"/>
              </w:rPr>
            </w:pPr>
          </w:p>
        </w:tc>
      </w:tr>
      <w:tr>
        <w:trPr>
          <w:trHeight w:val="213"/>
        </w:trPr>
        <w:tc>
          <w:tcPr>
            <w:tcW w:w="8020" w:type="dxa"/>
            <w:vAlign w:val="bottom"/>
          </w:tcPr>
          <w:p>
            <w:pPr>
              <w:spacing w:after="0"/>
              <w:rPr>
                <w:sz w:val="20"/>
                <w:szCs w:val="20"/>
                <w:color w:val="auto"/>
              </w:rPr>
            </w:pPr>
            <w:r>
              <w:rPr>
                <w:rFonts w:ascii="Arial" w:cs="Arial" w:eastAsia="Arial" w:hAnsi="Arial"/>
                <w:sz w:val="18"/>
                <w:szCs w:val="18"/>
                <w:color w:val="auto"/>
              </w:rPr>
              <w:t>Other accrued liabilities</w:t>
            </w:r>
          </w:p>
        </w:tc>
        <w:tc>
          <w:tcPr>
            <w:tcW w:w="520" w:type="dxa"/>
            <w:vAlign w:val="bottom"/>
          </w:tcPr>
          <w:p>
            <w:pPr>
              <w:spacing w:after="0"/>
              <w:rPr>
                <w:sz w:val="18"/>
                <w:szCs w:val="18"/>
                <w:color w:val="auto"/>
              </w:rPr>
            </w:pPr>
          </w:p>
        </w:tc>
        <w:tc>
          <w:tcPr>
            <w:tcW w:w="1160" w:type="dxa"/>
            <w:vAlign w:val="bottom"/>
            <w:gridSpan w:val="2"/>
          </w:tcPr>
          <w:p>
            <w:pPr>
              <w:jc w:val="right"/>
              <w:ind w:right="200"/>
              <w:spacing w:after="0"/>
              <w:rPr>
                <w:sz w:val="20"/>
                <w:szCs w:val="20"/>
                <w:color w:val="auto"/>
              </w:rPr>
            </w:pPr>
            <w:r>
              <w:rPr>
                <w:rFonts w:ascii="Arial" w:cs="Arial" w:eastAsia="Arial" w:hAnsi="Arial"/>
                <w:sz w:val="18"/>
                <w:szCs w:val="18"/>
                <w:color w:val="auto"/>
              </w:rPr>
              <w:t>184.3</w:t>
            </w:r>
          </w:p>
        </w:tc>
        <w:tc>
          <w:tcPr>
            <w:tcW w:w="2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960" w:type="dxa"/>
            <w:vAlign w:val="bottom"/>
            <w:gridSpan w:val="2"/>
          </w:tcPr>
          <w:p>
            <w:pPr>
              <w:jc w:val="right"/>
              <w:ind w:right="20"/>
              <w:spacing w:after="0"/>
              <w:rPr>
                <w:sz w:val="20"/>
                <w:szCs w:val="20"/>
                <w:color w:val="auto"/>
              </w:rPr>
            </w:pPr>
            <w:r>
              <w:rPr>
                <w:rFonts w:ascii="Arial" w:cs="Arial" w:eastAsia="Arial" w:hAnsi="Arial"/>
                <w:sz w:val="18"/>
                <w:szCs w:val="18"/>
                <w:color w:val="auto"/>
              </w:rPr>
              <w:t>183.8</w:t>
            </w:r>
          </w:p>
        </w:tc>
        <w:tc>
          <w:tcPr>
            <w:tcW w:w="80" w:type="dxa"/>
            <w:vAlign w:val="bottom"/>
          </w:tcPr>
          <w:p>
            <w:pPr>
              <w:spacing w:after="0"/>
              <w:rPr>
                <w:sz w:val="18"/>
                <w:szCs w:val="18"/>
                <w:color w:val="auto"/>
              </w:rPr>
            </w:pPr>
          </w:p>
        </w:tc>
      </w:tr>
      <w:tr>
        <w:trPr>
          <w:trHeight w:val="227"/>
        </w:trPr>
        <w:tc>
          <w:tcPr>
            <w:tcW w:w="8020" w:type="dxa"/>
            <w:vAlign w:val="bottom"/>
            <w:shd w:val="clear" w:color="auto" w:fill="CCEEFF"/>
          </w:tcPr>
          <w:p>
            <w:pPr>
              <w:spacing w:after="0"/>
              <w:rPr>
                <w:sz w:val="20"/>
                <w:szCs w:val="20"/>
                <w:color w:val="auto"/>
              </w:rPr>
            </w:pPr>
            <w:r>
              <w:rPr>
                <w:rFonts w:ascii="Arial" w:cs="Arial" w:eastAsia="Arial" w:hAnsi="Arial"/>
                <w:sz w:val="18"/>
                <w:szCs w:val="18"/>
                <w:color w:val="auto"/>
              </w:rPr>
              <w:t>Current portion of debt</w:t>
            </w:r>
          </w:p>
        </w:tc>
        <w:tc>
          <w:tcPr>
            <w:tcW w:w="520" w:type="dxa"/>
            <w:vAlign w:val="bottom"/>
            <w:shd w:val="clear" w:color="auto" w:fill="CCEEFF"/>
          </w:tcPr>
          <w:p>
            <w:pPr>
              <w:spacing w:after="0"/>
              <w:rPr>
                <w:sz w:val="19"/>
                <w:szCs w:val="19"/>
                <w:color w:val="auto"/>
              </w:rPr>
            </w:pPr>
          </w:p>
        </w:tc>
        <w:tc>
          <w:tcPr>
            <w:tcW w:w="11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14.9</w:t>
            </w:r>
          </w:p>
        </w:tc>
        <w:tc>
          <w:tcPr>
            <w:tcW w:w="20" w:type="dxa"/>
            <w:vAlign w:val="bottom"/>
            <w:shd w:val="clear" w:color="auto" w:fill="CCEEFF"/>
          </w:tcPr>
          <w:p>
            <w:pPr>
              <w:spacing w:after="0"/>
              <w:rPr>
                <w:sz w:val="19"/>
                <w:szCs w:val="19"/>
                <w:color w:val="auto"/>
              </w:rPr>
            </w:pPr>
          </w:p>
        </w:tc>
        <w:tc>
          <w:tcPr>
            <w:tcW w:w="480" w:type="dxa"/>
            <w:vAlign w:val="bottom"/>
            <w:shd w:val="clear" w:color="auto" w:fill="CCEEFF"/>
          </w:tcPr>
          <w:p>
            <w:pPr>
              <w:spacing w:after="0"/>
              <w:rPr>
                <w:sz w:val="19"/>
                <w:szCs w:val="19"/>
                <w:color w:val="auto"/>
              </w:rPr>
            </w:pPr>
          </w:p>
        </w:tc>
        <w:tc>
          <w:tcPr>
            <w:tcW w:w="9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12.6</w:t>
            </w:r>
          </w:p>
        </w:tc>
        <w:tc>
          <w:tcPr>
            <w:tcW w:w="80" w:type="dxa"/>
            <w:vAlign w:val="bottom"/>
            <w:shd w:val="clear" w:color="auto" w:fill="CCEEFF"/>
          </w:tcPr>
          <w:p>
            <w:pPr>
              <w:spacing w:after="0"/>
              <w:rPr>
                <w:sz w:val="19"/>
                <w:szCs w:val="19"/>
                <w:color w:val="auto"/>
              </w:rPr>
            </w:pPr>
          </w:p>
        </w:tc>
      </w:tr>
      <w:tr>
        <w:trPr>
          <w:trHeight w:val="207"/>
        </w:trPr>
        <w:tc>
          <w:tcPr>
            <w:tcW w:w="8020" w:type="dxa"/>
            <w:vAlign w:val="bottom"/>
          </w:tcPr>
          <w:p>
            <w:pPr>
              <w:spacing w:after="0"/>
              <w:rPr>
                <w:sz w:val="20"/>
                <w:szCs w:val="20"/>
                <w:color w:val="auto"/>
              </w:rPr>
            </w:pPr>
            <w:r>
              <w:rPr>
                <w:rFonts w:ascii="Arial" w:cs="Arial" w:eastAsia="Arial" w:hAnsi="Arial"/>
                <w:sz w:val="18"/>
                <w:szCs w:val="18"/>
                <w:b w:val="1"/>
                <w:bCs w:val="1"/>
                <w:color w:val="auto"/>
              </w:rPr>
              <w:t>Total current liabilities</w:t>
            </w:r>
          </w:p>
        </w:tc>
        <w:tc>
          <w:tcPr>
            <w:tcW w:w="520" w:type="dxa"/>
            <w:vAlign w:val="bottom"/>
            <w:tcBorders>
              <w:top w:val="single" w:sz="8" w:color="auto"/>
            </w:tcBorders>
          </w:tcPr>
          <w:p>
            <w:pPr>
              <w:spacing w:after="0"/>
              <w:rPr>
                <w:sz w:val="17"/>
                <w:szCs w:val="17"/>
                <w:color w:val="auto"/>
              </w:rPr>
            </w:pPr>
          </w:p>
        </w:tc>
        <w:tc>
          <w:tcPr>
            <w:tcW w:w="9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766.3</w:t>
            </w:r>
          </w:p>
        </w:tc>
        <w:tc>
          <w:tcPr>
            <w:tcW w:w="2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480" w:type="dxa"/>
            <w:vAlign w:val="bottom"/>
            <w:tcBorders>
              <w:top w:val="single" w:sz="8" w:color="auto"/>
            </w:tcBorders>
          </w:tcPr>
          <w:p>
            <w:pPr>
              <w:spacing w:after="0"/>
              <w:rPr>
                <w:sz w:val="17"/>
                <w:szCs w:val="17"/>
                <w:color w:val="auto"/>
              </w:rPr>
            </w:pPr>
          </w:p>
        </w:tc>
        <w:tc>
          <w:tcPr>
            <w:tcW w:w="9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731.5</w:t>
            </w: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r>
      <w:tr>
        <w:trPr>
          <w:trHeight w:val="213"/>
        </w:trPr>
        <w:tc>
          <w:tcPr>
            <w:tcW w:w="8020" w:type="dxa"/>
            <w:vAlign w:val="bottom"/>
            <w:shd w:val="clear" w:color="auto" w:fill="CCEEFF"/>
          </w:tcPr>
          <w:p>
            <w:pPr>
              <w:spacing w:after="0"/>
              <w:rPr>
                <w:sz w:val="20"/>
                <w:szCs w:val="20"/>
                <w:color w:val="auto"/>
              </w:rPr>
            </w:pPr>
            <w:r>
              <w:rPr>
                <w:rFonts w:ascii="Arial" w:cs="Arial" w:eastAsia="Arial" w:hAnsi="Arial"/>
                <w:sz w:val="18"/>
                <w:szCs w:val="18"/>
                <w:color w:val="auto"/>
              </w:rPr>
              <w:t>Long-term debt, net of current portion</w:t>
            </w:r>
          </w:p>
        </w:tc>
        <w:tc>
          <w:tcPr>
            <w:tcW w:w="52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591.0</w:t>
            </w:r>
          </w:p>
        </w:tc>
        <w:tc>
          <w:tcPr>
            <w:tcW w:w="2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742.4</w:t>
            </w:r>
          </w:p>
        </w:tc>
        <w:tc>
          <w:tcPr>
            <w:tcW w:w="80" w:type="dxa"/>
            <w:vAlign w:val="bottom"/>
            <w:shd w:val="clear" w:color="auto" w:fill="CCEEFF"/>
          </w:tcPr>
          <w:p>
            <w:pPr>
              <w:spacing w:after="0"/>
              <w:rPr>
                <w:sz w:val="18"/>
                <w:szCs w:val="18"/>
                <w:color w:val="auto"/>
              </w:rPr>
            </w:pPr>
          </w:p>
        </w:tc>
      </w:tr>
      <w:tr>
        <w:trPr>
          <w:trHeight w:val="213"/>
        </w:trPr>
        <w:tc>
          <w:tcPr>
            <w:tcW w:w="8020" w:type="dxa"/>
            <w:vAlign w:val="bottom"/>
          </w:tcPr>
          <w:p>
            <w:pPr>
              <w:spacing w:after="0"/>
              <w:rPr>
                <w:sz w:val="20"/>
                <w:szCs w:val="20"/>
                <w:color w:val="auto"/>
              </w:rPr>
            </w:pPr>
            <w:r>
              <w:rPr>
                <w:rFonts w:ascii="Arial" w:cs="Arial" w:eastAsia="Arial" w:hAnsi="Arial"/>
                <w:sz w:val="18"/>
                <w:szCs w:val="18"/>
                <w:color w:val="auto"/>
              </w:rPr>
              <w:t>Defined benefit pension obligations</w:t>
            </w:r>
          </w:p>
        </w:tc>
        <w:tc>
          <w:tcPr>
            <w:tcW w:w="520" w:type="dxa"/>
            <w:vAlign w:val="bottom"/>
          </w:tcPr>
          <w:p>
            <w:pPr>
              <w:spacing w:after="0"/>
              <w:rPr>
                <w:sz w:val="18"/>
                <w:szCs w:val="18"/>
                <w:color w:val="auto"/>
              </w:rPr>
            </w:pPr>
          </w:p>
        </w:tc>
        <w:tc>
          <w:tcPr>
            <w:tcW w:w="1160" w:type="dxa"/>
            <w:vAlign w:val="bottom"/>
            <w:gridSpan w:val="2"/>
          </w:tcPr>
          <w:p>
            <w:pPr>
              <w:jc w:val="right"/>
              <w:ind w:right="200"/>
              <w:spacing w:after="0"/>
              <w:rPr>
                <w:sz w:val="20"/>
                <w:szCs w:val="20"/>
                <w:color w:val="auto"/>
              </w:rPr>
            </w:pPr>
            <w:r>
              <w:rPr>
                <w:rFonts w:ascii="Arial" w:cs="Arial" w:eastAsia="Arial" w:hAnsi="Arial"/>
                <w:sz w:val="18"/>
                <w:szCs w:val="18"/>
                <w:color w:val="auto"/>
              </w:rPr>
              <w:t>14.1</w:t>
            </w:r>
          </w:p>
        </w:tc>
        <w:tc>
          <w:tcPr>
            <w:tcW w:w="2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960" w:type="dxa"/>
            <w:vAlign w:val="bottom"/>
            <w:gridSpan w:val="2"/>
          </w:tcPr>
          <w:p>
            <w:pPr>
              <w:jc w:val="right"/>
              <w:ind w:right="20"/>
              <w:spacing w:after="0"/>
              <w:rPr>
                <w:sz w:val="20"/>
                <w:szCs w:val="20"/>
                <w:color w:val="auto"/>
              </w:rPr>
            </w:pPr>
            <w:r>
              <w:rPr>
                <w:rFonts w:ascii="Arial" w:cs="Arial" w:eastAsia="Arial" w:hAnsi="Arial"/>
                <w:sz w:val="18"/>
                <w:szCs w:val="18"/>
                <w:color w:val="auto"/>
              </w:rPr>
              <w:t>15.7</w:t>
            </w:r>
          </w:p>
        </w:tc>
        <w:tc>
          <w:tcPr>
            <w:tcW w:w="80" w:type="dxa"/>
            <w:vAlign w:val="bottom"/>
          </w:tcPr>
          <w:p>
            <w:pPr>
              <w:spacing w:after="0"/>
              <w:rPr>
                <w:sz w:val="18"/>
                <w:szCs w:val="18"/>
                <w:color w:val="auto"/>
              </w:rPr>
            </w:pPr>
          </w:p>
        </w:tc>
      </w:tr>
      <w:tr>
        <w:trPr>
          <w:trHeight w:val="227"/>
        </w:trPr>
        <w:tc>
          <w:tcPr>
            <w:tcW w:w="8020" w:type="dxa"/>
            <w:vAlign w:val="bottom"/>
            <w:shd w:val="clear" w:color="auto" w:fill="CCEEFF"/>
          </w:tcPr>
          <w:p>
            <w:pPr>
              <w:spacing w:after="0"/>
              <w:rPr>
                <w:sz w:val="20"/>
                <w:szCs w:val="20"/>
                <w:color w:val="auto"/>
              </w:rPr>
            </w:pPr>
            <w:r>
              <w:rPr>
                <w:rFonts w:ascii="Arial" w:cs="Arial" w:eastAsia="Arial" w:hAnsi="Arial"/>
                <w:sz w:val="18"/>
                <w:szCs w:val="18"/>
                <w:color w:val="auto"/>
              </w:rPr>
              <w:t>Other non-current liabilities</w:t>
            </w:r>
          </w:p>
        </w:tc>
        <w:tc>
          <w:tcPr>
            <w:tcW w:w="520" w:type="dxa"/>
            <w:vAlign w:val="bottom"/>
            <w:shd w:val="clear" w:color="auto" w:fill="CCEEFF"/>
          </w:tcPr>
          <w:p>
            <w:pPr>
              <w:spacing w:after="0"/>
              <w:rPr>
                <w:sz w:val="19"/>
                <w:szCs w:val="19"/>
                <w:color w:val="auto"/>
              </w:rPr>
            </w:pPr>
          </w:p>
        </w:tc>
        <w:tc>
          <w:tcPr>
            <w:tcW w:w="11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445.4</w:t>
            </w:r>
          </w:p>
        </w:tc>
        <w:tc>
          <w:tcPr>
            <w:tcW w:w="20" w:type="dxa"/>
            <w:vAlign w:val="bottom"/>
            <w:shd w:val="clear" w:color="auto" w:fill="CCEEFF"/>
          </w:tcPr>
          <w:p>
            <w:pPr>
              <w:spacing w:after="0"/>
              <w:rPr>
                <w:sz w:val="19"/>
                <w:szCs w:val="19"/>
                <w:color w:val="auto"/>
              </w:rPr>
            </w:pPr>
          </w:p>
        </w:tc>
        <w:tc>
          <w:tcPr>
            <w:tcW w:w="480" w:type="dxa"/>
            <w:vAlign w:val="bottom"/>
            <w:shd w:val="clear" w:color="auto" w:fill="CCEEFF"/>
          </w:tcPr>
          <w:p>
            <w:pPr>
              <w:spacing w:after="0"/>
              <w:rPr>
                <w:sz w:val="19"/>
                <w:szCs w:val="19"/>
                <w:color w:val="auto"/>
              </w:rPr>
            </w:pPr>
          </w:p>
        </w:tc>
        <w:tc>
          <w:tcPr>
            <w:tcW w:w="9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485.3</w:t>
            </w:r>
          </w:p>
        </w:tc>
        <w:tc>
          <w:tcPr>
            <w:tcW w:w="80" w:type="dxa"/>
            <w:vAlign w:val="bottom"/>
            <w:shd w:val="clear" w:color="auto" w:fill="CCEEFF"/>
          </w:tcPr>
          <w:p>
            <w:pPr>
              <w:spacing w:after="0"/>
              <w:rPr>
                <w:sz w:val="19"/>
                <w:szCs w:val="19"/>
                <w:color w:val="auto"/>
              </w:rPr>
            </w:pPr>
          </w:p>
        </w:tc>
      </w:tr>
      <w:tr>
        <w:trPr>
          <w:trHeight w:val="207"/>
        </w:trPr>
        <w:tc>
          <w:tcPr>
            <w:tcW w:w="8020" w:type="dxa"/>
            <w:vAlign w:val="bottom"/>
            <w:tcBorders>
              <w:bottom w:val="single" w:sz="8" w:color="CCEEFF"/>
            </w:tcBorders>
          </w:tcPr>
          <w:p>
            <w:pPr>
              <w:spacing w:after="0"/>
              <w:rPr>
                <w:sz w:val="20"/>
                <w:szCs w:val="20"/>
                <w:color w:val="auto"/>
              </w:rPr>
            </w:pPr>
            <w:r>
              <w:rPr>
                <w:rFonts w:ascii="Arial" w:cs="Arial" w:eastAsia="Arial" w:hAnsi="Arial"/>
                <w:sz w:val="18"/>
                <w:szCs w:val="18"/>
                <w:b w:val="1"/>
                <w:bCs w:val="1"/>
                <w:color w:val="auto"/>
              </w:rPr>
              <w:t>Total liabilities</w:t>
            </w:r>
          </w:p>
        </w:tc>
        <w:tc>
          <w:tcPr>
            <w:tcW w:w="520" w:type="dxa"/>
            <w:vAlign w:val="bottom"/>
            <w:tcBorders>
              <w:top w:val="single" w:sz="8" w:color="auto"/>
              <w:bottom w:val="single" w:sz="8" w:color="auto"/>
            </w:tcBorders>
          </w:tcPr>
          <w:p>
            <w:pPr>
              <w:spacing w:after="0"/>
              <w:rPr>
                <w:sz w:val="17"/>
                <w:szCs w:val="17"/>
                <w:color w:val="auto"/>
              </w:rPr>
            </w:pPr>
          </w:p>
        </w:tc>
        <w:tc>
          <w:tcPr>
            <w:tcW w:w="9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1,816.8</w:t>
            </w:r>
          </w:p>
        </w:tc>
        <w:tc>
          <w:tcPr>
            <w:tcW w:w="200" w:type="dxa"/>
            <w:vAlign w:val="bottom"/>
            <w:tcBorders>
              <w:bottom w:val="single" w:sz="8" w:color="CCEEFF"/>
            </w:tcBorders>
          </w:tcPr>
          <w:p>
            <w:pPr>
              <w:spacing w:after="0"/>
              <w:rPr>
                <w:sz w:val="17"/>
                <w:szCs w:val="17"/>
                <w:color w:val="auto"/>
              </w:rPr>
            </w:pPr>
          </w:p>
        </w:tc>
        <w:tc>
          <w:tcPr>
            <w:tcW w:w="20" w:type="dxa"/>
            <w:vAlign w:val="bottom"/>
            <w:tcBorders>
              <w:bottom w:val="single" w:sz="8" w:color="CCEEFF"/>
            </w:tcBorders>
          </w:tcPr>
          <w:p>
            <w:pPr>
              <w:spacing w:after="0"/>
              <w:rPr>
                <w:sz w:val="17"/>
                <w:szCs w:val="17"/>
                <w:color w:val="auto"/>
              </w:rPr>
            </w:pPr>
          </w:p>
        </w:tc>
        <w:tc>
          <w:tcPr>
            <w:tcW w:w="480" w:type="dxa"/>
            <w:vAlign w:val="bottom"/>
            <w:tcBorders>
              <w:top w:val="single" w:sz="8" w:color="auto"/>
              <w:bottom w:val="single" w:sz="8" w:color="auto"/>
            </w:tcBorders>
          </w:tcPr>
          <w:p>
            <w:pPr>
              <w:spacing w:after="0"/>
              <w:rPr>
                <w:sz w:val="17"/>
                <w:szCs w:val="17"/>
                <w:color w:val="auto"/>
              </w:rPr>
            </w:pPr>
          </w:p>
        </w:tc>
        <w:tc>
          <w:tcPr>
            <w:tcW w:w="9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1,974.9</w:t>
            </w:r>
          </w:p>
        </w:tc>
        <w:tc>
          <w:tcPr>
            <w:tcW w:w="20" w:type="dxa"/>
            <w:vAlign w:val="bottom"/>
            <w:tcBorders>
              <w:bottom w:val="single" w:sz="8" w:color="CCEEFF"/>
            </w:tcBorders>
          </w:tcPr>
          <w:p>
            <w:pPr>
              <w:spacing w:after="0"/>
              <w:rPr>
                <w:sz w:val="17"/>
                <w:szCs w:val="17"/>
                <w:color w:val="auto"/>
              </w:rPr>
            </w:pPr>
          </w:p>
        </w:tc>
        <w:tc>
          <w:tcPr>
            <w:tcW w:w="80" w:type="dxa"/>
            <w:vAlign w:val="bottom"/>
            <w:tcBorders>
              <w:bottom w:val="single" w:sz="8" w:color="CCEEFF"/>
            </w:tcBorders>
          </w:tcPr>
          <w:p>
            <w:pPr>
              <w:spacing w:after="0"/>
              <w:rPr>
                <w:sz w:val="17"/>
                <w:szCs w:val="17"/>
                <w:color w:val="auto"/>
              </w:rPr>
            </w:pPr>
          </w:p>
        </w:tc>
      </w:tr>
      <w:tr>
        <w:trPr>
          <w:trHeight w:val="207"/>
        </w:trPr>
        <w:tc>
          <w:tcPr>
            <w:tcW w:w="8020" w:type="dxa"/>
            <w:vAlign w:val="bottom"/>
            <w:shd w:val="clear" w:color="auto" w:fill="CCEEFF"/>
          </w:tcPr>
          <w:p>
            <w:pPr>
              <w:spacing w:after="0"/>
              <w:rPr>
                <w:sz w:val="20"/>
                <w:szCs w:val="20"/>
                <w:color w:val="auto"/>
              </w:rPr>
            </w:pPr>
            <w:r>
              <w:rPr>
                <w:rFonts w:ascii="Arial" w:cs="Arial" w:eastAsia="Arial" w:hAnsi="Arial"/>
                <w:sz w:val="18"/>
                <w:szCs w:val="18"/>
                <w:color w:val="auto"/>
              </w:rPr>
              <w:t>Commitments and contingencies</w:t>
            </w:r>
          </w:p>
        </w:tc>
        <w:tc>
          <w:tcPr>
            <w:tcW w:w="520" w:type="dxa"/>
            <w:vAlign w:val="bottom"/>
            <w:shd w:val="clear" w:color="auto" w:fill="CCEEFF"/>
          </w:tcPr>
          <w:p>
            <w:pPr>
              <w:spacing w:after="0"/>
              <w:rPr>
                <w:sz w:val="17"/>
                <w:szCs w:val="17"/>
                <w:color w:val="auto"/>
              </w:rPr>
            </w:pPr>
          </w:p>
        </w:tc>
        <w:tc>
          <w:tcPr>
            <w:tcW w:w="9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r>
      <w:tr>
        <w:trPr>
          <w:trHeight w:val="213"/>
        </w:trPr>
        <w:tc>
          <w:tcPr>
            <w:tcW w:w="8020" w:type="dxa"/>
            <w:vAlign w:val="bottom"/>
          </w:tcPr>
          <w:p>
            <w:pPr>
              <w:spacing w:after="0"/>
              <w:rPr>
                <w:sz w:val="20"/>
                <w:szCs w:val="20"/>
                <w:color w:val="auto"/>
              </w:rPr>
            </w:pPr>
            <w:r>
              <w:rPr>
                <w:rFonts w:ascii="Arial" w:cs="Arial" w:eastAsia="Arial" w:hAnsi="Arial"/>
                <w:sz w:val="18"/>
                <w:szCs w:val="18"/>
                <w:color w:val="auto"/>
              </w:rPr>
              <w:t>Shareholders' equity:</w:t>
            </w:r>
          </w:p>
        </w:tc>
        <w:tc>
          <w:tcPr>
            <w:tcW w:w="520" w:type="dxa"/>
            <w:vAlign w:val="bottom"/>
          </w:tcPr>
          <w:p>
            <w:pPr>
              <w:spacing w:after="0"/>
              <w:rPr>
                <w:sz w:val="18"/>
                <w:szCs w:val="18"/>
                <w:color w:val="auto"/>
              </w:rPr>
            </w:pPr>
          </w:p>
        </w:tc>
        <w:tc>
          <w:tcPr>
            <w:tcW w:w="9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r>
      <w:tr>
        <w:trPr>
          <w:trHeight w:val="213"/>
        </w:trPr>
        <w:tc>
          <w:tcPr>
            <w:tcW w:w="8020" w:type="dxa"/>
            <w:vAlign w:val="bottom"/>
            <w:shd w:val="clear" w:color="auto" w:fill="CCEEFF"/>
          </w:tcPr>
          <w:p>
            <w:pPr>
              <w:spacing w:after="0"/>
              <w:rPr>
                <w:sz w:val="20"/>
                <w:szCs w:val="20"/>
                <w:color w:val="auto"/>
              </w:rPr>
            </w:pPr>
            <w:r>
              <w:rPr>
                <w:rFonts w:ascii="Arial" w:cs="Arial" w:eastAsia="Arial" w:hAnsi="Arial"/>
                <w:sz w:val="18"/>
                <w:szCs w:val="18"/>
                <w:color w:val="auto"/>
              </w:rPr>
              <w:t>Preferred stock, $0.01 par value, 10.0 million shares authorized, none issued</w:t>
            </w:r>
          </w:p>
        </w:tc>
        <w:tc>
          <w:tcPr>
            <w:tcW w:w="52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2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104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r>
      <w:tr>
        <w:trPr>
          <w:trHeight w:val="199"/>
        </w:trPr>
        <w:tc>
          <w:tcPr>
            <w:tcW w:w="8020" w:type="dxa"/>
            <w:vAlign w:val="bottom"/>
          </w:tcPr>
          <w:p>
            <w:pPr>
              <w:spacing w:after="0" w:line="199" w:lineRule="exact"/>
              <w:rPr>
                <w:sz w:val="20"/>
                <w:szCs w:val="20"/>
                <w:color w:val="auto"/>
              </w:rPr>
            </w:pPr>
            <w:r>
              <w:rPr>
                <w:rFonts w:ascii="Arial" w:cs="Arial" w:eastAsia="Arial" w:hAnsi="Arial"/>
                <w:sz w:val="18"/>
                <w:szCs w:val="18"/>
                <w:color w:val="auto"/>
                <w:w w:val="97"/>
              </w:rPr>
              <w:t>Common stock, $0.01 par value, 100.0 million shares authorized; shares issued - 16.6 million and 16.4</w:t>
            </w:r>
          </w:p>
        </w:tc>
        <w:tc>
          <w:tcPr>
            <w:tcW w:w="520" w:type="dxa"/>
            <w:vAlign w:val="bottom"/>
          </w:tcPr>
          <w:p>
            <w:pPr>
              <w:spacing w:after="0"/>
              <w:rPr>
                <w:sz w:val="17"/>
                <w:szCs w:val="17"/>
                <w:color w:val="auto"/>
              </w:rPr>
            </w:pPr>
          </w:p>
        </w:tc>
        <w:tc>
          <w:tcPr>
            <w:tcW w:w="9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9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r>
      <w:tr>
        <w:trPr>
          <w:trHeight w:val="227"/>
        </w:trPr>
        <w:tc>
          <w:tcPr>
            <w:tcW w:w="8020" w:type="dxa"/>
            <w:vAlign w:val="bottom"/>
          </w:tcPr>
          <w:p>
            <w:pPr>
              <w:spacing w:after="0"/>
              <w:rPr>
                <w:sz w:val="20"/>
                <w:szCs w:val="20"/>
                <w:color w:val="auto"/>
              </w:rPr>
            </w:pPr>
            <w:r>
              <w:rPr>
                <w:rFonts w:ascii="Arial" w:cs="Arial" w:eastAsia="Arial" w:hAnsi="Arial"/>
                <w:sz w:val="18"/>
                <w:szCs w:val="18"/>
                <w:color w:val="auto"/>
              </w:rPr>
              <w:t>million, respectively; shares outstanding - 15.9 million and 16.1 million, respectively</w:t>
            </w:r>
          </w:p>
        </w:tc>
        <w:tc>
          <w:tcPr>
            <w:tcW w:w="520" w:type="dxa"/>
            <w:vAlign w:val="bottom"/>
          </w:tcPr>
          <w:p>
            <w:pPr>
              <w:spacing w:after="0"/>
              <w:rPr>
                <w:sz w:val="19"/>
                <w:szCs w:val="19"/>
                <w:color w:val="auto"/>
              </w:rPr>
            </w:pPr>
          </w:p>
        </w:tc>
        <w:tc>
          <w:tcPr>
            <w:tcW w:w="1160" w:type="dxa"/>
            <w:vAlign w:val="bottom"/>
            <w:gridSpan w:val="2"/>
          </w:tcPr>
          <w:p>
            <w:pPr>
              <w:jc w:val="right"/>
              <w:ind w:right="200"/>
              <w:spacing w:after="0"/>
              <w:rPr>
                <w:sz w:val="20"/>
                <w:szCs w:val="20"/>
                <w:color w:val="auto"/>
              </w:rPr>
            </w:pPr>
            <w:r>
              <w:rPr>
                <w:rFonts w:ascii="Arial" w:cs="Arial" w:eastAsia="Arial" w:hAnsi="Arial"/>
                <w:sz w:val="18"/>
                <w:szCs w:val="18"/>
                <w:color w:val="auto"/>
              </w:rPr>
              <w:t>0.2</w:t>
            </w:r>
          </w:p>
        </w:tc>
        <w:tc>
          <w:tcPr>
            <w:tcW w:w="2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960" w:type="dxa"/>
            <w:vAlign w:val="bottom"/>
            <w:gridSpan w:val="2"/>
          </w:tcPr>
          <w:p>
            <w:pPr>
              <w:jc w:val="right"/>
              <w:ind w:right="20"/>
              <w:spacing w:after="0"/>
              <w:rPr>
                <w:sz w:val="20"/>
                <w:szCs w:val="20"/>
                <w:color w:val="auto"/>
              </w:rPr>
            </w:pPr>
            <w:r>
              <w:rPr>
                <w:rFonts w:ascii="Arial" w:cs="Arial" w:eastAsia="Arial" w:hAnsi="Arial"/>
                <w:sz w:val="18"/>
                <w:szCs w:val="18"/>
                <w:color w:val="auto"/>
              </w:rPr>
              <w:t>0.2</w:t>
            </w:r>
          </w:p>
        </w:tc>
        <w:tc>
          <w:tcPr>
            <w:tcW w:w="80" w:type="dxa"/>
            <w:vAlign w:val="bottom"/>
          </w:tcPr>
          <w:p>
            <w:pPr>
              <w:spacing w:after="0"/>
              <w:rPr>
                <w:sz w:val="19"/>
                <w:szCs w:val="19"/>
                <w:color w:val="auto"/>
              </w:rPr>
            </w:pPr>
          </w:p>
        </w:tc>
      </w:tr>
      <w:tr>
        <w:trPr>
          <w:trHeight w:val="214"/>
        </w:trPr>
        <w:tc>
          <w:tcPr>
            <w:tcW w:w="8020" w:type="dxa"/>
            <w:vAlign w:val="bottom"/>
            <w:shd w:val="clear" w:color="auto" w:fill="CCEEFF"/>
          </w:tcPr>
          <w:p>
            <w:pPr>
              <w:spacing w:after="0"/>
              <w:rPr>
                <w:sz w:val="20"/>
                <w:szCs w:val="20"/>
                <w:color w:val="auto"/>
              </w:rPr>
            </w:pPr>
            <w:r>
              <w:rPr>
                <w:rFonts w:ascii="Arial" w:cs="Arial" w:eastAsia="Arial" w:hAnsi="Arial"/>
                <w:sz w:val="18"/>
                <w:szCs w:val="18"/>
                <w:color w:val="auto"/>
              </w:rPr>
              <w:t>Additional paid-in capital</w:t>
            </w:r>
          </w:p>
        </w:tc>
        <w:tc>
          <w:tcPr>
            <w:tcW w:w="52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632.1</w:t>
            </w:r>
          </w:p>
        </w:tc>
        <w:tc>
          <w:tcPr>
            <w:tcW w:w="2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618.0</w:t>
            </w:r>
          </w:p>
        </w:tc>
        <w:tc>
          <w:tcPr>
            <w:tcW w:w="80" w:type="dxa"/>
            <w:vAlign w:val="bottom"/>
            <w:shd w:val="clear" w:color="auto" w:fill="CCEEFF"/>
          </w:tcPr>
          <w:p>
            <w:pPr>
              <w:spacing w:after="0"/>
              <w:rPr>
                <w:sz w:val="18"/>
                <w:szCs w:val="18"/>
                <w:color w:val="auto"/>
              </w:rPr>
            </w:pPr>
          </w:p>
        </w:tc>
      </w:tr>
      <w:tr>
        <w:trPr>
          <w:trHeight w:val="213"/>
        </w:trPr>
        <w:tc>
          <w:tcPr>
            <w:tcW w:w="8020" w:type="dxa"/>
            <w:vAlign w:val="bottom"/>
          </w:tcPr>
          <w:p>
            <w:pPr>
              <w:spacing w:after="0"/>
              <w:rPr>
                <w:sz w:val="20"/>
                <w:szCs w:val="20"/>
                <w:color w:val="auto"/>
              </w:rPr>
            </w:pPr>
            <w:r>
              <w:rPr>
                <w:rFonts w:ascii="Arial" w:cs="Arial" w:eastAsia="Arial" w:hAnsi="Arial"/>
                <w:sz w:val="18"/>
                <w:szCs w:val="18"/>
                <w:color w:val="auto"/>
              </w:rPr>
              <w:t>Accumulated (deficit) earnings</w:t>
            </w:r>
          </w:p>
        </w:tc>
        <w:tc>
          <w:tcPr>
            <w:tcW w:w="520" w:type="dxa"/>
            <w:vAlign w:val="bottom"/>
          </w:tcPr>
          <w:p>
            <w:pPr>
              <w:spacing w:after="0"/>
              <w:rPr>
                <w:sz w:val="18"/>
                <w:szCs w:val="18"/>
                <w:color w:val="auto"/>
              </w:rPr>
            </w:pPr>
          </w:p>
        </w:tc>
        <w:tc>
          <w:tcPr>
            <w:tcW w:w="1160" w:type="dxa"/>
            <w:vAlign w:val="bottom"/>
            <w:gridSpan w:val="2"/>
          </w:tcPr>
          <w:p>
            <w:pPr>
              <w:jc w:val="right"/>
              <w:ind w:right="140"/>
              <w:spacing w:after="0"/>
              <w:rPr>
                <w:sz w:val="20"/>
                <w:szCs w:val="20"/>
                <w:color w:val="auto"/>
              </w:rPr>
            </w:pPr>
            <w:r>
              <w:rPr>
                <w:rFonts w:ascii="Arial" w:cs="Arial" w:eastAsia="Arial" w:hAnsi="Arial"/>
                <w:sz w:val="18"/>
                <w:szCs w:val="18"/>
                <w:color w:val="auto"/>
              </w:rPr>
              <w:t>(33.4)</w:t>
            </w:r>
          </w:p>
        </w:tc>
        <w:tc>
          <w:tcPr>
            <w:tcW w:w="2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1040" w:type="dxa"/>
            <w:vAlign w:val="bottom"/>
            <w:gridSpan w:val="3"/>
          </w:tcPr>
          <w:p>
            <w:pPr>
              <w:jc w:val="right"/>
              <w:ind w:right="40"/>
              <w:spacing w:after="0"/>
              <w:rPr>
                <w:sz w:val="20"/>
                <w:szCs w:val="20"/>
                <w:color w:val="auto"/>
              </w:rPr>
            </w:pPr>
            <w:r>
              <w:rPr>
                <w:rFonts w:ascii="Arial" w:cs="Arial" w:eastAsia="Arial" w:hAnsi="Arial"/>
                <w:sz w:val="18"/>
                <w:szCs w:val="18"/>
                <w:color w:val="auto"/>
              </w:rPr>
              <w:t>(35.3)</w:t>
            </w:r>
          </w:p>
        </w:tc>
      </w:tr>
      <w:tr>
        <w:trPr>
          <w:trHeight w:val="213"/>
        </w:trPr>
        <w:tc>
          <w:tcPr>
            <w:tcW w:w="8020" w:type="dxa"/>
            <w:vAlign w:val="bottom"/>
            <w:shd w:val="clear" w:color="auto" w:fill="CCEEFF"/>
          </w:tcPr>
          <w:p>
            <w:pPr>
              <w:spacing w:after="0"/>
              <w:rPr>
                <w:sz w:val="20"/>
                <w:szCs w:val="20"/>
                <w:color w:val="auto"/>
              </w:rPr>
            </w:pPr>
            <w:r>
              <w:rPr>
                <w:rFonts w:ascii="Arial" w:cs="Arial" w:eastAsia="Arial" w:hAnsi="Arial"/>
                <w:sz w:val="18"/>
                <w:szCs w:val="18"/>
                <w:color w:val="auto"/>
              </w:rPr>
              <w:t>Accumulated other comprehensive loss</w:t>
            </w:r>
          </w:p>
        </w:tc>
        <w:tc>
          <w:tcPr>
            <w:tcW w:w="52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(39.0)</w:t>
            </w:r>
          </w:p>
        </w:tc>
        <w:tc>
          <w:tcPr>
            <w:tcW w:w="2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104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(33.1)</w:t>
            </w:r>
          </w:p>
        </w:tc>
      </w:tr>
      <w:tr>
        <w:trPr>
          <w:trHeight w:val="227"/>
        </w:trPr>
        <w:tc>
          <w:tcPr>
            <w:tcW w:w="8020" w:type="dxa"/>
            <w:vAlign w:val="bottom"/>
          </w:tcPr>
          <w:p>
            <w:pPr>
              <w:spacing w:after="0"/>
              <w:rPr>
                <w:sz w:val="20"/>
                <w:szCs w:val="20"/>
                <w:color w:val="auto"/>
              </w:rPr>
            </w:pPr>
            <w:r>
              <w:rPr>
                <w:rFonts w:ascii="Arial" w:cs="Arial" w:eastAsia="Arial" w:hAnsi="Arial"/>
                <w:sz w:val="18"/>
                <w:szCs w:val="18"/>
                <w:color w:val="auto"/>
              </w:rPr>
              <w:t>Treasury stock at cost - 0.7 million shares in 2020 and 0.3 million shares in 2019</w:t>
            </w:r>
          </w:p>
        </w:tc>
        <w:tc>
          <w:tcPr>
            <w:tcW w:w="520" w:type="dxa"/>
            <w:vAlign w:val="bottom"/>
          </w:tcPr>
          <w:p>
            <w:pPr>
              <w:spacing w:after="0"/>
              <w:rPr>
                <w:sz w:val="19"/>
                <w:szCs w:val="19"/>
                <w:color w:val="auto"/>
              </w:rPr>
            </w:pPr>
          </w:p>
        </w:tc>
        <w:tc>
          <w:tcPr>
            <w:tcW w:w="1160" w:type="dxa"/>
            <w:vAlign w:val="bottom"/>
            <w:gridSpan w:val="2"/>
          </w:tcPr>
          <w:p>
            <w:pPr>
              <w:jc w:val="right"/>
              <w:ind w:right="140"/>
              <w:spacing w:after="0"/>
              <w:rPr>
                <w:sz w:val="20"/>
                <w:szCs w:val="20"/>
                <w:color w:val="auto"/>
              </w:rPr>
            </w:pPr>
            <w:r>
              <w:rPr>
                <w:rFonts w:ascii="Arial" w:cs="Arial" w:eastAsia="Arial" w:hAnsi="Arial"/>
                <w:sz w:val="18"/>
                <w:szCs w:val="18"/>
                <w:color w:val="auto"/>
              </w:rPr>
              <w:t>(17.1)</w:t>
            </w:r>
          </w:p>
        </w:tc>
        <w:tc>
          <w:tcPr>
            <w:tcW w:w="2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1040" w:type="dxa"/>
            <w:vAlign w:val="bottom"/>
            <w:gridSpan w:val="3"/>
          </w:tcPr>
          <w:p>
            <w:pPr>
              <w:jc w:val="right"/>
              <w:ind w:right="40"/>
              <w:spacing w:after="0"/>
              <w:rPr>
                <w:sz w:val="20"/>
                <w:szCs w:val="20"/>
                <w:color w:val="auto"/>
              </w:rPr>
            </w:pPr>
            <w:r>
              <w:rPr>
                <w:rFonts w:ascii="Arial" w:cs="Arial" w:eastAsia="Arial" w:hAnsi="Arial"/>
                <w:sz w:val="18"/>
                <w:szCs w:val="18"/>
                <w:color w:val="auto"/>
              </w:rPr>
              <w:t>(13.6)</w:t>
            </w:r>
          </w:p>
        </w:tc>
      </w:tr>
      <w:tr>
        <w:trPr>
          <w:trHeight w:val="207"/>
        </w:trPr>
        <w:tc>
          <w:tcPr>
            <w:tcW w:w="802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rPr>
              <w:t>Total shareholders' equity</w:t>
            </w:r>
          </w:p>
        </w:tc>
        <w:tc>
          <w:tcPr>
            <w:tcW w:w="520" w:type="dxa"/>
            <w:vAlign w:val="bottom"/>
            <w:tcBorders>
              <w:top w:val="single" w:sz="8" w:color="auto"/>
              <w:bottom w:val="single" w:sz="8" w:color="auto"/>
            </w:tcBorders>
            <w:shd w:val="clear" w:color="auto" w:fill="CCEEFF"/>
          </w:tcPr>
          <w:p>
            <w:pPr>
              <w:spacing w:after="0"/>
              <w:rPr>
                <w:sz w:val="18"/>
                <w:szCs w:val="18"/>
                <w:color w:val="auto"/>
              </w:rPr>
            </w:pPr>
          </w:p>
        </w:tc>
        <w:tc>
          <w:tcPr>
            <w:tcW w:w="9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542.8</w:t>
            </w:r>
          </w:p>
        </w:tc>
        <w:tc>
          <w:tcPr>
            <w:tcW w:w="200" w:type="dxa"/>
            <w:vAlign w:val="bottom"/>
            <w:tcBorders>
              <w:top w:val="single" w:sz="8" w:color="CCEEFF"/>
            </w:tcBorders>
            <w:shd w:val="clear" w:color="auto" w:fill="CCEEFF"/>
          </w:tcPr>
          <w:p>
            <w:pPr>
              <w:spacing w:after="0"/>
              <w:rPr>
                <w:sz w:val="18"/>
                <w:szCs w:val="18"/>
                <w:color w:val="auto"/>
              </w:rPr>
            </w:pPr>
          </w:p>
        </w:tc>
        <w:tc>
          <w:tcPr>
            <w:tcW w:w="20" w:type="dxa"/>
            <w:vAlign w:val="bottom"/>
            <w:tcBorders>
              <w:top w:val="single" w:sz="8" w:color="CCEEFF"/>
            </w:tcBorders>
            <w:shd w:val="clear" w:color="auto" w:fill="CCEEFF"/>
          </w:tcPr>
          <w:p>
            <w:pPr>
              <w:spacing w:after="0"/>
              <w:rPr>
                <w:sz w:val="18"/>
                <w:szCs w:val="18"/>
                <w:color w:val="auto"/>
              </w:rPr>
            </w:pPr>
          </w:p>
        </w:tc>
        <w:tc>
          <w:tcPr>
            <w:tcW w:w="480" w:type="dxa"/>
            <w:vAlign w:val="bottom"/>
            <w:tcBorders>
              <w:top w:val="single" w:sz="8" w:color="auto"/>
              <w:bottom w:val="single" w:sz="8" w:color="auto"/>
            </w:tcBorders>
            <w:shd w:val="clear" w:color="auto" w:fill="CCEEFF"/>
          </w:tcPr>
          <w:p>
            <w:pPr>
              <w:spacing w:after="0"/>
              <w:rPr>
                <w:sz w:val="18"/>
                <w:szCs w:val="18"/>
                <w:color w:val="auto"/>
              </w:rPr>
            </w:pPr>
          </w:p>
        </w:tc>
        <w:tc>
          <w:tcPr>
            <w:tcW w:w="9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536.2</w:t>
            </w:r>
          </w:p>
        </w:tc>
        <w:tc>
          <w:tcPr>
            <w:tcW w:w="20" w:type="dxa"/>
            <w:vAlign w:val="bottom"/>
            <w:tcBorders>
              <w:top w:val="single" w:sz="8" w:color="CCEEFF"/>
            </w:tcBorders>
            <w:shd w:val="clear" w:color="auto" w:fill="CCEEFF"/>
          </w:tcPr>
          <w:p>
            <w:pPr>
              <w:spacing w:after="0"/>
              <w:rPr>
                <w:sz w:val="18"/>
                <w:szCs w:val="18"/>
                <w:color w:val="auto"/>
              </w:rPr>
            </w:pPr>
          </w:p>
        </w:tc>
        <w:tc>
          <w:tcPr>
            <w:tcW w:w="80" w:type="dxa"/>
            <w:vAlign w:val="bottom"/>
            <w:tcBorders>
              <w:top w:val="single" w:sz="8" w:color="CCEEFF"/>
            </w:tcBorders>
            <w:shd w:val="clear" w:color="auto" w:fill="CCEEFF"/>
          </w:tcPr>
          <w:p>
            <w:pPr>
              <w:spacing w:after="0"/>
              <w:rPr>
                <w:sz w:val="18"/>
                <w:szCs w:val="18"/>
                <w:color w:val="auto"/>
              </w:rPr>
            </w:pPr>
          </w:p>
        </w:tc>
      </w:tr>
      <w:tr>
        <w:trPr>
          <w:trHeight w:val="220"/>
        </w:trPr>
        <w:tc>
          <w:tcPr>
            <w:tcW w:w="8020" w:type="dxa"/>
            <w:vAlign w:val="bottom"/>
          </w:tcPr>
          <w:p>
            <w:pPr>
              <w:spacing w:after="0"/>
              <w:rPr>
                <w:sz w:val="20"/>
                <w:szCs w:val="20"/>
                <w:color w:val="auto"/>
              </w:rPr>
            </w:pPr>
            <w:r>
              <w:rPr>
                <w:rFonts w:ascii="Arial" w:cs="Arial" w:eastAsia="Arial" w:hAnsi="Arial"/>
                <w:sz w:val="18"/>
                <w:szCs w:val="18"/>
                <w:b w:val="1"/>
                <w:bCs w:val="1"/>
                <w:color w:val="auto"/>
              </w:rPr>
              <w:t>Total liabilities and shareholders' equity</w:t>
            </w:r>
          </w:p>
        </w:tc>
        <w:tc>
          <w:tcPr>
            <w:tcW w:w="52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9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2,359.6</w:t>
            </w:r>
          </w:p>
        </w:tc>
        <w:tc>
          <w:tcPr>
            <w:tcW w:w="200" w:type="dxa"/>
            <w:vAlign w:val="bottom"/>
          </w:tcPr>
          <w:p>
            <w:pPr>
              <w:spacing w:after="0"/>
              <w:rPr>
                <w:sz w:val="19"/>
                <w:szCs w:val="19"/>
                <w:color w:val="auto"/>
              </w:rPr>
            </w:pPr>
          </w:p>
        </w:tc>
        <w:tc>
          <w:tcPr>
            <w:tcW w:w="20" w:type="dxa"/>
            <w:vAlign w:val="bottom"/>
            <w:tcBorders>
              <w:bottom w:val="single" w:sz="8" w:color="auto"/>
            </w:tcBorders>
          </w:tcPr>
          <w:p>
            <w:pPr>
              <w:spacing w:after="0"/>
              <w:rPr>
                <w:sz w:val="19"/>
                <w:szCs w:val="19"/>
                <w:color w:val="auto"/>
              </w:rPr>
            </w:pPr>
          </w:p>
        </w:tc>
        <w:tc>
          <w:tcPr>
            <w:tcW w:w="4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9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2,511.1</w:t>
            </w:r>
          </w:p>
        </w:tc>
        <w:tc>
          <w:tcPr>
            <w:tcW w:w="20" w:type="dxa"/>
            <w:vAlign w:val="bottom"/>
            <w:tcBorders>
              <w:bottom w:val="single" w:sz="8" w:color="auto"/>
            </w:tcBorders>
          </w:tcPr>
          <w:p>
            <w:pPr>
              <w:spacing w:after="0"/>
              <w:rPr>
                <w:sz w:val="19"/>
                <w:szCs w:val="19"/>
                <w:color w:val="auto"/>
              </w:rPr>
            </w:pPr>
          </w:p>
        </w:tc>
        <w:tc>
          <w:tcPr>
            <w:tcW w:w="80" w:type="dxa"/>
            <w:vAlign w:val="bottom"/>
          </w:tcPr>
          <w:p>
            <w:pPr>
              <w:spacing w:after="0"/>
              <w:rPr>
                <w:sz w:val="19"/>
                <w:szCs w:val="19"/>
                <w:color w:val="auto"/>
              </w:rPr>
            </w:pPr>
          </w:p>
        </w:tc>
      </w:tr>
      <w:tr>
        <w:trPr>
          <w:trHeight w:val="20"/>
        </w:trPr>
        <w:tc>
          <w:tcPr>
            <w:tcW w:w="8020" w:type="dxa"/>
            <w:vAlign w:val="bottom"/>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r>
        <w:trPr>
          <w:trHeight w:val="407"/>
        </w:trPr>
        <w:tc>
          <w:tcPr>
            <w:tcW w:w="8020" w:type="dxa"/>
            <w:vAlign w:val="bottom"/>
            <w:tcBorders>
              <w:bottom w:val="single" w:sz="8" w:color="auto"/>
            </w:tcBorders>
          </w:tcPr>
          <w:p>
            <w:pPr>
              <w:spacing w:after="0"/>
              <w:rPr>
                <w:sz w:val="24"/>
                <w:szCs w:val="24"/>
                <w:color w:val="auto"/>
              </w:rPr>
            </w:pPr>
          </w:p>
        </w:tc>
        <w:tc>
          <w:tcPr>
            <w:tcW w:w="520" w:type="dxa"/>
            <w:vAlign w:val="bottom"/>
            <w:tcBorders>
              <w:bottom w:val="single" w:sz="8" w:color="auto"/>
            </w:tcBorders>
          </w:tcPr>
          <w:p>
            <w:pPr>
              <w:spacing w:after="0"/>
              <w:rPr>
                <w:sz w:val="24"/>
                <w:szCs w:val="24"/>
                <w:color w:val="auto"/>
              </w:rPr>
            </w:pPr>
          </w:p>
        </w:tc>
        <w:tc>
          <w:tcPr>
            <w:tcW w:w="9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480" w:type="dxa"/>
            <w:vAlign w:val="bottom"/>
            <w:tcBorders>
              <w:bottom w:val="single" w:sz="8" w:color="auto"/>
            </w:tcBorders>
          </w:tcPr>
          <w:p>
            <w:pPr>
              <w:spacing w:after="0"/>
              <w:rPr>
                <w:sz w:val="24"/>
                <w:szCs w:val="24"/>
                <w:color w:val="auto"/>
              </w:rPr>
            </w:pPr>
          </w:p>
        </w:tc>
        <w:tc>
          <w:tcPr>
            <w:tcW w:w="94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r>
    </w:tbl>
    <w:p>
      <w:pPr>
        <w:sectPr>
          <w:pgSz w:w="11900" w:h="16838" w:orient="portrait"/>
          <w:cols w:equalWidth="0" w:num="1">
            <w:col w:w="11240"/>
          </w:cols>
          <w:pgMar w:left="320" w:top="895" w:right="339" w:bottom="1440" w:gutter="0" w:footer="0" w:header="0"/>
        </w:sectPr>
      </w:pPr>
    </w:p>
    <w:bookmarkStart w:id="8" w:name="page9"/>
    <w:bookmarkEnd w:id="8"/>
    <w:p>
      <w:pPr>
        <w:jc w:val="center"/>
        <w:spacing w:after="0"/>
        <w:rPr>
          <w:sz w:val="20"/>
          <w:szCs w:val="20"/>
          <w:color w:val="auto"/>
        </w:rPr>
      </w:pPr>
      <w:r>
        <w:rPr>
          <w:rFonts w:ascii="Arial" w:cs="Arial" w:eastAsia="Arial" w:hAnsi="Arial"/>
          <w:sz w:val="18"/>
          <w:szCs w:val="18"/>
          <w:b w:val="1"/>
          <w:bCs w:val="1"/>
          <w:color w:val="auto"/>
        </w:rPr>
        <w:t>VERITIV CORPORATION</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CONDENSED CONSOLIDATED STATEMENTS OF CASH FLOWS</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(in millions, unaudited)</w:t>
      </w:r>
    </w:p>
    <w:p>
      <w:pPr>
        <w:spacing w:after="0" w:line="243" w:lineRule="exact"/>
        <w:rPr>
          <w:sz w:val="20"/>
          <w:szCs w:val="20"/>
          <w:color w:val="auto"/>
        </w:rPr>
      </w:pPr>
    </w:p>
    <w:tbl>
      <w:tblPr>
        <w:tblLayout w:type="fixed"/>
        <w:tblInd w:w="0" w:type="dxa"/>
        <w:tblCellMar>
          <w:top w:w="0" w:type="dxa"/>
          <w:left w:w="0" w:type="dxa"/>
          <w:bottom w:w="0" w:type="dxa"/>
          <w:right w:w="0" w:type="dxa"/>
        </w:tblCellMar>
      </w:tblPr>
      <w:tr>
        <w:trPr>
          <w:trHeight w:val="231"/>
        </w:trPr>
        <w:tc>
          <w:tcPr>
            <w:tcW w:w="7040" w:type="dxa"/>
            <w:vAlign w:val="bottom"/>
          </w:tcPr>
          <w:p>
            <w:pPr>
              <w:spacing w:after="0"/>
              <w:rPr>
                <w:sz w:val="20"/>
                <w:szCs w:val="20"/>
                <w:color w:val="auto"/>
              </w:rPr>
            </w:pPr>
          </w:p>
        </w:tc>
        <w:tc>
          <w:tcPr>
            <w:tcW w:w="1420" w:type="dxa"/>
            <w:vAlign w:val="bottom"/>
          </w:tcPr>
          <w:p>
            <w:pPr>
              <w:spacing w:after="0"/>
              <w:rPr>
                <w:sz w:val="20"/>
                <w:szCs w:val="20"/>
                <w:color w:val="auto"/>
              </w:rPr>
            </w:pPr>
          </w:p>
        </w:tc>
        <w:tc>
          <w:tcPr>
            <w:tcW w:w="2780" w:type="dxa"/>
            <w:vAlign w:val="bottom"/>
            <w:gridSpan w:val="6"/>
          </w:tcPr>
          <w:p>
            <w:pPr>
              <w:jc w:val="right"/>
              <w:ind w:right="42"/>
              <w:spacing w:after="0"/>
              <w:rPr>
                <w:sz w:val="20"/>
                <w:szCs w:val="20"/>
                <w:color w:val="auto"/>
              </w:rPr>
            </w:pPr>
            <w:r>
              <w:rPr>
                <w:rFonts w:ascii="Arial" w:cs="Arial" w:eastAsia="Arial" w:hAnsi="Arial"/>
                <w:sz w:val="18"/>
                <w:szCs w:val="18"/>
                <w:b w:val="1"/>
                <w:bCs w:val="1"/>
                <w:color w:val="auto"/>
                <w:w w:val="89"/>
              </w:rPr>
              <w:t>Nine Months Ended September 30,</w:t>
            </w:r>
          </w:p>
        </w:tc>
      </w:tr>
      <w:tr>
        <w:trPr>
          <w:trHeight w:val="221"/>
        </w:trPr>
        <w:tc>
          <w:tcPr>
            <w:tcW w:w="7040" w:type="dxa"/>
            <w:vAlign w:val="bottom"/>
            <w:tcBorders>
              <w:bottom w:val="single" w:sz="8" w:color="CCEEFF"/>
            </w:tcBorders>
          </w:tcPr>
          <w:p>
            <w:pPr>
              <w:spacing w:after="0"/>
              <w:rPr>
                <w:sz w:val="19"/>
                <w:szCs w:val="19"/>
                <w:color w:val="auto"/>
              </w:rPr>
            </w:pPr>
          </w:p>
        </w:tc>
        <w:tc>
          <w:tcPr>
            <w:tcW w:w="1420" w:type="dxa"/>
            <w:vAlign w:val="bottom"/>
            <w:tcBorders>
              <w:bottom w:val="single" w:sz="8" w:color="CCEEFF"/>
            </w:tcBorders>
          </w:tcPr>
          <w:p>
            <w:pPr>
              <w:spacing w:after="0"/>
              <w:rPr>
                <w:sz w:val="19"/>
                <w:szCs w:val="19"/>
                <w:color w:val="auto"/>
              </w:rPr>
            </w:pPr>
          </w:p>
        </w:tc>
        <w:tc>
          <w:tcPr>
            <w:tcW w:w="260" w:type="dxa"/>
            <w:vAlign w:val="bottom"/>
            <w:tcBorders>
              <w:top w:val="single" w:sz="8" w:color="auto"/>
              <w:bottom w:val="single" w:sz="8" w:color="auto"/>
            </w:tcBorders>
          </w:tcPr>
          <w:p>
            <w:pPr>
              <w:spacing w:after="0"/>
              <w:rPr>
                <w:sz w:val="19"/>
                <w:szCs w:val="19"/>
                <w:color w:val="auto"/>
              </w:rPr>
            </w:pPr>
          </w:p>
        </w:tc>
        <w:tc>
          <w:tcPr>
            <w:tcW w:w="980" w:type="dxa"/>
            <w:vAlign w:val="bottom"/>
            <w:tcBorders>
              <w:top w:val="single" w:sz="8" w:color="auto"/>
              <w:bottom w:val="single" w:sz="8" w:color="auto"/>
            </w:tcBorders>
          </w:tcPr>
          <w:p>
            <w:pPr>
              <w:jc w:val="right"/>
              <w:ind w:right="351"/>
              <w:spacing w:after="0"/>
              <w:rPr>
                <w:sz w:val="20"/>
                <w:szCs w:val="20"/>
                <w:color w:val="auto"/>
              </w:rPr>
            </w:pPr>
            <w:r>
              <w:rPr>
                <w:rFonts w:ascii="Arial" w:cs="Arial" w:eastAsia="Arial" w:hAnsi="Arial"/>
                <w:sz w:val="18"/>
                <w:szCs w:val="18"/>
                <w:b w:val="1"/>
                <w:bCs w:val="1"/>
                <w:color w:val="auto"/>
              </w:rPr>
              <w:t>2020</w:t>
            </w:r>
          </w:p>
        </w:tc>
        <w:tc>
          <w:tcPr>
            <w:tcW w:w="200" w:type="dxa"/>
            <w:vAlign w:val="bottom"/>
            <w:tcBorders>
              <w:top w:val="single" w:sz="8" w:color="auto"/>
              <w:bottom w:val="single" w:sz="8" w:color="CCEEFF"/>
            </w:tcBorders>
          </w:tcPr>
          <w:p>
            <w:pPr>
              <w:spacing w:after="0"/>
              <w:rPr>
                <w:sz w:val="19"/>
                <w:szCs w:val="19"/>
                <w:color w:val="auto"/>
              </w:rPr>
            </w:pPr>
          </w:p>
        </w:tc>
        <w:tc>
          <w:tcPr>
            <w:tcW w:w="260" w:type="dxa"/>
            <w:vAlign w:val="bottom"/>
            <w:tcBorders>
              <w:top w:val="single" w:sz="8" w:color="auto"/>
              <w:bottom w:val="single" w:sz="8" w:color="auto"/>
            </w:tcBorders>
          </w:tcPr>
          <w:p>
            <w:pPr>
              <w:spacing w:after="0"/>
              <w:rPr>
                <w:sz w:val="19"/>
                <w:szCs w:val="19"/>
                <w:color w:val="auto"/>
              </w:rPr>
            </w:pPr>
          </w:p>
        </w:tc>
        <w:tc>
          <w:tcPr>
            <w:tcW w:w="980" w:type="dxa"/>
            <w:vAlign w:val="bottom"/>
            <w:tcBorders>
              <w:top w:val="single" w:sz="8" w:color="auto"/>
              <w:bottom w:val="single" w:sz="8" w:color="auto"/>
            </w:tcBorders>
          </w:tcPr>
          <w:p>
            <w:pPr>
              <w:jc w:val="right"/>
              <w:ind w:right="351"/>
              <w:spacing w:after="0"/>
              <w:rPr>
                <w:sz w:val="20"/>
                <w:szCs w:val="20"/>
                <w:color w:val="auto"/>
              </w:rPr>
            </w:pPr>
            <w:r>
              <w:rPr>
                <w:rFonts w:ascii="Arial" w:cs="Arial" w:eastAsia="Arial" w:hAnsi="Arial"/>
                <w:sz w:val="18"/>
                <w:szCs w:val="18"/>
                <w:b w:val="1"/>
                <w:bCs w:val="1"/>
                <w:color w:val="auto"/>
              </w:rPr>
              <w:t>2019</w:t>
            </w:r>
          </w:p>
        </w:tc>
        <w:tc>
          <w:tcPr>
            <w:tcW w:w="100" w:type="dxa"/>
            <w:vAlign w:val="bottom"/>
            <w:tcBorders>
              <w:bottom w:val="single" w:sz="8" w:color="CCEEFF"/>
            </w:tcBorders>
          </w:tcPr>
          <w:p>
            <w:pPr>
              <w:spacing w:after="0"/>
              <w:rPr>
                <w:sz w:val="19"/>
                <w:szCs w:val="19"/>
                <w:color w:val="auto"/>
              </w:rPr>
            </w:pPr>
          </w:p>
        </w:tc>
      </w:tr>
      <w:tr>
        <w:trPr>
          <w:trHeight w:val="207"/>
        </w:trPr>
        <w:tc>
          <w:tcPr>
            <w:tcW w:w="704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Operating activities</w:t>
            </w:r>
          </w:p>
        </w:tc>
        <w:tc>
          <w:tcPr>
            <w:tcW w:w="142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9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9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3"/>
        </w:trPr>
        <w:tc>
          <w:tcPr>
            <w:tcW w:w="7040" w:type="dxa"/>
            <w:vAlign w:val="bottom"/>
          </w:tcPr>
          <w:p>
            <w:pPr>
              <w:spacing w:after="0"/>
              <w:rPr>
                <w:sz w:val="20"/>
                <w:szCs w:val="20"/>
                <w:color w:val="auto"/>
              </w:rPr>
            </w:pPr>
            <w:r>
              <w:rPr>
                <w:rFonts w:ascii="Arial" w:cs="Arial" w:eastAsia="Arial" w:hAnsi="Arial"/>
                <w:sz w:val="18"/>
                <w:szCs w:val="18"/>
                <w:color w:val="auto"/>
              </w:rPr>
              <w:t>Net income (loss)</w:t>
            </w:r>
          </w:p>
        </w:tc>
        <w:tc>
          <w:tcPr>
            <w:tcW w:w="1680" w:type="dxa"/>
            <w:vAlign w:val="bottom"/>
            <w:gridSpan w:val="2"/>
          </w:tcPr>
          <w:p>
            <w:pPr>
              <w:jc w:val="right"/>
              <w:ind w:right="99"/>
              <w:spacing w:after="0"/>
              <w:rPr>
                <w:sz w:val="20"/>
                <w:szCs w:val="20"/>
                <w:color w:val="auto"/>
              </w:rPr>
            </w:pPr>
            <w:r>
              <w:rPr>
                <w:rFonts w:ascii="Arial" w:cs="Arial" w:eastAsia="Arial" w:hAnsi="Arial"/>
                <w:sz w:val="18"/>
                <w:szCs w:val="18"/>
                <w:color w:val="auto"/>
              </w:rPr>
              <w:t>$</w:t>
            </w:r>
          </w:p>
        </w:tc>
        <w:tc>
          <w:tcPr>
            <w:tcW w:w="1180" w:type="dxa"/>
            <w:vAlign w:val="bottom"/>
            <w:gridSpan w:val="2"/>
          </w:tcPr>
          <w:p>
            <w:pPr>
              <w:jc w:val="right"/>
              <w:ind w:right="122"/>
              <w:spacing w:after="0"/>
              <w:rPr>
                <w:sz w:val="20"/>
                <w:szCs w:val="20"/>
                <w:color w:val="auto"/>
              </w:rPr>
            </w:pPr>
            <w:r>
              <w:rPr>
                <w:rFonts w:ascii="Arial" w:cs="Arial" w:eastAsia="Arial" w:hAnsi="Arial"/>
                <w:sz w:val="18"/>
                <w:szCs w:val="18"/>
                <w:color w:val="auto"/>
              </w:rPr>
              <w:t>2.2</w:t>
            </w:r>
          </w:p>
        </w:tc>
        <w:tc>
          <w:tcPr>
            <w:tcW w:w="260" w:type="dxa"/>
            <w:vAlign w:val="bottom"/>
          </w:tcPr>
          <w:p>
            <w:pPr>
              <w:jc w:val="right"/>
              <w:ind w:right="71"/>
              <w:spacing w:after="0"/>
              <w:rPr>
                <w:sz w:val="20"/>
                <w:szCs w:val="20"/>
                <w:color w:val="auto"/>
              </w:rPr>
            </w:pPr>
            <w:r>
              <w:rPr>
                <w:rFonts w:ascii="Arial" w:cs="Arial" w:eastAsia="Arial" w:hAnsi="Arial"/>
                <w:sz w:val="18"/>
                <w:szCs w:val="18"/>
                <w:color w:val="auto"/>
                <w:w w:val="79"/>
              </w:rPr>
              <w:t>$</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(32.9)</w:t>
            </w:r>
          </w:p>
        </w:tc>
      </w:tr>
      <w:tr>
        <w:trPr>
          <w:trHeight w:val="213"/>
        </w:trPr>
        <w:tc>
          <w:tcPr>
            <w:tcW w:w="7040" w:type="dxa"/>
            <w:vAlign w:val="bottom"/>
            <w:shd w:val="clear" w:color="auto" w:fill="CCEEFF"/>
          </w:tcPr>
          <w:p>
            <w:pPr>
              <w:spacing w:after="0"/>
              <w:rPr>
                <w:sz w:val="20"/>
                <w:szCs w:val="20"/>
                <w:color w:val="auto"/>
              </w:rPr>
            </w:pPr>
            <w:r>
              <w:rPr>
                <w:rFonts w:ascii="Arial" w:cs="Arial" w:eastAsia="Arial" w:hAnsi="Arial"/>
                <w:sz w:val="18"/>
                <w:szCs w:val="18"/>
                <w:color w:val="auto"/>
              </w:rPr>
              <w:t>Depreciation and amortization</w:t>
            </w:r>
          </w:p>
        </w:tc>
        <w:tc>
          <w:tcPr>
            <w:tcW w:w="14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122"/>
              <w:spacing w:after="0"/>
              <w:rPr>
                <w:sz w:val="20"/>
                <w:szCs w:val="20"/>
                <w:color w:val="auto"/>
              </w:rPr>
            </w:pPr>
            <w:r>
              <w:rPr>
                <w:rFonts w:ascii="Arial" w:cs="Arial" w:eastAsia="Arial" w:hAnsi="Arial"/>
                <w:sz w:val="18"/>
                <w:szCs w:val="18"/>
                <w:color w:val="auto"/>
              </w:rPr>
              <w:t>43.1</w:t>
            </w:r>
          </w:p>
        </w:tc>
        <w:tc>
          <w:tcPr>
            <w:tcW w:w="26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39.5</w:t>
            </w:r>
          </w:p>
        </w:tc>
      </w:tr>
      <w:tr>
        <w:trPr>
          <w:trHeight w:val="213"/>
        </w:trPr>
        <w:tc>
          <w:tcPr>
            <w:tcW w:w="7040" w:type="dxa"/>
            <w:vAlign w:val="bottom"/>
          </w:tcPr>
          <w:p>
            <w:pPr>
              <w:spacing w:after="0"/>
              <w:rPr>
                <w:sz w:val="20"/>
                <w:szCs w:val="20"/>
                <w:color w:val="auto"/>
              </w:rPr>
            </w:pPr>
            <w:r>
              <w:rPr>
                <w:rFonts w:ascii="Arial" w:cs="Arial" w:eastAsia="Arial" w:hAnsi="Arial"/>
                <w:sz w:val="18"/>
                <w:szCs w:val="18"/>
                <w:color w:val="auto"/>
              </w:rPr>
              <w:t>Amortization and write-off of deferred financing fees</w:t>
            </w:r>
          </w:p>
        </w:tc>
        <w:tc>
          <w:tcPr>
            <w:tcW w:w="14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180" w:type="dxa"/>
            <w:vAlign w:val="bottom"/>
            <w:gridSpan w:val="2"/>
          </w:tcPr>
          <w:p>
            <w:pPr>
              <w:jc w:val="right"/>
              <w:ind w:right="122"/>
              <w:spacing w:after="0"/>
              <w:rPr>
                <w:sz w:val="20"/>
                <w:szCs w:val="20"/>
                <w:color w:val="auto"/>
              </w:rPr>
            </w:pPr>
            <w:r>
              <w:rPr>
                <w:rFonts w:ascii="Arial" w:cs="Arial" w:eastAsia="Arial" w:hAnsi="Arial"/>
                <w:sz w:val="18"/>
                <w:szCs w:val="18"/>
                <w:color w:val="auto"/>
              </w:rPr>
              <w:t>1.8</w:t>
            </w:r>
          </w:p>
        </w:tc>
        <w:tc>
          <w:tcPr>
            <w:tcW w:w="260" w:type="dxa"/>
            <w:vAlign w:val="bottom"/>
          </w:tcPr>
          <w:p>
            <w:pPr>
              <w:spacing w:after="0"/>
              <w:rPr>
                <w:sz w:val="18"/>
                <w:szCs w:val="18"/>
                <w:color w:val="auto"/>
              </w:rPr>
            </w:pPr>
          </w:p>
        </w:tc>
        <w:tc>
          <w:tcPr>
            <w:tcW w:w="1080" w:type="dxa"/>
            <w:vAlign w:val="bottom"/>
            <w:gridSpan w:val="2"/>
          </w:tcPr>
          <w:p>
            <w:pPr>
              <w:jc w:val="right"/>
              <w:ind w:right="22"/>
              <w:spacing w:after="0"/>
              <w:rPr>
                <w:sz w:val="20"/>
                <w:szCs w:val="20"/>
                <w:color w:val="auto"/>
              </w:rPr>
            </w:pPr>
            <w:r>
              <w:rPr>
                <w:rFonts w:ascii="Arial" w:cs="Arial" w:eastAsia="Arial" w:hAnsi="Arial"/>
                <w:sz w:val="18"/>
                <w:szCs w:val="18"/>
                <w:color w:val="auto"/>
              </w:rPr>
              <w:t>1.9</w:t>
            </w:r>
          </w:p>
        </w:tc>
      </w:tr>
      <w:tr>
        <w:trPr>
          <w:trHeight w:val="213"/>
        </w:trPr>
        <w:tc>
          <w:tcPr>
            <w:tcW w:w="7040" w:type="dxa"/>
            <w:vAlign w:val="bottom"/>
            <w:shd w:val="clear" w:color="auto" w:fill="CCEEFF"/>
          </w:tcPr>
          <w:p>
            <w:pPr>
              <w:spacing w:after="0"/>
              <w:rPr>
                <w:sz w:val="20"/>
                <w:szCs w:val="20"/>
                <w:color w:val="auto"/>
              </w:rPr>
            </w:pPr>
            <w:r>
              <w:rPr>
                <w:rFonts w:ascii="Arial" w:cs="Arial" w:eastAsia="Arial" w:hAnsi="Arial"/>
                <w:sz w:val="18"/>
                <w:szCs w:val="18"/>
                <w:color w:val="auto"/>
              </w:rPr>
              <w:t>Net losses (gains) on dispositions of property and equipment</w:t>
            </w:r>
          </w:p>
        </w:tc>
        <w:tc>
          <w:tcPr>
            <w:tcW w:w="14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62"/>
              <w:spacing w:after="0"/>
              <w:rPr>
                <w:sz w:val="20"/>
                <w:szCs w:val="20"/>
                <w:color w:val="auto"/>
              </w:rPr>
            </w:pPr>
            <w:r>
              <w:rPr>
                <w:rFonts w:ascii="Arial" w:cs="Arial" w:eastAsia="Arial" w:hAnsi="Arial"/>
                <w:sz w:val="18"/>
                <w:szCs w:val="18"/>
                <w:color w:val="auto"/>
              </w:rPr>
              <w:t>(8.1)</w:t>
            </w:r>
          </w:p>
        </w:tc>
        <w:tc>
          <w:tcPr>
            <w:tcW w:w="26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(0.1)</w:t>
            </w:r>
          </w:p>
        </w:tc>
      </w:tr>
      <w:tr>
        <w:trPr>
          <w:trHeight w:val="213"/>
        </w:trPr>
        <w:tc>
          <w:tcPr>
            <w:tcW w:w="7040" w:type="dxa"/>
            <w:vAlign w:val="bottom"/>
          </w:tcPr>
          <w:p>
            <w:pPr>
              <w:spacing w:after="0"/>
              <w:rPr>
                <w:sz w:val="20"/>
                <w:szCs w:val="20"/>
                <w:color w:val="auto"/>
              </w:rPr>
            </w:pPr>
            <w:r>
              <w:rPr>
                <w:rFonts w:ascii="Arial" w:cs="Arial" w:eastAsia="Arial" w:hAnsi="Arial"/>
                <w:sz w:val="18"/>
                <w:szCs w:val="18"/>
                <w:color w:val="auto"/>
              </w:rPr>
              <w:t>Provision for expected credit losses and doubtful accounts, respectively</w:t>
            </w:r>
          </w:p>
        </w:tc>
        <w:tc>
          <w:tcPr>
            <w:tcW w:w="14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180" w:type="dxa"/>
            <w:vAlign w:val="bottom"/>
            <w:gridSpan w:val="2"/>
          </w:tcPr>
          <w:p>
            <w:pPr>
              <w:jc w:val="right"/>
              <w:ind w:right="122"/>
              <w:spacing w:after="0"/>
              <w:rPr>
                <w:sz w:val="20"/>
                <w:szCs w:val="20"/>
                <w:color w:val="auto"/>
              </w:rPr>
            </w:pPr>
            <w:r>
              <w:rPr>
                <w:rFonts w:ascii="Arial" w:cs="Arial" w:eastAsia="Arial" w:hAnsi="Arial"/>
                <w:sz w:val="18"/>
                <w:szCs w:val="18"/>
                <w:color w:val="auto"/>
              </w:rPr>
              <w:t>11.2</w:t>
            </w:r>
          </w:p>
        </w:tc>
        <w:tc>
          <w:tcPr>
            <w:tcW w:w="260" w:type="dxa"/>
            <w:vAlign w:val="bottom"/>
          </w:tcPr>
          <w:p>
            <w:pPr>
              <w:spacing w:after="0"/>
              <w:rPr>
                <w:sz w:val="18"/>
                <w:szCs w:val="18"/>
                <w:color w:val="auto"/>
              </w:rPr>
            </w:pPr>
          </w:p>
        </w:tc>
        <w:tc>
          <w:tcPr>
            <w:tcW w:w="1080" w:type="dxa"/>
            <w:vAlign w:val="bottom"/>
            <w:gridSpan w:val="2"/>
          </w:tcPr>
          <w:p>
            <w:pPr>
              <w:jc w:val="right"/>
              <w:ind w:right="22"/>
              <w:spacing w:after="0"/>
              <w:rPr>
                <w:sz w:val="20"/>
                <w:szCs w:val="20"/>
                <w:color w:val="auto"/>
              </w:rPr>
            </w:pPr>
            <w:r>
              <w:rPr>
                <w:rFonts w:ascii="Arial" w:cs="Arial" w:eastAsia="Arial" w:hAnsi="Arial"/>
                <w:sz w:val="18"/>
                <w:szCs w:val="18"/>
                <w:color w:val="auto"/>
              </w:rPr>
              <w:t>13.8</w:t>
            </w:r>
          </w:p>
        </w:tc>
      </w:tr>
      <w:tr>
        <w:trPr>
          <w:trHeight w:val="213"/>
        </w:trPr>
        <w:tc>
          <w:tcPr>
            <w:tcW w:w="7040" w:type="dxa"/>
            <w:vAlign w:val="bottom"/>
            <w:shd w:val="clear" w:color="auto" w:fill="CCEEFF"/>
          </w:tcPr>
          <w:p>
            <w:pPr>
              <w:spacing w:after="0"/>
              <w:rPr>
                <w:sz w:val="20"/>
                <w:szCs w:val="20"/>
                <w:color w:val="auto"/>
              </w:rPr>
            </w:pPr>
            <w:r>
              <w:rPr>
                <w:rFonts w:ascii="Arial" w:cs="Arial" w:eastAsia="Arial" w:hAnsi="Arial"/>
                <w:sz w:val="18"/>
                <w:szCs w:val="18"/>
                <w:color w:val="auto"/>
              </w:rPr>
              <w:t>Deferred income tax provision (benefit)</w:t>
            </w:r>
          </w:p>
        </w:tc>
        <w:tc>
          <w:tcPr>
            <w:tcW w:w="14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62"/>
              <w:spacing w:after="0"/>
              <w:rPr>
                <w:sz w:val="20"/>
                <w:szCs w:val="20"/>
                <w:color w:val="auto"/>
              </w:rPr>
            </w:pPr>
            <w:r>
              <w:rPr>
                <w:rFonts w:ascii="Arial" w:cs="Arial" w:eastAsia="Arial" w:hAnsi="Arial"/>
                <w:sz w:val="18"/>
                <w:szCs w:val="18"/>
                <w:color w:val="auto"/>
              </w:rPr>
              <w:t>(0.6)</w:t>
            </w:r>
          </w:p>
        </w:tc>
        <w:tc>
          <w:tcPr>
            <w:tcW w:w="26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(2.9)</w:t>
            </w:r>
          </w:p>
        </w:tc>
      </w:tr>
      <w:tr>
        <w:trPr>
          <w:trHeight w:val="213"/>
        </w:trPr>
        <w:tc>
          <w:tcPr>
            <w:tcW w:w="7040" w:type="dxa"/>
            <w:vAlign w:val="bottom"/>
          </w:tcPr>
          <w:p>
            <w:pPr>
              <w:spacing w:after="0"/>
              <w:rPr>
                <w:sz w:val="20"/>
                <w:szCs w:val="20"/>
                <w:color w:val="auto"/>
              </w:rPr>
            </w:pPr>
            <w:r>
              <w:rPr>
                <w:rFonts w:ascii="Arial" w:cs="Arial" w:eastAsia="Arial" w:hAnsi="Arial"/>
                <w:sz w:val="18"/>
                <w:szCs w:val="18"/>
                <w:color w:val="auto"/>
              </w:rPr>
              <w:t>Stock-based compensation</w:t>
            </w:r>
          </w:p>
        </w:tc>
        <w:tc>
          <w:tcPr>
            <w:tcW w:w="14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180" w:type="dxa"/>
            <w:vAlign w:val="bottom"/>
            <w:gridSpan w:val="2"/>
          </w:tcPr>
          <w:p>
            <w:pPr>
              <w:jc w:val="right"/>
              <w:ind w:right="122"/>
              <w:spacing w:after="0"/>
              <w:rPr>
                <w:sz w:val="20"/>
                <w:szCs w:val="20"/>
                <w:color w:val="auto"/>
              </w:rPr>
            </w:pPr>
            <w:r>
              <w:rPr>
                <w:rFonts w:ascii="Arial" w:cs="Arial" w:eastAsia="Arial" w:hAnsi="Arial"/>
                <w:sz w:val="18"/>
                <w:szCs w:val="18"/>
                <w:color w:val="auto"/>
              </w:rPr>
              <w:t>14.9</w:t>
            </w:r>
          </w:p>
        </w:tc>
        <w:tc>
          <w:tcPr>
            <w:tcW w:w="260" w:type="dxa"/>
            <w:vAlign w:val="bottom"/>
          </w:tcPr>
          <w:p>
            <w:pPr>
              <w:spacing w:after="0"/>
              <w:rPr>
                <w:sz w:val="18"/>
                <w:szCs w:val="18"/>
                <w:color w:val="auto"/>
              </w:rPr>
            </w:pPr>
          </w:p>
        </w:tc>
        <w:tc>
          <w:tcPr>
            <w:tcW w:w="1080" w:type="dxa"/>
            <w:vAlign w:val="bottom"/>
            <w:gridSpan w:val="2"/>
          </w:tcPr>
          <w:p>
            <w:pPr>
              <w:jc w:val="right"/>
              <w:ind w:right="22"/>
              <w:spacing w:after="0"/>
              <w:rPr>
                <w:sz w:val="20"/>
                <w:szCs w:val="20"/>
                <w:color w:val="auto"/>
              </w:rPr>
            </w:pPr>
            <w:r>
              <w:rPr>
                <w:rFonts w:ascii="Arial" w:cs="Arial" w:eastAsia="Arial" w:hAnsi="Arial"/>
                <w:sz w:val="18"/>
                <w:szCs w:val="18"/>
                <w:color w:val="auto"/>
              </w:rPr>
              <w:t>12.4</w:t>
            </w:r>
          </w:p>
        </w:tc>
      </w:tr>
      <w:tr>
        <w:trPr>
          <w:trHeight w:val="213"/>
        </w:trPr>
        <w:tc>
          <w:tcPr>
            <w:tcW w:w="7040" w:type="dxa"/>
            <w:vAlign w:val="bottom"/>
            <w:shd w:val="clear" w:color="auto" w:fill="CCEEFF"/>
          </w:tcPr>
          <w:p>
            <w:pPr>
              <w:spacing w:after="0"/>
              <w:rPr>
                <w:sz w:val="20"/>
                <w:szCs w:val="20"/>
                <w:color w:val="auto"/>
              </w:rPr>
            </w:pPr>
            <w:r>
              <w:rPr>
                <w:rFonts w:ascii="Arial" w:cs="Arial" w:eastAsia="Arial" w:hAnsi="Arial"/>
                <w:sz w:val="18"/>
                <w:szCs w:val="18"/>
                <w:color w:val="auto"/>
              </w:rPr>
              <w:t>Other non-cash items, net</w:t>
            </w:r>
          </w:p>
        </w:tc>
        <w:tc>
          <w:tcPr>
            <w:tcW w:w="14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122"/>
              <w:spacing w:after="0"/>
              <w:rPr>
                <w:sz w:val="20"/>
                <w:szCs w:val="20"/>
                <w:color w:val="auto"/>
              </w:rPr>
            </w:pPr>
            <w:r>
              <w:rPr>
                <w:rFonts w:ascii="Arial" w:cs="Arial" w:eastAsia="Arial" w:hAnsi="Arial"/>
                <w:sz w:val="18"/>
                <w:szCs w:val="18"/>
                <w:color w:val="auto"/>
              </w:rPr>
              <w:t>8.4</w:t>
            </w:r>
          </w:p>
        </w:tc>
        <w:tc>
          <w:tcPr>
            <w:tcW w:w="26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9.9</w:t>
            </w:r>
          </w:p>
        </w:tc>
      </w:tr>
      <w:tr>
        <w:trPr>
          <w:trHeight w:val="213"/>
        </w:trPr>
        <w:tc>
          <w:tcPr>
            <w:tcW w:w="7040" w:type="dxa"/>
            <w:vAlign w:val="bottom"/>
          </w:tcPr>
          <w:p>
            <w:pPr>
              <w:spacing w:after="0"/>
              <w:rPr>
                <w:sz w:val="20"/>
                <w:szCs w:val="20"/>
                <w:color w:val="auto"/>
              </w:rPr>
            </w:pPr>
            <w:r>
              <w:rPr>
                <w:rFonts w:ascii="Arial" w:cs="Arial" w:eastAsia="Arial" w:hAnsi="Arial"/>
                <w:sz w:val="18"/>
                <w:szCs w:val="18"/>
                <w:color w:val="auto"/>
              </w:rPr>
              <w:t>Changes in operating assets and liabilities</w:t>
            </w:r>
          </w:p>
        </w:tc>
        <w:tc>
          <w:tcPr>
            <w:tcW w:w="14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13"/>
        </w:trPr>
        <w:tc>
          <w:tcPr>
            <w:tcW w:w="7040" w:type="dxa"/>
            <w:vAlign w:val="bottom"/>
            <w:shd w:val="clear" w:color="auto" w:fill="CCEEFF"/>
          </w:tcPr>
          <w:p>
            <w:pPr>
              <w:spacing w:after="0"/>
              <w:rPr>
                <w:sz w:val="20"/>
                <w:szCs w:val="20"/>
                <w:color w:val="auto"/>
              </w:rPr>
            </w:pPr>
            <w:r>
              <w:rPr>
                <w:rFonts w:ascii="Arial" w:cs="Arial" w:eastAsia="Arial" w:hAnsi="Arial"/>
                <w:sz w:val="18"/>
                <w:szCs w:val="18"/>
                <w:color w:val="auto"/>
              </w:rPr>
              <w:t>Accounts receivable and related party receivable</w:t>
            </w:r>
          </w:p>
        </w:tc>
        <w:tc>
          <w:tcPr>
            <w:tcW w:w="14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122"/>
              <w:spacing w:after="0"/>
              <w:rPr>
                <w:sz w:val="20"/>
                <w:szCs w:val="20"/>
                <w:color w:val="auto"/>
              </w:rPr>
            </w:pPr>
            <w:r>
              <w:rPr>
                <w:rFonts w:ascii="Arial" w:cs="Arial" w:eastAsia="Arial" w:hAnsi="Arial"/>
                <w:sz w:val="18"/>
                <w:szCs w:val="18"/>
                <w:color w:val="auto"/>
              </w:rPr>
              <w:t>58.1</w:t>
            </w:r>
          </w:p>
        </w:tc>
        <w:tc>
          <w:tcPr>
            <w:tcW w:w="26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193.1</w:t>
            </w:r>
          </w:p>
        </w:tc>
      </w:tr>
      <w:tr>
        <w:trPr>
          <w:trHeight w:val="213"/>
        </w:trPr>
        <w:tc>
          <w:tcPr>
            <w:tcW w:w="7040" w:type="dxa"/>
            <w:vAlign w:val="bottom"/>
          </w:tcPr>
          <w:p>
            <w:pPr>
              <w:spacing w:after="0"/>
              <w:rPr>
                <w:sz w:val="20"/>
                <w:szCs w:val="20"/>
                <w:color w:val="auto"/>
              </w:rPr>
            </w:pPr>
            <w:r>
              <w:rPr>
                <w:rFonts w:ascii="Arial" w:cs="Arial" w:eastAsia="Arial" w:hAnsi="Arial"/>
                <w:sz w:val="18"/>
                <w:szCs w:val="18"/>
                <w:color w:val="auto"/>
              </w:rPr>
              <w:t>Inventories</w:t>
            </w:r>
          </w:p>
        </w:tc>
        <w:tc>
          <w:tcPr>
            <w:tcW w:w="14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180" w:type="dxa"/>
            <w:vAlign w:val="bottom"/>
            <w:gridSpan w:val="2"/>
          </w:tcPr>
          <w:p>
            <w:pPr>
              <w:jc w:val="right"/>
              <w:ind w:right="122"/>
              <w:spacing w:after="0"/>
              <w:rPr>
                <w:sz w:val="20"/>
                <w:szCs w:val="20"/>
                <w:color w:val="auto"/>
              </w:rPr>
            </w:pPr>
            <w:r>
              <w:rPr>
                <w:rFonts w:ascii="Arial" w:cs="Arial" w:eastAsia="Arial" w:hAnsi="Arial"/>
                <w:sz w:val="18"/>
                <w:szCs w:val="18"/>
                <w:color w:val="auto"/>
              </w:rPr>
              <w:t>65.3</w:t>
            </w:r>
          </w:p>
        </w:tc>
        <w:tc>
          <w:tcPr>
            <w:tcW w:w="260" w:type="dxa"/>
            <w:vAlign w:val="bottom"/>
          </w:tcPr>
          <w:p>
            <w:pPr>
              <w:spacing w:after="0"/>
              <w:rPr>
                <w:sz w:val="18"/>
                <w:szCs w:val="18"/>
                <w:color w:val="auto"/>
              </w:rPr>
            </w:pPr>
          </w:p>
        </w:tc>
        <w:tc>
          <w:tcPr>
            <w:tcW w:w="1080" w:type="dxa"/>
            <w:vAlign w:val="bottom"/>
            <w:gridSpan w:val="2"/>
          </w:tcPr>
          <w:p>
            <w:pPr>
              <w:jc w:val="right"/>
              <w:ind w:right="22"/>
              <w:spacing w:after="0"/>
              <w:rPr>
                <w:sz w:val="20"/>
                <w:szCs w:val="20"/>
                <w:color w:val="auto"/>
              </w:rPr>
            </w:pPr>
            <w:r>
              <w:rPr>
                <w:rFonts w:ascii="Arial" w:cs="Arial" w:eastAsia="Arial" w:hAnsi="Arial"/>
                <w:sz w:val="18"/>
                <w:szCs w:val="18"/>
                <w:color w:val="auto"/>
              </w:rPr>
              <w:t>87.8</w:t>
            </w:r>
          </w:p>
        </w:tc>
      </w:tr>
      <w:tr>
        <w:trPr>
          <w:trHeight w:val="213"/>
        </w:trPr>
        <w:tc>
          <w:tcPr>
            <w:tcW w:w="7040" w:type="dxa"/>
            <w:vAlign w:val="bottom"/>
            <w:shd w:val="clear" w:color="auto" w:fill="CCEEFF"/>
          </w:tcPr>
          <w:p>
            <w:pPr>
              <w:spacing w:after="0"/>
              <w:rPr>
                <w:sz w:val="20"/>
                <w:szCs w:val="20"/>
                <w:color w:val="auto"/>
              </w:rPr>
            </w:pPr>
            <w:r>
              <w:rPr>
                <w:rFonts w:ascii="Arial" w:cs="Arial" w:eastAsia="Arial" w:hAnsi="Arial"/>
                <w:sz w:val="18"/>
                <w:szCs w:val="18"/>
                <w:color w:val="auto"/>
              </w:rPr>
              <w:t>Other current assets</w:t>
            </w:r>
          </w:p>
        </w:tc>
        <w:tc>
          <w:tcPr>
            <w:tcW w:w="14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122"/>
              <w:spacing w:after="0"/>
              <w:rPr>
                <w:sz w:val="20"/>
                <w:szCs w:val="20"/>
                <w:color w:val="auto"/>
              </w:rPr>
            </w:pPr>
            <w:r>
              <w:rPr>
                <w:rFonts w:ascii="Arial" w:cs="Arial" w:eastAsia="Arial" w:hAnsi="Arial"/>
                <w:sz w:val="18"/>
                <w:szCs w:val="18"/>
                <w:color w:val="auto"/>
              </w:rPr>
              <w:t>0.6</w:t>
            </w:r>
          </w:p>
        </w:tc>
        <w:tc>
          <w:tcPr>
            <w:tcW w:w="26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29.7</w:t>
            </w:r>
          </w:p>
        </w:tc>
      </w:tr>
      <w:tr>
        <w:trPr>
          <w:trHeight w:val="213"/>
        </w:trPr>
        <w:tc>
          <w:tcPr>
            <w:tcW w:w="7040" w:type="dxa"/>
            <w:vAlign w:val="bottom"/>
          </w:tcPr>
          <w:p>
            <w:pPr>
              <w:spacing w:after="0"/>
              <w:rPr>
                <w:sz w:val="20"/>
                <w:szCs w:val="20"/>
                <w:color w:val="auto"/>
              </w:rPr>
            </w:pPr>
            <w:r>
              <w:rPr>
                <w:rFonts w:ascii="Arial" w:cs="Arial" w:eastAsia="Arial" w:hAnsi="Arial"/>
                <w:sz w:val="18"/>
                <w:szCs w:val="18"/>
                <w:color w:val="auto"/>
              </w:rPr>
              <w:t>Accounts payable and related party payable</w:t>
            </w:r>
          </w:p>
        </w:tc>
        <w:tc>
          <w:tcPr>
            <w:tcW w:w="14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180" w:type="dxa"/>
            <w:vAlign w:val="bottom"/>
            <w:gridSpan w:val="2"/>
          </w:tcPr>
          <w:p>
            <w:pPr>
              <w:jc w:val="right"/>
              <w:ind w:right="122"/>
              <w:spacing w:after="0"/>
              <w:rPr>
                <w:sz w:val="20"/>
                <w:szCs w:val="20"/>
                <w:color w:val="auto"/>
              </w:rPr>
            </w:pPr>
            <w:r>
              <w:rPr>
                <w:rFonts w:ascii="Arial" w:cs="Arial" w:eastAsia="Arial" w:hAnsi="Arial"/>
                <w:sz w:val="18"/>
                <w:szCs w:val="18"/>
                <w:color w:val="auto"/>
              </w:rPr>
              <w:t>52.8</w:t>
            </w:r>
          </w:p>
        </w:tc>
        <w:tc>
          <w:tcPr>
            <w:tcW w:w="260" w:type="dxa"/>
            <w:vAlign w:val="bottom"/>
          </w:tcPr>
          <w:p>
            <w:pPr>
              <w:spacing w:after="0"/>
              <w:rPr>
                <w:sz w:val="18"/>
                <w:szCs w:val="18"/>
                <w:color w:val="auto"/>
              </w:rPr>
            </w:pP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(84.8)</w:t>
            </w:r>
          </w:p>
        </w:tc>
      </w:tr>
      <w:tr>
        <w:trPr>
          <w:trHeight w:val="213"/>
        </w:trPr>
        <w:tc>
          <w:tcPr>
            <w:tcW w:w="7040" w:type="dxa"/>
            <w:vAlign w:val="bottom"/>
            <w:shd w:val="clear" w:color="auto" w:fill="CCEEFF"/>
          </w:tcPr>
          <w:p>
            <w:pPr>
              <w:spacing w:after="0"/>
              <w:rPr>
                <w:sz w:val="20"/>
                <w:szCs w:val="20"/>
                <w:color w:val="auto"/>
              </w:rPr>
            </w:pPr>
            <w:r>
              <w:rPr>
                <w:rFonts w:ascii="Arial" w:cs="Arial" w:eastAsia="Arial" w:hAnsi="Arial"/>
                <w:sz w:val="18"/>
                <w:szCs w:val="18"/>
                <w:color w:val="auto"/>
              </w:rPr>
              <w:t>Accrued payroll and benefits</w:t>
            </w:r>
          </w:p>
        </w:tc>
        <w:tc>
          <w:tcPr>
            <w:tcW w:w="14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122"/>
              <w:spacing w:after="0"/>
              <w:rPr>
                <w:sz w:val="20"/>
                <w:szCs w:val="20"/>
                <w:color w:val="auto"/>
              </w:rPr>
            </w:pPr>
            <w:r>
              <w:rPr>
                <w:rFonts w:ascii="Arial" w:cs="Arial" w:eastAsia="Arial" w:hAnsi="Arial"/>
                <w:sz w:val="18"/>
                <w:szCs w:val="18"/>
                <w:color w:val="auto"/>
              </w:rPr>
              <w:t>12.6</w:t>
            </w:r>
          </w:p>
        </w:tc>
        <w:tc>
          <w:tcPr>
            <w:tcW w:w="26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(5.9)</w:t>
            </w:r>
          </w:p>
        </w:tc>
      </w:tr>
      <w:tr>
        <w:trPr>
          <w:trHeight w:val="213"/>
        </w:trPr>
        <w:tc>
          <w:tcPr>
            <w:tcW w:w="7040" w:type="dxa"/>
            <w:vAlign w:val="bottom"/>
          </w:tcPr>
          <w:p>
            <w:pPr>
              <w:spacing w:after="0"/>
              <w:rPr>
                <w:sz w:val="20"/>
                <w:szCs w:val="20"/>
                <w:color w:val="auto"/>
              </w:rPr>
            </w:pPr>
            <w:r>
              <w:rPr>
                <w:rFonts w:ascii="Arial" w:cs="Arial" w:eastAsia="Arial" w:hAnsi="Arial"/>
                <w:sz w:val="18"/>
                <w:szCs w:val="18"/>
                <w:color w:val="auto"/>
              </w:rPr>
              <w:t>Other accrued liabilities</w:t>
            </w:r>
          </w:p>
        </w:tc>
        <w:tc>
          <w:tcPr>
            <w:tcW w:w="14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180" w:type="dxa"/>
            <w:vAlign w:val="bottom"/>
            <w:gridSpan w:val="2"/>
          </w:tcPr>
          <w:p>
            <w:pPr>
              <w:jc w:val="right"/>
              <w:ind w:right="122"/>
              <w:spacing w:after="0"/>
              <w:rPr>
                <w:sz w:val="20"/>
                <w:szCs w:val="20"/>
                <w:color w:val="auto"/>
              </w:rPr>
            </w:pPr>
            <w:r>
              <w:rPr>
                <w:rFonts w:ascii="Arial" w:cs="Arial" w:eastAsia="Arial" w:hAnsi="Arial"/>
                <w:sz w:val="18"/>
                <w:szCs w:val="18"/>
                <w:color w:val="auto"/>
              </w:rPr>
              <w:t>1.6</w:t>
            </w:r>
          </w:p>
        </w:tc>
        <w:tc>
          <w:tcPr>
            <w:tcW w:w="260" w:type="dxa"/>
            <w:vAlign w:val="bottom"/>
          </w:tcPr>
          <w:p>
            <w:pPr>
              <w:spacing w:after="0"/>
              <w:rPr>
                <w:sz w:val="18"/>
                <w:szCs w:val="18"/>
                <w:color w:val="auto"/>
              </w:rPr>
            </w:pP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(0.4)</w:t>
            </w:r>
          </w:p>
        </w:tc>
      </w:tr>
      <w:tr>
        <w:trPr>
          <w:trHeight w:val="227"/>
        </w:trPr>
        <w:tc>
          <w:tcPr>
            <w:tcW w:w="7040" w:type="dxa"/>
            <w:vAlign w:val="bottom"/>
            <w:shd w:val="clear" w:color="auto" w:fill="CCEEFF"/>
          </w:tcPr>
          <w:p>
            <w:pPr>
              <w:spacing w:after="0"/>
              <w:rPr>
                <w:sz w:val="20"/>
                <w:szCs w:val="20"/>
                <w:color w:val="auto"/>
              </w:rPr>
            </w:pPr>
            <w:r>
              <w:rPr>
                <w:rFonts w:ascii="Arial" w:cs="Arial" w:eastAsia="Arial" w:hAnsi="Arial"/>
                <w:sz w:val="18"/>
                <w:szCs w:val="18"/>
                <w:color w:val="auto"/>
              </w:rPr>
              <w:t>Other</w:t>
            </w:r>
          </w:p>
        </w:tc>
        <w:tc>
          <w:tcPr>
            <w:tcW w:w="142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1180" w:type="dxa"/>
            <w:vAlign w:val="bottom"/>
            <w:gridSpan w:val="2"/>
            <w:shd w:val="clear" w:color="auto" w:fill="CCEEFF"/>
          </w:tcPr>
          <w:p>
            <w:pPr>
              <w:jc w:val="right"/>
              <w:ind w:right="122"/>
              <w:spacing w:after="0"/>
              <w:rPr>
                <w:sz w:val="20"/>
                <w:szCs w:val="20"/>
                <w:color w:val="auto"/>
              </w:rPr>
            </w:pPr>
            <w:r>
              <w:rPr>
                <w:rFonts w:ascii="Arial" w:cs="Arial" w:eastAsia="Arial" w:hAnsi="Arial"/>
                <w:sz w:val="18"/>
                <w:szCs w:val="18"/>
                <w:color w:val="auto"/>
              </w:rPr>
              <w:t>16.8</w:t>
            </w:r>
          </w:p>
        </w:tc>
        <w:tc>
          <w:tcPr>
            <w:tcW w:w="260" w:type="dxa"/>
            <w:vAlign w:val="bottom"/>
            <w:shd w:val="clear" w:color="auto" w:fill="CCEEFF"/>
          </w:tcPr>
          <w:p>
            <w:pPr>
              <w:spacing w:after="0"/>
              <w:rPr>
                <w:sz w:val="19"/>
                <w:szCs w:val="19"/>
                <w:color w:val="auto"/>
              </w:rPr>
            </w:pPr>
          </w:p>
        </w:tc>
        <w:tc>
          <w:tcPr>
            <w:tcW w:w="108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9.4</w:t>
            </w:r>
          </w:p>
        </w:tc>
      </w:tr>
      <w:tr>
        <w:trPr>
          <w:trHeight w:val="207"/>
        </w:trPr>
        <w:tc>
          <w:tcPr>
            <w:tcW w:w="704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Net cash provided by (used for) operating activities</w:t>
            </w:r>
          </w:p>
        </w:tc>
        <w:tc>
          <w:tcPr>
            <w:tcW w:w="1420" w:type="dxa"/>
            <w:vAlign w:val="bottom"/>
            <w:tcBorders>
              <w:bottom w:val="single" w:sz="8" w:color="CCEEFF"/>
            </w:tcBorders>
          </w:tcPr>
          <w:p>
            <w:pPr>
              <w:spacing w:after="0"/>
              <w:rPr>
                <w:sz w:val="17"/>
                <w:szCs w:val="17"/>
                <w:color w:val="auto"/>
              </w:rPr>
            </w:pPr>
          </w:p>
        </w:tc>
        <w:tc>
          <w:tcPr>
            <w:tcW w:w="260" w:type="dxa"/>
            <w:vAlign w:val="bottom"/>
            <w:tcBorders>
              <w:top w:val="single" w:sz="8" w:color="auto"/>
              <w:bottom w:val="single" w:sz="8" w:color="auto"/>
            </w:tcBorders>
          </w:tcPr>
          <w:p>
            <w:pPr>
              <w:spacing w:after="0"/>
              <w:rPr>
                <w:sz w:val="17"/>
                <w:szCs w:val="17"/>
                <w:color w:val="auto"/>
              </w:rPr>
            </w:pPr>
          </w:p>
        </w:tc>
        <w:tc>
          <w:tcPr>
            <w:tcW w:w="9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280.7</w:t>
            </w:r>
          </w:p>
        </w:tc>
        <w:tc>
          <w:tcPr>
            <w:tcW w:w="200" w:type="dxa"/>
            <w:vAlign w:val="bottom"/>
            <w:tcBorders>
              <w:bottom w:val="single" w:sz="8" w:color="CCEEFF"/>
            </w:tcBorders>
          </w:tcPr>
          <w:p>
            <w:pPr>
              <w:spacing w:after="0"/>
              <w:rPr>
                <w:sz w:val="17"/>
                <w:szCs w:val="17"/>
                <w:color w:val="auto"/>
              </w:rPr>
            </w:pPr>
          </w:p>
        </w:tc>
        <w:tc>
          <w:tcPr>
            <w:tcW w:w="260" w:type="dxa"/>
            <w:vAlign w:val="bottom"/>
            <w:tcBorders>
              <w:top w:val="single" w:sz="8" w:color="auto"/>
              <w:bottom w:val="single" w:sz="8" w:color="auto"/>
            </w:tcBorders>
          </w:tcPr>
          <w:p>
            <w:pPr>
              <w:spacing w:after="0"/>
              <w:rPr>
                <w:sz w:val="17"/>
                <w:szCs w:val="17"/>
                <w:color w:val="auto"/>
              </w:rPr>
            </w:pPr>
          </w:p>
        </w:tc>
        <w:tc>
          <w:tcPr>
            <w:tcW w:w="9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270.5</w:t>
            </w:r>
          </w:p>
        </w:tc>
        <w:tc>
          <w:tcPr>
            <w:tcW w:w="100" w:type="dxa"/>
            <w:vAlign w:val="bottom"/>
            <w:tcBorders>
              <w:bottom w:val="single" w:sz="8" w:color="CCEEFF"/>
            </w:tcBorders>
          </w:tcPr>
          <w:p>
            <w:pPr>
              <w:spacing w:after="0"/>
              <w:rPr>
                <w:sz w:val="17"/>
                <w:szCs w:val="17"/>
                <w:color w:val="auto"/>
              </w:rPr>
            </w:pPr>
          </w:p>
        </w:tc>
      </w:tr>
      <w:tr>
        <w:trPr>
          <w:trHeight w:val="207"/>
        </w:trPr>
        <w:tc>
          <w:tcPr>
            <w:tcW w:w="704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Investing activities</w:t>
            </w:r>
          </w:p>
        </w:tc>
        <w:tc>
          <w:tcPr>
            <w:tcW w:w="142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9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9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3"/>
        </w:trPr>
        <w:tc>
          <w:tcPr>
            <w:tcW w:w="7040" w:type="dxa"/>
            <w:vAlign w:val="bottom"/>
          </w:tcPr>
          <w:p>
            <w:pPr>
              <w:spacing w:after="0"/>
              <w:rPr>
                <w:sz w:val="20"/>
                <w:szCs w:val="20"/>
                <w:color w:val="auto"/>
              </w:rPr>
            </w:pPr>
            <w:r>
              <w:rPr>
                <w:rFonts w:ascii="Arial" w:cs="Arial" w:eastAsia="Arial" w:hAnsi="Arial"/>
                <w:sz w:val="18"/>
                <w:szCs w:val="18"/>
                <w:color w:val="auto"/>
              </w:rPr>
              <w:t>Property and equipment additions</w:t>
            </w:r>
          </w:p>
        </w:tc>
        <w:tc>
          <w:tcPr>
            <w:tcW w:w="14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180" w:type="dxa"/>
            <w:vAlign w:val="bottom"/>
            <w:gridSpan w:val="2"/>
          </w:tcPr>
          <w:p>
            <w:pPr>
              <w:jc w:val="right"/>
              <w:ind w:right="62"/>
              <w:spacing w:after="0"/>
              <w:rPr>
                <w:sz w:val="20"/>
                <w:szCs w:val="20"/>
                <w:color w:val="auto"/>
              </w:rPr>
            </w:pPr>
            <w:r>
              <w:rPr>
                <w:rFonts w:ascii="Arial" w:cs="Arial" w:eastAsia="Arial" w:hAnsi="Arial"/>
                <w:sz w:val="18"/>
                <w:szCs w:val="18"/>
                <w:color w:val="auto"/>
              </w:rPr>
              <w:t>(19.8)</w:t>
            </w:r>
          </w:p>
        </w:tc>
        <w:tc>
          <w:tcPr>
            <w:tcW w:w="260" w:type="dxa"/>
            <w:vAlign w:val="bottom"/>
          </w:tcPr>
          <w:p>
            <w:pPr>
              <w:spacing w:after="0"/>
              <w:rPr>
                <w:sz w:val="18"/>
                <w:szCs w:val="18"/>
                <w:color w:val="auto"/>
              </w:rPr>
            </w:pP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(22.2)</w:t>
            </w:r>
          </w:p>
        </w:tc>
      </w:tr>
      <w:tr>
        <w:trPr>
          <w:trHeight w:val="227"/>
        </w:trPr>
        <w:tc>
          <w:tcPr>
            <w:tcW w:w="7040" w:type="dxa"/>
            <w:vAlign w:val="bottom"/>
            <w:shd w:val="clear" w:color="auto" w:fill="CCEEFF"/>
          </w:tcPr>
          <w:p>
            <w:pPr>
              <w:spacing w:after="0"/>
              <w:rPr>
                <w:sz w:val="20"/>
                <w:szCs w:val="20"/>
                <w:color w:val="auto"/>
              </w:rPr>
            </w:pPr>
            <w:r>
              <w:rPr>
                <w:rFonts w:ascii="Arial" w:cs="Arial" w:eastAsia="Arial" w:hAnsi="Arial"/>
                <w:sz w:val="18"/>
                <w:szCs w:val="18"/>
                <w:color w:val="auto"/>
              </w:rPr>
              <w:t>Proceeds from asset sales</w:t>
            </w:r>
          </w:p>
        </w:tc>
        <w:tc>
          <w:tcPr>
            <w:tcW w:w="142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1180" w:type="dxa"/>
            <w:vAlign w:val="bottom"/>
            <w:gridSpan w:val="2"/>
            <w:shd w:val="clear" w:color="auto" w:fill="CCEEFF"/>
          </w:tcPr>
          <w:p>
            <w:pPr>
              <w:jc w:val="right"/>
              <w:ind w:right="122"/>
              <w:spacing w:after="0"/>
              <w:rPr>
                <w:sz w:val="20"/>
                <w:szCs w:val="20"/>
                <w:color w:val="auto"/>
              </w:rPr>
            </w:pPr>
            <w:r>
              <w:rPr>
                <w:rFonts w:ascii="Arial" w:cs="Arial" w:eastAsia="Arial" w:hAnsi="Arial"/>
                <w:sz w:val="18"/>
                <w:szCs w:val="18"/>
                <w:color w:val="auto"/>
              </w:rPr>
              <w:t>12.0</w:t>
            </w:r>
          </w:p>
        </w:tc>
        <w:tc>
          <w:tcPr>
            <w:tcW w:w="260" w:type="dxa"/>
            <w:vAlign w:val="bottom"/>
            <w:shd w:val="clear" w:color="auto" w:fill="CCEEFF"/>
          </w:tcPr>
          <w:p>
            <w:pPr>
              <w:spacing w:after="0"/>
              <w:rPr>
                <w:sz w:val="19"/>
                <w:szCs w:val="19"/>
                <w:color w:val="auto"/>
              </w:rPr>
            </w:pPr>
          </w:p>
        </w:tc>
        <w:tc>
          <w:tcPr>
            <w:tcW w:w="108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0.3</w:t>
            </w:r>
          </w:p>
        </w:tc>
      </w:tr>
      <w:tr>
        <w:trPr>
          <w:trHeight w:val="207"/>
        </w:trPr>
        <w:tc>
          <w:tcPr>
            <w:tcW w:w="704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Net cash provided by (used for) investing activities</w:t>
            </w:r>
          </w:p>
        </w:tc>
        <w:tc>
          <w:tcPr>
            <w:tcW w:w="1420" w:type="dxa"/>
            <w:vAlign w:val="bottom"/>
            <w:tcBorders>
              <w:bottom w:val="single" w:sz="8" w:color="CCEEFF"/>
            </w:tcBorders>
          </w:tcPr>
          <w:p>
            <w:pPr>
              <w:spacing w:after="0"/>
              <w:rPr>
                <w:sz w:val="17"/>
                <w:szCs w:val="17"/>
                <w:color w:val="auto"/>
              </w:rPr>
            </w:pPr>
          </w:p>
        </w:tc>
        <w:tc>
          <w:tcPr>
            <w:tcW w:w="260" w:type="dxa"/>
            <w:vAlign w:val="bottom"/>
            <w:tcBorders>
              <w:top w:val="single" w:sz="8" w:color="auto"/>
              <w:bottom w:val="single" w:sz="8" w:color="auto"/>
            </w:tcBorders>
          </w:tcPr>
          <w:p>
            <w:pPr>
              <w:spacing w:after="0"/>
              <w:rPr>
                <w:sz w:val="17"/>
                <w:szCs w:val="17"/>
                <w:color w:val="auto"/>
              </w:rPr>
            </w:pPr>
          </w:p>
        </w:tc>
        <w:tc>
          <w:tcPr>
            <w:tcW w:w="9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(7.8</w:t>
            </w:r>
          </w:p>
        </w:tc>
        <w:tc>
          <w:tcPr>
            <w:tcW w:w="200" w:type="dxa"/>
            <w:vAlign w:val="bottom"/>
            <w:tcBorders>
              <w:bottom w:val="single" w:sz="8" w:color="CCEEFF"/>
            </w:tcBorders>
          </w:tcPr>
          <w:p>
            <w:pPr>
              <w:jc w:val="right"/>
              <w:ind w:right="62"/>
              <w:spacing w:after="0"/>
              <w:rPr>
                <w:sz w:val="20"/>
                <w:szCs w:val="20"/>
                <w:color w:val="auto"/>
              </w:rPr>
            </w:pPr>
            <w:r>
              <w:rPr>
                <w:rFonts w:ascii="Arial" w:cs="Arial" w:eastAsia="Arial" w:hAnsi="Arial"/>
                <w:sz w:val="16"/>
                <w:szCs w:val="16"/>
                <w:color w:val="auto"/>
                <w:w w:val="74"/>
              </w:rPr>
              <w:t>)</w:t>
            </w:r>
          </w:p>
        </w:tc>
        <w:tc>
          <w:tcPr>
            <w:tcW w:w="260" w:type="dxa"/>
            <w:vAlign w:val="bottom"/>
            <w:tcBorders>
              <w:top w:val="single" w:sz="8" w:color="auto"/>
              <w:bottom w:val="single" w:sz="8" w:color="auto"/>
            </w:tcBorders>
          </w:tcPr>
          <w:p>
            <w:pPr>
              <w:spacing w:after="0"/>
              <w:rPr>
                <w:sz w:val="17"/>
                <w:szCs w:val="17"/>
                <w:color w:val="auto"/>
              </w:rPr>
            </w:pPr>
          </w:p>
        </w:tc>
        <w:tc>
          <w:tcPr>
            <w:tcW w:w="9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(21.9</w:t>
            </w:r>
          </w:p>
        </w:tc>
        <w:tc>
          <w:tcPr>
            <w:tcW w:w="100" w:type="dxa"/>
            <w:vAlign w:val="bottom"/>
            <w:tcBorders>
              <w:bottom w:val="single" w:sz="8" w:color="CCEEFF"/>
            </w:tcBorders>
          </w:tcPr>
          <w:p>
            <w:pPr>
              <w:jc w:val="right"/>
              <w:spacing w:after="0"/>
              <w:rPr>
                <w:sz w:val="20"/>
                <w:szCs w:val="20"/>
                <w:color w:val="auto"/>
              </w:rPr>
            </w:pPr>
            <w:r>
              <w:rPr>
                <w:rFonts w:ascii="Arial" w:cs="Arial" w:eastAsia="Arial" w:hAnsi="Arial"/>
                <w:sz w:val="16"/>
                <w:szCs w:val="16"/>
                <w:color w:val="auto"/>
                <w:w w:val="74"/>
              </w:rPr>
              <w:t>)</w:t>
            </w:r>
          </w:p>
        </w:tc>
      </w:tr>
      <w:tr>
        <w:trPr>
          <w:trHeight w:val="207"/>
        </w:trPr>
        <w:tc>
          <w:tcPr>
            <w:tcW w:w="704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Financing activities</w:t>
            </w:r>
          </w:p>
        </w:tc>
        <w:tc>
          <w:tcPr>
            <w:tcW w:w="142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9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9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3"/>
        </w:trPr>
        <w:tc>
          <w:tcPr>
            <w:tcW w:w="7040" w:type="dxa"/>
            <w:vAlign w:val="bottom"/>
          </w:tcPr>
          <w:p>
            <w:pPr>
              <w:spacing w:after="0"/>
              <w:rPr>
                <w:sz w:val="20"/>
                <w:szCs w:val="20"/>
                <w:color w:val="auto"/>
              </w:rPr>
            </w:pPr>
            <w:r>
              <w:rPr>
                <w:rFonts w:ascii="Arial" w:cs="Arial" w:eastAsia="Arial" w:hAnsi="Arial"/>
                <w:sz w:val="18"/>
                <w:szCs w:val="18"/>
                <w:color w:val="auto"/>
              </w:rPr>
              <w:t>Change in book overdrafts</w:t>
            </w:r>
          </w:p>
        </w:tc>
        <w:tc>
          <w:tcPr>
            <w:tcW w:w="14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180" w:type="dxa"/>
            <w:vAlign w:val="bottom"/>
            <w:gridSpan w:val="2"/>
          </w:tcPr>
          <w:p>
            <w:pPr>
              <w:jc w:val="right"/>
              <w:ind w:right="62"/>
              <w:spacing w:after="0"/>
              <w:rPr>
                <w:sz w:val="20"/>
                <w:szCs w:val="20"/>
                <w:color w:val="auto"/>
              </w:rPr>
            </w:pPr>
            <w:r>
              <w:rPr>
                <w:rFonts w:ascii="Arial" w:cs="Arial" w:eastAsia="Arial" w:hAnsi="Arial"/>
                <w:sz w:val="18"/>
                <w:szCs w:val="18"/>
                <w:color w:val="auto"/>
              </w:rPr>
              <w:t>(30.1)</w:t>
            </w:r>
          </w:p>
        </w:tc>
        <w:tc>
          <w:tcPr>
            <w:tcW w:w="260" w:type="dxa"/>
            <w:vAlign w:val="bottom"/>
          </w:tcPr>
          <w:p>
            <w:pPr>
              <w:spacing w:after="0"/>
              <w:rPr>
                <w:sz w:val="18"/>
                <w:szCs w:val="18"/>
                <w:color w:val="auto"/>
              </w:rPr>
            </w:pPr>
          </w:p>
        </w:tc>
        <w:tc>
          <w:tcPr>
            <w:tcW w:w="1080" w:type="dxa"/>
            <w:vAlign w:val="bottom"/>
            <w:gridSpan w:val="2"/>
          </w:tcPr>
          <w:p>
            <w:pPr>
              <w:jc w:val="right"/>
              <w:ind w:right="22"/>
              <w:spacing w:after="0"/>
              <w:rPr>
                <w:sz w:val="20"/>
                <w:szCs w:val="20"/>
                <w:color w:val="auto"/>
              </w:rPr>
            </w:pPr>
            <w:r>
              <w:rPr>
                <w:rFonts w:ascii="Arial" w:cs="Arial" w:eastAsia="Arial" w:hAnsi="Arial"/>
                <w:sz w:val="18"/>
                <w:szCs w:val="18"/>
                <w:color w:val="auto"/>
              </w:rPr>
              <w:t>31.4</w:t>
            </w:r>
          </w:p>
        </w:tc>
      </w:tr>
      <w:tr>
        <w:trPr>
          <w:trHeight w:val="213"/>
        </w:trPr>
        <w:tc>
          <w:tcPr>
            <w:tcW w:w="7040" w:type="dxa"/>
            <w:vAlign w:val="bottom"/>
            <w:shd w:val="clear" w:color="auto" w:fill="CCEEFF"/>
          </w:tcPr>
          <w:p>
            <w:pPr>
              <w:spacing w:after="0"/>
              <w:rPr>
                <w:sz w:val="20"/>
                <w:szCs w:val="20"/>
                <w:color w:val="auto"/>
              </w:rPr>
            </w:pPr>
            <w:r>
              <w:rPr>
                <w:rFonts w:ascii="Arial" w:cs="Arial" w:eastAsia="Arial" w:hAnsi="Arial"/>
                <w:sz w:val="18"/>
                <w:szCs w:val="18"/>
                <w:color w:val="auto"/>
              </w:rPr>
              <w:t>Borrowings of long-term debt</w:t>
            </w:r>
          </w:p>
        </w:tc>
        <w:tc>
          <w:tcPr>
            <w:tcW w:w="14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122"/>
              <w:spacing w:after="0"/>
              <w:rPr>
                <w:sz w:val="20"/>
                <w:szCs w:val="20"/>
                <w:color w:val="auto"/>
              </w:rPr>
            </w:pPr>
            <w:r>
              <w:rPr>
                <w:rFonts w:ascii="Arial" w:cs="Arial" w:eastAsia="Arial" w:hAnsi="Arial"/>
                <w:sz w:val="18"/>
                <w:szCs w:val="18"/>
                <w:color w:val="auto"/>
              </w:rPr>
              <w:t>4,100.6</w:t>
            </w:r>
          </w:p>
        </w:tc>
        <w:tc>
          <w:tcPr>
            <w:tcW w:w="26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5,038.3</w:t>
            </w:r>
          </w:p>
        </w:tc>
      </w:tr>
      <w:tr>
        <w:trPr>
          <w:trHeight w:val="213"/>
        </w:trPr>
        <w:tc>
          <w:tcPr>
            <w:tcW w:w="7040" w:type="dxa"/>
            <w:vAlign w:val="bottom"/>
          </w:tcPr>
          <w:p>
            <w:pPr>
              <w:spacing w:after="0"/>
              <w:rPr>
                <w:sz w:val="20"/>
                <w:szCs w:val="20"/>
                <w:color w:val="auto"/>
              </w:rPr>
            </w:pPr>
            <w:r>
              <w:rPr>
                <w:rFonts w:ascii="Arial" w:cs="Arial" w:eastAsia="Arial" w:hAnsi="Arial"/>
                <w:sz w:val="18"/>
                <w:szCs w:val="18"/>
                <w:color w:val="auto"/>
              </w:rPr>
              <w:t>Repayments of long-term debt</w:t>
            </w:r>
          </w:p>
        </w:tc>
        <w:tc>
          <w:tcPr>
            <w:tcW w:w="14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180" w:type="dxa"/>
            <w:vAlign w:val="bottom"/>
            <w:gridSpan w:val="2"/>
          </w:tcPr>
          <w:p>
            <w:pPr>
              <w:jc w:val="right"/>
              <w:ind w:right="62"/>
              <w:spacing w:after="0"/>
              <w:rPr>
                <w:sz w:val="20"/>
                <w:szCs w:val="20"/>
                <w:color w:val="auto"/>
              </w:rPr>
            </w:pPr>
            <w:r>
              <w:rPr>
                <w:rFonts w:ascii="Arial" w:cs="Arial" w:eastAsia="Arial" w:hAnsi="Arial"/>
                <w:sz w:val="18"/>
                <w:szCs w:val="18"/>
                <w:color w:val="auto"/>
              </w:rPr>
              <w:t>(4,252.0)</w:t>
            </w:r>
          </w:p>
        </w:tc>
        <w:tc>
          <w:tcPr>
            <w:tcW w:w="260" w:type="dxa"/>
            <w:vAlign w:val="bottom"/>
          </w:tcPr>
          <w:p>
            <w:pPr>
              <w:spacing w:after="0"/>
              <w:rPr>
                <w:sz w:val="18"/>
                <w:szCs w:val="18"/>
                <w:color w:val="auto"/>
              </w:rPr>
            </w:pP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(5,306.1)</w:t>
            </w:r>
          </w:p>
        </w:tc>
      </w:tr>
      <w:tr>
        <w:trPr>
          <w:trHeight w:val="213"/>
        </w:trPr>
        <w:tc>
          <w:tcPr>
            <w:tcW w:w="7040" w:type="dxa"/>
            <w:vAlign w:val="bottom"/>
            <w:shd w:val="clear" w:color="auto" w:fill="CCEEFF"/>
          </w:tcPr>
          <w:p>
            <w:pPr>
              <w:spacing w:after="0"/>
              <w:rPr>
                <w:sz w:val="20"/>
                <w:szCs w:val="20"/>
                <w:color w:val="auto"/>
              </w:rPr>
            </w:pPr>
            <w:r>
              <w:rPr>
                <w:rFonts w:ascii="Arial" w:cs="Arial" w:eastAsia="Arial" w:hAnsi="Arial"/>
                <w:sz w:val="18"/>
                <w:szCs w:val="18"/>
                <w:color w:val="auto"/>
              </w:rPr>
              <w:t>Payments under right-of-use finance leases</w:t>
            </w:r>
          </w:p>
        </w:tc>
        <w:tc>
          <w:tcPr>
            <w:tcW w:w="14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62"/>
              <w:spacing w:after="0"/>
              <w:rPr>
                <w:sz w:val="20"/>
                <w:szCs w:val="20"/>
                <w:color w:val="auto"/>
              </w:rPr>
            </w:pPr>
            <w:r>
              <w:rPr>
                <w:rFonts w:ascii="Arial" w:cs="Arial" w:eastAsia="Arial" w:hAnsi="Arial"/>
                <w:sz w:val="18"/>
                <w:szCs w:val="18"/>
                <w:color w:val="auto"/>
              </w:rPr>
              <w:t>(9.5)</w:t>
            </w:r>
          </w:p>
        </w:tc>
        <w:tc>
          <w:tcPr>
            <w:tcW w:w="26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(6.8)</w:t>
            </w:r>
          </w:p>
        </w:tc>
      </w:tr>
      <w:tr>
        <w:trPr>
          <w:trHeight w:val="213"/>
        </w:trPr>
        <w:tc>
          <w:tcPr>
            <w:tcW w:w="7040" w:type="dxa"/>
            <w:vAlign w:val="bottom"/>
          </w:tcPr>
          <w:p>
            <w:pPr>
              <w:spacing w:after="0"/>
              <w:rPr>
                <w:sz w:val="20"/>
                <w:szCs w:val="20"/>
                <w:color w:val="auto"/>
              </w:rPr>
            </w:pPr>
            <w:r>
              <w:rPr>
                <w:rFonts w:ascii="Arial" w:cs="Arial" w:eastAsia="Arial" w:hAnsi="Arial"/>
                <w:sz w:val="18"/>
                <w:szCs w:val="18"/>
                <w:color w:val="auto"/>
              </w:rPr>
              <w:t>Deferred financing fees</w:t>
            </w:r>
          </w:p>
        </w:tc>
        <w:tc>
          <w:tcPr>
            <w:tcW w:w="14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180" w:type="dxa"/>
            <w:vAlign w:val="bottom"/>
            <w:gridSpan w:val="2"/>
          </w:tcPr>
          <w:p>
            <w:pPr>
              <w:jc w:val="right"/>
              <w:ind w:right="62"/>
              <w:spacing w:after="0"/>
              <w:rPr>
                <w:sz w:val="20"/>
                <w:szCs w:val="20"/>
                <w:color w:val="auto"/>
              </w:rPr>
            </w:pPr>
            <w:r>
              <w:rPr>
                <w:rFonts w:ascii="Arial" w:cs="Arial" w:eastAsia="Arial" w:hAnsi="Arial"/>
                <w:sz w:val="18"/>
                <w:szCs w:val="18"/>
                <w:color w:val="auto"/>
              </w:rPr>
              <w:t>(3.4)</w:t>
            </w:r>
          </w:p>
        </w:tc>
        <w:tc>
          <w:tcPr>
            <w:tcW w:w="260" w:type="dxa"/>
            <w:vAlign w:val="bottom"/>
          </w:tcPr>
          <w:p>
            <w:pPr>
              <w:spacing w:after="0"/>
              <w:rPr>
                <w:sz w:val="18"/>
                <w:szCs w:val="18"/>
                <w:color w:val="auto"/>
              </w:rPr>
            </w:pPr>
          </w:p>
        </w:tc>
        <w:tc>
          <w:tcPr>
            <w:tcW w:w="1080" w:type="dxa"/>
            <w:vAlign w:val="bottom"/>
            <w:gridSpan w:val="2"/>
          </w:tcPr>
          <w:p>
            <w:pPr>
              <w:jc w:val="right"/>
              <w:ind w:right="22"/>
              <w:spacing w:after="0"/>
              <w:rPr>
                <w:sz w:val="20"/>
                <w:szCs w:val="20"/>
                <w:color w:val="auto"/>
              </w:rPr>
            </w:pPr>
            <w:r>
              <w:rPr>
                <w:rFonts w:ascii="Arial" w:cs="Arial" w:eastAsia="Arial" w:hAnsi="Arial"/>
                <w:sz w:val="18"/>
                <w:szCs w:val="18"/>
                <w:color w:val="auto"/>
              </w:rPr>
              <w:t>—</w:t>
            </w:r>
          </w:p>
        </w:tc>
      </w:tr>
      <w:tr>
        <w:trPr>
          <w:trHeight w:val="213"/>
        </w:trPr>
        <w:tc>
          <w:tcPr>
            <w:tcW w:w="7040" w:type="dxa"/>
            <w:vAlign w:val="bottom"/>
            <w:shd w:val="clear" w:color="auto" w:fill="CCEEFF"/>
          </w:tcPr>
          <w:p>
            <w:pPr>
              <w:spacing w:after="0"/>
              <w:rPr>
                <w:sz w:val="20"/>
                <w:szCs w:val="20"/>
                <w:color w:val="auto"/>
              </w:rPr>
            </w:pPr>
            <w:r>
              <w:rPr>
                <w:rFonts w:ascii="Arial" w:cs="Arial" w:eastAsia="Arial" w:hAnsi="Arial"/>
                <w:sz w:val="18"/>
                <w:szCs w:val="18"/>
                <w:color w:val="auto"/>
              </w:rPr>
              <w:t>Purchase of treasury stock</w:t>
            </w:r>
          </w:p>
        </w:tc>
        <w:tc>
          <w:tcPr>
            <w:tcW w:w="14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62"/>
              <w:spacing w:after="0"/>
              <w:rPr>
                <w:sz w:val="20"/>
                <w:szCs w:val="20"/>
                <w:color w:val="auto"/>
              </w:rPr>
            </w:pPr>
            <w:r>
              <w:rPr>
                <w:rFonts w:ascii="Arial" w:cs="Arial" w:eastAsia="Arial" w:hAnsi="Arial"/>
                <w:sz w:val="18"/>
                <w:szCs w:val="18"/>
                <w:color w:val="auto"/>
              </w:rPr>
              <w:t>(3.5)</w:t>
            </w:r>
          </w:p>
        </w:tc>
        <w:tc>
          <w:tcPr>
            <w:tcW w:w="26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w:t>
            </w:r>
          </w:p>
        </w:tc>
      </w:tr>
      <w:tr>
        <w:trPr>
          <w:trHeight w:val="213"/>
        </w:trPr>
        <w:tc>
          <w:tcPr>
            <w:tcW w:w="7040" w:type="dxa"/>
            <w:vAlign w:val="bottom"/>
          </w:tcPr>
          <w:p>
            <w:pPr>
              <w:spacing w:after="0"/>
              <w:rPr>
                <w:sz w:val="20"/>
                <w:szCs w:val="20"/>
                <w:color w:val="auto"/>
              </w:rPr>
            </w:pPr>
            <w:r>
              <w:rPr>
                <w:rFonts w:ascii="Arial" w:cs="Arial" w:eastAsia="Arial" w:hAnsi="Arial"/>
                <w:sz w:val="18"/>
                <w:szCs w:val="18"/>
                <w:color w:val="auto"/>
              </w:rPr>
              <w:t>Payments under Tax Receivable Agreement</w:t>
            </w:r>
          </w:p>
        </w:tc>
        <w:tc>
          <w:tcPr>
            <w:tcW w:w="14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180" w:type="dxa"/>
            <w:vAlign w:val="bottom"/>
            <w:gridSpan w:val="2"/>
          </w:tcPr>
          <w:p>
            <w:pPr>
              <w:jc w:val="right"/>
              <w:ind w:right="62"/>
              <w:spacing w:after="0"/>
              <w:rPr>
                <w:sz w:val="20"/>
                <w:szCs w:val="20"/>
                <w:color w:val="auto"/>
              </w:rPr>
            </w:pPr>
            <w:r>
              <w:rPr>
                <w:rFonts w:ascii="Arial" w:cs="Arial" w:eastAsia="Arial" w:hAnsi="Arial"/>
                <w:sz w:val="18"/>
                <w:szCs w:val="18"/>
                <w:color w:val="auto"/>
              </w:rPr>
              <w:t>(0.3)</w:t>
            </w:r>
          </w:p>
        </w:tc>
        <w:tc>
          <w:tcPr>
            <w:tcW w:w="260" w:type="dxa"/>
            <w:vAlign w:val="bottom"/>
          </w:tcPr>
          <w:p>
            <w:pPr>
              <w:spacing w:after="0"/>
              <w:rPr>
                <w:sz w:val="18"/>
                <w:szCs w:val="18"/>
                <w:color w:val="auto"/>
              </w:rPr>
            </w:pP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(7.8)</w:t>
            </w:r>
          </w:p>
        </w:tc>
      </w:tr>
      <w:tr>
        <w:trPr>
          <w:trHeight w:val="227"/>
        </w:trPr>
        <w:tc>
          <w:tcPr>
            <w:tcW w:w="7040" w:type="dxa"/>
            <w:vAlign w:val="bottom"/>
            <w:shd w:val="clear" w:color="auto" w:fill="CCEEFF"/>
          </w:tcPr>
          <w:p>
            <w:pPr>
              <w:spacing w:after="0"/>
              <w:rPr>
                <w:sz w:val="20"/>
                <w:szCs w:val="20"/>
                <w:color w:val="auto"/>
              </w:rPr>
            </w:pPr>
            <w:r>
              <w:rPr>
                <w:rFonts w:ascii="Arial" w:cs="Arial" w:eastAsia="Arial" w:hAnsi="Arial"/>
                <w:sz w:val="18"/>
                <w:szCs w:val="18"/>
                <w:color w:val="auto"/>
              </w:rPr>
              <w:t>Other</w:t>
            </w:r>
          </w:p>
        </w:tc>
        <w:tc>
          <w:tcPr>
            <w:tcW w:w="142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1180" w:type="dxa"/>
            <w:vAlign w:val="bottom"/>
            <w:gridSpan w:val="2"/>
            <w:shd w:val="clear" w:color="auto" w:fill="CCEEFF"/>
          </w:tcPr>
          <w:p>
            <w:pPr>
              <w:jc w:val="right"/>
              <w:ind w:right="62"/>
              <w:spacing w:after="0"/>
              <w:rPr>
                <w:sz w:val="20"/>
                <w:szCs w:val="20"/>
                <w:color w:val="auto"/>
              </w:rPr>
            </w:pPr>
            <w:r>
              <w:rPr>
                <w:rFonts w:ascii="Arial" w:cs="Arial" w:eastAsia="Arial" w:hAnsi="Arial"/>
                <w:sz w:val="18"/>
                <w:szCs w:val="18"/>
                <w:color w:val="auto"/>
              </w:rPr>
              <w:t>(0.3)</w:t>
            </w:r>
          </w:p>
        </w:tc>
        <w:tc>
          <w:tcPr>
            <w:tcW w:w="260" w:type="dxa"/>
            <w:vAlign w:val="bottom"/>
            <w:shd w:val="clear" w:color="auto" w:fill="CCEEFF"/>
          </w:tcPr>
          <w:p>
            <w:pPr>
              <w:spacing w:after="0"/>
              <w:rPr>
                <w:sz w:val="19"/>
                <w:szCs w:val="19"/>
                <w:color w:val="auto"/>
              </w:rPr>
            </w:pP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(2.4)</w:t>
            </w:r>
          </w:p>
        </w:tc>
      </w:tr>
      <w:tr>
        <w:trPr>
          <w:trHeight w:val="207"/>
        </w:trPr>
        <w:tc>
          <w:tcPr>
            <w:tcW w:w="704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Net cash provided by (used for) financing activities</w:t>
            </w:r>
          </w:p>
        </w:tc>
        <w:tc>
          <w:tcPr>
            <w:tcW w:w="1420" w:type="dxa"/>
            <w:vAlign w:val="bottom"/>
            <w:tcBorders>
              <w:bottom w:val="single" w:sz="8" w:color="CCEEFF"/>
            </w:tcBorders>
          </w:tcPr>
          <w:p>
            <w:pPr>
              <w:spacing w:after="0"/>
              <w:rPr>
                <w:sz w:val="17"/>
                <w:szCs w:val="17"/>
                <w:color w:val="auto"/>
              </w:rPr>
            </w:pPr>
          </w:p>
        </w:tc>
        <w:tc>
          <w:tcPr>
            <w:tcW w:w="260" w:type="dxa"/>
            <w:vAlign w:val="bottom"/>
            <w:tcBorders>
              <w:top w:val="single" w:sz="8" w:color="auto"/>
              <w:bottom w:val="single" w:sz="8" w:color="auto"/>
            </w:tcBorders>
          </w:tcPr>
          <w:p>
            <w:pPr>
              <w:spacing w:after="0"/>
              <w:rPr>
                <w:sz w:val="17"/>
                <w:szCs w:val="17"/>
                <w:color w:val="auto"/>
              </w:rPr>
            </w:pPr>
          </w:p>
        </w:tc>
        <w:tc>
          <w:tcPr>
            <w:tcW w:w="9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(198.5</w:t>
            </w:r>
          </w:p>
        </w:tc>
        <w:tc>
          <w:tcPr>
            <w:tcW w:w="200" w:type="dxa"/>
            <w:vAlign w:val="bottom"/>
            <w:tcBorders>
              <w:bottom w:val="single" w:sz="8" w:color="CCEEFF"/>
            </w:tcBorders>
          </w:tcPr>
          <w:p>
            <w:pPr>
              <w:jc w:val="right"/>
              <w:ind w:right="62"/>
              <w:spacing w:after="0"/>
              <w:rPr>
                <w:sz w:val="20"/>
                <w:szCs w:val="20"/>
                <w:color w:val="auto"/>
              </w:rPr>
            </w:pPr>
            <w:r>
              <w:rPr>
                <w:rFonts w:ascii="Arial" w:cs="Arial" w:eastAsia="Arial" w:hAnsi="Arial"/>
                <w:sz w:val="16"/>
                <w:szCs w:val="16"/>
                <w:color w:val="auto"/>
                <w:w w:val="74"/>
              </w:rPr>
              <w:t>)</w:t>
            </w:r>
          </w:p>
        </w:tc>
        <w:tc>
          <w:tcPr>
            <w:tcW w:w="260" w:type="dxa"/>
            <w:vAlign w:val="bottom"/>
            <w:tcBorders>
              <w:top w:val="single" w:sz="8" w:color="auto"/>
              <w:bottom w:val="single" w:sz="8" w:color="auto"/>
            </w:tcBorders>
          </w:tcPr>
          <w:p>
            <w:pPr>
              <w:spacing w:after="0"/>
              <w:rPr>
                <w:sz w:val="17"/>
                <w:szCs w:val="17"/>
                <w:color w:val="auto"/>
              </w:rPr>
            </w:pPr>
          </w:p>
        </w:tc>
        <w:tc>
          <w:tcPr>
            <w:tcW w:w="9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(253.4</w:t>
            </w:r>
          </w:p>
        </w:tc>
        <w:tc>
          <w:tcPr>
            <w:tcW w:w="100" w:type="dxa"/>
            <w:vAlign w:val="bottom"/>
            <w:tcBorders>
              <w:bottom w:val="single" w:sz="8" w:color="CCEEFF"/>
            </w:tcBorders>
          </w:tcPr>
          <w:p>
            <w:pPr>
              <w:jc w:val="right"/>
              <w:spacing w:after="0"/>
              <w:rPr>
                <w:sz w:val="20"/>
                <w:szCs w:val="20"/>
                <w:color w:val="auto"/>
              </w:rPr>
            </w:pPr>
            <w:r>
              <w:rPr>
                <w:rFonts w:ascii="Arial" w:cs="Arial" w:eastAsia="Arial" w:hAnsi="Arial"/>
                <w:sz w:val="16"/>
                <w:szCs w:val="16"/>
                <w:color w:val="auto"/>
                <w:w w:val="74"/>
              </w:rPr>
              <w:t>)</w:t>
            </w:r>
          </w:p>
        </w:tc>
      </w:tr>
      <w:tr>
        <w:trPr>
          <w:trHeight w:val="207"/>
        </w:trPr>
        <w:tc>
          <w:tcPr>
            <w:tcW w:w="7040" w:type="dxa"/>
            <w:vAlign w:val="bottom"/>
            <w:shd w:val="clear" w:color="auto" w:fill="CCEEFF"/>
          </w:tcPr>
          <w:p>
            <w:pPr>
              <w:spacing w:after="0"/>
              <w:rPr>
                <w:sz w:val="20"/>
                <w:szCs w:val="20"/>
                <w:color w:val="auto"/>
              </w:rPr>
            </w:pPr>
            <w:r>
              <w:rPr>
                <w:rFonts w:ascii="Arial" w:cs="Arial" w:eastAsia="Arial" w:hAnsi="Arial"/>
                <w:sz w:val="18"/>
                <w:szCs w:val="18"/>
                <w:color w:val="auto"/>
              </w:rPr>
              <w:t>Effect of exchange rate changes on cash</w:t>
            </w:r>
          </w:p>
        </w:tc>
        <w:tc>
          <w:tcPr>
            <w:tcW w:w="1420" w:type="dxa"/>
            <w:vAlign w:val="bottom"/>
            <w:shd w:val="clear" w:color="auto" w:fill="CCEEFF"/>
          </w:tcPr>
          <w:p>
            <w:pPr>
              <w:spacing w:after="0"/>
              <w:rPr>
                <w:sz w:val="17"/>
                <w:szCs w:val="17"/>
                <w:color w:val="auto"/>
              </w:rPr>
            </w:pPr>
          </w:p>
        </w:tc>
        <w:tc>
          <w:tcPr>
            <w:tcW w:w="260" w:type="dxa"/>
            <w:vAlign w:val="bottom"/>
            <w:tcBorders>
              <w:bottom w:val="single" w:sz="8" w:color="auto"/>
            </w:tcBorders>
            <w:shd w:val="clear" w:color="auto" w:fill="CCEEFF"/>
          </w:tcPr>
          <w:p>
            <w:pPr>
              <w:spacing w:after="0"/>
              <w:rPr>
                <w:sz w:val="17"/>
                <w:szCs w:val="17"/>
                <w:color w:val="auto"/>
              </w:rPr>
            </w:pPr>
          </w:p>
        </w:tc>
        <w:tc>
          <w:tcPr>
            <w:tcW w:w="9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0.1</w:t>
            </w:r>
          </w:p>
        </w:tc>
        <w:tc>
          <w:tcPr>
            <w:tcW w:w="200" w:type="dxa"/>
            <w:vAlign w:val="bottom"/>
            <w:shd w:val="clear" w:color="auto" w:fill="CCEEFF"/>
          </w:tcPr>
          <w:p>
            <w:pPr>
              <w:spacing w:after="0"/>
              <w:rPr>
                <w:sz w:val="17"/>
                <w:szCs w:val="17"/>
                <w:color w:val="auto"/>
              </w:rPr>
            </w:pPr>
          </w:p>
        </w:tc>
        <w:tc>
          <w:tcPr>
            <w:tcW w:w="260" w:type="dxa"/>
            <w:vAlign w:val="bottom"/>
            <w:tcBorders>
              <w:bottom w:val="single" w:sz="8" w:color="auto"/>
            </w:tcBorders>
            <w:shd w:val="clear" w:color="auto" w:fill="CCEEFF"/>
          </w:tcPr>
          <w:p>
            <w:pPr>
              <w:spacing w:after="0"/>
              <w:rPr>
                <w:sz w:val="17"/>
                <w:szCs w:val="17"/>
                <w:color w:val="auto"/>
              </w:rPr>
            </w:pPr>
          </w:p>
        </w:tc>
        <w:tc>
          <w:tcPr>
            <w:tcW w:w="9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(0.2</w:t>
            </w:r>
          </w:p>
        </w:tc>
        <w:tc>
          <w:tcPr>
            <w:tcW w:w="100" w:type="dxa"/>
            <w:vAlign w:val="bottom"/>
            <w:shd w:val="clear" w:color="auto" w:fill="CCEEFF"/>
          </w:tcPr>
          <w:p>
            <w:pPr>
              <w:jc w:val="right"/>
              <w:spacing w:after="0"/>
              <w:rPr>
                <w:sz w:val="20"/>
                <w:szCs w:val="20"/>
                <w:color w:val="auto"/>
              </w:rPr>
            </w:pPr>
            <w:r>
              <w:rPr>
                <w:rFonts w:ascii="Arial" w:cs="Arial" w:eastAsia="Arial" w:hAnsi="Arial"/>
                <w:sz w:val="16"/>
                <w:szCs w:val="16"/>
                <w:color w:val="auto"/>
                <w:w w:val="74"/>
              </w:rPr>
              <w:t>)</w:t>
            </w:r>
          </w:p>
        </w:tc>
      </w:tr>
      <w:tr>
        <w:trPr>
          <w:trHeight w:val="207"/>
        </w:trPr>
        <w:tc>
          <w:tcPr>
            <w:tcW w:w="7040" w:type="dxa"/>
            <w:vAlign w:val="bottom"/>
          </w:tcPr>
          <w:p>
            <w:pPr>
              <w:spacing w:after="0"/>
              <w:rPr>
                <w:sz w:val="20"/>
                <w:szCs w:val="20"/>
                <w:color w:val="auto"/>
              </w:rPr>
            </w:pPr>
            <w:r>
              <w:rPr>
                <w:rFonts w:ascii="Arial" w:cs="Arial" w:eastAsia="Arial" w:hAnsi="Arial"/>
                <w:sz w:val="18"/>
                <w:szCs w:val="18"/>
                <w:color w:val="auto"/>
              </w:rPr>
              <w:t>Net change in cash and cash equivalents</w:t>
            </w:r>
          </w:p>
        </w:tc>
        <w:tc>
          <w:tcPr>
            <w:tcW w:w="142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74.5</w:t>
            </w:r>
          </w:p>
        </w:tc>
        <w:tc>
          <w:tcPr>
            <w:tcW w:w="2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(5.0)</w:t>
            </w:r>
          </w:p>
        </w:tc>
      </w:tr>
      <w:tr>
        <w:trPr>
          <w:trHeight w:val="227"/>
        </w:trPr>
        <w:tc>
          <w:tcPr>
            <w:tcW w:w="7040" w:type="dxa"/>
            <w:vAlign w:val="bottom"/>
            <w:shd w:val="clear" w:color="auto" w:fill="CCEEFF"/>
          </w:tcPr>
          <w:p>
            <w:pPr>
              <w:spacing w:after="0"/>
              <w:rPr>
                <w:sz w:val="20"/>
                <w:szCs w:val="20"/>
                <w:color w:val="auto"/>
              </w:rPr>
            </w:pPr>
            <w:r>
              <w:rPr>
                <w:rFonts w:ascii="Arial" w:cs="Arial" w:eastAsia="Arial" w:hAnsi="Arial"/>
                <w:sz w:val="18"/>
                <w:szCs w:val="18"/>
                <w:color w:val="auto"/>
              </w:rPr>
              <w:t>Cash and cash equivalents at beginning of period</w:t>
            </w:r>
          </w:p>
        </w:tc>
        <w:tc>
          <w:tcPr>
            <w:tcW w:w="142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1180" w:type="dxa"/>
            <w:vAlign w:val="bottom"/>
            <w:gridSpan w:val="2"/>
            <w:shd w:val="clear" w:color="auto" w:fill="CCEEFF"/>
          </w:tcPr>
          <w:p>
            <w:pPr>
              <w:jc w:val="right"/>
              <w:ind w:right="122"/>
              <w:spacing w:after="0"/>
              <w:rPr>
                <w:sz w:val="20"/>
                <w:szCs w:val="20"/>
                <w:color w:val="auto"/>
              </w:rPr>
            </w:pPr>
            <w:r>
              <w:rPr>
                <w:rFonts w:ascii="Arial" w:cs="Arial" w:eastAsia="Arial" w:hAnsi="Arial"/>
                <w:sz w:val="18"/>
                <w:szCs w:val="18"/>
                <w:color w:val="auto"/>
              </w:rPr>
              <w:t>38.0</w:t>
            </w:r>
          </w:p>
        </w:tc>
        <w:tc>
          <w:tcPr>
            <w:tcW w:w="260" w:type="dxa"/>
            <w:vAlign w:val="bottom"/>
            <w:shd w:val="clear" w:color="auto" w:fill="CCEEFF"/>
          </w:tcPr>
          <w:p>
            <w:pPr>
              <w:spacing w:after="0"/>
              <w:rPr>
                <w:sz w:val="19"/>
                <w:szCs w:val="19"/>
                <w:color w:val="auto"/>
              </w:rPr>
            </w:pPr>
          </w:p>
        </w:tc>
        <w:tc>
          <w:tcPr>
            <w:tcW w:w="108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64.3</w:t>
            </w:r>
          </w:p>
        </w:tc>
      </w:tr>
      <w:tr>
        <w:trPr>
          <w:trHeight w:val="260"/>
        </w:trPr>
        <w:tc>
          <w:tcPr>
            <w:tcW w:w="704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Cash and cash equivalents at end of period</w:t>
            </w:r>
          </w:p>
        </w:tc>
        <w:tc>
          <w:tcPr>
            <w:tcW w:w="1420" w:type="dxa"/>
            <w:vAlign w:val="bottom"/>
            <w:tcBorders>
              <w:bottom w:val="single" w:sz="8" w:color="CCEEFF"/>
            </w:tcBorders>
          </w:tcPr>
          <w:p>
            <w:pPr>
              <w:spacing w:after="0"/>
              <w:rPr>
                <w:sz w:val="22"/>
                <w:szCs w:val="22"/>
                <w:color w:val="auto"/>
              </w:rPr>
            </w:pPr>
          </w:p>
        </w:tc>
        <w:tc>
          <w:tcPr>
            <w:tcW w:w="260" w:type="dxa"/>
            <w:vAlign w:val="bottom"/>
            <w:tcBorders>
              <w:top w:val="single" w:sz="8" w:color="auto"/>
              <w:bottom w:val="single" w:sz="8" w:color="auto"/>
            </w:tcBorders>
          </w:tcPr>
          <w:p>
            <w:pPr>
              <w:jc w:val="right"/>
              <w:ind w:right="99"/>
              <w:spacing w:after="0"/>
              <w:rPr>
                <w:sz w:val="20"/>
                <w:szCs w:val="20"/>
                <w:color w:val="auto"/>
              </w:rPr>
            </w:pPr>
            <w:r>
              <w:rPr>
                <w:rFonts w:ascii="Arial" w:cs="Arial" w:eastAsia="Arial" w:hAnsi="Arial"/>
                <w:sz w:val="14"/>
                <w:szCs w:val="14"/>
                <w:color w:val="auto"/>
                <w:w w:val="76"/>
              </w:rPr>
              <w:t>$</w:t>
            </w:r>
          </w:p>
        </w:tc>
        <w:tc>
          <w:tcPr>
            <w:tcW w:w="9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112.5</w:t>
            </w:r>
          </w:p>
        </w:tc>
        <w:tc>
          <w:tcPr>
            <w:tcW w:w="200" w:type="dxa"/>
            <w:vAlign w:val="bottom"/>
            <w:tcBorders>
              <w:bottom w:val="single" w:sz="8" w:color="CCEEFF"/>
            </w:tcBorders>
          </w:tcPr>
          <w:p>
            <w:pPr>
              <w:spacing w:after="0"/>
              <w:rPr>
                <w:sz w:val="22"/>
                <w:szCs w:val="22"/>
                <w:color w:val="auto"/>
              </w:rPr>
            </w:pPr>
          </w:p>
        </w:tc>
        <w:tc>
          <w:tcPr>
            <w:tcW w:w="260" w:type="dxa"/>
            <w:vAlign w:val="bottom"/>
            <w:tcBorders>
              <w:top w:val="single" w:sz="8" w:color="auto"/>
              <w:bottom w:val="single" w:sz="8" w:color="auto"/>
            </w:tcBorders>
          </w:tcPr>
          <w:p>
            <w:pPr>
              <w:jc w:val="right"/>
              <w:ind w:right="71"/>
              <w:spacing w:after="0"/>
              <w:rPr>
                <w:sz w:val="20"/>
                <w:szCs w:val="20"/>
                <w:color w:val="auto"/>
              </w:rPr>
            </w:pPr>
            <w:r>
              <w:rPr>
                <w:rFonts w:ascii="Arial" w:cs="Arial" w:eastAsia="Arial" w:hAnsi="Arial"/>
                <w:sz w:val="18"/>
                <w:szCs w:val="18"/>
                <w:color w:val="auto"/>
                <w:w w:val="79"/>
              </w:rPr>
              <w:t>$</w:t>
            </w:r>
          </w:p>
        </w:tc>
        <w:tc>
          <w:tcPr>
            <w:tcW w:w="9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59.3</w:t>
            </w:r>
          </w:p>
        </w:tc>
        <w:tc>
          <w:tcPr>
            <w:tcW w:w="100" w:type="dxa"/>
            <w:vAlign w:val="bottom"/>
            <w:tcBorders>
              <w:bottom w:val="single" w:sz="8" w:color="CCEEFF"/>
            </w:tcBorders>
          </w:tcPr>
          <w:p>
            <w:pPr>
              <w:spacing w:after="0"/>
              <w:rPr>
                <w:sz w:val="22"/>
                <w:szCs w:val="22"/>
                <w:color w:val="auto"/>
              </w:rPr>
            </w:pPr>
          </w:p>
        </w:tc>
      </w:tr>
      <w:tr>
        <w:trPr>
          <w:trHeight w:val="194"/>
        </w:trPr>
        <w:tc>
          <w:tcPr>
            <w:tcW w:w="7040" w:type="dxa"/>
            <w:vAlign w:val="bottom"/>
            <w:shd w:val="clear" w:color="auto" w:fill="CCEEFF"/>
          </w:tcPr>
          <w:p>
            <w:pPr>
              <w:spacing w:after="0" w:line="192" w:lineRule="exact"/>
              <w:rPr>
                <w:sz w:val="20"/>
                <w:szCs w:val="20"/>
                <w:color w:val="auto"/>
              </w:rPr>
            </w:pPr>
            <w:r>
              <w:rPr>
                <w:rFonts w:ascii="Arial" w:cs="Arial" w:eastAsia="Arial" w:hAnsi="Arial"/>
                <w:sz w:val="18"/>
                <w:szCs w:val="18"/>
                <w:b w:val="1"/>
                <w:bCs w:val="1"/>
                <w:color w:val="auto"/>
              </w:rPr>
              <w:t>Supplemental cash flow information</w:t>
            </w:r>
          </w:p>
        </w:tc>
        <w:tc>
          <w:tcPr>
            <w:tcW w:w="142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98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9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r>
      <w:tr>
        <w:trPr>
          <w:trHeight w:val="213"/>
        </w:trPr>
        <w:tc>
          <w:tcPr>
            <w:tcW w:w="7040" w:type="dxa"/>
            <w:vAlign w:val="bottom"/>
          </w:tcPr>
          <w:p>
            <w:pPr>
              <w:spacing w:after="0"/>
              <w:rPr>
                <w:sz w:val="20"/>
                <w:szCs w:val="20"/>
                <w:color w:val="auto"/>
              </w:rPr>
            </w:pPr>
            <w:r>
              <w:rPr>
                <w:rFonts w:ascii="Arial" w:cs="Arial" w:eastAsia="Arial" w:hAnsi="Arial"/>
                <w:sz w:val="18"/>
                <w:szCs w:val="18"/>
                <w:color w:val="auto"/>
              </w:rPr>
              <w:t>Cash paid for income taxes, net of refunds</w:t>
            </w:r>
          </w:p>
        </w:tc>
        <w:tc>
          <w:tcPr>
            <w:tcW w:w="1680" w:type="dxa"/>
            <w:vAlign w:val="bottom"/>
            <w:gridSpan w:val="2"/>
          </w:tcPr>
          <w:p>
            <w:pPr>
              <w:jc w:val="right"/>
              <w:ind w:right="99"/>
              <w:spacing w:after="0"/>
              <w:rPr>
                <w:sz w:val="20"/>
                <w:szCs w:val="20"/>
                <w:color w:val="auto"/>
              </w:rPr>
            </w:pPr>
            <w:r>
              <w:rPr>
                <w:rFonts w:ascii="Arial" w:cs="Arial" w:eastAsia="Arial" w:hAnsi="Arial"/>
                <w:sz w:val="18"/>
                <w:szCs w:val="18"/>
                <w:color w:val="auto"/>
              </w:rPr>
              <w:t>$</w:t>
            </w:r>
          </w:p>
        </w:tc>
        <w:tc>
          <w:tcPr>
            <w:tcW w:w="1180" w:type="dxa"/>
            <w:vAlign w:val="bottom"/>
            <w:gridSpan w:val="2"/>
          </w:tcPr>
          <w:p>
            <w:pPr>
              <w:jc w:val="right"/>
              <w:ind w:right="122"/>
              <w:spacing w:after="0"/>
              <w:rPr>
                <w:sz w:val="20"/>
                <w:szCs w:val="20"/>
                <w:color w:val="auto"/>
              </w:rPr>
            </w:pPr>
            <w:r>
              <w:rPr>
                <w:rFonts w:ascii="Arial" w:cs="Arial" w:eastAsia="Arial" w:hAnsi="Arial"/>
                <w:sz w:val="18"/>
                <w:szCs w:val="18"/>
                <w:color w:val="auto"/>
              </w:rPr>
              <w:t>2.8</w:t>
            </w:r>
          </w:p>
        </w:tc>
        <w:tc>
          <w:tcPr>
            <w:tcW w:w="260" w:type="dxa"/>
            <w:vAlign w:val="bottom"/>
          </w:tcPr>
          <w:p>
            <w:pPr>
              <w:jc w:val="right"/>
              <w:ind w:right="71"/>
              <w:spacing w:after="0"/>
              <w:rPr>
                <w:sz w:val="20"/>
                <w:szCs w:val="20"/>
                <w:color w:val="auto"/>
              </w:rPr>
            </w:pPr>
            <w:r>
              <w:rPr>
                <w:rFonts w:ascii="Arial" w:cs="Arial" w:eastAsia="Arial" w:hAnsi="Arial"/>
                <w:sz w:val="18"/>
                <w:szCs w:val="18"/>
                <w:color w:val="auto"/>
                <w:w w:val="79"/>
              </w:rPr>
              <w:t>$</w:t>
            </w:r>
          </w:p>
        </w:tc>
        <w:tc>
          <w:tcPr>
            <w:tcW w:w="1080" w:type="dxa"/>
            <w:vAlign w:val="bottom"/>
            <w:gridSpan w:val="2"/>
          </w:tcPr>
          <w:p>
            <w:pPr>
              <w:jc w:val="right"/>
              <w:ind w:right="22"/>
              <w:spacing w:after="0"/>
              <w:rPr>
                <w:sz w:val="20"/>
                <w:szCs w:val="20"/>
                <w:color w:val="auto"/>
              </w:rPr>
            </w:pPr>
            <w:r>
              <w:rPr>
                <w:rFonts w:ascii="Arial" w:cs="Arial" w:eastAsia="Arial" w:hAnsi="Arial"/>
                <w:sz w:val="18"/>
                <w:szCs w:val="18"/>
                <w:color w:val="auto"/>
              </w:rPr>
              <w:t>3.1</w:t>
            </w:r>
          </w:p>
        </w:tc>
      </w:tr>
      <w:tr>
        <w:trPr>
          <w:trHeight w:val="213"/>
        </w:trPr>
        <w:tc>
          <w:tcPr>
            <w:tcW w:w="7040" w:type="dxa"/>
            <w:vAlign w:val="bottom"/>
            <w:shd w:val="clear" w:color="auto" w:fill="CCEEFF"/>
          </w:tcPr>
          <w:p>
            <w:pPr>
              <w:spacing w:after="0"/>
              <w:rPr>
                <w:sz w:val="20"/>
                <w:szCs w:val="20"/>
                <w:color w:val="auto"/>
              </w:rPr>
            </w:pPr>
            <w:r>
              <w:rPr>
                <w:rFonts w:ascii="Arial" w:cs="Arial" w:eastAsia="Arial" w:hAnsi="Arial"/>
                <w:sz w:val="18"/>
                <w:szCs w:val="18"/>
                <w:color w:val="auto"/>
              </w:rPr>
              <w:t>Cash paid for interest</w:t>
            </w:r>
          </w:p>
        </w:tc>
        <w:tc>
          <w:tcPr>
            <w:tcW w:w="14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122"/>
              <w:spacing w:after="0"/>
              <w:rPr>
                <w:sz w:val="20"/>
                <w:szCs w:val="20"/>
                <w:color w:val="auto"/>
              </w:rPr>
            </w:pPr>
            <w:r>
              <w:rPr>
                <w:rFonts w:ascii="Arial" w:cs="Arial" w:eastAsia="Arial" w:hAnsi="Arial"/>
                <w:sz w:val="18"/>
                <w:szCs w:val="18"/>
                <w:color w:val="auto"/>
              </w:rPr>
              <w:t>17.2</w:t>
            </w:r>
          </w:p>
        </w:tc>
        <w:tc>
          <w:tcPr>
            <w:tcW w:w="26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28.1</w:t>
            </w:r>
          </w:p>
        </w:tc>
      </w:tr>
      <w:tr>
        <w:trPr>
          <w:trHeight w:val="213"/>
        </w:trPr>
        <w:tc>
          <w:tcPr>
            <w:tcW w:w="7040" w:type="dxa"/>
            <w:vAlign w:val="bottom"/>
          </w:tcPr>
          <w:p>
            <w:pPr>
              <w:spacing w:after="0"/>
              <w:rPr>
                <w:sz w:val="20"/>
                <w:szCs w:val="20"/>
                <w:color w:val="auto"/>
              </w:rPr>
            </w:pPr>
            <w:r>
              <w:rPr>
                <w:rFonts w:ascii="Arial" w:cs="Arial" w:eastAsia="Arial" w:hAnsi="Arial"/>
                <w:sz w:val="18"/>
                <w:szCs w:val="18"/>
                <w:b w:val="1"/>
                <w:bCs w:val="1"/>
                <w:color w:val="auto"/>
              </w:rPr>
              <w:t>Non-cash investing and financing activities</w:t>
            </w:r>
          </w:p>
        </w:tc>
        <w:tc>
          <w:tcPr>
            <w:tcW w:w="14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13"/>
        </w:trPr>
        <w:tc>
          <w:tcPr>
            <w:tcW w:w="7040" w:type="dxa"/>
            <w:vAlign w:val="bottom"/>
            <w:shd w:val="clear" w:color="auto" w:fill="CCEEFF"/>
          </w:tcPr>
          <w:p>
            <w:pPr>
              <w:spacing w:after="0"/>
              <w:rPr>
                <w:sz w:val="20"/>
                <w:szCs w:val="20"/>
                <w:color w:val="auto"/>
              </w:rPr>
            </w:pPr>
            <w:r>
              <w:rPr>
                <w:rFonts w:ascii="Arial" w:cs="Arial" w:eastAsia="Arial" w:hAnsi="Arial"/>
                <w:sz w:val="18"/>
                <w:szCs w:val="18"/>
                <w:color w:val="auto"/>
              </w:rPr>
              <w:t>Non-cash additions to property and equipment for right-of-use finance leases</w:t>
            </w:r>
          </w:p>
        </w:tc>
        <w:tc>
          <w:tcPr>
            <w:tcW w:w="1680" w:type="dxa"/>
            <w:vAlign w:val="bottom"/>
            <w:gridSpan w:val="2"/>
            <w:shd w:val="clear" w:color="auto" w:fill="CCEEFF"/>
          </w:tcPr>
          <w:p>
            <w:pPr>
              <w:jc w:val="right"/>
              <w:ind w:right="99"/>
              <w:spacing w:after="0"/>
              <w:rPr>
                <w:sz w:val="20"/>
                <w:szCs w:val="20"/>
                <w:color w:val="auto"/>
              </w:rPr>
            </w:pPr>
            <w:r>
              <w:rPr>
                <w:rFonts w:ascii="Arial" w:cs="Arial" w:eastAsia="Arial" w:hAnsi="Arial"/>
                <w:sz w:val="18"/>
                <w:szCs w:val="18"/>
                <w:color w:val="auto"/>
              </w:rPr>
              <w:t>$</w:t>
            </w:r>
          </w:p>
        </w:tc>
        <w:tc>
          <w:tcPr>
            <w:tcW w:w="1180" w:type="dxa"/>
            <w:vAlign w:val="bottom"/>
            <w:gridSpan w:val="2"/>
            <w:shd w:val="clear" w:color="auto" w:fill="CCEEFF"/>
          </w:tcPr>
          <w:p>
            <w:pPr>
              <w:jc w:val="right"/>
              <w:ind w:right="122"/>
              <w:spacing w:after="0"/>
              <w:rPr>
                <w:sz w:val="20"/>
                <w:szCs w:val="20"/>
                <w:color w:val="auto"/>
              </w:rPr>
            </w:pPr>
            <w:r>
              <w:rPr>
                <w:rFonts w:ascii="Arial" w:cs="Arial" w:eastAsia="Arial" w:hAnsi="Arial"/>
                <w:sz w:val="18"/>
                <w:szCs w:val="18"/>
                <w:color w:val="auto"/>
              </w:rPr>
              <w:t>13.4</w:t>
            </w:r>
          </w:p>
        </w:tc>
        <w:tc>
          <w:tcPr>
            <w:tcW w:w="260" w:type="dxa"/>
            <w:vAlign w:val="bottom"/>
            <w:shd w:val="clear" w:color="auto" w:fill="CCEEFF"/>
          </w:tcPr>
          <w:p>
            <w:pPr>
              <w:jc w:val="right"/>
              <w:ind w:right="71"/>
              <w:spacing w:after="0"/>
              <w:rPr>
                <w:sz w:val="20"/>
                <w:szCs w:val="20"/>
                <w:color w:val="auto"/>
              </w:rPr>
            </w:pPr>
            <w:r>
              <w:rPr>
                <w:rFonts w:ascii="Arial" w:cs="Arial" w:eastAsia="Arial" w:hAnsi="Arial"/>
                <w:sz w:val="18"/>
                <w:szCs w:val="18"/>
                <w:color w:val="auto"/>
                <w:w w:val="79"/>
              </w:rPr>
              <w:t>$</w:t>
            </w:r>
          </w:p>
        </w:tc>
        <w:tc>
          <w:tcPr>
            <w:tcW w:w="108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9.8</w:t>
            </w:r>
          </w:p>
        </w:tc>
      </w:tr>
      <w:tr>
        <w:trPr>
          <w:trHeight w:val="226"/>
        </w:trPr>
        <w:tc>
          <w:tcPr>
            <w:tcW w:w="7040" w:type="dxa"/>
            <w:vAlign w:val="bottom"/>
          </w:tcPr>
          <w:p>
            <w:pPr>
              <w:spacing w:after="0"/>
              <w:rPr>
                <w:sz w:val="20"/>
                <w:szCs w:val="20"/>
                <w:color w:val="auto"/>
              </w:rPr>
            </w:pPr>
            <w:r>
              <w:rPr>
                <w:rFonts w:ascii="Arial" w:cs="Arial" w:eastAsia="Arial" w:hAnsi="Arial"/>
                <w:sz w:val="18"/>
                <w:szCs w:val="18"/>
                <w:color w:val="auto"/>
              </w:rPr>
              <w:t>Non-cash additions to other non-current assets for right-of-use operating leases</w:t>
            </w:r>
          </w:p>
        </w:tc>
        <w:tc>
          <w:tcPr>
            <w:tcW w:w="142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180" w:type="dxa"/>
            <w:vAlign w:val="bottom"/>
            <w:gridSpan w:val="2"/>
          </w:tcPr>
          <w:p>
            <w:pPr>
              <w:jc w:val="right"/>
              <w:ind w:right="122"/>
              <w:spacing w:after="0"/>
              <w:rPr>
                <w:sz w:val="20"/>
                <w:szCs w:val="20"/>
                <w:color w:val="auto"/>
              </w:rPr>
            </w:pPr>
            <w:r>
              <w:rPr>
                <w:rFonts w:ascii="Arial" w:cs="Arial" w:eastAsia="Arial" w:hAnsi="Arial"/>
                <w:sz w:val="18"/>
                <w:szCs w:val="18"/>
                <w:color w:val="auto"/>
              </w:rPr>
              <w:t>18.3</w:t>
            </w:r>
          </w:p>
        </w:tc>
        <w:tc>
          <w:tcPr>
            <w:tcW w:w="260" w:type="dxa"/>
            <w:vAlign w:val="bottom"/>
          </w:tcPr>
          <w:p>
            <w:pPr>
              <w:spacing w:after="0"/>
              <w:rPr>
                <w:sz w:val="19"/>
                <w:szCs w:val="19"/>
                <w:color w:val="auto"/>
              </w:rPr>
            </w:pPr>
          </w:p>
        </w:tc>
        <w:tc>
          <w:tcPr>
            <w:tcW w:w="1080" w:type="dxa"/>
            <w:vAlign w:val="bottom"/>
            <w:gridSpan w:val="2"/>
          </w:tcPr>
          <w:p>
            <w:pPr>
              <w:jc w:val="right"/>
              <w:ind w:right="22"/>
              <w:spacing w:after="0"/>
              <w:rPr>
                <w:sz w:val="20"/>
                <w:szCs w:val="20"/>
                <w:color w:val="auto"/>
              </w:rPr>
            </w:pPr>
            <w:r>
              <w:rPr>
                <w:rFonts w:ascii="Arial" w:cs="Arial" w:eastAsia="Arial" w:hAnsi="Arial"/>
                <w:sz w:val="18"/>
                <w:szCs w:val="18"/>
                <w:color w:val="auto"/>
              </w:rPr>
              <w:t>107.7</w:t>
            </w:r>
          </w:p>
        </w:tc>
      </w:tr>
      <w:tr>
        <w:trPr>
          <w:trHeight w:val="414"/>
        </w:trPr>
        <w:tc>
          <w:tcPr>
            <w:tcW w:w="7040" w:type="dxa"/>
            <w:vAlign w:val="bottom"/>
            <w:tcBorders>
              <w:bottom w:val="single" w:sz="8" w:color="auto"/>
            </w:tcBorders>
          </w:tcPr>
          <w:p>
            <w:pPr>
              <w:spacing w:after="0"/>
              <w:rPr>
                <w:sz w:val="24"/>
                <w:szCs w:val="24"/>
                <w:color w:val="auto"/>
              </w:rPr>
            </w:pPr>
          </w:p>
        </w:tc>
        <w:tc>
          <w:tcPr>
            <w:tcW w:w="142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98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98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r>
    </w:tbl>
    <w:p>
      <w:pPr>
        <w:sectPr>
          <w:pgSz w:w="11900" w:h="16838" w:orient="portrait"/>
          <w:cols w:equalWidth="0" w:num="1">
            <w:col w:w="11240"/>
          </w:cols>
          <w:pgMar w:left="320" w:top="895" w:right="339" w:bottom="1440" w:gutter="0" w:footer="0" w:header="0"/>
        </w:sectPr>
      </w:pPr>
    </w:p>
    <w:bookmarkStart w:id="9" w:name="page10"/>
    <w:bookmarkEnd w:id="9"/>
    <w:p>
      <w:pPr>
        <w:spacing w:after="0"/>
        <w:rPr>
          <w:sz w:val="20"/>
          <w:szCs w:val="20"/>
          <w:color w:val="auto"/>
        </w:rPr>
      </w:pPr>
      <w:r>
        <w:rPr>
          <w:rFonts w:ascii="Arial" w:cs="Arial" w:eastAsia="Arial" w:hAnsi="Arial"/>
          <w:sz w:val="18"/>
          <w:szCs w:val="18"/>
          <w:b w:val="1"/>
          <w:bCs w:val="1"/>
          <w:color w:val="006600"/>
        </w:rPr>
        <w:t>Non-GAAP Measures</w:t>
      </w:r>
    </w:p>
    <w:p>
      <w:pPr>
        <w:spacing w:after="0" w:line="224" w:lineRule="exact"/>
        <w:rPr>
          <w:sz w:val="20"/>
          <w:szCs w:val="20"/>
          <w:color w:val="auto"/>
        </w:rPr>
      </w:pPr>
    </w:p>
    <w:p>
      <w:pPr>
        <w:spacing w:after="0" w:line="285" w:lineRule="auto"/>
        <w:rPr>
          <w:sz w:val="20"/>
          <w:szCs w:val="20"/>
          <w:color w:val="auto"/>
        </w:rPr>
      </w:pPr>
      <w:r>
        <w:rPr>
          <w:rFonts w:ascii="Arial" w:cs="Arial" w:eastAsia="Arial" w:hAnsi="Arial"/>
          <w:sz w:val="16"/>
          <w:szCs w:val="16"/>
          <w:color w:val="auto"/>
        </w:rPr>
        <w:t>We supplement our financial information prepared in accordance with U.S. GAAP with certain non-GAAP measures including Adjusted EBITDA (earnings before interest, income taxes, depreciation and amortization, restructuring charges, net, integration and acquisition expenses and other similar charges including any severance costs, costs associated with warehouse and office openings or closings, consolidation, and relocation and other business optimization expenses, stock-based compensation expense, changes in the LIFO reserve, non-restructuring asset impairment charges, non-restructuring severance charges, non-restructuring pension charges, net, fair value adjustments related to contingent liabilities assumed in mergers and acquisitions and certain other adjustments) because we believe investors commonly use Adjusted EBITDA and these other non-GAAP measures as key financial metrics for valuing companies. In addition, the credit agreement governing our Asset-Based Lending Facility (the "ABL Facility") permits us to exclude the foregoing and other charges in calculating "Consolidated EBITDA", as defined in the ABL Facility. We approximate foreign currency effects by applying the foreign currency exchange rate for the prior period to the local currency results for the current period.</w:t>
      </w:r>
    </w:p>
    <w:p>
      <w:pPr>
        <w:spacing w:after="0" w:line="168" w:lineRule="exact"/>
        <w:rPr>
          <w:sz w:val="20"/>
          <w:szCs w:val="20"/>
          <w:color w:val="auto"/>
        </w:rPr>
      </w:pPr>
    </w:p>
    <w:p>
      <w:pPr>
        <w:ind w:right="60"/>
        <w:spacing w:after="0" w:line="268" w:lineRule="auto"/>
        <w:rPr>
          <w:sz w:val="20"/>
          <w:szCs w:val="20"/>
          <w:color w:val="auto"/>
        </w:rPr>
      </w:pPr>
      <w:r>
        <w:rPr>
          <w:rFonts w:ascii="Arial" w:cs="Arial" w:eastAsia="Arial" w:hAnsi="Arial"/>
          <w:sz w:val="17"/>
          <w:szCs w:val="17"/>
          <w:color w:val="auto"/>
        </w:rPr>
        <w:t>Adjusted EBITDA and these other non-GAAP measures are not alternative measures of financial performance under U.S. GAAP. Non-GAAP measures do not have definitions under U.S. GAAP and may be defined differently by, and not be comparable to, similarly titled measures used by other companies. As a result, we consider and evaluate non-GAAP measures in connection with a review of the most directly comparable measure calculated in accordance with U.S. GAAP. We caution investors not to place undue reliance on such non-GAAP measures and to consider them with the most directly comparable U.S. GAAP measures. Adjusted EBITDA and these other non-GAAP measures have limitations as analytical tools and should not be considered in isolation or as a substitute for analyzing our results as reported under U.S. GAAP. Please see the following tables for reconciliations of non-GAAP measures to the most comparable U.S. GAAP measures.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259080</wp:posOffset>
            </wp:positionV>
            <wp:extent cx="7134225" cy="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134225" cy="8255"/>
                    </a:xfrm>
                    <a:prstGeom prst="rect">
                      <a:avLst/>
                    </a:prstGeom>
                    <a:noFill/>
                  </pic:spPr>
                </pic:pic>
              </a:graphicData>
            </a:graphic>
          </wp:anchor>
        </w:drawing>
      </w:r>
    </w:p>
    <w:p>
      <w:pPr>
        <w:sectPr>
          <w:pgSz w:w="11900" w:h="16838" w:orient="portrait"/>
          <w:cols w:equalWidth="0" w:num="1">
            <w:col w:w="11220"/>
          </w:cols>
          <w:pgMar w:left="320" w:top="895" w:right="359" w:bottom="1440" w:gutter="0" w:footer="0" w:header="0"/>
        </w:sectPr>
      </w:pPr>
    </w:p>
    <w:bookmarkStart w:id="10" w:name="page11"/>
    <w:bookmarkEnd w:id="10"/>
    <w:p>
      <w:pPr>
        <w:jc w:val="center"/>
        <w:spacing w:after="0"/>
        <w:rPr>
          <w:sz w:val="20"/>
          <w:szCs w:val="20"/>
          <w:color w:val="auto"/>
        </w:rPr>
      </w:pPr>
      <w:r>
        <w:rPr>
          <w:rFonts w:ascii="Arial" w:cs="Arial" w:eastAsia="Arial" w:hAnsi="Arial"/>
          <w:sz w:val="18"/>
          <w:szCs w:val="18"/>
          <w:b w:val="1"/>
          <w:bCs w:val="1"/>
          <w:color w:val="auto"/>
        </w:rPr>
        <w:t>Table I</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VERITIV CORPORATION</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RECONCILIATION OF NON-GAAP MEASURES</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NET INCOME (LOSS) TO ADJUSTED EBITDA; ADJUSTED EBITDA MARGIN</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(in millions, unaudited)</w:t>
      </w:r>
    </w:p>
    <w:p>
      <w:pPr>
        <w:spacing w:after="0" w:line="230" w:lineRule="exact"/>
        <w:rPr>
          <w:sz w:val="20"/>
          <w:szCs w:val="20"/>
          <w:color w:val="auto"/>
        </w:rPr>
      </w:pPr>
    </w:p>
    <w:tbl>
      <w:tblPr>
        <w:tblLayout w:type="fixed"/>
        <w:tblInd w:w="0" w:type="dxa"/>
        <w:tblCellMar>
          <w:top w:w="0" w:type="dxa"/>
          <w:left w:w="0" w:type="dxa"/>
          <w:bottom w:w="0" w:type="dxa"/>
          <w:right w:w="0" w:type="dxa"/>
        </w:tblCellMar>
      </w:tblPr>
      <w:tr>
        <w:trPr>
          <w:trHeight w:val="213"/>
        </w:trPr>
        <w:tc>
          <w:tcPr>
            <w:tcW w:w="52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2660" w:type="dxa"/>
            <w:vAlign w:val="bottom"/>
            <w:gridSpan w:val="6"/>
          </w:tcPr>
          <w:p>
            <w:pPr>
              <w:jc w:val="right"/>
              <w:ind w:right="760"/>
              <w:spacing w:after="0"/>
              <w:rPr>
                <w:sz w:val="20"/>
                <w:szCs w:val="20"/>
                <w:color w:val="auto"/>
              </w:rPr>
            </w:pPr>
            <w:r>
              <w:rPr>
                <w:rFonts w:ascii="Arial" w:cs="Arial" w:eastAsia="Arial" w:hAnsi="Arial"/>
                <w:sz w:val="18"/>
                <w:szCs w:val="18"/>
                <w:b w:val="1"/>
                <w:bCs w:val="1"/>
                <w:color w:val="auto"/>
              </w:rPr>
              <w:t>Three Months Ended</w:t>
            </w:r>
          </w:p>
        </w:tc>
        <w:tc>
          <w:tcPr>
            <w:tcW w:w="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2620" w:type="dxa"/>
            <w:vAlign w:val="bottom"/>
            <w:gridSpan w:val="6"/>
          </w:tcPr>
          <w:p>
            <w:pPr>
              <w:jc w:val="right"/>
              <w:ind w:right="760"/>
              <w:spacing w:after="0"/>
              <w:rPr>
                <w:sz w:val="20"/>
                <w:szCs w:val="20"/>
                <w:color w:val="auto"/>
              </w:rPr>
            </w:pPr>
            <w:r>
              <w:rPr>
                <w:rFonts w:ascii="Arial" w:cs="Arial" w:eastAsia="Arial" w:hAnsi="Arial"/>
                <w:sz w:val="18"/>
                <w:szCs w:val="18"/>
                <w:b w:val="1"/>
                <w:bCs w:val="1"/>
                <w:color w:val="auto"/>
              </w:rPr>
              <w:t>Nine Months Ended</w:t>
            </w:r>
          </w:p>
        </w:tc>
      </w:tr>
      <w:tr>
        <w:trPr>
          <w:trHeight w:val="231"/>
        </w:trPr>
        <w:tc>
          <w:tcPr>
            <w:tcW w:w="52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260" w:type="dxa"/>
            <w:vAlign w:val="bottom"/>
            <w:tcBorders>
              <w:bottom w:val="single" w:sz="8" w:color="auto"/>
            </w:tcBorders>
          </w:tcPr>
          <w:p>
            <w:pPr>
              <w:spacing w:after="0"/>
              <w:rPr>
                <w:sz w:val="20"/>
                <w:szCs w:val="20"/>
                <w:color w:val="auto"/>
              </w:rPr>
            </w:pPr>
          </w:p>
        </w:tc>
        <w:tc>
          <w:tcPr>
            <w:tcW w:w="1640" w:type="dxa"/>
            <w:vAlign w:val="bottom"/>
            <w:tcBorders>
              <w:bottom w:val="single" w:sz="8" w:color="auto"/>
            </w:tcBorders>
            <w:gridSpan w:val="4"/>
          </w:tcPr>
          <w:p>
            <w:pPr>
              <w:jc w:val="right"/>
              <w:spacing w:after="0"/>
              <w:rPr>
                <w:sz w:val="20"/>
                <w:szCs w:val="20"/>
                <w:color w:val="auto"/>
              </w:rPr>
            </w:pPr>
            <w:r>
              <w:rPr>
                <w:rFonts w:ascii="Arial" w:cs="Arial" w:eastAsia="Arial" w:hAnsi="Arial"/>
                <w:sz w:val="18"/>
                <w:szCs w:val="18"/>
                <w:b w:val="1"/>
                <w:bCs w:val="1"/>
                <w:color w:val="auto"/>
              </w:rPr>
              <w:t>September 30,</w:t>
            </w:r>
          </w:p>
        </w:tc>
        <w:tc>
          <w:tcPr>
            <w:tcW w:w="820" w:type="dxa"/>
            <w:vAlign w:val="bottom"/>
            <w:tcBorders>
              <w:bottom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260" w:type="dxa"/>
            <w:vAlign w:val="bottom"/>
            <w:tcBorders>
              <w:bottom w:val="single" w:sz="8" w:color="auto"/>
            </w:tcBorders>
          </w:tcPr>
          <w:p>
            <w:pPr>
              <w:spacing w:after="0"/>
              <w:rPr>
                <w:sz w:val="20"/>
                <w:szCs w:val="20"/>
                <w:color w:val="auto"/>
              </w:rPr>
            </w:pPr>
          </w:p>
        </w:tc>
        <w:tc>
          <w:tcPr>
            <w:tcW w:w="1660" w:type="dxa"/>
            <w:vAlign w:val="bottom"/>
            <w:tcBorders>
              <w:bottom w:val="single" w:sz="8" w:color="auto"/>
            </w:tcBorders>
            <w:gridSpan w:val="4"/>
          </w:tcPr>
          <w:p>
            <w:pPr>
              <w:jc w:val="right"/>
              <w:spacing w:after="0"/>
              <w:rPr>
                <w:sz w:val="20"/>
                <w:szCs w:val="20"/>
                <w:color w:val="auto"/>
              </w:rPr>
            </w:pPr>
            <w:r>
              <w:rPr>
                <w:rFonts w:ascii="Arial" w:cs="Arial" w:eastAsia="Arial" w:hAnsi="Arial"/>
                <w:sz w:val="18"/>
                <w:szCs w:val="18"/>
                <w:b w:val="1"/>
                <w:bCs w:val="1"/>
                <w:color w:val="auto"/>
              </w:rPr>
              <w:t>September 30,</w:t>
            </w:r>
          </w:p>
        </w:tc>
        <w:tc>
          <w:tcPr>
            <w:tcW w:w="800" w:type="dxa"/>
            <w:vAlign w:val="bottom"/>
            <w:tcBorders>
              <w:bottom w:val="single" w:sz="8" w:color="auto"/>
            </w:tcBorders>
          </w:tcPr>
          <w:p>
            <w:pPr>
              <w:spacing w:after="0"/>
              <w:rPr>
                <w:sz w:val="20"/>
                <w:szCs w:val="20"/>
                <w:color w:val="auto"/>
              </w:rPr>
            </w:pPr>
          </w:p>
        </w:tc>
        <w:tc>
          <w:tcPr>
            <w:tcW w:w="160" w:type="dxa"/>
            <w:vAlign w:val="bottom"/>
          </w:tcPr>
          <w:p>
            <w:pPr>
              <w:spacing w:after="0"/>
              <w:rPr>
                <w:sz w:val="20"/>
                <w:szCs w:val="20"/>
                <w:color w:val="auto"/>
              </w:rPr>
            </w:pPr>
          </w:p>
        </w:tc>
      </w:tr>
      <w:tr>
        <w:trPr>
          <w:trHeight w:val="221"/>
        </w:trPr>
        <w:tc>
          <w:tcPr>
            <w:tcW w:w="5260" w:type="dxa"/>
            <w:vAlign w:val="bottom"/>
            <w:tcBorders>
              <w:bottom w:val="single" w:sz="8" w:color="CCEEFF"/>
            </w:tcBorders>
          </w:tcPr>
          <w:p>
            <w:pPr>
              <w:spacing w:after="0"/>
              <w:rPr>
                <w:sz w:val="19"/>
                <w:szCs w:val="19"/>
                <w:color w:val="auto"/>
              </w:rPr>
            </w:pPr>
          </w:p>
        </w:tc>
        <w:tc>
          <w:tcPr>
            <w:tcW w:w="120" w:type="dxa"/>
            <w:vAlign w:val="bottom"/>
            <w:tcBorders>
              <w:bottom w:val="single" w:sz="8" w:color="CCEEFF"/>
            </w:tcBorders>
          </w:tcPr>
          <w:p>
            <w:pPr>
              <w:spacing w:after="0"/>
              <w:rPr>
                <w:sz w:val="19"/>
                <w:szCs w:val="19"/>
                <w:color w:val="auto"/>
              </w:rPr>
            </w:pPr>
          </w:p>
        </w:tc>
        <w:tc>
          <w:tcPr>
            <w:tcW w:w="260" w:type="dxa"/>
            <w:vAlign w:val="bottom"/>
            <w:tcBorders>
              <w:bottom w:val="single" w:sz="8" w:color="auto"/>
            </w:tcBorders>
          </w:tcPr>
          <w:p>
            <w:pPr>
              <w:spacing w:after="0"/>
              <w:rPr>
                <w:sz w:val="19"/>
                <w:szCs w:val="19"/>
                <w:color w:val="auto"/>
              </w:rPr>
            </w:pPr>
          </w:p>
        </w:tc>
        <w:tc>
          <w:tcPr>
            <w:tcW w:w="960" w:type="dxa"/>
            <w:vAlign w:val="bottom"/>
            <w:tcBorders>
              <w:bottom w:val="single" w:sz="8" w:color="auto"/>
            </w:tcBorders>
          </w:tcPr>
          <w:p>
            <w:pPr>
              <w:jc w:val="right"/>
              <w:ind w:right="351"/>
              <w:spacing w:after="0"/>
              <w:rPr>
                <w:sz w:val="20"/>
                <w:szCs w:val="20"/>
                <w:color w:val="auto"/>
              </w:rPr>
            </w:pPr>
            <w:r>
              <w:rPr>
                <w:rFonts w:ascii="Arial" w:cs="Arial" w:eastAsia="Arial" w:hAnsi="Arial"/>
                <w:sz w:val="18"/>
                <w:szCs w:val="18"/>
                <w:b w:val="1"/>
                <w:bCs w:val="1"/>
                <w:color w:val="auto"/>
              </w:rPr>
              <w:t>2020</w:t>
            </w:r>
          </w:p>
        </w:tc>
        <w:tc>
          <w:tcPr>
            <w:tcW w:w="200" w:type="dxa"/>
            <w:vAlign w:val="bottom"/>
            <w:tcBorders>
              <w:bottom w:val="single" w:sz="8" w:color="CCEEFF"/>
            </w:tcBorders>
          </w:tcPr>
          <w:p>
            <w:pPr>
              <w:spacing w:after="0"/>
              <w:rPr>
                <w:sz w:val="19"/>
                <w:szCs w:val="19"/>
                <w:color w:val="auto"/>
              </w:rPr>
            </w:pPr>
          </w:p>
        </w:tc>
        <w:tc>
          <w:tcPr>
            <w:tcW w:w="60" w:type="dxa"/>
            <w:vAlign w:val="bottom"/>
            <w:tcBorders>
              <w:bottom w:val="single" w:sz="8" w:color="CCEEFF"/>
            </w:tcBorders>
          </w:tcPr>
          <w:p>
            <w:pPr>
              <w:spacing w:after="0"/>
              <w:rPr>
                <w:sz w:val="19"/>
                <w:szCs w:val="19"/>
                <w:color w:val="auto"/>
              </w:rPr>
            </w:pPr>
          </w:p>
        </w:tc>
        <w:tc>
          <w:tcPr>
            <w:tcW w:w="420" w:type="dxa"/>
            <w:vAlign w:val="bottom"/>
            <w:tcBorders>
              <w:bottom w:val="single" w:sz="8" w:color="auto"/>
            </w:tcBorders>
          </w:tcPr>
          <w:p>
            <w:pPr>
              <w:spacing w:after="0"/>
              <w:rPr>
                <w:sz w:val="19"/>
                <w:szCs w:val="19"/>
                <w:color w:val="auto"/>
              </w:rPr>
            </w:pPr>
          </w:p>
        </w:tc>
        <w:tc>
          <w:tcPr>
            <w:tcW w:w="820" w:type="dxa"/>
            <w:vAlign w:val="bottom"/>
            <w:tcBorders>
              <w:bottom w:val="single" w:sz="8" w:color="auto"/>
            </w:tcBorders>
          </w:tcPr>
          <w:p>
            <w:pPr>
              <w:jc w:val="right"/>
              <w:ind w:right="351"/>
              <w:spacing w:after="0"/>
              <w:rPr>
                <w:sz w:val="20"/>
                <w:szCs w:val="20"/>
                <w:color w:val="auto"/>
              </w:rPr>
            </w:pPr>
            <w:r>
              <w:rPr>
                <w:rFonts w:ascii="Arial" w:cs="Arial" w:eastAsia="Arial" w:hAnsi="Arial"/>
                <w:sz w:val="18"/>
                <w:szCs w:val="18"/>
                <w:b w:val="1"/>
                <w:bCs w:val="1"/>
                <w:color w:val="auto"/>
                <w:w w:val="89"/>
              </w:rPr>
              <w:t>2019</w:t>
            </w:r>
          </w:p>
        </w:tc>
        <w:tc>
          <w:tcPr>
            <w:tcW w:w="200" w:type="dxa"/>
            <w:vAlign w:val="bottom"/>
            <w:tcBorders>
              <w:bottom w:val="single" w:sz="8" w:color="CCEEFF"/>
            </w:tcBorders>
          </w:tcPr>
          <w:p>
            <w:pPr>
              <w:spacing w:after="0"/>
              <w:rPr>
                <w:sz w:val="19"/>
                <w:szCs w:val="19"/>
                <w:color w:val="auto"/>
              </w:rPr>
            </w:pPr>
          </w:p>
        </w:tc>
        <w:tc>
          <w:tcPr>
            <w:tcW w:w="60" w:type="dxa"/>
            <w:vAlign w:val="bottom"/>
            <w:tcBorders>
              <w:bottom w:val="single" w:sz="8" w:color="CCEEFF"/>
            </w:tcBorders>
          </w:tcPr>
          <w:p>
            <w:pPr>
              <w:spacing w:after="0"/>
              <w:rPr>
                <w:sz w:val="19"/>
                <w:szCs w:val="19"/>
                <w:color w:val="auto"/>
              </w:rPr>
            </w:pPr>
          </w:p>
        </w:tc>
        <w:tc>
          <w:tcPr>
            <w:tcW w:w="260" w:type="dxa"/>
            <w:vAlign w:val="bottom"/>
            <w:tcBorders>
              <w:bottom w:val="single" w:sz="8" w:color="auto"/>
            </w:tcBorders>
          </w:tcPr>
          <w:p>
            <w:pPr>
              <w:spacing w:after="0"/>
              <w:rPr>
                <w:sz w:val="19"/>
                <w:szCs w:val="19"/>
                <w:color w:val="auto"/>
              </w:rPr>
            </w:pPr>
          </w:p>
        </w:tc>
        <w:tc>
          <w:tcPr>
            <w:tcW w:w="960" w:type="dxa"/>
            <w:vAlign w:val="bottom"/>
            <w:tcBorders>
              <w:bottom w:val="single" w:sz="8" w:color="auto"/>
            </w:tcBorders>
          </w:tcPr>
          <w:p>
            <w:pPr>
              <w:jc w:val="right"/>
              <w:ind w:right="331"/>
              <w:spacing w:after="0"/>
              <w:rPr>
                <w:sz w:val="20"/>
                <w:szCs w:val="20"/>
                <w:color w:val="auto"/>
              </w:rPr>
            </w:pPr>
            <w:r>
              <w:rPr>
                <w:rFonts w:ascii="Arial" w:cs="Arial" w:eastAsia="Arial" w:hAnsi="Arial"/>
                <w:sz w:val="18"/>
                <w:szCs w:val="18"/>
                <w:b w:val="1"/>
                <w:bCs w:val="1"/>
                <w:color w:val="auto"/>
              </w:rPr>
              <w:t>2020</w:t>
            </w:r>
          </w:p>
        </w:tc>
        <w:tc>
          <w:tcPr>
            <w:tcW w:w="220" w:type="dxa"/>
            <w:vAlign w:val="bottom"/>
            <w:tcBorders>
              <w:bottom w:val="single" w:sz="8" w:color="CCEEFF"/>
            </w:tcBorders>
          </w:tcPr>
          <w:p>
            <w:pPr>
              <w:spacing w:after="0"/>
              <w:rPr>
                <w:sz w:val="19"/>
                <w:szCs w:val="19"/>
                <w:color w:val="auto"/>
              </w:rPr>
            </w:pPr>
          </w:p>
        </w:tc>
        <w:tc>
          <w:tcPr>
            <w:tcW w:w="60" w:type="dxa"/>
            <w:vAlign w:val="bottom"/>
            <w:tcBorders>
              <w:bottom w:val="single" w:sz="8" w:color="CCEEFF"/>
            </w:tcBorders>
          </w:tcPr>
          <w:p>
            <w:pPr>
              <w:spacing w:after="0"/>
              <w:rPr>
                <w:sz w:val="19"/>
                <w:szCs w:val="19"/>
                <w:color w:val="auto"/>
              </w:rPr>
            </w:pPr>
          </w:p>
        </w:tc>
        <w:tc>
          <w:tcPr>
            <w:tcW w:w="420" w:type="dxa"/>
            <w:vAlign w:val="bottom"/>
            <w:tcBorders>
              <w:bottom w:val="single" w:sz="8" w:color="auto"/>
            </w:tcBorders>
          </w:tcPr>
          <w:p>
            <w:pPr>
              <w:spacing w:after="0"/>
              <w:rPr>
                <w:sz w:val="19"/>
                <w:szCs w:val="19"/>
                <w:color w:val="auto"/>
              </w:rPr>
            </w:pPr>
          </w:p>
        </w:tc>
        <w:tc>
          <w:tcPr>
            <w:tcW w:w="800" w:type="dxa"/>
            <w:vAlign w:val="bottom"/>
            <w:tcBorders>
              <w:bottom w:val="single" w:sz="8" w:color="auto"/>
            </w:tcBorders>
          </w:tcPr>
          <w:p>
            <w:pPr>
              <w:jc w:val="right"/>
              <w:ind w:right="351"/>
              <w:spacing w:after="0"/>
              <w:rPr>
                <w:sz w:val="20"/>
                <w:szCs w:val="20"/>
                <w:color w:val="auto"/>
              </w:rPr>
            </w:pPr>
            <w:r>
              <w:rPr>
                <w:rFonts w:ascii="Arial" w:cs="Arial" w:eastAsia="Arial" w:hAnsi="Arial"/>
                <w:sz w:val="18"/>
                <w:szCs w:val="18"/>
                <w:b w:val="1"/>
                <w:bCs w:val="1"/>
                <w:color w:val="auto"/>
                <w:w w:val="84"/>
              </w:rPr>
              <w:t>2019</w:t>
            </w:r>
          </w:p>
        </w:tc>
        <w:tc>
          <w:tcPr>
            <w:tcW w:w="160" w:type="dxa"/>
            <w:vAlign w:val="bottom"/>
            <w:tcBorders>
              <w:bottom w:val="single" w:sz="8" w:color="CCEEFF"/>
            </w:tcBorders>
          </w:tcPr>
          <w:p>
            <w:pPr>
              <w:spacing w:after="0"/>
              <w:rPr>
                <w:sz w:val="19"/>
                <w:szCs w:val="19"/>
                <w:color w:val="auto"/>
              </w:rPr>
            </w:pPr>
          </w:p>
        </w:tc>
      </w:tr>
      <w:tr>
        <w:trPr>
          <w:trHeight w:val="207"/>
        </w:trPr>
        <w:tc>
          <w:tcPr>
            <w:tcW w:w="5260" w:type="dxa"/>
            <w:vAlign w:val="bottom"/>
            <w:shd w:val="clear" w:color="auto" w:fill="CCEEFF"/>
          </w:tcPr>
          <w:p>
            <w:pPr>
              <w:spacing w:after="0"/>
              <w:rPr>
                <w:sz w:val="20"/>
                <w:szCs w:val="20"/>
                <w:color w:val="auto"/>
              </w:rPr>
            </w:pPr>
            <w:r>
              <w:rPr>
                <w:rFonts w:ascii="Arial" w:cs="Arial" w:eastAsia="Arial" w:hAnsi="Arial"/>
                <w:sz w:val="18"/>
                <w:szCs w:val="18"/>
                <w:color w:val="auto"/>
              </w:rPr>
              <w:t>Net income (loss)</w:t>
            </w:r>
          </w:p>
        </w:tc>
        <w:tc>
          <w:tcPr>
            <w:tcW w:w="120" w:type="dxa"/>
            <w:vAlign w:val="bottom"/>
            <w:shd w:val="clear" w:color="auto" w:fill="CCEEFF"/>
          </w:tcPr>
          <w:p>
            <w:pPr>
              <w:spacing w:after="0"/>
              <w:rPr>
                <w:sz w:val="17"/>
                <w:szCs w:val="17"/>
                <w:color w:val="auto"/>
              </w:rPr>
            </w:pPr>
          </w:p>
        </w:tc>
        <w:tc>
          <w:tcPr>
            <w:tcW w:w="260" w:type="dxa"/>
            <w:vAlign w:val="bottom"/>
            <w:shd w:val="clear" w:color="auto" w:fill="CCEEFF"/>
          </w:tcPr>
          <w:p>
            <w:pPr>
              <w:jc w:val="right"/>
              <w:ind w:right="108"/>
              <w:spacing w:after="0"/>
              <w:rPr>
                <w:sz w:val="20"/>
                <w:szCs w:val="20"/>
                <w:color w:val="auto"/>
              </w:rPr>
            </w:pPr>
            <w:r>
              <w:rPr>
                <w:rFonts w:ascii="Arial" w:cs="Arial" w:eastAsia="Arial" w:hAnsi="Arial"/>
                <w:sz w:val="14"/>
                <w:szCs w:val="14"/>
                <w:color w:val="auto"/>
                <w:w w:val="76"/>
              </w:rPr>
              <w:t>$</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21.1</w:t>
            </w:r>
          </w:p>
        </w:tc>
        <w:tc>
          <w:tcPr>
            <w:tcW w:w="2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420" w:type="dxa"/>
            <w:vAlign w:val="bottom"/>
            <w:shd w:val="clear" w:color="auto" w:fill="CCEEFF"/>
          </w:tcPr>
          <w:p>
            <w:pPr>
              <w:jc w:val="right"/>
              <w:ind w:right="231"/>
              <w:spacing w:after="0"/>
              <w:rPr>
                <w:sz w:val="20"/>
                <w:szCs w:val="20"/>
                <w:color w:val="auto"/>
              </w:rPr>
            </w:pPr>
            <w:r>
              <w:rPr>
                <w:rFonts w:ascii="Arial" w:cs="Arial" w:eastAsia="Arial" w:hAnsi="Arial"/>
                <w:sz w:val="18"/>
                <w:szCs w:val="18"/>
                <w:color w:val="auto"/>
                <w:w w:val="79"/>
              </w:rPr>
              <w:t>$</w:t>
            </w: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5.1</w:t>
            </w:r>
          </w:p>
        </w:tc>
        <w:tc>
          <w:tcPr>
            <w:tcW w:w="2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260" w:type="dxa"/>
            <w:vAlign w:val="bottom"/>
            <w:shd w:val="clear" w:color="auto" w:fill="CCEEFF"/>
          </w:tcPr>
          <w:p>
            <w:pPr>
              <w:jc w:val="right"/>
              <w:ind w:right="108"/>
              <w:spacing w:after="0"/>
              <w:rPr>
                <w:sz w:val="20"/>
                <w:szCs w:val="20"/>
                <w:color w:val="auto"/>
              </w:rPr>
            </w:pPr>
            <w:r>
              <w:rPr>
                <w:rFonts w:ascii="Arial" w:cs="Arial" w:eastAsia="Arial" w:hAnsi="Arial"/>
                <w:sz w:val="14"/>
                <w:szCs w:val="14"/>
                <w:color w:val="auto"/>
                <w:w w:val="76"/>
              </w:rPr>
              <w:t>$</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w:t>
            </w:r>
          </w:p>
        </w:tc>
        <w:tc>
          <w:tcPr>
            <w:tcW w:w="2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420" w:type="dxa"/>
            <w:vAlign w:val="bottom"/>
            <w:shd w:val="clear" w:color="auto" w:fill="CCEEFF"/>
          </w:tcPr>
          <w:p>
            <w:pPr>
              <w:jc w:val="right"/>
              <w:ind w:right="268"/>
              <w:spacing w:after="0"/>
              <w:rPr>
                <w:sz w:val="20"/>
                <w:szCs w:val="20"/>
                <w:color w:val="auto"/>
              </w:rPr>
            </w:pPr>
            <w:r>
              <w:rPr>
                <w:rFonts w:ascii="Arial" w:cs="Arial" w:eastAsia="Arial" w:hAnsi="Arial"/>
                <w:sz w:val="14"/>
                <w:szCs w:val="14"/>
                <w:color w:val="auto"/>
                <w:w w:val="76"/>
              </w:rPr>
              <w:t>$</w:t>
            </w:r>
          </w:p>
        </w:tc>
        <w:tc>
          <w:tcPr>
            <w:tcW w:w="9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(32.9)</w:t>
            </w:r>
          </w:p>
        </w:tc>
      </w:tr>
      <w:tr>
        <w:trPr>
          <w:trHeight w:val="213"/>
        </w:trPr>
        <w:tc>
          <w:tcPr>
            <w:tcW w:w="5260" w:type="dxa"/>
            <w:vAlign w:val="bottom"/>
          </w:tcPr>
          <w:p>
            <w:pPr>
              <w:spacing w:after="0"/>
              <w:rPr>
                <w:sz w:val="20"/>
                <w:szCs w:val="20"/>
                <w:color w:val="auto"/>
              </w:rPr>
            </w:pPr>
            <w:r>
              <w:rPr>
                <w:rFonts w:ascii="Arial" w:cs="Arial" w:eastAsia="Arial" w:hAnsi="Arial"/>
                <w:sz w:val="18"/>
                <w:szCs w:val="18"/>
                <w:color w:val="auto"/>
              </w:rPr>
              <w:t>Interest expense, net</w:t>
            </w:r>
          </w:p>
        </w:tc>
        <w:tc>
          <w:tcPr>
            <w:tcW w:w="1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60" w:type="dxa"/>
            <w:vAlign w:val="bottom"/>
          </w:tcPr>
          <w:p>
            <w:pPr>
              <w:jc w:val="right"/>
              <w:spacing w:after="0"/>
              <w:rPr>
                <w:sz w:val="20"/>
                <w:szCs w:val="20"/>
                <w:color w:val="auto"/>
              </w:rPr>
            </w:pPr>
            <w:r>
              <w:rPr>
                <w:rFonts w:ascii="Arial" w:cs="Arial" w:eastAsia="Arial" w:hAnsi="Arial"/>
                <w:sz w:val="18"/>
                <w:szCs w:val="18"/>
                <w:color w:val="auto"/>
              </w:rPr>
              <w:t>5.5</w:t>
            </w:r>
          </w:p>
        </w:tc>
        <w:tc>
          <w:tcPr>
            <w:tcW w:w="2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1020" w:type="dxa"/>
            <w:vAlign w:val="bottom"/>
            <w:gridSpan w:val="2"/>
          </w:tcPr>
          <w:p>
            <w:pPr>
              <w:jc w:val="right"/>
              <w:ind w:right="200"/>
              <w:spacing w:after="0"/>
              <w:rPr>
                <w:sz w:val="20"/>
                <w:szCs w:val="20"/>
                <w:color w:val="auto"/>
              </w:rPr>
            </w:pPr>
            <w:r>
              <w:rPr>
                <w:rFonts w:ascii="Arial" w:cs="Arial" w:eastAsia="Arial" w:hAnsi="Arial"/>
                <w:sz w:val="18"/>
                <w:szCs w:val="18"/>
                <w:color w:val="auto"/>
              </w:rPr>
              <w:t>8.9</w:t>
            </w:r>
          </w:p>
        </w:tc>
        <w:tc>
          <w:tcPr>
            <w:tcW w:w="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180" w:type="dxa"/>
            <w:vAlign w:val="bottom"/>
            <w:gridSpan w:val="2"/>
          </w:tcPr>
          <w:p>
            <w:pPr>
              <w:jc w:val="right"/>
              <w:ind w:right="220"/>
              <w:spacing w:after="0"/>
              <w:rPr>
                <w:sz w:val="20"/>
                <w:szCs w:val="20"/>
                <w:color w:val="auto"/>
              </w:rPr>
            </w:pPr>
            <w:r>
              <w:rPr>
                <w:rFonts w:ascii="Arial" w:cs="Arial" w:eastAsia="Arial" w:hAnsi="Arial"/>
                <w:sz w:val="18"/>
                <w:szCs w:val="18"/>
                <w:color w:val="auto"/>
              </w:rPr>
              <w:t>19.7</w:t>
            </w:r>
          </w:p>
        </w:tc>
        <w:tc>
          <w:tcPr>
            <w:tcW w:w="6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960" w:type="dxa"/>
            <w:vAlign w:val="bottom"/>
            <w:gridSpan w:val="2"/>
          </w:tcPr>
          <w:p>
            <w:pPr>
              <w:jc w:val="right"/>
              <w:ind w:right="160"/>
              <w:spacing w:after="0"/>
              <w:rPr>
                <w:sz w:val="20"/>
                <w:szCs w:val="20"/>
                <w:color w:val="auto"/>
              </w:rPr>
            </w:pPr>
            <w:r>
              <w:rPr>
                <w:rFonts w:ascii="Arial" w:cs="Arial" w:eastAsia="Arial" w:hAnsi="Arial"/>
                <w:sz w:val="18"/>
                <w:szCs w:val="18"/>
                <w:color w:val="auto"/>
              </w:rPr>
              <w:t>30.5</w:t>
            </w:r>
          </w:p>
        </w:tc>
      </w:tr>
      <w:tr>
        <w:trPr>
          <w:trHeight w:val="213"/>
        </w:trPr>
        <w:tc>
          <w:tcPr>
            <w:tcW w:w="5260" w:type="dxa"/>
            <w:vAlign w:val="bottom"/>
            <w:shd w:val="clear" w:color="auto" w:fill="CCEEFF"/>
          </w:tcPr>
          <w:p>
            <w:pPr>
              <w:spacing w:after="0"/>
              <w:rPr>
                <w:sz w:val="20"/>
                <w:szCs w:val="20"/>
                <w:color w:val="auto"/>
              </w:rPr>
            </w:pPr>
            <w:r>
              <w:rPr>
                <w:rFonts w:ascii="Arial" w:cs="Arial" w:eastAsia="Arial" w:hAnsi="Arial"/>
                <w:sz w:val="18"/>
                <w:szCs w:val="18"/>
                <w:color w:val="auto"/>
              </w:rPr>
              <w:t>Income tax expense (benefit)</w:t>
            </w:r>
          </w:p>
        </w:tc>
        <w:tc>
          <w:tcPr>
            <w:tcW w:w="1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(0.1)</w:t>
            </w:r>
          </w:p>
        </w:tc>
        <w:tc>
          <w:tcPr>
            <w:tcW w:w="6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7.6</w:t>
            </w:r>
          </w:p>
        </w:tc>
        <w:tc>
          <w:tcPr>
            <w:tcW w:w="6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(0.2)</w:t>
            </w:r>
          </w:p>
        </w:tc>
        <w:tc>
          <w:tcPr>
            <w:tcW w:w="6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0.2</w:t>
            </w:r>
          </w:p>
        </w:tc>
      </w:tr>
      <w:tr>
        <w:trPr>
          <w:trHeight w:val="227"/>
        </w:trPr>
        <w:tc>
          <w:tcPr>
            <w:tcW w:w="5260" w:type="dxa"/>
            <w:vAlign w:val="bottom"/>
          </w:tcPr>
          <w:p>
            <w:pPr>
              <w:spacing w:after="0"/>
              <w:rPr>
                <w:sz w:val="20"/>
                <w:szCs w:val="20"/>
                <w:color w:val="auto"/>
              </w:rPr>
            </w:pPr>
            <w:r>
              <w:rPr>
                <w:rFonts w:ascii="Arial" w:cs="Arial" w:eastAsia="Arial" w:hAnsi="Arial"/>
                <w:sz w:val="18"/>
                <w:szCs w:val="18"/>
                <w:color w:val="auto"/>
              </w:rPr>
              <w:t>Depreciation and amortization</w:t>
            </w:r>
          </w:p>
        </w:tc>
        <w:tc>
          <w:tcPr>
            <w:tcW w:w="12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160" w:type="dxa"/>
            <w:vAlign w:val="bottom"/>
            <w:gridSpan w:val="2"/>
          </w:tcPr>
          <w:p>
            <w:pPr>
              <w:jc w:val="right"/>
              <w:ind w:right="200"/>
              <w:spacing w:after="0"/>
              <w:rPr>
                <w:sz w:val="20"/>
                <w:szCs w:val="20"/>
                <w:color w:val="auto"/>
              </w:rPr>
            </w:pPr>
            <w:r>
              <w:rPr>
                <w:rFonts w:ascii="Arial" w:cs="Arial" w:eastAsia="Arial" w:hAnsi="Arial"/>
                <w:sz w:val="18"/>
                <w:szCs w:val="18"/>
                <w:color w:val="auto"/>
              </w:rPr>
              <w:t>15.0</w:t>
            </w:r>
          </w:p>
        </w:tc>
        <w:tc>
          <w:tcPr>
            <w:tcW w:w="6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1020" w:type="dxa"/>
            <w:vAlign w:val="bottom"/>
            <w:gridSpan w:val="2"/>
          </w:tcPr>
          <w:p>
            <w:pPr>
              <w:jc w:val="right"/>
              <w:ind w:right="200"/>
              <w:spacing w:after="0"/>
              <w:rPr>
                <w:sz w:val="20"/>
                <w:szCs w:val="20"/>
                <w:color w:val="auto"/>
              </w:rPr>
            </w:pPr>
            <w:r>
              <w:rPr>
                <w:rFonts w:ascii="Arial" w:cs="Arial" w:eastAsia="Arial" w:hAnsi="Arial"/>
                <w:sz w:val="18"/>
                <w:szCs w:val="18"/>
                <w:color w:val="auto"/>
              </w:rPr>
              <w:t>13.3</w:t>
            </w:r>
          </w:p>
        </w:tc>
        <w:tc>
          <w:tcPr>
            <w:tcW w:w="6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180" w:type="dxa"/>
            <w:vAlign w:val="bottom"/>
            <w:gridSpan w:val="2"/>
          </w:tcPr>
          <w:p>
            <w:pPr>
              <w:jc w:val="right"/>
              <w:ind w:right="220"/>
              <w:spacing w:after="0"/>
              <w:rPr>
                <w:sz w:val="20"/>
                <w:szCs w:val="20"/>
                <w:color w:val="auto"/>
              </w:rPr>
            </w:pPr>
            <w:r>
              <w:rPr>
                <w:rFonts w:ascii="Arial" w:cs="Arial" w:eastAsia="Arial" w:hAnsi="Arial"/>
                <w:sz w:val="18"/>
                <w:szCs w:val="18"/>
                <w:color w:val="auto"/>
              </w:rPr>
              <w:t>43.1</w:t>
            </w:r>
          </w:p>
        </w:tc>
        <w:tc>
          <w:tcPr>
            <w:tcW w:w="6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960" w:type="dxa"/>
            <w:vAlign w:val="bottom"/>
            <w:gridSpan w:val="2"/>
          </w:tcPr>
          <w:p>
            <w:pPr>
              <w:jc w:val="right"/>
              <w:ind w:right="160"/>
              <w:spacing w:after="0"/>
              <w:rPr>
                <w:sz w:val="20"/>
                <w:szCs w:val="20"/>
                <w:color w:val="auto"/>
              </w:rPr>
            </w:pPr>
            <w:r>
              <w:rPr>
                <w:rFonts w:ascii="Arial" w:cs="Arial" w:eastAsia="Arial" w:hAnsi="Arial"/>
                <w:sz w:val="18"/>
                <w:szCs w:val="18"/>
                <w:color w:val="auto"/>
              </w:rPr>
              <w:t>39.5</w:t>
            </w:r>
          </w:p>
        </w:tc>
      </w:tr>
      <w:tr>
        <w:trPr>
          <w:trHeight w:val="207"/>
        </w:trPr>
        <w:tc>
          <w:tcPr>
            <w:tcW w:w="526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EBITDA</w:t>
            </w:r>
          </w:p>
        </w:tc>
        <w:tc>
          <w:tcPr>
            <w:tcW w:w="120" w:type="dxa"/>
            <w:vAlign w:val="bottom"/>
            <w:tcBorders>
              <w:top w:val="single" w:sz="8" w:color="CCEEFF"/>
            </w:tcBorders>
            <w:shd w:val="clear" w:color="auto" w:fill="CCEEFF"/>
          </w:tcPr>
          <w:p>
            <w:pPr>
              <w:spacing w:after="0"/>
              <w:rPr>
                <w:sz w:val="18"/>
                <w:szCs w:val="18"/>
                <w:color w:val="auto"/>
              </w:rPr>
            </w:pPr>
          </w:p>
        </w:tc>
        <w:tc>
          <w:tcPr>
            <w:tcW w:w="260" w:type="dxa"/>
            <w:vAlign w:val="bottom"/>
            <w:tcBorders>
              <w:top w:val="single" w:sz="8" w:color="auto"/>
            </w:tcBorders>
            <w:shd w:val="clear" w:color="auto" w:fill="CCEEFF"/>
          </w:tcPr>
          <w:p>
            <w:pPr>
              <w:spacing w:after="0"/>
              <w:rPr>
                <w:sz w:val="18"/>
                <w:szCs w:val="18"/>
                <w:color w:val="auto"/>
              </w:rPr>
            </w:pPr>
          </w:p>
        </w:tc>
        <w:tc>
          <w:tcPr>
            <w:tcW w:w="9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41.5</w:t>
            </w:r>
          </w:p>
        </w:tc>
        <w:tc>
          <w:tcPr>
            <w:tcW w:w="200" w:type="dxa"/>
            <w:vAlign w:val="bottom"/>
            <w:tcBorders>
              <w:top w:val="single" w:sz="8" w:color="CCEEFF"/>
            </w:tcBorders>
            <w:shd w:val="clear" w:color="auto" w:fill="CCEEFF"/>
          </w:tcPr>
          <w:p>
            <w:pPr>
              <w:spacing w:after="0"/>
              <w:rPr>
                <w:sz w:val="18"/>
                <w:szCs w:val="18"/>
                <w:color w:val="auto"/>
              </w:rPr>
            </w:pPr>
          </w:p>
        </w:tc>
        <w:tc>
          <w:tcPr>
            <w:tcW w:w="60" w:type="dxa"/>
            <w:vAlign w:val="bottom"/>
            <w:tcBorders>
              <w:top w:val="single" w:sz="8" w:color="CCEEFF"/>
            </w:tcBorders>
            <w:shd w:val="clear" w:color="auto" w:fill="CCEEFF"/>
          </w:tcPr>
          <w:p>
            <w:pPr>
              <w:spacing w:after="0"/>
              <w:rPr>
                <w:sz w:val="18"/>
                <w:szCs w:val="18"/>
                <w:color w:val="auto"/>
              </w:rPr>
            </w:pPr>
          </w:p>
        </w:tc>
        <w:tc>
          <w:tcPr>
            <w:tcW w:w="420" w:type="dxa"/>
            <w:vAlign w:val="bottom"/>
            <w:tcBorders>
              <w:top w:val="single" w:sz="8" w:color="auto"/>
            </w:tcBorders>
            <w:shd w:val="clear" w:color="auto" w:fill="CCEEFF"/>
          </w:tcPr>
          <w:p>
            <w:pPr>
              <w:spacing w:after="0"/>
              <w:rPr>
                <w:sz w:val="18"/>
                <w:szCs w:val="18"/>
                <w:color w:val="auto"/>
              </w:rPr>
            </w:pPr>
          </w:p>
        </w:tc>
        <w:tc>
          <w:tcPr>
            <w:tcW w:w="8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34.9</w:t>
            </w:r>
          </w:p>
        </w:tc>
        <w:tc>
          <w:tcPr>
            <w:tcW w:w="200" w:type="dxa"/>
            <w:vAlign w:val="bottom"/>
            <w:tcBorders>
              <w:top w:val="single" w:sz="8" w:color="CCEEFF"/>
            </w:tcBorders>
            <w:shd w:val="clear" w:color="auto" w:fill="CCEEFF"/>
          </w:tcPr>
          <w:p>
            <w:pPr>
              <w:spacing w:after="0"/>
              <w:rPr>
                <w:sz w:val="18"/>
                <w:szCs w:val="18"/>
                <w:color w:val="auto"/>
              </w:rPr>
            </w:pPr>
          </w:p>
        </w:tc>
        <w:tc>
          <w:tcPr>
            <w:tcW w:w="60" w:type="dxa"/>
            <w:vAlign w:val="bottom"/>
            <w:tcBorders>
              <w:top w:val="single" w:sz="8" w:color="CCEEFF"/>
            </w:tcBorders>
            <w:shd w:val="clear" w:color="auto" w:fill="CCEEFF"/>
          </w:tcPr>
          <w:p>
            <w:pPr>
              <w:spacing w:after="0"/>
              <w:rPr>
                <w:sz w:val="18"/>
                <w:szCs w:val="18"/>
                <w:color w:val="auto"/>
              </w:rPr>
            </w:pPr>
          </w:p>
        </w:tc>
        <w:tc>
          <w:tcPr>
            <w:tcW w:w="260" w:type="dxa"/>
            <w:vAlign w:val="bottom"/>
            <w:tcBorders>
              <w:top w:val="single" w:sz="8" w:color="auto"/>
            </w:tcBorders>
            <w:shd w:val="clear" w:color="auto" w:fill="CCEEFF"/>
          </w:tcPr>
          <w:p>
            <w:pPr>
              <w:spacing w:after="0"/>
              <w:rPr>
                <w:sz w:val="18"/>
                <w:szCs w:val="18"/>
                <w:color w:val="auto"/>
              </w:rPr>
            </w:pPr>
          </w:p>
        </w:tc>
        <w:tc>
          <w:tcPr>
            <w:tcW w:w="9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64.8</w:t>
            </w:r>
          </w:p>
        </w:tc>
        <w:tc>
          <w:tcPr>
            <w:tcW w:w="220" w:type="dxa"/>
            <w:vAlign w:val="bottom"/>
            <w:tcBorders>
              <w:top w:val="single" w:sz="8" w:color="CCEEFF"/>
            </w:tcBorders>
            <w:shd w:val="clear" w:color="auto" w:fill="CCEEFF"/>
          </w:tcPr>
          <w:p>
            <w:pPr>
              <w:spacing w:after="0"/>
              <w:rPr>
                <w:sz w:val="18"/>
                <w:szCs w:val="18"/>
                <w:color w:val="auto"/>
              </w:rPr>
            </w:pPr>
          </w:p>
        </w:tc>
        <w:tc>
          <w:tcPr>
            <w:tcW w:w="60" w:type="dxa"/>
            <w:vAlign w:val="bottom"/>
            <w:tcBorders>
              <w:top w:val="single" w:sz="8" w:color="CCEEFF"/>
            </w:tcBorders>
            <w:shd w:val="clear" w:color="auto" w:fill="CCEEFF"/>
          </w:tcPr>
          <w:p>
            <w:pPr>
              <w:spacing w:after="0"/>
              <w:rPr>
                <w:sz w:val="18"/>
                <w:szCs w:val="18"/>
                <w:color w:val="auto"/>
              </w:rPr>
            </w:pPr>
          </w:p>
        </w:tc>
        <w:tc>
          <w:tcPr>
            <w:tcW w:w="420" w:type="dxa"/>
            <w:vAlign w:val="bottom"/>
            <w:tcBorders>
              <w:top w:val="single" w:sz="8" w:color="auto"/>
            </w:tcBorders>
            <w:shd w:val="clear" w:color="auto" w:fill="CCEEFF"/>
          </w:tcPr>
          <w:p>
            <w:pPr>
              <w:spacing w:after="0"/>
              <w:rPr>
                <w:sz w:val="18"/>
                <w:szCs w:val="18"/>
                <w:color w:val="auto"/>
              </w:rPr>
            </w:pPr>
          </w:p>
        </w:tc>
        <w:tc>
          <w:tcPr>
            <w:tcW w:w="8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37.3</w:t>
            </w:r>
          </w:p>
        </w:tc>
        <w:tc>
          <w:tcPr>
            <w:tcW w:w="160" w:type="dxa"/>
            <w:vAlign w:val="bottom"/>
            <w:tcBorders>
              <w:top w:val="single" w:sz="8" w:color="CCEEFF"/>
            </w:tcBorders>
            <w:shd w:val="clear" w:color="auto" w:fill="CCEEFF"/>
          </w:tcPr>
          <w:p>
            <w:pPr>
              <w:spacing w:after="0"/>
              <w:rPr>
                <w:sz w:val="18"/>
                <w:szCs w:val="18"/>
                <w:color w:val="auto"/>
              </w:rPr>
            </w:pPr>
          </w:p>
        </w:tc>
      </w:tr>
      <w:tr>
        <w:trPr>
          <w:trHeight w:val="213"/>
        </w:trPr>
        <w:tc>
          <w:tcPr>
            <w:tcW w:w="5260" w:type="dxa"/>
            <w:vAlign w:val="bottom"/>
          </w:tcPr>
          <w:p>
            <w:pPr>
              <w:spacing w:after="0"/>
              <w:rPr>
                <w:sz w:val="20"/>
                <w:szCs w:val="20"/>
                <w:color w:val="auto"/>
              </w:rPr>
            </w:pPr>
            <w:r>
              <w:rPr>
                <w:rFonts w:ascii="Arial" w:cs="Arial" w:eastAsia="Arial" w:hAnsi="Arial"/>
                <w:sz w:val="18"/>
                <w:szCs w:val="18"/>
                <w:color w:val="auto"/>
              </w:rPr>
              <w:t>Restructuring charges, net</w:t>
            </w:r>
          </w:p>
        </w:tc>
        <w:tc>
          <w:tcPr>
            <w:tcW w:w="1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60" w:type="dxa"/>
            <w:vAlign w:val="bottom"/>
          </w:tcPr>
          <w:p>
            <w:pPr>
              <w:jc w:val="right"/>
              <w:spacing w:after="0"/>
              <w:rPr>
                <w:sz w:val="20"/>
                <w:szCs w:val="20"/>
                <w:color w:val="auto"/>
              </w:rPr>
            </w:pPr>
            <w:r>
              <w:rPr>
                <w:rFonts w:ascii="Arial" w:cs="Arial" w:eastAsia="Arial" w:hAnsi="Arial"/>
                <w:sz w:val="18"/>
                <w:szCs w:val="18"/>
                <w:color w:val="auto"/>
              </w:rPr>
              <w:t>7.9</w:t>
            </w:r>
          </w:p>
        </w:tc>
        <w:tc>
          <w:tcPr>
            <w:tcW w:w="2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1020" w:type="dxa"/>
            <w:vAlign w:val="bottom"/>
            <w:gridSpan w:val="2"/>
          </w:tcPr>
          <w:p>
            <w:pPr>
              <w:jc w:val="right"/>
              <w:ind w:right="200"/>
              <w:spacing w:after="0"/>
              <w:rPr>
                <w:sz w:val="20"/>
                <w:szCs w:val="20"/>
                <w:color w:val="auto"/>
              </w:rPr>
            </w:pPr>
            <w:r>
              <w:rPr>
                <w:rFonts w:ascii="Arial" w:cs="Arial" w:eastAsia="Arial" w:hAnsi="Arial"/>
                <w:sz w:val="18"/>
                <w:szCs w:val="18"/>
                <w:color w:val="auto"/>
              </w:rPr>
              <w:t>7.6</w:t>
            </w:r>
          </w:p>
        </w:tc>
        <w:tc>
          <w:tcPr>
            <w:tcW w:w="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180" w:type="dxa"/>
            <w:vAlign w:val="bottom"/>
            <w:gridSpan w:val="2"/>
          </w:tcPr>
          <w:p>
            <w:pPr>
              <w:jc w:val="right"/>
              <w:ind w:right="220"/>
              <w:spacing w:after="0"/>
              <w:rPr>
                <w:sz w:val="20"/>
                <w:szCs w:val="20"/>
                <w:color w:val="auto"/>
              </w:rPr>
            </w:pPr>
            <w:r>
              <w:rPr>
                <w:rFonts w:ascii="Arial" w:cs="Arial" w:eastAsia="Arial" w:hAnsi="Arial"/>
                <w:sz w:val="18"/>
                <w:szCs w:val="18"/>
                <w:color w:val="auto"/>
              </w:rPr>
              <w:t>40.4</w:t>
            </w:r>
          </w:p>
        </w:tc>
        <w:tc>
          <w:tcPr>
            <w:tcW w:w="6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960" w:type="dxa"/>
            <w:vAlign w:val="bottom"/>
            <w:gridSpan w:val="2"/>
          </w:tcPr>
          <w:p>
            <w:pPr>
              <w:jc w:val="right"/>
              <w:ind w:right="160"/>
              <w:spacing w:after="0"/>
              <w:rPr>
                <w:sz w:val="20"/>
                <w:szCs w:val="20"/>
                <w:color w:val="auto"/>
              </w:rPr>
            </w:pPr>
            <w:r>
              <w:rPr>
                <w:rFonts w:ascii="Arial" w:cs="Arial" w:eastAsia="Arial" w:hAnsi="Arial"/>
                <w:sz w:val="18"/>
                <w:szCs w:val="18"/>
                <w:color w:val="auto"/>
              </w:rPr>
              <w:t>16.9</w:t>
            </w:r>
          </w:p>
        </w:tc>
      </w:tr>
      <w:tr>
        <w:trPr>
          <w:trHeight w:val="213"/>
        </w:trPr>
        <w:tc>
          <w:tcPr>
            <w:tcW w:w="5260" w:type="dxa"/>
            <w:vAlign w:val="bottom"/>
            <w:shd w:val="clear" w:color="auto" w:fill="CCEEFF"/>
          </w:tcPr>
          <w:p>
            <w:pPr>
              <w:spacing w:after="0"/>
              <w:rPr>
                <w:sz w:val="20"/>
                <w:szCs w:val="20"/>
                <w:color w:val="auto"/>
              </w:rPr>
            </w:pPr>
            <w:r>
              <w:rPr>
                <w:rFonts w:ascii="Arial" w:cs="Arial" w:eastAsia="Arial" w:hAnsi="Arial"/>
                <w:sz w:val="18"/>
                <w:szCs w:val="18"/>
                <w:color w:val="auto"/>
                <w:w w:val="97"/>
              </w:rPr>
              <w:t>Facility closure charges, including (gain) loss from asset disposition</w:t>
            </w:r>
          </w:p>
        </w:tc>
        <w:tc>
          <w:tcPr>
            <w:tcW w:w="1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(7.4)</w:t>
            </w:r>
          </w:p>
        </w:tc>
        <w:tc>
          <w:tcPr>
            <w:tcW w:w="6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(5.4)</w:t>
            </w:r>
          </w:p>
        </w:tc>
        <w:tc>
          <w:tcPr>
            <w:tcW w:w="6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r>
      <w:tr>
        <w:trPr>
          <w:trHeight w:val="213"/>
        </w:trPr>
        <w:tc>
          <w:tcPr>
            <w:tcW w:w="5260" w:type="dxa"/>
            <w:vAlign w:val="bottom"/>
          </w:tcPr>
          <w:p>
            <w:pPr>
              <w:spacing w:after="0"/>
              <w:rPr>
                <w:sz w:val="20"/>
                <w:szCs w:val="20"/>
                <w:color w:val="auto"/>
              </w:rPr>
            </w:pPr>
            <w:r>
              <w:rPr>
                <w:rFonts w:ascii="Arial" w:cs="Arial" w:eastAsia="Arial" w:hAnsi="Arial"/>
                <w:sz w:val="18"/>
                <w:szCs w:val="18"/>
                <w:color w:val="auto"/>
              </w:rPr>
              <w:t>Stock-based compensation</w:t>
            </w:r>
          </w:p>
        </w:tc>
        <w:tc>
          <w:tcPr>
            <w:tcW w:w="1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60" w:type="dxa"/>
            <w:vAlign w:val="bottom"/>
          </w:tcPr>
          <w:p>
            <w:pPr>
              <w:jc w:val="right"/>
              <w:spacing w:after="0"/>
              <w:rPr>
                <w:sz w:val="20"/>
                <w:szCs w:val="20"/>
                <w:color w:val="auto"/>
              </w:rPr>
            </w:pPr>
            <w:r>
              <w:rPr>
                <w:rFonts w:ascii="Arial" w:cs="Arial" w:eastAsia="Arial" w:hAnsi="Arial"/>
                <w:sz w:val="18"/>
                <w:szCs w:val="18"/>
                <w:color w:val="auto"/>
              </w:rPr>
              <w:t>4.8</w:t>
            </w:r>
          </w:p>
        </w:tc>
        <w:tc>
          <w:tcPr>
            <w:tcW w:w="2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1020" w:type="dxa"/>
            <w:vAlign w:val="bottom"/>
            <w:gridSpan w:val="2"/>
          </w:tcPr>
          <w:p>
            <w:pPr>
              <w:jc w:val="right"/>
              <w:ind w:right="200"/>
              <w:spacing w:after="0"/>
              <w:rPr>
                <w:sz w:val="20"/>
                <w:szCs w:val="20"/>
                <w:color w:val="auto"/>
              </w:rPr>
            </w:pPr>
            <w:r>
              <w:rPr>
                <w:rFonts w:ascii="Arial" w:cs="Arial" w:eastAsia="Arial" w:hAnsi="Arial"/>
                <w:sz w:val="18"/>
                <w:szCs w:val="18"/>
                <w:color w:val="auto"/>
              </w:rPr>
              <w:t>3.4</w:t>
            </w:r>
          </w:p>
        </w:tc>
        <w:tc>
          <w:tcPr>
            <w:tcW w:w="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180" w:type="dxa"/>
            <w:vAlign w:val="bottom"/>
            <w:gridSpan w:val="2"/>
          </w:tcPr>
          <w:p>
            <w:pPr>
              <w:jc w:val="right"/>
              <w:ind w:right="220"/>
              <w:spacing w:after="0"/>
              <w:rPr>
                <w:sz w:val="20"/>
                <w:szCs w:val="20"/>
                <w:color w:val="auto"/>
              </w:rPr>
            </w:pPr>
            <w:r>
              <w:rPr>
                <w:rFonts w:ascii="Arial" w:cs="Arial" w:eastAsia="Arial" w:hAnsi="Arial"/>
                <w:sz w:val="18"/>
                <w:szCs w:val="18"/>
                <w:color w:val="auto"/>
              </w:rPr>
              <w:t>14.9</w:t>
            </w:r>
          </w:p>
        </w:tc>
        <w:tc>
          <w:tcPr>
            <w:tcW w:w="6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960" w:type="dxa"/>
            <w:vAlign w:val="bottom"/>
            <w:gridSpan w:val="2"/>
          </w:tcPr>
          <w:p>
            <w:pPr>
              <w:jc w:val="right"/>
              <w:ind w:right="160"/>
              <w:spacing w:after="0"/>
              <w:rPr>
                <w:sz w:val="20"/>
                <w:szCs w:val="20"/>
                <w:color w:val="auto"/>
              </w:rPr>
            </w:pPr>
            <w:r>
              <w:rPr>
                <w:rFonts w:ascii="Arial" w:cs="Arial" w:eastAsia="Arial" w:hAnsi="Arial"/>
                <w:sz w:val="18"/>
                <w:szCs w:val="18"/>
                <w:color w:val="auto"/>
              </w:rPr>
              <w:t>12.4</w:t>
            </w:r>
          </w:p>
        </w:tc>
      </w:tr>
      <w:tr>
        <w:trPr>
          <w:trHeight w:val="213"/>
        </w:trPr>
        <w:tc>
          <w:tcPr>
            <w:tcW w:w="5260" w:type="dxa"/>
            <w:vAlign w:val="bottom"/>
            <w:shd w:val="clear" w:color="auto" w:fill="CCEEFF"/>
          </w:tcPr>
          <w:p>
            <w:pPr>
              <w:spacing w:after="0"/>
              <w:rPr>
                <w:sz w:val="20"/>
                <w:szCs w:val="20"/>
                <w:color w:val="auto"/>
              </w:rPr>
            </w:pPr>
            <w:r>
              <w:rPr>
                <w:rFonts w:ascii="Arial" w:cs="Arial" w:eastAsia="Arial" w:hAnsi="Arial"/>
                <w:sz w:val="18"/>
                <w:szCs w:val="18"/>
                <w:color w:val="auto"/>
              </w:rPr>
              <w:t>LIFO reserve (decrease) increase</w:t>
            </w:r>
          </w:p>
        </w:tc>
        <w:tc>
          <w:tcPr>
            <w:tcW w:w="1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(0.4)</w:t>
            </w:r>
          </w:p>
        </w:tc>
        <w:tc>
          <w:tcPr>
            <w:tcW w:w="6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(3.9)</w:t>
            </w:r>
          </w:p>
        </w:tc>
        <w:tc>
          <w:tcPr>
            <w:tcW w:w="6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(4.6)</w:t>
            </w:r>
          </w:p>
        </w:tc>
        <w:tc>
          <w:tcPr>
            <w:tcW w:w="6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(1.0)</w:t>
            </w:r>
          </w:p>
        </w:tc>
      </w:tr>
      <w:tr>
        <w:trPr>
          <w:trHeight w:val="213"/>
        </w:trPr>
        <w:tc>
          <w:tcPr>
            <w:tcW w:w="5260" w:type="dxa"/>
            <w:vAlign w:val="bottom"/>
          </w:tcPr>
          <w:p>
            <w:pPr>
              <w:spacing w:after="0"/>
              <w:rPr>
                <w:sz w:val="20"/>
                <w:szCs w:val="20"/>
                <w:color w:val="auto"/>
              </w:rPr>
            </w:pPr>
            <w:r>
              <w:rPr>
                <w:rFonts w:ascii="Arial" w:cs="Arial" w:eastAsia="Arial" w:hAnsi="Arial"/>
                <w:sz w:val="18"/>
                <w:szCs w:val="18"/>
                <w:color w:val="auto"/>
              </w:rPr>
              <w:t>Non-restructuring severance charges</w:t>
            </w:r>
          </w:p>
        </w:tc>
        <w:tc>
          <w:tcPr>
            <w:tcW w:w="1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60" w:type="dxa"/>
            <w:vAlign w:val="bottom"/>
          </w:tcPr>
          <w:p>
            <w:pPr>
              <w:jc w:val="right"/>
              <w:spacing w:after="0"/>
              <w:rPr>
                <w:sz w:val="20"/>
                <w:szCs w:val="20"/>
                <w:color w:val="auto"/>
              </w:rPr>
            </w:pPr>
            <w:r>
              <w:rPr>
                <w:rFonts w:ascii="Arial" w:cs="Arial" w:eastAsia="Arial" w:hAnsi="Arial"/>
                <w:sz w:val="18"/>
                <w:szCs w:val="18"/>
                <w:color w:val="auto"/>
              </w:rPr>
              <w:t>0.8</w:t>
            </w:r>
          </w:p>
        </w:tc>
        <w:tc>
          <w:tcPr>
            <w:tcW w:w="2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1020" w:type="dxa"/>
            <w:vAlign w:val="bottom"/>
            <w:gridSpan w:val="2"/>
          </w:tcPr>
          <w:p>
            <w:pPr>
              <w:jc w:val="right"/>
              <w:ind w:right="200"/>
              <w:spacing w:after="0"/>
              <w:rPr>
                <w:sz w:val="20"/>
                <w:szCs w:val="20"/>
                <w:color w:val="auto"/>
              </w:rPr>
            </w:pPr>
            <w:r>
              <w:rPr>
                <w:rFonts w:ascii="Arial" w:cs="Arial" w:eastAsia="Arial" w:hAnsi="Arial"/>
                <w:sz w:val="18"/>
                <w:szCs w:val="18"/>
                <w:color w:val="auto"/>
              </w:rPr>
              <w:t>1.3</w:t>
            </w:r>
          </w:p>
        </w:tc>
        <w:tc>
          <w:tcPr>
            <w:tcW w:w="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180" w:type="dxa"/>
            <w:vAlign w:val="bottom"/>
            <w:gridSpan w:val="2"/>
          </w:tcPr>
          <w:p>
            <w:pPr>
              <w:jc w:val="right"/>
              <w:ind w:right="220"/>
              <w:spacing w:after="0"/>
              <w:rPr>
                <w:sz w:val="20"/>
                <w:szCs w:val="20"/>
                <w:color w:val="auto"/>
              </w:rPr>
            </w:pPr>
            <w:r>
              <w:rPr>
                <w:rFonts w:ascii="Arial" w:cs="Arial" w:eastAsia="Arial" w:hAnsi="Arial"/>
                <w:sz w:val="18"/>
                <w:szCs w:val="18"/>
                <w:color w:val="auto"/>
              </w:rPr>
              <w:t>3.2</w:t>
            </w:r>
          </w:p>
        </w:tc>
        <w:tc>
          <w:tcPr>
            <w:tcW w:w="6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960" w:type="dxa"/>
            <w:vAlign w:val="bottom"/>
            <w:gridSpan w:val="2"/>
          </w:tcPr>
          <w:p>
            <w:pPr>
              <w:jc w:val="right"/>
              <w:ind w:right="160"/>
              <w:spacing w:after="0"/>
              <w:rPr>
                <w:sz w:val="20"/>
                <w:szCs w:val="20"/>
                <w:color w:val="auto"/>
              </w:rPr>
            </w:pPr>
            <w:r>
              <w:rPr>
                <w:rFonts w:ascii="Arial" w:cs="Arial" w:eastAsia="Arial" w:hAnsi="Arial"/>
                <w:sz w:val="18"/>
                <w:szCs w:val="18"/>
                <w:color w:val="auto"/>
              </w:rPr>
              <w:t>4.0</w:t>
            </w:r>
          </w:p>
        </w:tc>
      </w:tr>
      <w:tr>
        <w:trPr>
          <w:trHeight w:val="213"/>
        </w:trPr>
        <w:tc>
          <w:tcPr>
            <w:tcW w:w="5260" w:type="dxa"/>
            <w:vAlign w:val="bottom"/>
            <w:shd w:val="clear" w:color="auto" w:fill="CCEEFF"/>
          </w:tcPr>
          <w:p>
            <w:pPr>
              <w:spacing w:after="0"/>
              <w:rPr>
                <w:sz w:val="20"/>
                <w:szCs w:val="20"/>
                <w:color w:val="auto"/>
              </w:rPr>
            </w:pPr>
            <w:r>
              <w:rPr>
                <w:rFonts w:ascii="Arial" w:cs="Arial" w:eastAsia="Arial" w:hAnsi="Arial"/>
                <w:sz w:val="18"/>
                <w:szCs w:val="18"/>
                <w:color w:val="auto"/>
              </w:rPr>
              <w:t>Non-restructuring pension charges, net</w:t>
            </w:r>
          </w:p>
        </w:tc>
        <w:tc>
          <w:tcPr>
            <w:tcW w:w="1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0.0</w:t>
            </w:r>
          </w:p>
        </w:tc>
        <w:tc>
          <w:tcPr>
            <w:tcW w:w="6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7.2</w:t>
            </w:r>
          </w:p>
        </w:tc>
        <w:tc>
          <w:tcPr>
            <w:tcW w:w="6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6.6</w:t>
            </w:r>
          </w:p>
        </w:tc>
      </w:tr>
      <w:tr>
        <w:trPr>
          <w:trHeight w:val="213"/>
        </w:trPr>
        <w:tc>
          <w:tcPr>
            <w:tcW w:w="5260" w:type="dxa"/>
            <w:vAlign w:val="bottom"/>
          </w:tcPr>
          <w:p>
            <w:pPr>
              <w:spacing w:after="0"/>
              <w:rPr>
                <w:sz w:val="20"/>
                <w:szCs w:val="20"/>
                <w:color w:val="auto"/>
              </w:rPr>
            </w:pPr>
            <w:r>
              <w:rPr>
                <w:rFonts w:ascii="Arial" w:cs="Arial" w:eastAsia="Arial" w:hAnsi="Arial"/>
                <w:sz w:val="18"/>
                <w:szCs w:val="18"/>
                <w:color w:val="auto"/>
              </w:rPr>
              <w:t>Integration expenses</w:t>
            </w:r>
          </w:p>
        </w:tc>
        <w:tc>
          <w:tcPr>
            <w:tcW w:w="1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16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1020" w:type="dxa"/>
            <w:vAlign w:val="bottom"/>
            <w:gridSpan w:val="2"/>
          </w:tcPr>
          <w:p>
            <w:pPr>
              <w:jc w:val="right"/>
              <w:ind w:right="200"/>
              <w:spacing w:after="0"/>
              <w:rPr>
                <w:sz w:val="20"/>
                <w:szCs w:val="20"/>
                <w:color w:val="auto"/>
              </w:rPr>
            </w:pPr>
            <w:r>
              <w:rPr>
                <w:rFonts w:ascii="Arial" w:cs="Arial" w:eastAsia="Arial" w:hAnsi="Arial"/>
                <w:sz w:val="18"/>
                <w:szCs w:val="18"/>
                <w:color w:val="auto"/>
              </w:rPr>
              <w:t>4.5</w:t>
            </w:r>
          </w:p>
        </w:tc>
        <w:tc>
          <w:tcPr>
            <w:tcW w:w="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180" w:type="dxa"/>
            <w:vAlign w:val="bottom"/>
            <w:gridSpan w:val="2"/>
          </w:tcPr>
          <w:p>
            <w:pPr>
              <w:jc w:val="right"/>
              <w:ind w:right="2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960" w:type="dxa"/>
            <w:vAlign w:val="bottom"/>
            <w:gridSpan w:val="2"/>
          </w:tcPr>
          <w:p>
            <w:pPr>
              <w:jc w:val="right"/>
              <w:ind w:right="160"/>
              <w:spacing w:after="0"/>
              <w:rPr>
                <w:sz w:val="20"/>
                <w:szCs w:val="20"/>
                <w:color w:val="auto"/>
              </w:rPr>
            </w:pPr>
            <w:r>
              <w:rPr>
                <w:rFonts w:ascii="Arial" w:cs="Arial" w:eastAsia="Arial" w:hAnsi="Arial"/>
                <w:sz w:val="18"/>
                <w:szCs w:val="18"/>
                <w:color w:val="auto"/>
              </w:rPr>
              <w:t>13.3</w:t>
            </w:r>
          </w:p>
        </w:tc>
      </w:tr>
      <w:tr>
        <w:trPr>
          <w:trHeight w:val="213"/>
        </w:trPr>
        <w:tc>
          <w:tcPr>
            <w:tcW w:w="5260" w:type="dxa"/>
            <w:vAlign w:val="bottom"/>
            <w:shd w:val="clear" w:color="auto" w:fill="CCEEFF"/>
          </w:tcPr>
          <w:p>
            <w:pPr>
              <w:spacing w:after="0"/>
              <w:rPr>
                <w:sz w:val="20"/>
                <w:szCs w:val="20"/>
                <w:color w:val="auto"/>
              </w:rPr>
            </w:pPr>
            <w:r>
              <w:rPr>
                <w:rFonts w:ascii="Arial" w:cs="Arial" w:eastAsia="Arial" w:hAnsi="Arial"/>
                <w:sz w:val="18"/>
                <w:szCs w:val="18"/>
                <w:color w:val="auto"/>
                <w:w w:val="92"/>
              </w:rPr>
              <w:t>Fair value adjustment on Tax Receivable Agreement contingent liability</w:t>
            </w:r>
          </w:p>
        </w:tc>
        <w:tc>
          <w:tcPr>
            <w:tcW w:w="1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w:t>
            </w:r>
          </w:p>
        </w:tc>
        <w:tc>
          <w:tcPr>
            <w:tcW w:w="2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0.3</w:t>
            </w:r>
          </w:p>
        </w:tc>
        <w:tc>
          <w:tcPr>
            <w:tcW w:w="6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1.0</w:t>
            </w:r>
          </w:p>
        </w:tc>
        <w:tc>
          <w:tcPr>
            <w:tcW w:w="6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1.8</w:t>
            </w:r>
          </w:p>
        </w:tc>
      </w:tr>
      <w:tr>
        <w:trPr>
          <w:trHeight w:val="213"/>
        </w:trPr>
        <w:tc>
          <w:tcPr>
            <w:tcW w:w="5260" w:type="dxa"/>
            <w:vAlign w:val="bottom"/>
          </w:tcPr>
          <w:p>
            <w:pPr>
              <w:spacing w:after="0"/>
              <w:rPr>
                <w:sz w:val="20"/>
                <w:szCs w:val="20"/>
                <w:color w:val="auto"/>
              </w:rPr>
            </w:pPr>
            <w:r>
              <w:rPr>
                <w:rFonts w:ascii="Arial" w:cs="Arial" w:eastAsia="Arial" w:hAnsi="Arial"/>
                <w:sz w:val="18"/>
                <w:szCs w:val="18"/>
                <w:color w:val="auto"/>
              </w:rPr>
              <w:t>Fair value adjustment on contingent consideration liability</w:t>
            </w:r>
          </w:p>
        </w:tc>
        <w:tc>
          <w:tcPr>
            <w:tcW w:w="1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16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1020" w:type="dxa"/>
            <w:vAlign w:val="bottom"/>
            <w:gridSpan w:val="2"/>
          </w:tcPr>
          <w:p>
            <w:pPr>
              <w:jc w:val="right"/>
              <w:ind w:right="140"/>
              <w:spacing w:after="0"/>
              <w:rPr>
                <w:sz w:val="20"/>
                <w:szCs w:val="20"/>
                <w:color w:val="auto"/>
              </w:rPr>
            </w:pPr>
            <w:r>
              <w:rPr>
                <w:rFonts w:ascii="Arial" w:cs="Arial" w:eastAsia="Arial" w:hAnsi="Arial"/>
                <w:sz w:val="18"/>
                <w:szCs w:val="18"/>
                <w:color w:val="auto"/>
              </w:rPr>
              <w:t>(2.5)</w:t>
            </w:r>
          </w:p>
        </w:tc>
        <w:tc>
          <w:tcPr>
            <w:tcW w:w="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180" w:type="dxa"/>
            <w:vAlign w:val="bottom"/>
            <w:gridSpan w:val="2"/>
          </w:tcPr>
          <w:p>
            <w:pPr>
              <w:jc w:val="right"/>
              <w:ind w:right="220"/>
              <w:spacing w:after="0"/>
              <w:rPr>
                <w:sz w:val="20"/>
                <w:szCs w:val="20"/>
                <w:color w:val="auto"/>
              </w:rPr>
            </w:pPr>
            <w:r>
              <w:rPr>
                <w:rFonts w:ascii="Arial" w:cs="Arial" w:eastAsia="Arial" w:hAnsi="Arial"/>
                <w:sz w:val="18"/>
                <w:szCs w:val="18"/>
                <w:color w:val="auto"/>
              </w:rPr>
              <w:t>1.0</w:t>
            </w:r>
          </w:p>
        </w:tc>
        <w:tc>
          <w:tcPr>
            <w:tcW w:w="6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960" w:type="dxa"/>
            <w:vAlign w:val="bottom"/>
            <w:gridSpan w:val="2"/>
          </w:tcPr>
          <w:p>
            <w:pPr>
              <w:jc w:val="right"/>
              <w:ind w:right="160"/>
              <w:spacing w:after="0"/>
              <w:rPr>
                <w:sz w:val="20"/>
                <w:szCs w:val="20"/>
                <w:color w:val="auto"/>
              </w:rPr>
            </w:pPr>
            <w:r>
              <w:rPr>
                <w:rFonts w:ascii="Arial" w:cs="Arial" w:eastAsia="Arial" w:hAnsi="Arial"/>
                <w:sz w:val="18"/>
                <w:szCs w:val="18"/>
                <w:color w:val="auto"/>
              </w:rPr>
              <w:t>10.6</w:t>
            </w:r>
          </w:p>
        </w:tc>
      </w:tr>
      <w:tr>
        <w:trPr>
          <w:trHeight w:val="213"/>
        </w:trPr>
        <w:tc>
          <w:tcPr>
            <w:tcW w:w="5260" w:type="dxa"/>
            <w:vAlign w:val="bottom"/>
            <w:shd w:val="clear" w:color="auto" w:fill="CCEEFF"/>
          </w:tcPr>
          <w:p>
            <w:pPr>
              <w:spacing w:after="0"/>
              <w:rPr>
                <w:sz w:val="20"/>
                <w:szCs w:val="20"/>
                <w:color w:val="auto"/>
              </w:rPr>
            </w:pPr>
            <w:r>
              <w:rPr>
                <w:rFonts w:ascii="Arial" w:cs="Arial" w:eastAsia="Arial" w:hAnsi="Arial"/>
                <w:sz w:val="18"/>
                <w:szCs w:val="18"/>
                <w:color w:val="auto"/>
              </w:rPr>
              <w:t>Escheat audit contingent liability</w:t>
            </w:r>
          </w:p>
        </w:tc>
        <w:tc>
          <w:tcPr>
            <w:tcW w:w="1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(1.0)</w:t>
            </w:r>
          </w:p>
        </w:tc>
        <w:tc>
          <w:tcPr>
            <w:tcW w:w="6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6.0</w:t>
            </w:r>
          </w:p>
        </w:tc>
      </w:tr>
      <w:tr>
        <w:trPr>
          <w:trHeight w:val="227"/>
        </w:trPr>
        <w:tc>
          <w:tcPr>
            <w:tcW w:w="5260" w:type="dxa"/>
            <w:vAlign w:val="bottom"/>
          </w:tcPr>
          <w:p>
            <w:pPr>
              <w:spacing w:after="0"/>
              <w:rPr>
                <w:sz w:val="20"/>
                <w:szCs w:val="20"/>
                <w:color w:val="auto"/>
              </w:rPr>
            </w:pPr>
            <w:r>
              <w:rPr>
                <w:rFonts w:ascii="Arial" w:cs="Arial" w:eastAsia="Arial" w:hAnsi="Arial"/>
                <w:sz w:val="18"/>
                <w:szCs w:val="18"/>
                <w:color w:val="auto"/>
              </w:rPr>
              <w:t>Other</w:t>
            </w:r>
          </w:p>
        </w:tc>
        <w:tc>
          <w:tcPr>
            <w:tcW w:w="12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960" w:type="dxa"/>
            <w:vAlign w:val="bottom"/>
          </w:tcPr>
          <w:p>
            <w:pPr>
              <w:jc w:val="right"/>
              <w:spacing w:after="0"/>
              <w:rPr>
                <w:sz w:val="20"/>
                <w:szCs w:val="20"/>
                <w:color w:val="auto"/>
              </w:rPr>
            </w:pPr>
            <w:r>
              <w:rPr>
                <w:rFonts w:ascii="Arial" w:cs="Arial" w:eastAsia="Arial" w:hAnsi="Arial"/>
                <w:sz w:val="18"/>
                <w:szCs w:val="18"/>
                <w:color w:val="auto"/>
              </w:rPr>
              <w:t>0.7</w:t>
            </w:r>
          </w:p>
        </w:tc>
        <w:tc>
          <w:tcPr>
            <w:tcW w:w="2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1020" w:type="dxa"/>
            <w:vAlign w:val="bottom"/>
            <w:gridSpan w:val="2"/>
          </w:tcPr>
          <w:p>
            <w:pPr>
              <w:jc w:val="right"/>
              <w:ind w:right="200"/>
              <w:spacing w:after="0"/>
              <w:rPr>
                <w:sz w:val="20"/>
                <w:szCs w:val="20"/>
                <w:color w:val="auto"/>
              </w:rPr>
            </w:pPr>
            <w:r>
              <w:rPr>
                <w:rFonts w:ascii="Arial" w:cs="Arial" w:eastAsia="Arial" w:hAnsi="Arial"/>
                <w:sz w:val="18"/>
                <w:szCs w:val="18"/>
                <w:color w:val="auto"/>
              </w:rPr>
              <w:t>0.4</w:t>
            </w:r>
          </w:p>
        </w:tc>
        <w:tc>
          <w:tcPr>
            <w:tcW w:w="6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180" w:type="dxa"/>
            <w:vAlign w:val="bottom"/>
            <w:gridSpan w:val="2"/>
          </w:tcPr>
          <w:p>
            <w:pPr>
              <w:jc w:val="right"/>
              <w:ind w:right="220"/>
              <w:spacing w:after="0"/>
              <w:rPr>
                <w:sz w:val="20"/>
                <w:szCs w:val="20"/>
                <w:color w:val="auto"/>
              </w:rPr>
            </w:pPr>
            <w:r>
              <w:rPr>
                <w:rFonts w:ascii="Arial" w:cs="Arial" w:eastAsia="Arial" w:hAnsi="Arial"/>
                <w:sz w:val="18"/>
                <w:szCs w:val="18"/>
                <w:color w:val="auto"/>
              </w:rPr>
              <w:t>3.4</w:t>
            </w:r>
          </w:p>
        </w:tc>
        <w:tc>
          <w:tcPr>
            <w:tcW w:w="6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960" w:type="dxa"/>
            <w:vAlign w:val="bottom"/>
            <w:gridSpan w:val="2"/>
          </w:tcPr>
          <w:p>
            <w:pPr>
              <w:jc w:val="right"/>
              <w:ind w:right="160"/>
              <w:spacing w:after="0"/>
              <w:rPr>
                <w:sz w:val="20"/>
                <w:szCs w:val="20"/>
                <w:color w:val="auto"/>
              </w:rPr>
            </w:pPr>
            <w:r>
              <w:rPr>
                <w:rFonts w:ascii="Arial" w:cs="Arial" w:eastAsia="Arial" w:hAnsi="Arial"/>
                <w:sz w:val="18"/>
                <w:szCs w:val="18"/>
                <w:color w:val="auto"/>
              </w:rPr>
              <w:t>0.8</w:t>
            </w:r>
          </w:p>
        </w:tc>
      </w:tr>
      <w:tr>
        <w:trPr>
          <w:trHeight w:val="220"/>
        </w:trPr>
        <w:tc>
          <w:tcPr>
            <w:tcW w:w="5260" w:type="dxa"/>
            <w:vAlign w:val="bottom"/>
            <w:tcBorders>
              <w:top w:val="single" w:sz="8" w:color="CCEEFF"/>
              <w:bottom w:val="single" w:sz="8" w:color="CCEEFF"/>
            </w:tcBorders>
            <w:shd w:val="clear" w:color="auto" w:fill="CCEEFF"/>
          </w:tcPr>
          <w:p>
            <w:pPr>
              <w:spacing w:after="0"/>
              <w:rPr>
                <w:sz w:val="20"/>
                <w:szCs w:val="20"/>
                <w:color w:val="auto"/>
              </w:rPr>
            </w:pPr>
            <w:r>
              <w:rPr>
                <w:rFonts w:ascii="Arial" w:cs="Arial" w:eastAsia="Arial" w:hAnsi="Arial"/>
                <w:sz w:val="18"/>
                <w:szCs w:val="18"/>
                <w:color w:val="auto"/>
              </w:rPr>
              <w:t>Adjusted EBITDA</w:t>
            </w:r>
          </w:p>
        </w:tc>
        <w:tc>
          <w:tcPr>
            <w:tcW w:w="120" w:type="dxa"/>
            <w:vAlign w:val="bottom"/>
            <w:tcBorders>
              <w:top w:val="single" w:sz="8" w:color="CCEEFF"/>
              <w:bottom w:val="single" w:sz="8" w:color="CCEEFF"/>
            </w:tcBorders>
            <w:shd w:val="clear" w:color="auto" w:fill="CCEEFF"/>
          </w:tcPr>
          <w:p>
            <w:pPr>
              <w:spacing w:after="0"/>
              <w:rPr>
                <w:sz w:val="19"/>
                <w:szCs w:val="19"/>
                <w:color w:val="auto"/>
              </w:rPr>
            </w:pPr>
          </w:p>
        </w:tc>
        <w:tc>
          <w:tcPr>
            <w:tcW w:w="260" w:type="dxa"/>
            <w:vAlign w:val="bottom"/>
            <w:tcBorders>
              <w:top w:val="single" w:sz="8" w:color="auto"/>
              <w:bottom w:val="single" w:sz="8" w:color="auto"/>
            </w:tcBorders>
            <w:shd w:val="clear" w:color="auto" w:fill="CCEEFF"/>
          </w:tcPr>
          <w:p>
            <w:pPr>
              <w:jc w:val="right"/>
              <w:ind w:right="108"/>
              <w:spacing w:after="0"/>
              <w:rPr>
                <w:sz w:val="20"/>
                <w:szCs w:val="20"/>
                <w:color w:val="auto"/>
              </w:rPr>
            </w:pPr>
            <w:r>
              <w:rPr>
                <w:rFonts w:ascii="Arial" w:cs="Arial" w:eastAsia="Arial" w:hAnsi="Arial"/>
                <w:sz w:val="14"/>
                <w:szCs w:val="14"/>
                <w:color w:val="auto"/>
                <w:w w:val="76"/>
              </w:rPr>
              <w:t>$</w:t>
            </w:r>
          </w:p>
        </w:tc>
        <w:tc>
          <w:tcPr>
            <w:tcW w:w="9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49.9</w:t>
            </w:r>
          </w:p>
        </w:tc>
        <w:tc>
          <w:tcPr>
            <w:tcW w:w="200" w:type="dxa"/>
            <w:vAlign w:val="bottom"/>
            <w:tcBorders>
              <w:top w:val="single" w:sz="8" w:color="CCEEFF"/>
              <w:bottom w:val="single" w:sz="8" w:color="CCEEFF"/>
            </w:tcBorders>
            <w:shd w:val="clear" w:color="auto" w:fill="CCEEFF"/>
          </w:tcPr>
          <w:p>
            <w:pPr>
              <w:spacing w:after="0"/>
              <w:rPr>
                <w:sz w:val="19"/>
                <w:szCs w:val="19"/>
                <w:color w:val="auto"/>
              </w:rPr>
            </w:pPr>
          </w:p>
        </w:tc>
        <w:tc>
          <w:tcPr>
            <w:tcW w:w="60" w:type="dxa"/>
            <w:vAlign w:val="bottom"/>
            <w:tcBorders>
              <w:top w:val="single" w:sz="8" w:color="CCEEFF"/>
              <w:bottom w:val="single" w:sz="8" w:color="CCEEFF"/>
            </w:tcBorders>
            <w:shd w:val="clear" w:color="auto" w:fill="CCEEFF"/>
          </w:tcPr>
          <w:p>
            <w:pPr>
              <w:spacing w:after="0"/>
              <w:rPr>
                <w:sz w:val="19"/>
                <w:szCs w:val="19"/>
                <w:color w:val="auto"/>
              </w:rPr>
            </w:pPr>
          </w:p>
        </w:tc>
        <w:tc>
          <w:tcPr>
            <w:tcW w:w="420" w:type="dxa"/>
            <w:vAlign w:val="bottom"/>
            <w:tcBorders>
              <w:top w:val="single" w:sz="8" w:color="auto"/>
              <w:bottom w:val="single" w:sz="8" w:color="auto"/>
            </w:tcBorders>
            <w:shd w:val="clear" w:color="auto" w:fill="CCEEFF"/>
          </w:tcPr>
          <w:p>
            <w:pPr>
              <w:jc w:val="right"/>
              <w:ind w:right="231"/>
              <w:spacing w:after="0"/>
              <w:rPr>
                <w:sz w:val="20"/>
                <w:szCs w:val="20"/>
                <w:color w:val="auto"/>
              </w:rPr>
            </w:pPr>
            <w:r>
              <w:rPr>
                <w:rFonts w:ascii="Arial" w:cs="Arial" w:eastAsia="Arial" w:hAnsi="Arial"/>
                <w:sz w:val="18"/>
                <w:szCs w:val="18"/>
                <w:color w:val="auto"/>
                <w:w w:val="79"/>
              </w:rPr>
              <w:t>$</w:t>
            </w:r>
          </w:p>
        </w:tc>
        <w:tc>
          <w:tcPr>
            <w:tcW w:w="8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45.0</w:t>
            </w:r>
          </w:p>
        </w:tc>
        <w:tc>
          <w:tcPr>
            <w:tcW w:w="200" w:type="dxa"/>
            <w:vAlign w:val="bottom"/>
            <w:tcBorders>
              <w:top w:val="single" w:sz="8" w:color="CCEEFF"/>
              <w:bottom w:val="single" w:sz="8" w:color="CCEEFF"/>
            </w:tcBorders>
            <w:shd w:val="clear" w:color="auto" w:fill="CCEEFF"/>
          </w:tcPr>
          <w:p>
            <w:pPr>
              <w:spacing w:after="0"/>
              <w:rPr>
                <w:sz w:val="19"/>
                <w:szCs w:val="19"/>
                <w:color w:val="auto"/>
              </w:rPr>
            </w:pPr>
          </w:p>
        </w:tc>
        <w:tc>
          <w:tcPr>
            <w:tcW w:w="60" w:type="dxa"/>
            <w:vAlign w:val="bottom"/>
            <w:tcBorders>
              <w:top w:val="single" w:sz="8" w:color="CCEEFF"/>
              <w:bottom w:val="single" w:sz="8" w:color="CCEEFF"/>
            </w:tcBorders>
            <w:shd w:val="clear" w:color="auto" w:fill="CCEEFF"/>
          </w:tcPr>
          <w:p>
            <w:pPr>
              <w:spacing w:after="0"/>
              <w:rPr>
                <w:sz w:val="19"/>
                <w:szCs w:val="19"/>
                <w:color w:val="auto"/>
              </w:rPr>
            </w:pPr>
          </w:p>
        </w:tc>
        <w:tc>
          <w:tcPr>
            <w:tcW w:w="260" w:type="dxa"/>
            <w:vAlign w:val="bottom"/>
            <w:tcBorders>
              <w:top w:val="single" w:sz="8" w:color="auto"/>
              <w:bottom w:val="single" w:sz="8" w:color="auto"/>
            </w:tcBorders>
            <w:shd w:val="clear" w:color="auto" w:fill="CCEEFF"/>
          </w:tcPr>
          <w:p>
            <w:pPr>
              <w:jc w:val="right"/>
              <w:ind w:right="108"/>
              <w:spacing w:after="0"/>
              <w:rPr>
                <w:sz w:val="20"/>
                <w:szCs w:val="20"/>
                <w:color w:val="auto"/>
              </w:rPr>
            </w:pPr>
            <w:r>
              <w:rPr>
                <w:rFonts w:ascii="Arial" w:cs="Arial" w:eastAsia="Arial" w:hAnsi="Arial"/>
                <w:sz w:val="14"/>
                <w:szCs w:val="14"/>
                <w:color w:val="auto"/>
                <w:w w:val="76"/>
              </w:rPr>
              <w:t>$</w:t>
            </w:r>
          </w:p>
        </w:tc>
        <w:tc>
          <w:tcPr>
            <w:tcW w:w="9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125.9</w:t>
            </w:r>
          </w:p>
        </w:tc>
        <w:tc>
          <w:tcPr>
            <w:tcW w:w="220" w:type="dxa"/>
            <w:vAlign w:val="bottom"/>
            <w:tcBorders>
              <w:top w:val="single" w:sz="8" w:color="CCEEFF"/>
              <w:bottom w:val="single" w:sz="8" w:color="CCEEFF"/>
            </w:tcBorders>
            <w:shd w:val="clear" w:color="auto" w:fill="CCEEFF"/>
          </w:tcPr>
          <w:p>
            <w:pPr>
              <w:spacing w:after="0"/>
              <w:rPr>
                <w:sz w:val="19"/>
                <w:szCs w:val="19"/>
                <w:color w:val="auto"/>
              </w:rPr>
            </w:pPr>
          </w:p>
        </w:tc>
        <w:tc>
          <w:tcPr>
            <w:tcW w:w="60" w:type="dxa"/>
            <w:vAlign w:val="bottom"/>
            <w:tcBorders>
              <w:top w:val="single" w:sz="8" w:color="CCEEFF"/>
              <w:bottom w:val="single" w:sz="8" w:color="CCEEFF"/>
            </w:tcBorders>
            <w:shd w:val="clear" w:color="auto" w:fill="CCEEFF"/>
          </w:tcPr>
          <w:p>
            <w:pPr>
              <w:spacing w:after="0"/>
              <w:rPr>
                <w:sz w:val="19"/>
                <w:szCs w:val="19"/>
                <w:color w:val="auto"/>
              </w:rPr>
            </w:pPr>
          </w:p>
        </w:tc>
        <w:tc>
          <w:tcPr>
            <w:tcW w:w="420" w:type="dxa"/>
            <w:vAlign w:val="bottom"/>
            <w:tcBorders>
              <w:top w:val="single" w:sz="8" w:color="auto"/>
              <w:bottom w:val="single" w:sz="8" w:color="auto"/>
            </w:tcBorders>
            <w:shd w:val="clear" w:color="auto" w:fill="CCEEFF"/>
          </w:tcPr>
          <w:p>
            <w:pPr>
              <w:jc w:val="right"/>
              <w:ind w:right="268"/>
              <w:spacing w:after="0"/>
              <w:rPr>
                <w:sz w:val="20"/>
                <w:szCs w:val="20"/>
                <w:color w:val="auto"/>
              </w:rPr>
            </w:pPr>
            <w:r>
              <w:rPr>
                <w:rFonts w:ascii="Arial" w:cs="Arial" w:eastAsia="Arial" w:hAnsi="Arial"/>
                <w:sz w:val="14"/>
                <w:szCs w:val="14"/>
                <w:color w:val="auto"/>
                <w:w w:val="76"/>
              </w:rPr>
              <w:t>$</w:t>
            </w:r>
          </w:p>
        </w:tc>
        <w:tc>
          <w:tcPr>
            <w:tcW w:w="8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108.7</w:t>
            </w:r>
          </w:p>
        </w:tc>
        <w:tc>
          <w:tcPr>
            <w:tcW w:w="160" w:type="dxa"/>
            <w:vAlign w:val="bottom"/>
            <w:tcBorders>
              <w:top w:val="single" w:sz="8" w:color="CCEEFF"/>
              <w:bottom w:val="single" w:sz="8" w:color="CCEEFF"/>
            </w:tcBorders>
            <w:shd w:val="clear" w:color="auto" w:fill="CCEEFF"/>
          </w:tcPr>
          <w:p>
            <w:pPr>
              <w:spacing w:after="0"/>
              <w:rPr>
                <w:sz w:val="19"/>
                <w:szCs w:val="19"/>
                <w:color w:val="auto"/>
              </w:rPr>
            </w:pPr>
          </w:p>
        </w:tc>
      </w:tr>
      <w:tr>
        <w:trPr>
          <w:trHeight w:val="20"/>
        </w:trPr>
        <w:tc>
          <w:tcPr>
            <w:tcW w:w="52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194"/>
        </w:trPr>
        <w:tc>
          <w:tcPr>
            <w:tcW w:w="52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8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800" w:type="dxa"/>
            <w:vAlign w:val="bottom"/>
          </w:tcPr>
          <w:p>
            <w:pPr>
              <w:spacing w:after="0"/>
              <w:rPr>
                <w:sz w:val="16"/>
                <w:szCs w:val="16"/>
                <w:color w:val="auto"/>
              </w:rPr>
            </w:pPr>
          </w:p>
        </w:tc>
        <w:tc>
          <w:tcPr>
            <w:tcW w:w="160" w:type="dxa"/>
            <w:vAlign w:val="bottom"/>
          </w:tcPr>
          <w:p>
            <w:pPr>
              <w:spacing w:after="0"/>
              <w:rPr>
                <w:sz w:val="16"/>
                <w:szCs w:val="16"/>
                <w:color w:val="auto"/>
              </w:rPr>
            </w:pPr>
          </w:p>
        </w:tc>
      </w:tr>
      <w:tr>
        <w:trPr>
          <w:trHeight w:val="213"/>
        </w:trPr>
        <w:tc>
          <w:tcPr>
            <w:tcW w:w="5260" w:type="dxa"/>
            <w:vAlign w:val="bottom"/>
            <w:shd w:val="clear" w:color="auto" w:fill="CCEEFF"/>
          </w:tcPr>
          <w:p>
            <w:pPr>
              <w:spacing w:after="0"/>
              <w:rPr>
                <w:sz w:val="20"/>
                <w:szCs w:val="20"/>
                <w:color w:val="auto"/>
              </w:rPr>
            </w:pPr>
            <w:r>
              <w:rPr>
                <w:rFonts w:ascii="Arial" w:cs="Arial" w:eastAsia="Arial" w:hAnsi="Arial"/>
                <w:sz w:val="18"/>
                <w:szCs w:val="18"/>
                <w:color w:val="auto"/>
              </w:rPr>
              <w:t>Net sales</w:t>
            </w:r>
          </w:p>
        </w:tc>
        <w:tc>
          <w:tcPr>
            <w:tcW w:w="380" w:type="dxa"/>
            <w:vAlign w:val="bottom"/>
            <w:gridSpan w:val="2"/>
            <w:shd w:val="clear" w:color="auto" w:fill="CCEEFF"/>
          </w:tcPr>
          <w:p>
            <w:pPr>
              <w:jc w:val="right"/>
              <w:ind w:right="108"/>
              <w:spacing w:after="0"/>
              <w:rPr>
                <w:sz w:val="20"/>
                <w:szCs w:val="20"/>
                <w:color w:val="auto"/>
              </w:rPr>
            </w:pPr>
            <w:r>
              <w:rPr>
                <w:rFonts w:ascii="Arial" w:cs="Arial" w:eastAsia="Arial" w:hAnsi="Arial"/>
                <w:sz w:val="18"/>
                <w:szCs w:val="18"/>
                <w:color w:val="auto"/>
              </w:rPr>
              <w:t>$</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1,591.2</w:t>
            </w:r>
          </w:p>
        </w:tc>
        <w:tc>
          <w:tcPr>
            <w:tcW w:w="200" w:type="dxa"/>
            <w:vAlign w:val="bottom"/>
            <w:shd w:val="clear" w:color="auto" w:fill="CCEEFF"/>
          </w:tcPr>
          <w:p>
            <w:pPr>
              <w:spacing w:after="0"/>
              <w:rPr>
                <w:sz w:val="18"/>
                <w:szCs w:val="18"/>
                <w:color w:val="auto"/>
              </w:rPr>
            </w:pPr>
          </w:p>
        </w:tc>
        <w:tc>
          <w:tcPr>
            <w:tcW w:w="480" w:type="dxa"/>
            <w:vAlign w:val="bottom"/>
            <w:gridSpan w:val="2"/>
            <w:shd w:val="clear" w:color="auto" w:fill="CCEEFF"/>
          </w:tcPr>
          <w:p>
            <w:pPr>
              <w:jc w:val="right"/>
              <w:ind w:right="231"/>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1,924.5</w:t>
            </w:r>
          </w:p>
        </w:tc>
        <w:tc>
          <w:tcPr>
            <w:tcW w:w="320" w:type="dxa"/>
            <w:vAlign w:val="bottom"/>
            <w:gridSpan w:val="2"/>
            <w:shd w:val="clear" w:color="auto" w:fill="CCEEFF"/>
          </w:tcPr>
          <w:p>
            <w:pPr>
              <w:jc w:val="right"/>
              <w:ind w:right="108"/>
              <w:spacing w:after="0"/>
              <w:rPr>
                <w:sz w:val="20"/>
                <w:szCs w:val="20"/>
                <w:color w:val="auto"/>
              </w:rPr>
            </w:pPr>
            <w:r>
              <w:rPr>
                <w:rFonts w:ascii="Arial" w:cs="Arial" w:eastAsia="Arial" w:hAnsi="Arial"/>
                <w:sz w:val="18"/>
                <w:szCs w:val="18"/>
                <w:color w:val="auto"/>
              </w:rPr>
              <w:t>$</w:t>
            </w:r>
          </w:p>
        </w:tc>
        <w:tc>
          <w:tcPr>
            <w:tcW w:w="118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4,703.3</w:t>
            </w:r>
          </w:p>
        </w:tc>
        <w:tc>
          <w:tcPr>
            <w:tcW w:w="480" w:type="dxa"/>
            <w:vAlign w:val="bottom"/>
            <w:gridSpan w:val="2"/>
            <w:shd w:val="clear" w:color="auto" w:fill="CCEEFF"/>
          </w:tcPr>
          <w:p>
            <w:pPr>
              <w:jc w:val="right"/>
              <w:ind w:right="268"/>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5,824.2</w:t>
            </w:r>
          </w:p>
        </w:tc>
      </w:tr>
      <w:tr>
        <w:trPr>
          <w:trHeight w:val="226"/>
        </w:trPr>
        <w:tc>
          <w:tcPr>
            <w:tcW w:w="5260" w:type="dxa"/>
            <w:vAlign w:val="bottom"/>
          </w:tcPr>
          <w:p>
            <w:pPr>
              <w:spacing w:after="0"/>
              <w:rPr>
                <w:sz w:val="20"/>
                <w:szCs w:val="20"/>
                <w:color w:val="auto"/>
              </w:rPr>
            </w:pPr>
            <w:r>
              <w:rPr>
                <w:rFonts w:ascii="Arial" w:cs="Arial" w:eastAsia="Arial" w:hAnsi="Arial"/>
                <w:sz w:val="18"/>
                <w:szCs w:val="18"/>
                <w:color w:val="auto"/>
              </w:rPr>
              <w:t>Adjusted EBITDA as a % of net sales</w:t>
            </w:r>
          </w:p>
        </w:tc>
        <w:tc>
          <w:tcPr>
            <w:tcW w:w="12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160" w:type="dxa"/>
            <w:vAlign w:val="bottom"/>
            <w:gridSpan w:val="2"/>
          </w:tcPr>
          <w:p>
            <w:pPr>
              <w:jc w:val="right"/>
              <w:ind w:right="60"/>
              <w:spacing w:after="0"/>
              <w:rPr>
                <w:sz w:val="20"/>
                <w:szCs w:val="20"/>
                <w:color w:val="auto"/>
              </w:rPr>
            </w:pPr>
            <w:r>
              <w:rPr>
                <w:rFonts w:ascii="Arial" w:cs="Arial" w:eastAsia="Arial" w:hAnsi="Arial"/>
                <w:sz w:val="18"/>
                <w:szCs w:val="18"/>
                <w:color w:val="auto"/>
              </w:rPr>
              <w:t>3.1%</w:t>
            </w:r>
          </w:p>
        </w:tc>
        <w:tc>
          <w:tcPr>
            <w:tcW w:w="6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1020" w:type="dxa"/>
            <w:vAlign w:val="bottom"/>
            <w:gridSpan w:val="2"/>
          </w:tcPr>
          <w:p>
            <w:pPr>
              <w:jc w:val="right"/>
              <w:ind w:right="60"/>
              <w:spacing w:after="0"/>
              <w:rPr>
                <w:sz w:val="20"/>
                <w:szCs w:val="20"/>
                <w:color w:val="auto"/>
              </w:rPr>
            </w:pPr>
            <w:r>
              <w:rPr>
                <w:rFonts w:ascii="Arial" w:cs="Arial" w:eastAsia="Arial" w:hAnsi="Arial"/>
                <w:sz w:val="18"/>
                <w:szCs w:val="18"/>
                <w:color w:val="auto"/>
              </w:rPr>
              <w:t>2.3%</w:t>
            </w:r>
          </w:p>
        </w:tc>
        <w:tc>
          <w:tcPr>
            <w:tcW w:w="6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180" w:type="dxa"/>
            <w:vAlign w:val="bottom"/>
            <w:gridSpan w:val="2"/>
          </w:tcPr>
          <w:p>
            <w:pPr>
              <w:jc w:val="right"/>
              <w:ind w:right="60"/>
              <w:spacing w:after="0"/>
              <w:rPr>
                <w:sz w:val="20"/>
                <w:szCs w:val="20"/>
                <w:color w:val="auto"/>
              </w:rPr>
            </w:pPr>
            <w:r>
              <w:rPr>
                <w:rFonts w:ascii="Arial" w:cs="Arial" w:eastAsia="Arial" w:hAnsi="Arial"/>
                <w:sz w:val="18"/>
                <w:szCs w:val="18"/>
                <w:color w:val="auto"/>
              </w:rPr>
              <w:t>2.7%</w:t>
            </w:r>
          </w:p>
        </w:tc>
        <w:tc>
          <w:tcPr>
            <w:tcW w:w="6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960" w:type="dxa"/>
            <w:vAlign w:val="bottom"/>
            <w:gridSpan w:val="2"/>
          </w:tcPr>
          <w:p>
            <w:pPr>
              <w:jc w:val="right"/>
              <w:ind w:right="20"/>
              <w:spacing w:after="0"/>
              <w:rPr>
                <w:sz w:val="20"/>
                <w:szCs w:val="20"/>
                <w:color w:val="auto"/>
              </w:rPr>
            </w:pPr>
            <w:r>
              <w:rPr>
                <w:rFonts w:ascii="Arial" w:cs="Arial" w:eastAsia="Arial" w:hAnsi="Arial"/>
                <w:sz w:val="18"/>
                <w:szCs w:val="18"/>
                <w:color w:val="auto"/>
              </w:rPr>
              <w:t>1.9%</w:t>
            </w:r>
          </w:p>
        </w:tc>
      </w:tr>
      <w:tr>
        <w:trPr>
          <w:trHeight w:val="414"/>
        </w:trPr>
        <w:tc>
          <w:tcPr>
            <w:tcW w:w="526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9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420" w:type="dxa"/>
            <w:vAlign w:val="bottom"/>
            <w:tcBorders>
              <w:bottom w:val="single" w:sz="8" w:color="auto"/>
            </w:tcBorders>
          </w:tcPr>
          <w:p>
            <w:pPr>
              <w:spacing w:after="0"/>
              <w:rPr>
                <w:sz w:val="24"/>
                <w:szCs w:val="24"/>
                <w:color w:val="auto"/>
              </w:rPr>
            </w:pPr>
          </w:p>
        </w:tc>
        <w:tc>
          <w:tcPr>
            <w:tcW w:w="82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96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420" w:type="dxa"/>
            <w:vAlign w:val="bottom"/>
            <w:tcBorders>
              <w:bottom w:val="single" w:sz="8" w:color="auto"/>
            </w:tcBorders>
          </w:tcPr>
          <w:p>
            <w:pPr>
              <w:spacing w:after="0"/>
              <w:rPr>
                <w:sz w:val="24"/>
                <w:szCs w:val="24"/>
                <w:color w:val="auto"/>
              </w:rPr>
            </w:pPr>
          </w:p>
        </w:tc>
        <w:tc>
          <w:tcPr>
            <w:tcW w:w="80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r>
    </w:tbl>
    <w:p>
      <w:pPr>
        <w:sectPr>
          <w:pgSz w:w="11900" w:h="16838" w:orient="portrait"/>
          <w:cols w:equalWidth="0" w:num="1">
            <w:col w:w="11240"/>
          </w:cols>
          <w:pgMar w:left="320" w:top="895" w:right="339" w:bottom="1440" w:gutter="0" w:footer="0" w:header="0"/>
        </w:sectPr>
      </w:pPr>
    </w:p>
    <w:bookmarkStart w:id="11" w:name="page12"/>
    <w:bookmarkEnd w:id="11"/>
    <w:p>
      <w:pPr>
        <w:jc w:val="center"/>
        <w:spacing w:after="0"/>
        <w:rPr>
          <w:sz w:val="20"/>
          <w:szCs w:val="20"/>
          <w:color w:val="auto"/>
        </w:rPr>
      </w:pPr>
      <w:r>
        <w:rPr>
          <w:rFonts w:ascii="Arial" w:cs="Arial" w:eastAsia="Arial" w:hAnsi="Arial"/>
          <w:sz w:val="18"/>
          <w:szCs w:val="18"/>
          <w:b w:val="1"/>
          <w:bCs w:val="1"/>
          <w:color w:val="auto"/>
        </w:rPr>
        <w:t>Table II</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VERITIV CORPORATION</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RECONCILIATION OF NON-GAAP MEASURES</w:t>
      </w:r>
    </w:p>
    <w:p>
      <w:pPr>
        <w:spacing w:after="0" w:line="6" w:lineRule="exact"/>
        <w:rPr>
          <w:sz w:val="20"/>
          <w:szCs w:val="20"/>
          <w:color w:val="auto"/>
        </w:rPr>
      </w:pPr>
    </w:p>
    <w:p>
      <w:pPr>
        <w:ind w:left="4820"/>
        <w:spacing w:after="0"/>
        <w:rPr>
          <w:sz w:val="20"/>
          <w:szCs w:val="20"/>
          <w:color w:val="auto"/>
        </w:rPr>
      </w:pPr>
      <w:r>
        <w:rPr>
          <w:rFonts w:ascii="Arial" w:cs="Arial" w:eastAsia="Arial" w:hAnsi="Arial"/>
          <w:sz w:val="18"/>
          <w:szCs w:val="18"/>
          <w:b w:val="1"/>
          <w:bCs w:val="1"/>
          <w:color w:val="auto"/>
        </w:rPr>
        <w:t>FREE CASH FLOW</w:t>
      </w:r>
    </w:p>
    <w:p>
      <w:pPr>
        <w:spacing w:after="0" w:line="6" w:lineRule="exact"/>
        <w:rPr>
          <w:sz w:val="20"/>
          <w:szCs w:val="20"/>
          <w:color w:val="auto"/>
        </w:rPr>
      </w:pPr>
    </w:p>
    <w:p>
      <w:pPr>
        <w:ind w:left="4780"/>
        <w:spacing w:after="0"/>
        <w:rPr>
          <w:sz w:val="20"/>
          <w:szCs w:val="20"/>
          <w:color w:val="auto"/>
        </w:rPr>
      </w:pPr>
      <w:r>
        <w:rPr>
          <w:rFonts w:ascii="Arial" w:cs="Arial" w:eastAsia="Arial" w:hAnsi="Arial"/>
          <w:sz w:val="18"/>
          <w:szCs w:val="18"/>
          <w:color w:val="auto"/>
        </w:rPr>
        <w:t>(in millions, unaudited)</w:t>
      </w:r>
    </w:p>
    <w:p>
      <w:pPr>
        <w:spacing w:after="0" w:line="230" w:lineRule="exact"/>
        <w:rPr>
          <w:sz w:val="20"/>
          <w:szCs w:val="20"/>
          <w:color w:val="auto"/>
        </w:rPr>
      </w:pPr>
    </w:p>
    <w:tbl>
      <w:tblPr>
        <w:tblLayout w:type="fixed"/>
        <w:tblInd w:w="0" w:type="dxa"/>
        <w:tblCellMar>
          <w:top w:w="0" w:type="dxa"/>
          <w:left w:w="0" w:type="dxa"/>
          <w:bottom w:w="0" w:type="dxa"/>
          <w:right w:w="0" w:type="dxa"/>
        </w:tblCellMar>
      </w:tblPr>
      <w:tr>
        <w:trPr>
          <w:trHeight w:val="213"/>
        </w:trPr>
        <w:tc>
          <w:tcPr>
            <w:tcW w:w="6600" w:type="dxa"/>
            <w:vAlign w:val="bottom"/>
          </w:tcPr>
          <w:p>
            <w:pPr>
              <w:spacing w:after="0"/>
              <w:rPr>
                <w:sz w:val="18"/>
                <w:szCs w:val="18"/>
                <w:color w:val="auto"/>
              </w:rPr>
            </w:pPr>
          </w:p>
        </w:tc>
        <w:tc>
          <w:tcPr>
            <w:tcW w:w="4640" w:type="dxa"/>
            <w:vAlign w:val="bottom"/>
            <w:gridSpan w:val="4"/>
          </w:tcPr>
          <w:p>
            <w:pPr>
              <w:ind w:left="2920"/>
              <w:spacing w:after="0"/>
              <w:rPr>
                <w:sz w:val="20"/>
                <w:szCs w:val="20"/>
                <w:color w:val="auto"/>
              </w:rPr>
            </w:pPr>
            <w:r>
              <w:rPr>
                <w:rFonts w:ascii="Arial" w:cs="Arial" w:eastAsia="Arial" w:hAnsi="Arial"/>
                <w:sz w:val="18"/>
                <w:szCs w:val="18"/>
                <w:b w:val="1"/>
                <w:bCs w:val="1"/>
                <w:color w:val="auto"/>
                <w:w w:val="95"/>
              </w:rPr>
              <w:t>Three Months Ended</w:t>
            </w:r>
          </w:p>
        </w:tc>
      </w:tr>
      <w:tr>
        <w:trPr>
          <w:trHeight w:val="231"/>
        </w:trPr>
        <w:tc>
          <w:tcPr>
            <w:tcW w:w="6600" w:type="dxa"/>
            <w:vAlign w:val="bottom"/>
          </w:tcPr>
          <w:p>
            <w:pPr>
              <w:spacing w:after="0"/>
              <w:rPr>
                <w:sz w:val="20"/>
                <w:szCs w:val="20"/>
                <w:color w:val="auto"/>
              </w:rPr>
            </w:pPr>
          </w:p>
        </w:tc>
        <w:tc>
          <w:tcPr>
            <w:tcW w:w="2920" w:type="dxa"/>
            <w:vAlign w:val="bottom"/>
          </w:tcPr>
          <w:p>
            <w:pPr>
              <w:spacing w:after="0"/>
              <w:rPr>
                <w:sz w:val="20"/>
                <w:szCs w:val="20"/>
                <w:color w:val="auto"/>
              </w:rPr>
            </w:pPr>
          </w:p>
        </w:tc>
        <w:tc>
          <w:tcPr>
            <w:tcW w:w="1720" w:type="dxa"/>
            <w:vAlign w:val="bottom"/>
            <w:gridSpan w:val="3"/>
          </w:tcPr>
          <w:p>
            <w:pPr>
              <w:ind w:left="60"/>
              <w:spacing w:after="0"/>
              <w:rPr>
                <w:sz w:val="20"/>
                <w:szCs w:val="20"/>
                <w:color w:val="auto"/>
              </w:rPr>
            </w:pPr>
            <w:r>
              <w:rPr>
                <w:rFonts w:ascii="Arial" w:cs="Arial" w:eastAsia="Arial" w:hAnsi="Arial"/>
                <w:sz w:val="18"/>
                <w:szCs w:val="18"/>
                <w:b w:val="1"/>
                <w:bCs w:val="1"/>
                <w:color w:val="auto"/>
                <w:w w:val="97"/>
              </w:rPr>
              <w:t>September 30, 2020</w:t>
            </w:r>
          </w:p>
        </w:tc>
      </w:tr>
      <w:tr>
        <w:trPr>
          <w:trHeight w:val="208"/>
        </w:trPr>
        <w:tc>
          <w:tcPr>
            <w:tcW w:w="660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Net cash provided by (used for) operating activities</w:t>
            </w:r>
          </w:p>
        </w:tc>
        <w:tc>
          <w:tcPr>
            <w:tcW w:w="2920" w:type="dxa"/>
            <w:vAlign w:val="bottom"/>
            <w:tcBorders>
              <w:top w:val="single" w:sz="8" w:color="CCEEFF"/>
            </w:tcBorders>
            <w:shd w:val="clear" w:color="auto" w:fill="CCEEFF"/>
          </w:tcPr>
          <w:p>
            <w:pPr>
              <w:spacing w:after="0"/>
              <w:rPr>
                <w:sz w:val="18"/>
                <w:szCs w:val="18"/>
                <w:color w:val="auto"/>
              </w:rPr>
            </w:pPr>
          </w:p>
        </w:tc>
        <w:tc>
          <w:tcPr>
            <w:tcW w:w="70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9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54.2</w:t>
            </w:r>
          </w:p>
        </w:tc>
        <w:tc>
          <w:tcPr>
            <w:tcW w:w="100" w:type="dxa"/>
            <w:vAlign w:val="bottom"/>
            <w:tcBorders>
              <w:top w:val="single" w:sz="8" w:color="CCEEFF"/>
            </w:tcBorders>
            <w:shd w:val="clear" w:color="auto" w:fill="CCEEFF"/>
          </w:tcPr>
          <w:p>
            <w:pPr>
              <w:spacing w:after="0"/>
              <w:rPr>
                <w:sz w:val="18"/>
                <w:szCs w:val="18"/>
                <w:color w:val="auto"/>
              </w:rPr>
            </w:pPr>
          </w:p>
        </w:tc>
      </w:tr>
      <w:tr>
        <w:trPr>
          <w:trHeight w:val="227"/>
        </w:trPr>
        <w:tc>
          <w:tcPr>
            <w:tcW w:w="6600" w:type="dxa"/>
            <w:vAlign w:val="bottom"/>
          </w:tcPr>
          <w:p>
            <w:pPr>
              <w:spacing w:after="0"/>
              <w:rPr>
                <w:sz w:val="20"/>
                <w:szCs w:val="20"/>
                <w:color w:val="auto"/>
              </w:rPr>
            </w:pPr>
            <w:r>
              <w:rPr>
                <w:rFonts w:ascii="Arial" w:cs="Arial" w:eastAsia="Arial" w:hAnsi="Arial"/>
                <w:sz w:val="18"/>
                <w:szCs w:val="18"/>
                <w:color w:val="auto"/>
              </w:rPr>
              <w:t>Less: Capital expenditures</w:t>
            </w:r>
          </w:p>
        </w:tc>
        <w:tc>
          <w:tcPr>
            <w:tcW w:w="2920" w:type="dxa"/>
            <w:vAlign w:val="bottom"/>
          </w:tcPr>
          <w:p>
            <w:pPr>
              <w:spacing w:after="0"/>
              <w:rPr>
                <w:sz w:val="19"/>
                <w:szCs w:val="19"/>
                <w:color w:val="auto"/>
              </w:rPr>
            </w:pPr>
          </w:p>
        </w:tc>
        <w:tc>
          <w:tcPr>
            <w:tcW w:w="700" w:type="dxa"/>
            <w:vAlign w:val="bottom"/>
          </w:tcPr>
          <w:p>
            <w:pPr>
              <w:spacing w:after="0"/>
              <w:rPr>
                <w:sz w:val="19"/>
                <w:szCs w:val="19"/>
                <w:color w:val="auto"/>
              </w:rPr>
            </w:pPr>
          </w:p>
        </w:tc>
        <w:tc>
          <w:tcPr>
            <w:tcW w:w="1020" w:type="dxa"/>
            <w:vAlign w:val="bottom"/>
            <w:gridSpan w:val="2"/>
          </w:tcPr>
          <w:p>
            <w:pPr>
              <w:jc w:val="right"/>
              <w:ind w:right="40"/>
              <w:spacing w:after="0"/>
              <w:rPr>
                <w:sz w:val="20"/>
                <w:szCs w:val="20"/>
                <w:color w:val="auto"/>
              </w:rPr>
            </w:pPr>
            <w:r>
              <w:rPr>
                <w:rFonts w:ascii="Arial" w:cs="Arial" w:eastAsia="Arial" w:hAnsi="Arial"/>
                <w:sz w:val="18"/>
                <w:szCs w:val="18"/>
                <w:color w:val="auto"/>
              </w:rPr>
              <w:t>(5.1)</w:t>
            </w:r>
          </w:p>
        </w:tc>
      </w:tr>
      <w:tr>
        <w:trPr>
          <w:trHeight w:val="220"/>
        </w:trPr>
        <w:tc>
          <w:tcPr>
            <w:tcW w:w="6600" w:type="dxa"/>
            <w:vAlign w:val="bottom"/>
            <w:tcBorders>
              <w:top w:val="single" w:sz="8" w:color="CCEEFF"/>
              <w:bottom w:val="single" w:sz="8" w:color="CCEEFF"/>
            </w:tcBorders>
            <w:shd w:val="clear" w:color="auto" w:fill="CCEEFF"/>
          </w:tcPr>
          <w:p>
            <w:pPr>
              <w:spacing w:after="0"/>
              <w:rPr>
                <w:sz w:val="20"/>
                <w:szCs w:val="20"/>
                <w:color w:val="auto"/>
              </w:rPr>
            </w:pPr>
            <w:r>
              <w:rPr>
                <w:rFonts w:ascii="Arial" w:cs="Arial" w:eastAsia="Arial" w:hAnsi="Arial"/>
                <w:sz w:val="18"/>
                <w:szCs w:val="18"/>
                <w:color w:val="auto"/>
              </w:rPr>
              <w:t>Free cash flow</w:t>
            </w:r>
          </w:p>
        </w:tc>
        <w:tc>
          <w:tcPr>
            <w:tcW w:w="2920" w:type="dxa"/>
            <w:vAlign w:val="bottom"/>
            <w:tcBorders>
              <w:top w:val="single" w:sz="8" w:color="CCEEFF"/>
              <w:bottom w:val="single" w:sz="8" w:color="CCEEFF"/>
            </w:tcBorders>
            <w:shd w:val="clear" w:color="auto" w:fill="CCEEFF"/>
          </w:tcPr>
          <w:p>
            <w:pPr>
              <w:spacing w:after="0"/>
              <w:rPr>
                <w:sz w:val="19"/>
                <w:szCs w:val="19"/>
                <w:color w:val="auto"/>
              </w:rPr>
            </w:pPr>
          </w:p>
        </w:tc>
        <w:tc>
          <w:tcPr>
            <w:tcW w:w="700" w:type="dxa"/>
            <w:vAlign w:val="bottom"/>
            <w:tcBorders>
              <w:top w:val="single" w:sz="8" w:color="auto"/>
              <w:bottom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9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49.1</w:t>
            </w:r>
          </w:p>
        </w:tc>
        <w:tc>
          <w:tcPr>
            <w:tcW w:w="100" w:type="dxa"/>
            <w:vAlign w:val="bottom"/>
            <w:tcBorders>
              <w:top w:val="single" w:sz="8" w:color="CCEEFF"/>
              <w:bottom w:val="single" w:sz="8" w:color="CCEEFF"/>
            </w:tcBorders>
            <w:shd w:val="clear" w:color="auto" w:fill="CCEEFF"/>
          </w:tcPr>
          <w:p>
            <w:pPr>
              <w:spacing w:after="0"/>
              <w:rPr>
                <w:sz w:val="19"/>
                <w:szCs w:val="19"/>
                <w:color w:val="auto"/>
              </w:rPr>
            </w:pPr>
          </w:p>
        </w:tc>
      </w:tr>
      <w:tr>
        <w:trPr>
          <w:trHeight w:val="20"/>
        </w:trPr>
        <w:tc>
          <w:tcPr>
            <w:tcW w:w="6600" w:type="dxa"/>
            <w:vAlign w:val="bottom"/>
          </w:tcPr>
          <w:p>
            <w:pPr>
              <w:spacing w:after="0" w:line="20" w:lineRule="exact"/>
              <w:rPr>
                <w:sz w:val="1"/>
                <w:szCs w:val="1"/>
                <w:color w:val="auto"/>
              </w:rPr>
            </w:pPr>
          </w:p>
        </w:tc>
        <w:tc>
          <w:tcPr>
            <w:tcW w:w="2920" w:type="dxa"/>
            <w:vAlign w:val="bottom"/>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9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407"/>
        </w:trPr>
        <w:tc>
          <w:tcPr>
            <w:tcW w:w="6600" w:type="dxa"/>
            <w:vAlign w:val="bottom"/>
            <w:tcBorders>
              <w:bottom w:val="single" w:sz="8" w:color="auto"/>
            </w:tcBorders>
          </w:tcPr>
          <w:p>
            <w:pPr>
              <w:spacing w:after="0"/>
              <w:rPr>
                <w:sz w:val="24"/>
                <w:szCs w:val="24"/>
                <w:color w:val="auto"/>
              </w:rPr>
            </w:pPr>
          </w:p>
        </w:tc>
        <w:tc>
          <w:tcPr>
            <w:tcW w:w="2920" w:type="dxa"/>
            <w:vAlign w:val="bottom"/>
            <w:tcBorders>
              <w:bottom w:val="single" w:sz="8" w:color="auto"/>
            </w:tcBorders>
          </w:tcPr>
          <w:p>
            <w:pPr>
              <w:spacing w:after="0"/>
              <w:rPr>
                <w:sz w:val="24"/>
                <w:szCs w:val="24"/>
                <w:color w:val="auto"/>
              </w:rPr>
            </w:pPr>
          </w:p>
        </w:tc>
        <w:tc>
          <w:tcPr>
            <w:tcW w:w="700" w:type="dxa"/>
            <w:vAlign w:val="bottom"/>
            <w:tcBorders>
              <w:bottom w:val="single" w:sz="8" w:color="auto"/>
            </w:tcBorders>
          </w:tcPr>
          <w:p>
            <w:pPr>
              <w:spacing w:after="0"/>
              <w:rPr>
                <w:sz w:val="24"/>
                <w:szCs w:val="24"/>
                <w:color w:val="auto"/>
              </w:rPr>
            </w:pPr>
          </w:p>
        </w:tc>
        <w:tc>
          <w:tcPr>
            <w:tcW w:w="9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r>
    </w:tbl>
    <w:p>
      <w:pPr>
        <w:sectPr>
          <w:pgSz w:w="11900" w:h="16838" w:orient="portrait"/>
          <w:cols w:equalWidth="0" w:num="1">
            <w:col w:w="11240"/>
          </w:cols>
          <w:pgMar w:left="320" w:top="895" w:right="339" w:bottom="1440" w:gutter="0" w:footer="0" w:header="0"/>
        </w:sectPr>
      </w:pPr>
    </w:p>
    <w:bookmarkStart w:id="12" w:name="page13"/>
    <w:bookmarkEnd w:id="12"/>
    <w:p>
      <w:pPr>
        <w:jc w:val="center"/>
        <w:spacing w:after="0"/>
        <w:rPr>
          <w:sz w:val="20"/>
          <w:szCs w:val="20"/>
          <w:color w:val="auto"/>
        </w:rPr>
      </w:pPr>
      <w:r>
        <w:rPr>
          <w:rFonts w:ascii="Arial" w:cs="Arial" w:eastAsia="Arial" w:hAnsi="Arial"/>
          <w:sz w:val="18"/>
          <w:szCs w:val="18"/>
          <w:b w:val="1"/>
          <w:bCs w:val="1"/>
          <w:color w:val="auto"/>
        </w:rPr>
        <w:t>Table III</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VERITIV CORPORATION</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RECONCILIATION OF NON-GAAP MEASURES</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NET DEBT TO ADJUSTED EBITDA</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(in millions, unaudited)</w:t>
      </w:r>
    </w:p>
    <w:p>
      <w:pPr>
        <w:spacing w:after="0" w:line="243" w:lineRule="exact"/>
        <w:rPr>
          <w:sz w:val="20"/>
          <w:szCs w:val="20"/>
          <w:color w:val="auto"/>
        </w:rPr>
      </w:pPr>
    </w:p>
    <w:tbl>
      <w:tblPr>
        <w:tblLayout w:type="fixed"/>
        <w:tblInd w:w="0" w:type="dxa"/>
        <w:tblCellMar>
          <w:top w:w="0" w:type="dxa"/>
          <w:left w:w="0" w:type="dxa"/>
          <w:bottom w:w="0" w:type="dxa"/>
          <w:right w:w="0" w:type="dxa"/>
        </w:tblCellMar>
      </w:tblPr>
      <w:tr>
        <w:trPr>
          <w:trHeight w:val="231"/>
        </w:trPr>
        <w:tc>
          <w:tcPr>
            <w:tcW w:w="7960" w:type="dxa"/>
            <w:vAlign w:val="bottom"/>
          </w:tcPr>
          <w:p>
            <w:pPr>
              <w:spacing w:after="0"/>
              <w:rPr>
                <w:sz w:val="20"/>
                <w:szCs w:val="20"/>
                <w:color w:val="auto"/>
              </w:rPr>
            </w:pPr>
          </w:p>
        </w:tc>
        <w:tc>
          <w:tcPr>
            <w:tcW w:w="1640" w:type="dxa"/>
            <w:vAlign w:val="bottom"/>
            <w:gridSpan w:val="3"/>
          </w:tcPr>
          <w:p>
            <w:pPr>
              <w:spacing w:after="0"/>
              <w:rPr>
                <w:sz w:val="20"/>
                <w:szCs w:val="20"/>
                <w:color w:val="auto"/>
              </w:rPr>
            </w:pPr>
            <w:r>
              <w:rPr>
                <w:rFonts w:ascii="Arial" w:cs="Arial" w:eastAsia="Arial" w:hAnsi="Arial"/>
                <w:sz w:val="18"/>
                <w:szCs w:val="18"/>
                <w:b w:val="1"/>
                <w:bCs w:val="1"/>
                <w:color w:val="auto"/>
                <w:w w:val="96"/>
              </w:rPr>
              <w:t>September 30, 2020</w:t>
            </w:r>
          </w:p>
        </w:tc>
        <w:tc>
          <w:tcPr>
            <w:tcW w:w="1640" w:type="dxa"/>
            <w:vAlign w:val="bottom"/>
            <w:gridSpan w:val="4"/>
          </w:tcPr>
          <w:p>
            <w:pPr>
              <w:ind w:left="60"/>
              <w:spacing w:after="0"/>
              <w:rPr>
                <w:sz w:val="20"/>
                <w:szCs w:val="20"/>
                <w:color w:val="auto"/>
              </w:rPr>
            </w:pPr>
            <w:r>
              <w:rPr>
                <w:rFonts w:ascii="Arial" w:cs="Arial" w:eastAsia="Arial" w:hAnsi="Arial"/>
                <w:sz w:val="18"/>
                <w:szCs w:val="18"/>
                <w:b w:val="1"/>
                <w:bCs w:val="1"/>
                <w:color w:val="auto"/>
                <w:w w:val="92"/>
              </w:rPr>
              <w:t>September 30, 2019</w:t>
            </w:r>
          </w:p>
        </w:tc>
      </w:tr>
      <w:tr>
        <w:trPr>
          <w:trHeight w:val="208"/>
        </w:trPr>
        <w:tc>
          <w:tcPr>
            <w:tcW w:w="796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Amount drawn on ABL Facility</w:t>
            </w:r>
          </w:p>
        </w:tc>
        <w:tc>
          <w:tcPr>
            <w:tcW w:w="56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9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521.0</w:t>
            </w:r>
          </w:p>
        </w:tc>
        <w:tc>
          <w:tcPr>
            <w:tcW w:w="160" w:type="dxa"/>
            <w:vAlign w:val="bottom"/>
            <w:tcBorders>
              <w:top w:val="single" w:sz="8" w:color="CCEEFF"/>
            </w:tcBorders>
            <w:shd w:val="clear" w:color="auto" w:fill="CCEEFF"/>
          </w:tcPr>
          <w:p>
            <w:pPr>
              <w:spacing w:after="0"/>
              <w:rPr>
                <w:sz w:val="18"/>
                <w:szCs w:val="18"/>
                <w:color w:val="auto"/>
              </w:rPr>
            </w:pPr>
          </w:p>
        </w:tc>
        <w:tc>
          <w:tcPr>
            <w:tcW w:w="60" w:type="dxa"/>
            <w:vAlign w:val="bottom"/>
            <w:tcBorders>
              <w:top w:val="single" w:sz="8" w:color="CCEEFF"/>
            </w:tcBorders>
            <w:shd w:val="clear" w:color="auto" w:fill="CCEEFF"/>
          </w:tcPr>
          <w:p>
            <w:pPr>
              <w:spacing w:after="0"/>
              <w:rPr>
                <w:sz w:val="18"/>
                <w:szCs w:val="18"/>
                <w:color w:val="auto"/>
              </w:rPr>
            </w:pPr>
          </w:p>
        </w:tc>
        <w:tc>
          <w:tcPr>
            <w:tcW w:w="58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9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665.4</w:t>
            </w:r>
          </w:p>
        </w:tc>
        <w:tc>
          <w:tcPr>
            <w:tcW w:w="100" w:type="dxa"/>
            <w:vAlign w:val="bottom"/>
            <w:tcBorders>
              <w:top w:val="single" w:sz="8" w:color="CCEEFF"/>
            </w:tcBorders>
            <w:shd w:val="clear" w:color="auto" w:fill="CCEEFF"/>
          </w:tcPr>
          <w:p>
            <w:pPr>
              <w:spacing w:after="0"/>
              <w:rPr>
                <w:sz w:val="18"/>
                <w:szCs w:val="18"/>
                <w:color w:val="auto"/>
              </w:rPr>
            </w:pPr>
          </w:p>
        </w:tc>
      </w:tr>
      <w:tr>
        <w:trPr>
          <w:trHeight w:val="227"/>
        </w:trPr>
        <w:tc>
          <w:tcPr>
            <w:tcW w:w="7960" w:type="dxa"/>
            <w:vAlign w:val="bottom"/>
          </w:tcPr>
          <w:p>
            <w:pPr>
              <w:spacing w:after="0"/>
              <w:rPr>
                <w:sz w:val="20"/>
                <w:szCs w:val="20"/>
                <w:color w:val="auto"/>
              </w:rPr>
            </w:pPr>
            <w:r>
              <w:rPr>
                <w:rFonts w:ascii="Arial" w:cs="Arial" w:eastAsia="Arial" w:hAnsi="Arial"/>
                <w:sz w:val="18"/>
                <w:szCs w:val="18"/>
                <w:color w:val="auto"/>
              </w:rPr>
              <w:t>Less: Cash and cash equivalents</w:t>
            </w:r>
          </w:p>
        </w:tc>
        <w:tc>
          <w:tcPr>
            <w:tcW w:w="560" w:type="dxa"/>
            <w:vAlign w:val="bottom"/>
          </w:tcPr>
          <w:p>
            <w:pPr>
              <w:spacing w:after="0"/>
              <w:rPr>
                <w:sz w:val="19"/>
                <w:szCs w:val="19"/>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(112.5)</w:t>
            </w:r>
          </w:p>
        </w:tc>
        <w:tc>
          <w:tcPr>
            <w:tcW w:w="60" w:type="dxa"/>
            <w:vAlign w:val="bottom"/>
          </w:tcPr>
          <w:p>
            <w:pPr>
              <w:spacing w:after="0"/>
              <w:rPr>
                <w:sz w:val="19"/>
                <w:szCs w:val="19"/>
                <w:color w:val="auto"/>
              </w:rPr>
            </w:pPr>
          </w:p>
        </w:tc>
        <w:tc>
          <w:tcPr>
            <w:tcW w:w="580" w:type="dxa"/>
            <w:vAlign w:val="bottom"/>
          </w:tcPr>
          <w:p>
            <w:pPr>
              <w:spacing w:after="0"/>
              <w:rPr>
                <w:sz w:val="19"/>
                <w:szCs w:val="19"/>
                <w:color w:val="auto"/>
              </w:rPr>
            </w:pPr>
          </w:p>
        </w:tc>
        <w:tc>
          <w:tcPr>
            <w:tcW w:w="1000" w:type="dxa"/>
            <w:vAlign w:val="bottom"/>
            <w:gridSpan w:val="2"/>
          </w:tcPr>
          <w:p>
            <w:pPr>
              <w:jc w:val="right"/>
              <w:ind w:right="40"/>
              <w:spacing w:after="0"/>
              <w:rPr>
                <w:sz w:val="20"/>
                <w:szCs w:val="20"/>
                <w:color w:val="auto"/>
              </w:rPr>
            </w:pPr>
            <w:r>
              <w:rPr>
                <w:rFonts w:ascii="Arial" w:cs="Arial" w:eastAsia="Arial" w:hAnsi="Arial"/>
                <w:sz w:val="18"/>
                <w:szCs w:val="18"/>
                <w:color w:val="auto"/>
              </w:rPr>
              <w:t>(59.3)</w:t>
            </w:r>
          </w:p>
        </w:tc>
      </w:tr>
      <w:tr>
        <w:trPr>
          <w:trHeight w:val="207"/>
        </w:trPr>
        <w:tc>
          <w:tcPr>
            <w:tcW w:w="796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Net debt</w:t>
            </w:r>
          </w:p>
        </w:tc>
        <w:tc>
          <w:tcPr>
            <w:tcW w:w="560" w:type="dxa"/>
            <w:vAlign w:val="bottom"/>
            <w:tcBorders>
              <w:top w:val="single" w:sz="8" w:color="auto"/>
            </w:tcBorders>
            <w:shd w:val="clear" w:color="auto" w:fill="CCEEFF"/>
          </w:tcPr>
          <w:p>
            <w:pPr>
              <w:spacing w:after="0"/>
              <w:rPr>
                <w:sz w:val="18"/>
                <w:szCs w:val="18"/>
                <w:color w:val="auto"/>
              </w:rPr>
            </w:pPr>
          </w:p>
        </w:tc>
        <w:tc>
          <w:tcPr>
            <w:tcW w:w="9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408.5</w:t>
            </w:r>
          </w:p>
        </w:tc>
        <w:tc>
          <w:tcPr>
            <w:tcW w:w="160" w:type="dxa"/>
            <w:vAlign w:val="bottom"/>
            <w:tcBorders>
              <w:top w:val="single" w:sz="8" w:color="CCEEFF"/>
            </w:tcBorders>
            <w:shd w:val="clear" w:color="auto" w:fill="CCEEFF"/>
          </w:tcPr>
          <w:p>
            <w:pPr>
              <w:spacing w:after="0"/>
              <w:rPr>
                <w:sz w:val="18"/>
                <w:szCs w:val="18"/>
                <w:color w:val="auto"/>
              </w:rPr>
            </w:pPr>
          </w:p>
        </w:tc>
        <w:tc>
          <w:tcPr>
            <w:tcW w:w="60" w:type="dxa"/>
            <w:vAlign w:val="bottom"/>
            <w:tcBorders>
              <w:top w:val="single" w:sz="8" w:color="CCEEFF"/>
            </w:tcBorders>
            <w:shd w:val="clear" w:color="auto" w:fill="CCEEFF"/>
          </w:tcPr>
          <w:p>
            <w:pPr>
              <w:spacing w:after="0"/>
              <w:rPr>
                <w:sz w:val="18"/>
                <w:szCs w:val="18"/>
                <w:color w:val="auto"/>
              </w:rPr>
            </w:pPr>
          </w:p>
        </w:tc>
        <w:tc>
          <w:tcPr>
            <w:tcW w:w="580" w:type="dxa"/>
            <w:vAlign w:val="bottom"/>
            <w:tcBorders>
              <w:top w:val="single" w:sz="8" w:color="auto"/>
            </w:tcBorders>
            <w:shd w:val="clear" w:color="auto" w:fill="CCEEFF"/>
          </w:tcPr>
          <w:p>
            <w:pPr>
              <w:spacing w:after="0"/>
              <w:rPr>
                <w:sz w:val="18"/>
                <w:szCs w:val="18"/>
                <w:color w:val="auto"/>
              </w:rPr>
            </w:pPr>
          </w:p>
        </w:tc>
        <w:tc>
          <w:tcPr>
            <w:tcW w:w="9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606.1</w:t>
            </w:r>
          </w:p>
        </w:tc>
        <w:tc>
          <w:tcPr>
            <w:tcW w:w="100" w:type="dxa"/>
            <w:vAlign w:val="bottom"/>
            <w:tcBorders>
              <w:top w:val="single" w:sz="8" w:color="CCEEFF"/>
            </w:tcBorders>
            <w:shd w:val="clear" w:color="auto" w:fill="CCEEFF"/>
          </w:tcPr>
          <w:p>
            <w:pPr>
              <w:spacing w:after="0"/>
              <w:rPr>
                <w:sz w:val="18"/>
                <w:szCs w:val="18"/>
                <w:color w:val="auto"/>
              </w:rPr>
            </w:pPr>
          </w:p>
        </w:tc>
      </w:tr>
      <w:tr>
        <w:trPr>
          <w:trHeight w:val="213"/>
        </w:trPr>
        <w:tc>
          <w:tcPr>
            <w:tcW w:w="796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13"/>
        </w:trPr>
        <w:tc>
          <w:tcPr>
            <w:tcW w:w="7960" w:type="dxa"/>
            <w:vAlign w:val="bottom"/>
            <w:shd w:val="clear" w:color="auto" w:fill="CCEEFF"/>
          </w:tcPr>
          <w:p>
            <w:pPr>
              <w:spacing w:after="0"/>
              <w:rPr>
                <w:sz w:val="20"/>
                <w:szCs w:val="20"/>
                <w:color w:val="auto"/>
              </w:rPr>
            </w:pPr>
            <w:r>
              <w:rPr>
                <w:rFonts w:ascii="Arial" w:cs="Arial" w:eastAsia="Arial" w:hAnsi="Arial"/>
                <w:sz w:val="18"/>
                <w:szCs w:val="18"/>
                <w:color w:val="auto"/>
              </w:rPr>
              <w:t>Last Twelve Months Adjusted EBITDA</w:t>
            </w:r>
          </w:p>
        </w:tc>
        <w:tc>
          <w:tcPr>
            <w:tcW w:w="56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10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173.1</w:t>
            </w:r>
          </w:p>
        </w:tc>
        <w:tc>
          <w:tcPr>
            <w:tcW w:w="640" w:type="dxa"/>
            <w:vAlign w:val="bottom"/>
            <w:gridSpan w:val="2"/>
            <w:shd w:val="clear" w:color="auto" w:fill="CCEEFF"/>
          </w:tcPr>
          <w:p>
            <w:pPr>
              <w:ind w:left="60"/>
              <w:spacing w:after="0"/>
              <w:rPr>
                <w:sz w:val="20"/>
                <w:szCs w:val="20"/>
                <w:color w:val="auto"/>
              </w:rPr>
            </w:pPr>
            <w:r>
              <w:rPr>
                <w:rFonts w:ascii="Arial" w:cs="Arial" w:eastAsia="Arial" w:hAnsi="Arial"/>
                <w:sz w:val="18"/>
                <w:szCs w:val="18"/>
                <w:color w:val="auto"/>
              </w:rPr>
              <w:t>$</w:t>
            </w:r>
          </w:p>
        </w:tc>
        <w:tc>
          <w:tcPr>
            <w:tcW w:w="10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166.3</w:t>
            </w:r>
          </w:p>
        </w:tc>
      </w:tr>
      <w:tr>
        <w:trPr>
          <w:trHeight w:val="213"/>
        </w:trPr>
        <w:tc>
          <w:tcPr>
            <w:tcW w:w="796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13"/>
        </w:trPr>
        <w:tc>
          <w:tcPr>
            <w:tcW w:w="7960" w:type="dxa"/>
            <w:vAlign w:val="bottom"/>
            <w:shd w:val="clear" w:color="auto" w:fill="CCEEFF"/>
          </w:tcPr>
          <w:p>
            <w:pPr>
              <w:spacing w:after="0"/>
              <w:rPr>
                <w:sz w:val="20"/>
                <w:szCs w:val="20"/>
                <w:color w:val="auto"/>
              </w:rPr>
            </w:pPr>
            <w:r>
              <w:rPr>
                <w:rFonts w:ascii="Arial" w:cs="Arial" w:eastAsia="Arial" w:hAnsi="Arial"/>
                <w:sz w:val="18"/>
                <w:szCs w:val="18"/>
                <w:color w:val="auto"/>
              </w:rPr>
              <w:t>Net debt to Adjusted EBITDA</w:t>
            </w:r>
          </w:p>
        </w:tc>
        <w:tc>
          <w:tcPr>
            <w:tcW w:w="56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2.4x</w:t>
            </w:r>
          </w:p>
        </w:tc>
        <w:tc>
          <w:tcPr>
            <w:tcW w:w="6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10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3.6x</w:t>
            </w:r>
          </w:p>
        </w:tc>
      </w:tr>
    </w:tbl>
    <w:p>
      <w:pPr>
        <w:spacing w:after="0" w:line="222" w:lineRule="exact"/>
        <w:rPr>
          <w:sz w:val="20"/>
          <w:szCs w:val="20"/>
          <w:color w:val="auto"/>
        </w:rPr>
      </w:pPr>
    </w:p>
    <w:tbl>
      <w:tblPr>
        <w:tblLayout w:type="fixed"/>
        <w:tblInd w:w="0" w:type="dxa"/>
        <w:tblCellMar>
          <w:top w:w="0" w:type="dxa"/>
          <w:left w:w="0" w:type="dxa"/>
          <w:bottom w:w="0" w:type="dxa"/>
          <w:right w:w="0" w:type="dxa"/>
        </w:tblCellMar>
      </w:tblPr>
      <w:tr>
        <w:trPr>
          <w:trHeight w:val="227"/>
        </w:trPr>
        <w:tc>
          <w:tcPr>
            <w:tcW w:w="6500" w:type="dxa"/>
            <w:vAlign w:val="bottom"/>
          </w:tcPr>
          <w:p>
            <w:pPr>
              <w:spacing w:after="0"/>
              <w:rPr>
                <w:sz w:val="19"/>
                <w:szCs w:val="19"/>
                <w:color w:val="auto"/>
              </w:rPr>
            </w:pPr>
          </w:p>
        </w:tc>
        <w:tc>
          <w:tcPr>
            <w:tcW w:w="3100" w:type="dxa"/>
            <w:vAlign w:val="bottom"/>
            <w:gridSpan w:val="4"/>
          </w:tcPr>
          <w:p>
            <w:pPr>
              <w:ind w:left="1360"/>
              <w:spacing w:after="0"/>
              <w:rPr>
                <w:sz w:val="20"/>
                <w:szCs w:val="20"/>
                <w:color w:val="auto"/>
              </w:rPr>
            </w:pPr>
            <w:r>
              <w:rPr>
                <w:rFonts w:ascii="Arial" w:cs="Arial" w:eastAsia="Arial" w:hAnsi="Arial"/>
                <w:sz w:val="18"/>
                <w:szCs w:val="18"/>
                <w:b w:val="1"/>
                <w:bCs w:val="1"/>
                <w:color w:val="auto"/>
              </w:rPr>
              <w:t>Last Twelve Months</w:t>
            </w:r>
          </w:p>
        </w:tc>
        <w:tc>
          <w:tcPr>
            <w:tcW w:w="1640" w:type="dxa"/>
            <w:vAlign w:val="bottom"/>
            <w:gridSpan w:val="4"/>
          </w:tcPr>
          <w:p>
            <w:pPr>
              <w:spacing w:after="0"/>
              <w:rPr>
                <w:sz w:val="20"/>
                <w:szCs w:val="20"/>
                <w:color w:val="auto"/>
              </w:rPr>
            </w:pPr>
            <w:r>
              <w:rPr>
                <w:rFonts w:ascii="Arial" w:cs="Arial" w:eastAsia="Arial" w:hAnsi="Arial"/>
                <w:sz w:val="18"/>
                <w:szCs w:val="18"/>
                <w:b w:val="1"/>
                <w:bCs w:val="1"/>
                <w:color w:val="auto"/>
                <w:w w:val="94"/>
              </w:rPr>
              <w:t>Last Twelve Months</w:t>
            </w:r>
          </w:p>
        </w:tc>
      </w:tr>
      <w:tr>
        <w:trPr>
          <w:trHeight w:val="231"/>
        </w:trPr>
        <w:tc>
          <w:tcPr>
            <w:tcW w:w="6500" w:type="dxa"/>
            <w:vAlign w:val="bottom"/>
          </w:tcPr>
          <w:p>
            <w:pPr>
              <w:spacing w:after="0"/>
              <w:rPr>
                <w:sz w:val="20"/>
                <w:szCs w:val="20"/>
                <w:color w:val="auto"/>
              </w:rPr>
            </w:pPr>
          </w:p>
        </w:tc>
        <w:tc>
          <w:tcPr>
            <w:tcW w:w="1360" w:type="dxa"/>
            <w:vAlign w:val="bottom"/>
          </w:tcPr>
          <w:p>
            <w:pPr>
              <w:spacing w:after="0"/>
              <w:rPr>
                <w:sz w:val="20"/>
                <w:szCs w:val="20"/>
                <w:color w:val="auto"/>
              </w:rPr>
            </w:pPr>
          </w:p>
        </w:tc>
        <w:tc>
          <w:tcPr>
            <w:tcW w:w="1740" w:type="dxa"/>
            <w:vAlign w:val="bottom"/>
            <w:gridSpan w:val="3"/>
          </w:tcPr>
          <w:p>
            <w:pPr>
              <w:jc w:val="right"/>
              <w:ind w:right="240"/>
              <w:spacing w:after="0"/>
              <w:rPr>
                <w:sz w:val="20"/>
                <w:szCs w:val="20"/>
                <w:color w:val="auto"/>
              </w:rPr>
            </w:pPr>
            <w:r>
              <w:rPr>
                <w:rFonts w:ascii="Arial" w:cs="Arial" w:eastAsia="Arial" w:hAnsi="Arial"/>
                <w:sz w:val="18"/>
                <w:szCs w:val="18"/>
                <w:b w:val="1"/>
                <w:bCs w:val="1"/>
                <w:color w:val="auto"/>
                <w:w w:val="88"/>
              </w:rPr>
              <w:t>September 30, 2020</w:t>
            </w:r>
          </w:p>
        </w:tc>
        <w:tc>
          <w:tcPr>
            <w:tcW w:w="1640" w:type="dxa"/>
            <w:vAlign w:val="bottom"/>
            <w:gridSpan w:val="4"/>
          </w:tcPr>
          <w:p>
            <w:pPr>
              <w:ind w:left="20"/>
              <w:spacing w:after="0"/>
              <w:rPr>
                <w:sz w:val="20"/>
                <w:szCs w:val="20"/>
                <w:color w:val="auto"/>
              </w:rPr>
            </w:pPr>
            <w:r>
              <w:rPr>
                <w:rFonts w:ascii="Arial" w:cs="Arial" w:eastAsia="Arial" w:hAnsi="Arial"/>
                <w:sz w:val="18"/>
                <w:szCs w:val="18"/>
                <w:b w:val="1"/>
                <w:bCs w:val="1"/>
                <w:color w:val="auto"/>
                <w:w w:val="95"/>
              </w:rPr>
              <w:t>September 30, 2019</w:t>
            </w:r>
          </w:p>
        </w:tc>
      </w:tr>
      <w:tr>
        <w:trPr>
          <w:trHeight w:val="208"/>
        </w:trPr>
        <w:tc>
          <w:tcPr>
            <w:tcW w:w="650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Net income (loss)</w:t>
            </w:r>
          </w:p>
        </w:tc>
        <w:tc>
          <w:tcPr>
            <w:tcW w:w="1360" w:type="dxa"/>
            <w:vAlign w:val="bottom"/>
            <w:tcBorders>
              <w:top w:val="single" w:sz="8" w:color="CCEEFF"/>
            </w:tcBorders>
            <w:shd w:val="clear" w:color="auto" w:fill="CCEEFF"/>
          </w:tcPr>
          <w:p>
            <w:pPr>
              <w:spacing w:after="0"/>
              <w:rPr>
                <w:sz w:val="18"/>
                <w:szCs w:val="18"/>
                <w:color w:val="auto"/>
              </w:rPr>
            </w:pPr>
          </w:p>
        </w:tc>
        <w:tc>
          <w:tcPr>
            <w:tcW w:w="60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9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5.6</w:t>
            </w:r>
          </w:p>
        </w:tc>
        <w:tc>
          <w:tcPr>
            <w:tcW w:w="220" w:type="dxa"/>
            <w:vAlign w:val="bottom"/>
            <w:tcBorders>
              <w:top w:val="single" w:sz="8" w:color="CCEEFF"/>
            </w:tcBorders>
            <w:shd w:val="clear" w:color="auto" w:fill="CCEEFF"/>
          </w:tcPr>
          <w:p>
            <w:pPr>
              <w:spacing w:after="0"/>
              <w:rPr>
                <w:sz w:val="18"/>
                <w:szCs w:val="18"/>
                <w:color w:val="auto"/>
              </w:rPr>
            </w:pPr>
          </w:p>
        </w:tc>
        <w:tc>
          <w:tcPr>
            <w:tcW w:w="62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9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(23.6)</w:t>
            </w:r>
          </w:p>
        </w:tc>
        <w:tc>
          <w:tcPr>
            <w:tcW w:w="100" w:type="dxa"/>
            <w:vAlign w:val="bottom"/>
            <w:tcBorders>
              <w:top w:val="single" w:sz="8" w:color="CCEEFF"/>
            </w:tcBorders>
            <w:gridSpan w:val="2"/>
            <w:shd w:val="clear" w:color="auto" w:fill="CCEEFF"/>
          </w:tcPr>
          <w:p>
            <w:pPr>
              <w:spacing w:after="0"/>
              <w:rPr>
                <w:sz w:val="18"/>
                <w:szCs w:val="18"/>
                <w:color w:val="auto"/>
              </w:rPr>
            </w:pPr>
          </w:p>
        </w:tc>
      </w:tr>
      <w:tr>
        <w:trPr>
          <w:trHeight w:val="213"/>
        </w:trPr>
        <w:tc>
          <w:tcPr>
            <w:tcW w:w="6500" w:type="dxa"/>
            <w:vAlign w:val="bottom"/>
          </w:tcPr>
          <w:p>
            <w:pPr>
              <w:spacing w:after="0"/>
              <w:rPr>
                <w:sz w:val="20"/>
                <w:szCs w:val="20"/>
                <w:color w:val="auto"/>
              </w:rPr>
            </w:pPr>
            <w:r>
              <w:rPr>
                <w:rFonts w:ascii="Arial" w:cs="Arial" w:eastAsia="Arial" w:hAnsi="Arial"/>
                <w:sz w:val="18"/>
                <w:szCs w:val="18"/>
                <w:color w:val="auto"/>
              </w:rPr>
              <w:t>Interest expense, net</w:t>
            </w:r>
          </w:p>
        </w:tc>
        <w:tc>
          <w:tcPr>
            <w:tcW w:w="136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140" w:type="dxa"/>
            <w:vAlign w:val="bottom"/>
            <w:gridSpan w:val="2"/>
          </w:tcPr>
          <w:p>
            <w:pPr>
              <w:jc w:val="right"/>
              <w:ind w:right="220"/>
              <w:spacing w:after="0"/>
              <w:rPr>
                <w:sz w:val="20"/>
                <w:szCs w:val="20"/>
                <w:color w:val="auto"/>
              </w:rPr>
            </w:pPr>
            <w:r>
              <w:rPr>
                <w:rFonts w:ascii="Arial" w:cs="Arial" w:eastAsia="Arial" w:hAnsi="Arial"/>
                <w:sz w:val="18"/>
                <w:szCs w:val="18"/>
                <w:color w:val="auto"/>
              </w:rPr>
              <w:t>27.3</w:t>
            </w:r>
          </w:p>
        </w:tc>
        <w:tc>
          <w:tcPr>
            <w:tcW w:w="620" w:type="dxa"/>
            <w:vAlign w:val="bottom"/>
          </w:tcPr>
          <w:p>
            <w:pPr>
              <w:spacing w:after="0"/>
              <w:rPr>
                <w:sz w:val="18"/>
                <w:szCs w:val="18"/>
                <w:color w:val="auto"/>
              </w:rPr>
            </w:pPr>
          </w:p>
        </w:tc>
        <w:tc>
          <w:tcPr>
            <w:tcW w:w="940" w:type="dxa"/>
            <w:vAlign w:val="bottom"/>
            <w:gridSpan w:val="2"/>
          </w:tcPr>
          <w:p>
            <w:pPr>
              <w:jc w:val="right"/>
              <w:ind w:right="20"/>
              <w:spacing w:after="0"/>
              <w:rPr>
                <w:sz w:val="20"/>
                <w:szCs w:val="20"/>
                <w:color w:val="auto"/>
              </w:rPr>
            </w:pPr>
            <w:r>
              <w:rPr>
                <w:rFonts w:ascii="Arial" w:cs="Arial" w:eastAsia="Arial" w:hAnsi="Arial"/>
                <w:sz w:val="18"/>
                <w:szCs w:val="18"/>
                <w:color w:val="auto"/>
              </w:rPr>
              <w:t>42.3</w:t>
            </w:r>
          </w:p>
        </w:tc>
        <w:tc>
          <w:tcPr>
            <w:tcW w:w="80" w:type="dxa"/>
            <w:vAlign w:val="bottom"/>
          </w:tcPr>
          <w:p>
            <w:pPr>
              <w:spacing w:after="0"/>
              <w:rPr>
                <w:sz w:val="18"/>
                <w:szCs w:val="18"/>
                <w:color w:val="auto"/>
              </w:rPr>
            </w:pPr>
          </w:p>
        </w:tc>
      </w:tr>
      <w:tr>
        <w:trPr>
          <w:trHeight w:val="213"/>
        </w:trPr>
        <w:tc>
          <w:tcPr>
            <w:tcW w:w="6500" w:type="dxa"/>
            <w:vAlign w:val="bottom"/>
            <w:shd w:val="clear" w:color="auto" w:fill="CCEEFF"/>
          </w:tcPr>
          <w:p>
            <w:pPr>
              <w:spacing w:after="0"/>
              <w:rPr>
                <w:sz w:val="20"/>
                <w:szCs w:val="20"/>
                <w:color w:val="auto"/>
              </w:rPr>
            </w:pPr>
            <w:r>
              <w:rPr>
                <w:rFonts w:ascii="Arial" w:cs="Arial" w:eastAsia="Arial" w:hAnsi="Arial"/>
                <w:sz w:val="18"/>
                <w:szCs w:val="18"/>
                <w:color w:val="auto"/>
              </w:rPr>
              <w:t>Income tax expense (benefit)</w:t>
            </w:r>
          </w:p>
        </w:tc>
        <w:tc>
          <w:tcPr>
            <w:tcW w:w="136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0.3</w:t>
            </w:r>
          </w:p>
        </w:tc>
        <w:tc>
          <w:tcPr>
            <w:tcW w:w="22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6.8</w:t>
            </w:r>
          </w:p>
        </w:tc>
        <w:tc>
          <w:tcPr>
            <w:tcW w:w="80" w:type="dxa"/>
            <w:vAlign w:val="bottom"/>
            <w:shd w:val="clear" w:color="auto" w:fill="CCEEFF"/>
          </w:tcPr>
          <w:p>
            <w:pPr>
              <w:spacing w:after="0"/>
              <w:rPr>
                <w:sz w:val="18"/>
                <w:szCs w:val="18"/>
                <w:color w:val="auto"/>
              </w:rPr>
            </w:pPr>
          </w:p>
        </w:tc>
      </w:tr>
      <w:tr>
        <w:trPr>
          <w:trHeight w:val="227"/>
        </w:trPr>
        <w:tc>
          <w:tcPr>
            <w:tcW w:w="6500" w:type="dxa"/>
            <w:vAlign w:val="bottom"/>
          </w:tcPr>
          <w:p>
            <w:pPr>
              <w:spacing w:after="0"/>
              <w:rPr>
                <w:sz w:val="20"/>
                <w:szCs w:val="20"/>
                <w:color w:val="auto"/>
              </w:rPr>
            </w:pPr>
            <w:r>
              <w:rPr>
                <w:rFonts w:ascii="Arial" w:cs="Arial" w:eastAsia="Arial" w:hAnsi="Arial"/>
                <w:sz w:val="18"/>
                <w:szCs w:val="18"/>
                <w:color w:val="auto"/>
              </w:rPr>
              <w:t>Depreciation and amortization</w:t>
            </w:r>
          </w:p>
        </w:tc>
        <w:tc>
          <w:tcPr>
            <w:tcW w:w="1360" w:type="dxa"/>
            <w:vAlign w:val="bottom"/>
          </w:tcPr>
          <w:p>
            <w:pPr>
              <w:spacing w:after="0"/>
              <w:rPr>
                <w:sz w:val="19"/>
                <w:szCs w:val="19"/>
                <w:color w:val="auto"/>
              </w:rPr>
            </w:pPr>
          </w:p>
        </w:tc>
        <w:tc>
          <w:tcPr>
            <w:tcW w:w="600" w:type="dxa"/>
            <w:vAlign w:val="bottom"/>
          </w:tcPr>
          <w:p>
            <w:pPr>
              <w:spacing w:after="0"/>
              <w:rPr>
                <w:sz w:val="19"/>
                <w:szCs w:val="19"/>
                <w:color w:val="auto"/>
              </w:rPr>
            </w:pPr>
          </w:p>
        </w:tc>
        <w:tc>
          <w:tcPr>
            <w:tcW w:w="1140" w:type="dxa"/>
            <w:vAlign w:val="bottom"/>
            <w:gridSpan w:val="2"/>
          </w:tcPr>
          <w:p>
            <w:pPr>
              <w:jc w:val="right"/>
              <w:ind w:right="220"/>
              <w:spacing w:after="0"/>
              <w:rPr>
                <w:sz w:val="20"/>
                <w:szCs w:val="20"/>
                <w:color w:val="auto"/>
              </w:rPr>
            </w:pPr>
            <w:r>
              <w:rPr>
                <w:rFonts w:ascii="Arial" w:cs="Arial" w:eastAsia="Arial" w:hAnsi="Arial"/>
                <w:sz w:val="18"/>
                <w:szCs w:val="18"/>
                <w:color w:val="auto"/>
              </w:rPr>
              <w:t>57.1</w:t>
            </w:r>
          </w:p>
        </w:tc>
        <w:tc>
          <w:tcPr>
            <w:tcW w:w="620" w:type="dxa"/>
            <w:vAlign w:val="bottom"/>
          </w:tcPr>
          <w:p>
            <w:pPr>
              <w:spacing w:after="0"/>
              <w:rPr>
                <w:sz w:val="19"/>
                <w:szCs w:val="19"/>
                <w:color w:val="auto"/>
              </w:rPr>
            </w:pPr>
          </w:p>
        </w:tc>
        <w:tc>
          <w:tcPr>
            <w:tcW w:w="940" w:type="dxa"/>
            <w:vAlign w:val="bottom"/>
            <w:gridSpan w:val="2"/>
          </w:tcPr>
          <w:p>
            <w:pPr>
              <w:jc w:val="right"/>
              <w:ind w:right="20"/>
              <w:spacing w:after="0"/>
              <w:rPr>
                <w:sz w:val="20"/>
                <w:szCs w:val="20"/>
                <w:color w:val="auto"/>
              </w:rPr>
            </w:pPr>
            <w:r>
              <w:rPr>
                <w:rFonts w:ascii="Arial" w:cs="Arial" w:eastAsia="Arial" w:hAnsi="Arial"/>
                <w:sz w:val="18"/>
                <w:szCs w:val="18"/>
                <w:color w:val="auto"/>
              </w:rPr>
              <w:t>51.5</w:t>
            </w:r>
          </w:p>
        </w:tc>
        <w:tc>
          <w:tcPr>
            <w:tcW w:w="80" w:type="dxa"/>
            <w:vAlign w:val="bottom"/>
          </w:tcPr>
          <w:p>
            <w:pPr>
              <w:spacing w:after="0"/>
              <w:rPr>
                <w:sz w:val="19"/>
                <w:szCs w:val="19"/>
                <w:color w:val="auto"/>
              </w:rPr>
            </w:pPr>
          </w:p>
        </w:tc>
      </w:tr>
      <w:tr>
        <w:trPr>
          <w:trHeight w:val="207"/>
        </w:trPr>
        <w:tc>
          <w:tcPr>
            <w:tcW w:w="650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EBITDA</w:t>
            </w:r>
          </w:p>
        </w:tc>
        <w:tc>
          <w:tcPr>
            <w:tcW w:w="1360" w:type="dxa"/>
            <w:vAlign w:val="bottom"/>
            <w:tcBorders>
              <w:top w:val="single" w:sz="8" w:color="CCEEFF"/>
            </w:tcBorders>
            <w:shd w:val="clear" w:color="auto" w:fill="CCEEFF"/>
          </w:tcPr>
          <w:p>
            <w:pPr>
              <w:spacing w:after="0"/>
              <w:rPr>
                <w:sz w:val="18"/>
                <w:szCs w:val="18"/>
                <w:color w:val="auto"/>
              </w:rPr>
            </w:pPr>
          </w:p>
        </w:tc>
        <w:tc>
          <w:tcPr>
            <w:tcW w:w="600" w:type="dxa"/>
            <w:vAlign w:val="bottom"/>
            <w:tcBorders>
              <w:top w:val="single" w:sz="8" w:color="auto"/>
            </w:tcBorders>
            <w:shd w:val="clear" w:color="auto" w:fill="CCEEFF"/>
          </w:tcPr>
          <w:p>
            <w:pPr>
              <w:spacing w:after="0"/>
              <w:rPr>
                <w:sz w:val="18"/>
                <w:szCs w:val="18"/>
                <w:color w:val="auto"/>
              </w:rPr>
            </w:pPr>
          </w:p>
        </w:tc>
        <w:tc>
          <w:tcPr>
            <w:tcW w:w="9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90.3</w:t>
            </w:r>
          </w:p>
        </w:tc>
        <w:tc>
          <w:tcPr>
            <w:tcW w:w="220" w:type="dxa"/>
            <w:vAlign w:val="bottom"/>
            <w:tcBorders>
              <w:top w:val="single" w:sz="8" w:color="CCEEFF"/>
            </w:tcBorders>
            <w:shd w:val="clear" w:color="auto" w:fill="CCEEFF"/>
          </w:tcPr>
          <w:p>
            <w:pPr>
              <w:spacing w:after="0"/>
              <w:rPr>
                <w:sz w:val="18"/>
                <w:szCs w:val="18"/>
                <w:color w:val="auto"/>
              </w:rPr>
            </w:pPr>
          </w:p>
        </w:tc>
        <w:tc>
          <w:tcPr>
            <w:tcW w:w="620" w:type="dxa"/>
            <w:vAlign w:val="bottom"/>
            <w:tcBorders>
              <w:top w:val="single" w:sz="8" w:color="auto"/>
            </w:tcBorders>
            <w:shd w:val="clear" w:color="auto" w:fill="CCEEFF"/>
          </w:tcPr>
          <w:p>
            <w:pPr>
              <w:spacing w:after="0"/>
              <w:rPr>
                <w:sz w:val="18"/>
                <w:szCs w:val="18"/>
                <w:color w:val="auto"/>
              </w:rPr>
            </w:pPr>
          </w:p>
        </w:tc>
        <w:tc>
          <w:tcPr>
            <w:tcW w:w="9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77.0</w:t>
            </w:r>
          </w:p>
        </w:tc>
        <w:tc>
          <w:tcPr>
            <w:tcW w:w="20" w:type="dxa"/>
            <w:vAlign w:val="bottom"/>
            <w:tcBorders>
              <w:top w:val="single" w:sz="8" w:color="CCEEFF"/>
            </w:tcBorders>
            <w:shd w:val="clear" w:color="auto" w:fill="CCEEFF"/>
          </w:tcPr>
          <w:p>
            <w:pPr>
              <w:spacing w:after="0"/>
              <w:rPr>
                <w:sz w:val="18"/>
                <w:szCs w:val="18"/>
                <w:color w:val="auto"/>
              </w:rPr>
            </w:pPr>
          </w:p>
        </w:tc>
        <w:tc>
          <w:tcPr>
            <w:tcW w:w="80" w:type="dxa"/>
            <w:vAlign w:val="bottom"/>
            <w:tcBorders>
              <w:top w:val="single" w:sz="8" w:color="CCEEFF"/>
            </w:tcBorders>
            <w:shd w:val="clear" w:color="auto" w:fill="CCEEFF"/>
          </w:tcPr>
          <w:p>
            <w:pPr>
              <w:spacing w:after="0"/>
              <w:rPr>
                <w:sz w:val="18"/>
                <w:szCs w:val="18"/>
                <w:color w:val="auto"/>
              </w:rPr>
            </w:pPr>
          </w:p>
        </w:tc>
      </w:tr>
      <w:tr>
        <w:trPr>
          <w:trHeight w:val="213"/>
        </w:trPr>
        <w:tc>
          <w:tcPr>
            <w:tcW w:w="6500" w:type="dxa"/>
            <w:vAlign w:val="bottom"/>
          </w:tcPr>
          <w:p>
            <w:pPr>
              <w:spacing w:after="0"/>
              <w:rPr>
                <w:sz w:val="20"/>
                <w:szCs w:val="20"/>
                <w:color w:val="auto"/>
              </w:rPr>
            </w:pPr>
            <w:r>
              <w:rPr>
                <w:rFonts w:ascii="Arial" w:cs="Arial" w:eastAsia="Arial" w:hAnsi="Arial"/>
                <w:sz w:val="18"/>
                <w:szCs w:val="18"/>
                <w:color w:val="auto"/>
              </w:rPr>
              <w:t>Restructuring charges, net</w:t>
            </w:r>
          </w:p>
        </w:tc>
        <w:tc>
          <w:tcPr>
            <w:tcW w:w="136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140" w:type="dxa"/>
            <w:vAlign w:val="bottom"/>
            <w:gridSpan w:val="2"/>
          </w:tcPr>
          <w:p>
            <w:pPr>
              <w:jc w:val="right"/>
              <w:ind w:right="220"/>
              <w:spacing w:after="0"/>
              <w:rPr>
                <w:sz w:val="20"/>
                <w:szCs w:val="20"/>
                <w:color w:val="auto"/>
              </w:rPr>
            </w:pPr>
            <w:r>
              <w:rPr>
                <w:rFonts w:ascii="Arial" w:cs="Arial" w:eastAsia="Arial" w:hAnsi="Arial"/>
                <w:sz w:val="18"/>
                <w:szCs w:val="18"/>
                <w:color w:val="auto"/>
              </w:rPr>
              <w:t>52.3</w:t>
            </w:r>
          </w:p>
        </w:tc>
        <w:tc>
          <w:tcPr>
            <w:tcW w:w="620" w:type="dxa"/>
            <w:vAlign w:val="bottom"/>
          </w:tcPr>
          <w:p>
            <w:pPr>
              <w:spacing w:after="0"/>
              <w:rPr>
                <w:sz w:val="18"/>
                <w:szCs w:val="18"/>
                <w:color w:val="auto"/>
              </w:rPr>
            </w:pPr>
          </w:p>
        </w:tc>
        <w:tc>
          <w:tcPr>
            <w:tcW w:w="940" w:type="dxa"/>
            <w:vAlign w:val="bottom"/>
            <w:gridSpan w:val="2"/>
          </w:tcPr>
          <w:p>
            <w:pPr>
              <w:jc w:val="right"/>
              <w:ind w:right="20"/>
              <w:spacing w:after="0"/>
              <w:rPr>
                <w:sz w:val="20"/>
                <w:szCs w:val="20"/>
                <w:color w:val="auto"/>
              </w:rPr>
            </w:pPr>
            <w:r>
              <w:rPr>
                <w:rFonts w:ascii="Arial" w:cs="Arial" w:eastAsia="Arial" w:hAnsi="Arial"/>
                <w:sz w:val="18"/>
                <w:szCs w:val="18"/>
                <w:color w:val="auto"/>
              </w:rPr>
              <w:t>9.5</w:t>
            </w:r>
          </w:p>
        </w:tc>
        <w:tc>
          <w:tcPr>
            <w:tcW w:w="80" w:type="dxa"/>
            <w:vAlign w:val="bottom"/>
          </w:tcPr>
          <w:p>
            <w:pPr>
              <w:spacing w:after="0"/>
              <w:rPr>
                <w:sz w:val="18"/>
                <w:szCs w:val="18"/>
                <w:color w:val="auto"/>
              </w:rPr>
            </w:pPr>
          </w:p>
        </w:tc>
      </w:tr>
      <w:tr>
        <w:trPr>
          <w:trHeight w:val="213"/>
        </w:trPr>
        <w:tc>
          <w:tcPr>
            <w:tcW w:w="6500" w:type="dxa"/>
            <w:vAlign w:val="bottom"/>
            <w:shd w:val="clear" w:color="auto" w:fill="CCEEFF"/>
          </w:tcPr>
          <w:p>
            <w:pPr>
              <w:spacing w:after="0"/>
              <w:rPr>
                <w:sz w:val="20"/>
                <w:szCs w:val="20"/>
                <w:color w:val="auto"/>
              </w:rPr>
            </w:pPr>
            <w:r>
              <w:rPr>
                <w:rFonts w:ascii="Arial" w:cs="Arial" w:eastAsia="Arial" w:hAnsi="Arial"/>
                <w:sz w:val="18"/>
                <w:szCs w:val="18"/>
                <w:color w:val="auto"/>
              </w:rPr>
              <w:t>Facility closure charges, including (gain) loss from asset disposition</w:t>
            </w:r>
          </w:p>
        </w:tc>
        <w:tc>
          <w:tcPr>
            <w:tcW w:w="136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1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(5.4)</w:t>
            </w:r>
          </w:p>
        </w:tc>
        <w:tc>
          <w:tcPr>
            <w:tcW w:w="620" w:type="dxa"/>
            <w:vAlign w:val="bottom"/>
            <w:shd w:val="clear" w:color="auto" w:fill="CCEEFF"/>
          </w:tcPr>
          <w:p>
            <w:pPr>
              <w:spacing w:after="0"/>
              <w:rPr>
                <w:sz w:val="18"/>
                <w:szCs w:val="18"/>
                <w:color w:val="auto"/>
              </w:rPr>
            </w:pPr>
          </w:p>
        </w:tc>
        <w:tc>
          <w:tcPr>
            <w:tcW w:w="102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r>
      <w:tr>
        <w:trPr>
          <w:trHeight w:val="213"/>
        </w:trPr>
        <w:tc>
          <w:tcPr>
            <w:tcW w:w="6500" w:type="dxa"/>
            <w:vAlign w:val="bottom"/>
          </w:tcPr>
          <w:p>
            <w:pPr>
              <w:spacing w:after="0"/>
              <w:rPr>
                <w:sz w:val="20"/>
                <w:szCs w:val="20"/>
                <w:color w:val="auto"/>
              </w:rPr>
            </w:pPr>
            <w:r>
              <w:rPr>
                <w:rFonts w:ascii="Arial" w:cs="Arial" w:eastAsia="Arial" w:hAnsi="Arial"/>
                <w:sz w:val="18"/>
                <w:szCs w:val="18"/>
                <w:color w:val="auto"/>
              </w:rPr>
              <w:t>Stock-based compensation</w:t>
            </w:r>
          </w:p>
        </w:tc>
        <w:tc>
          <w:tcPr>
            <w:tcW w:w="136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140" w:type="dxa"/>
            <w:vAlign w:val="bottom"/>
            <w:gridSpan w:val="2"/>
          </w:tcPr>
          <w:p>
            <w:pPr>
              <w:jc w:val="right"/>
              <w:ind w:right="220"/>
              <w:spacing w:after="0"/>
              <w:rPr>
                <w:sz w:val="20"/>
                <w:szCs w:val="20"/>
                <w:color w:val="auto"/>
              </w:rPr>
            </w:pPr>
            <w:r>
              <w:rPr>
                <w:rFonts w:ascii="Arial" w:cs="Arial" w:eastAsia="Arial" w:hAnsi="Arial"/>
                <w:sz w:val="18"/>
                <w:szCs w:val="18"/>
                <w:color w:val="auto"/>
              </w:rPr>
              <w:t>17.1</w:t>
            </w:r>
          </w:p>
        </w:tc>
        <w:tc>
          <w:tcPr>
            <w:tcW w:w="620" w:type="dxa"/>
            <w:vAlign w:val="bottom"/>
          </w:tcPr>
          <w:p>
            <w:pPr>
              <w:spacing w:after="0"/>
              <w:rPr>
                <w:sz w:val="18"/>
                <w:szCs w:val="18"/>
                <w:color w:val="auto"/>
              </w:rPr>
            </w:pPr>
          </w:p>
        </w:tc>
        <w:tc>
          <w:tcPr>
            <w:tcW w:w="940" w:type="dxa"/>
            <w:vAlign w:val="bottom"/>
            <w:gridSpan w:val="2"/>
          </w:tcPr>
          <w:p>
            <w:pPr>
              <w:jc w:val="right"/>
              <w:ind w:right="20"/>
              <w:spacing w:after="0"/>
              <w:rPr>
                <w:sz w:val="20"/>
                <w:szCs w:val="20"/>
                <w:color w:val="auto"/>
              </w:rPr>
            </w:pPr>
            <w:r>
              <w:rPr>
                <w:rFonts w:ascii="Arial" w:cs="Arial" w:eastAsia="Arial" w:hAnsi="Arial"/>
                <w:sz w:val="18"/>
                <w:szCs w:val="18"/>
                <w:color w:val="auto"/>
              </w:rPr>
              <w:t>15.3</w:t>
            </w:r>
          </w:p>
        </w:tc>
        <w:tc>
          <w:tcPr>
            <w:tcW w:w="80" w:type="dxa"/>
            <w:vAlign w:val="bottom"/>
          </w:tcPr>
          <w:p>
            <w:pPr>
              <w:spacing w:after="0"/>
              <w:rPr>
                <w:sz w:val="18"/>
                <w:szCs w:val="18"/>
                <w:color w:val="auto"/>
              </w:rPr>
            </w:pPr>
          </w:p>
        </w:tc>
      </w:tr>
      <w:tr>
        <w:trPr>
          <w:trHeight w:val="213"/>
        </w:trPr>
        <w:tc>
          <w:tcPr>
            <w:tcW w:w="6500" w:type="dxa"/>
            <w:vAlign w:val="bottom"/>
            <w:shd w:val="clear" w:color="auto" w:fill="CCEEFF"/>
          </w:tcPr>
          <w:p>
            <w:pPr>
              <w:spacing w:after="0"/>
              <w:rPr>
                <w:sz w:val="20"/>
                <w:szCs w:val="20"/>
                <w:color w:val="auto"/>
              </w:rPr>
            </w:pPr>
            <w:r>
              <w:rPr>
                <w:rFonts w:ascii="Arial" w:cs="Arial" w:eastAsia="Arial" w:hAnsi="Arial"/>
                <w:sz w:val="18"/>
                <w:szCs w:val="18"/>
                <w:color w:val="auto"/>
              </w:rPr>
              <w:t>LIFO reserve (decrease) increase</w:t>
            </w:r>
          </w:p>
        </w:tc>
        <w:tc>
          <w:tcPr>
            <w:tcW w:w="136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1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(7.3)</w:t>
            </w:r>
          </w:p>
        </w:tc>
        <w:tc>
          <w:tcPr>
            <w:tcW w:w="62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0.5</w:t>
            </w:r>
          </w:p>
        </w:tc>
        <w:tc>
          <w:tcPr>
            <w:tcW w:w="80" w:type="dxa"/>
            <w:vAlign w:val="bottom"/>
            <w:shd w:val="clear" w:color="auto" w:fill="CCEEFF"/>
          </w:tcPr>
          <w:p>
            <w:pPr>
              <w:spacing w:after="0"/>
              <w:rPr>
                <w:sz w:val="18"/>
                <w:szCs w:val="18"/>
                <w:color w:val="auto"/>
              </w:rPr>
            </w:pPr>
          </w:p>
        </w:tc>
      </w:tr>
      <w:tr>
        <w:trPr>
          <w:trHeight w:val="213"/>
        </w:trPr>
        <w:tc>
          <w:tcPr>
            <w:tcW w:w="6500" w:type="dxa"/>
            <w:vAlign w:val="bottom"/>
          </w:tcPr>
          <w:p>
            <w:pPr>
              <w:spacing w:after="0"/>
              <w:rPr>
                <w:sz w:val="20"/>
                <w:szCs w:val="20"/>
                <w:color w:val="auto"/>
              </w:rPr>
            </w:pPr>
            <w:r>
              <w:rPr>
                <w:rFonts w:ascii="Arial" w:cs="Arial" w:eastAsia="Arial" w:hAnsi="Arial"/>
                <w:sz w:val="18"/>
                <w:szCs w:val="18"/>
                <w:color w:val="auto"/>
              </w:rPr>
              <w:t>Non-restructuring asset impairment charges</w:t>
            </w:r>
          </w:p>
        </w:tc>
        <w:tc>
          <w:tcPr>
            <w:tcW w:w="136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140" w:type="dxa"/>
            <w:vAlign w:val="bottom"/>
            <w:gridSpan w:val="2"/>
          </w:tcPr>
          <w:p>
            <w:pPr>
              <w:jc w:val="right"/>
              <w:ind w:right="220"/>
              <w:spacing w:after="0"/>
              <w:rPr>
                <w:sz w:val="20"/>
                <w:szCs w:val="20"/>
                <w:color w:val="auto"/>
              </w:rPr>
            </w:pPr>
            <w:r>
              <w:rPr>
                <w:rFonts w:ascii="Arial" w:cs="Arial" w:eastAsia="Arial" w:hAnsi="Arial"/>
                <w:sz w:val="18"/>
                <w:szCs w:val="18"/>
                <w:color w:val="auto"/>
              </w:rPr>
              <w:t>—</w:t>
            </w:r>
          </w:p>
        </w:tc>
        <w:tc>
          <w:tcPr>
            <w:tcW w:w="620" w:type="dxa"/>
            <w:vAlign w:val="bottom"/>
          </w:tcPr>
          <w:p>
            <w:pPr>
              <w:spacing w:after="0"/>
              <w:rPr>
                <w:sz w:val="18"/>
                <w:szCs w:val="18"/>
                <w:color w:val="auto"/>
              </w:rPr>
            </w:pPr>
          </w:p>
        </w:tc>
        <w:tc>
          <w:tcPr>
            <w:tcW w:w="940" w:type="dxa"/>
            <w:vAlign w:val="bottom"/>
            <w:gridSpan w:val="2"/>
          </w:tcPr>
          <w:p>
            <w:pPr>
              <w:jc w:val="right"/>
              <w:ind w:right="20"/>
              <w:spacing w:after="0"/>
              <w:rPr>
                <w:sz w:val="20"/>
                <w:szCs w:val="20"/>
                <w:color w:val="auto"/>
              </w:rPr>
            </w:pPr>
            <w:r>
              <w:rPr>
                <w:rFonts w:ascii="Arial" w:cs="Arial" w:eastAsia="Arial" w:hAnsi="Arial"/>
                <w:sz w:val="18"/>
                <w:szCs w:val="18"/>
                <w:color w:val="auto"/>
              </w:rPr>
              <w:t>0.2</w:t>
            </w:r>
          </w:p>
        </w:tc>
        <w:tc>
          <w:tcPr>
            <w:tcW w:w="80" w:type="dxa"/>
            <w:vAlign w:val="bottom"/>
          </w:tcPr>
          <w:p>
            <w:pPr>
              <w:spacing w:after="0"/>
              <w:rPr>
                <w:sz w:val="18"/>
                <w:szCs w:val="18"/>
                <w:color w:val="auto"/>
              </w:rPr>
            </w:pPr>
          </w:p>
        </w:tc>
      </w:tr>
      <w:tr>
        <w:trPr>
          <w:trHeight w:val="213"/>
        </w:trPr>
        <w:tc>
          <w:tcPr>
            <w:tcW w:w="6500" w:type="dxa"/>
            <w:vAlign w:val="bottom"/>
            <w:shd w:val="clear" w:color="auto" w:fill="CCEEFF"/>
          </w:tcPr>
          <w:p>
            <w:pPr>
              <w:spacing w:after="0"/>
              <w:rPr>
                <w:sz w:val="20"/>
                <w:szCs w:val="20"/>
                <w:color w:val="auto"/>
              </w:rPr>
            </w:pPr>
            <w:r>
              <w:rPr>
                <w:rFonts w:ascii="Arial" w:cs="Arial" w:eastAsia="Arial" w:hAnsi="Arial"/>
                <w:sz w:val="18"/>
                <w:szCs w:val="18"/>
                <w:color w:val="auto"/>
              </w:rPr>
              <w:t>Non-restructuring severance charges</w:t>
            </w:r>
          </w:p>
        </w:tc>
        <w:tc>
          <w:tcPr>
            <w:tcW w:w="136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7.6</w:t>
            </w:r>
          </w:p>
        </w:tc>
        <w:tc>
          <w:tcPr>
            <w:tcW w:w="22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6.6</w:t>
            </w:r>
          </w:p>
        </w:tc>
        <w:tc>
          <w:tcPr>
            <w:tcW w:w="80" w:type="dxa"/>
            <w:vAlign w:val="bottom"/>
            <w:shd w:val="clear" w:color="auto" w:fill="CCEEFF"/>
          </w:tcPr>
          <w:p>
            <w:pPr>
              <w:spacing w:after="0"/>
              <w:rPr>
                <w:sz w:val="18"/>
                <w:szCs w:val="18"/>
                <w:color w:val="auto"/>
              </w:rPr>
            </w:pPr>
          </w:p>
        </w:tc>
      </w:tr>
      <w:tr>
        <w:trPr>
          <w:trHeight w:val="213"/>
        </w:trPr>
        <w:tc>
          <w:tcPr>
            <w:tcW w:w="6500" w:type="dxa"/>
            <w:vAlign w:val="bottom"/>
          </w:tcPr>
          <w:p>
            <w:pPr>
              <w:spacing w:after="0"/>
              <w:rPr>
                <w:sz w:val="20"/>
                <w:szCs w:val="20"/>
                <w:color w:val="auto"/>
              </w:rPr>
            </w:pPr>
            <w:r>
              <w:rPr>
                <w:rFonts w:ascii="Arial" w:cs="Arial" w:eastAsia="Arial" w:hAnsi="Arial"/>
                <w:sz w:val="18"/>
                <w:szCs w:val="18"/>
                <w:color w:val="auto"/>
              </w:rPr>
              <w:t>Non-restructuring pension charges, net</w:t>
            </w:r>
          </w:p>
        </w:tc>
        <w:tc>
          <w:tcPr>
            <w:tcW w:w="136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rPr>
              <w:t>7.2</w:t>
            </w:r>
          </w:p>
        </w:tc>
        <w:tc>
          <w:tcPr>
            <w:tcW w:w="22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940" w:type="dxa"/>
            <w:vAlign w:val="bottom"/>
            <w:gridSpan w:val="2"/>
          </w:tcPr>
          <w:p>
            <w:pPr>
              <w:jc w:val="right"/>
              <w:ind w:right="20"/>
              <w:spacing w:after="0"/>
              <w:rPr>
                <w:sz w:val="20"/>
                <w:szCs w:val="20"/>
                <w:color w:val="auto"/>
              </w:rPr>
            </w:pPr>
            <w:r>
              <w:rPr>
                <w:rFonts w:ascii="Arial" w:cs="Arial" w:eastAsia="Arial" w:hAnsi="Arial"/>
                <w:sz w:val="18"/>
                <w:szCs w:val="18"/>
                <w:color w:val="auto"/>
              </w:rPr>
              <w:t>18.7</w:t>
            </w:r>
          </w:p>
        </w:tc>
        <w:tc>
          <w:tcPr>
            <w:tcW w:w="80" w:type="dxa"/>
            <w:vAlign w:val="bottom"/>
          </w:tcPr>
          <w:p>
            <w:pPr>
              <w:spacing w:after="0"/>
              <w:rPr>
                <w:sz w:val="18"/>
                <w:szCs w:val="18"/>
                <w:color w:val="auto"/>
              </w:rPr>
            </w:pPr>
          </w:p>
        </w:tc>
      </w:tr>
      <w:tr>
        <w:trPr>
          <w:trHeight w:val="213"/>
        </w:trPr>
        <w:tc>
          <w:tcPr>
            <w:tcW w:w="6500" w:type="dxa"/>
            <w:vAlign w:val="bottom"/>
            <w:shd w:val="clear" w:color="auto" w:fill="CCEEFF"/>
          </w:tcPr>
          <w:p>
            <w:pPr>
              <w:spacing w:after="0"/>
              <w:rPr>
                <w:sz w:val="20"/>
                <w:szCs w:val="20"/>
                <w:color w:val="auto"/>
              </w:rPr>
            </w:pPr>
            <w:r>
              <w:rPr>
                <w:rFonts w:ascii="Arial" w:cs="Arial" w:eastAsia="Arial" w:hAnsi="Arial"/>
                <w:sz w:val="18"/>
                <w:szCs w:val="18"/>
                <w:color w:val="auto"/>
              </w:rPr>
              <w:t>Integration and acquisition expenses</w:t>
            </w:r>
          </w:p>
        </w:tc>
        <w:tc>
          <w:tcPr>
            <w:tcW w:w="136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4.2</w:t>
            </w:r>
          </w:p>
        </w:tc>
        <w:tc>
          <w:tcPr>
            <w:tcW w:w="22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20.5</w:t>
            </w:r>
          </w:p>
        </w:tc>
        <w:tc>
          <w:tcPr>
            <w:tcW w:w="80" w:type="dxa"/>
            <w:vAlign w:val="bottom"/>
            <w:shd w:val="clear" w:color="auto" w:fill="CCEEFF"/>
          </w:tcPr>
          <w:p>
            <w:pPr>
              <w:spacing w:after="0"/>
              <w:rPr>
                <w:sz w:val="18"/>
                <w:szCs w:val="18"/>
                <w:color w:val="auto"/>
              </w:rPr>
            </w:pPr>
          </w:p>
        </w:tc>
      </w:tr>
      <w:tr>
        <w:trPr>
          <w:trHeight w:val="213"/>
        </w:trPr>
        <w:tc>
          <w:tcPr>
            <w:tcW w:w="6500" w:type="dxa"/>
            <w:vAlign w:val="bottom"/>
          </w:tcPr>
          <w:p>
            <w:pPr>
              <w:spacing w:after="0"/>
              <w:rPr>
                <w:sz w:val="20"/>
                <w:szCs w:val="20"/>
                <w:color w:val="auto"/>
              </w:rPr>
            </w:pPr>
            <w:r>
              <w:rPr>
                <w:rFonts w:ascii="Arial" w:cs="Arial" w:eastAsia="Arial" w:hAnsi="Arial"/>
                <w:sz w:val="18"/>
                <w:szCs w:val="18"/>
                <w:color w:val="auto"/>
              </w:rPr>
              <w:t>Fair value adjustment on Tax Receivable Agreement contingent liability</w:t>
            </w:r>
          </w:p>
        </w:tc>
        <w:tc>
          <w:tcPr>
            <w:tcW w:w="136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140" w:type="dxa"/>
            <w:vAlign w:val="bottom"/>
            <w:gridSpan w:val="2"/>
          </w:tcPr>
          <w:p>
            <w:pPr>
              <w:jc w:val="right"/>
              <w:ind w:right="160"/>
              <w:spacing w:after="0"/>
              <w:rPr>
                <w:sz w:val="20"/>
                <w:szCs w:val="20"/>
                <w:color w:val="auto"/>
              </w:rPr>
            </w:pPr>
            <w:r>
              <w:rPr>
                <w:rFonts w:ascii="Arial" w:cs="Arial" w:eastAsia="Arial" w:hAnsi="Arial"/>
                <w:sz w:val="18"/>
                <w:szCs w:val="18"/>
                <w:color w:val="auto"/>
              </w:rPr>
              <w:t>(0.5)</w:t>
            </w:r>
          </w:p>
        </w:tc>
        <w:tc>
          <w:tcPr>
            <w:tcW w:w="620" w:type="dxa"/>
            <w:vAlign w:val="bottom"/>
          </w:tcPr>
          <w:p>
            <w:pPr>
              <w:spacing w:after="0"/>
              <w:rPr>
                <w:sz w:val="18"/>
                <w:szCs w:val="18"/>
                <w:color w:val="auto"/>
              </w:rPr>
            </w:pPr>
          </w:p>
        </w:tc>
        <w:tc>
          <w:tcPr>
            <w:tcW w:w="940" w:type="dxa"/>
            <w:vAlign w:val="bottom"/>
            <w:gridSpan w:val="2"/>
          </w:tcPr>
          <w:p>
            <w:pPr>
              <w:jc w:val="right"/>
              <w:ind w:right="20"/>
              <w:spacing w:after="0"/>
              <w:rPr>
                <w:sz w:val="20"/>
                <w:szCs w:val="20"/>
                <w:color w:val="auto"/>
              </w:rPr>
            </w:pPr>
            <w:r>
              <w:rPr>
                <w:rFonts w:ascii="Arial" w:cs="Arial" w:eastAsia="Arial" w:hAnsi="Arial"/>
                <w:sz w:val="18"/>
                <w:szCs w:val="18"/>
                <w:color w:val="auto"/>
              </w:rPr>
              <w:t>0.9</w:t>
            </w:r>
          </w:p>
        </w:tc>
        <w:tc>
          <w:tcPr>
            <w:tcW w:w="80" w:type="dxa"/>
            <w:vAlign w:val="bottom"/>
          </w:tcPr>
          <w:p>
            <w:pPr>
              <w:spacing w:after="0"/>
              <w:rPr>
                <w:sz w:val="18"/>
                <w:szCs w:val="18"/>
                <w:color w:val="auto"/>
              </w:rPr>
            </w:pPr>
          </w:p>
        </w:tc>
      </w:tr>
      <w:tr>
        <w:trPr>
          <w:trHeight w:val="213"/>
        </w:trPr>
        <w:tc>
          <w:tcPr>
            <w:tcW w:w="6500" w:type="dxa"/>
            <w:vAlign w:val="bottom"/>
            <w:shd w:val="clear" w:color="auto" w:fill="CCEEFF"/>
          </w:tcPr>
          <w:p>
            <w:pPr>
              <w:spacing w:after="0"/>
              <w:rPr>
                <w:sz w:val="20"/>
                <w:szCs w:val="20"/>
                <w:color w:val="auto"/>
              </w:rPr>
            </w:pPr>
            <w:r>
              <w:rPr>
                <w:rFonts w:ascii="Arial" w:cs="Arial" w:eastAsia="Arial" w:hAnsi="Arial"/>
                <w:sz w:val="18"/>
                <w:szCs w:val="18"/>
                <w:color w:val="auto"/>
              </w:rPr>
              <w:t>Fair value adjustment on contingent consideration liability</w:t>
            </w:r>
          </w:p>
        </w:tc>
        <w:tc>
          <w:tcPr>
            <w:tcW w:w="136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3.5</w:t>
            </w:r>
          </w:p>
        </w:tc>
        <w:tc>
          <w:tcPr>
            <w:tcW w:w="22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9.3</w:t>
            </w:r>
          </w:p>
        </w:tc>
        <w:tc>
          <w:tcPr>
            <w:tcW w:w="80" w:type="dxa"/>
            <w:vAlign w:val="bottom"/>
            <w:shd w:val="clear" w:color="auto" w:fill="CCEEFF"/>
          </w:tcPr>
          <w:p>
            <w:pPr>
              <w:spacing w:after="0"/>
              <w:rPr>
                <w:sz w:val="18"/>
                <w:szCs w:val="18"/>
                <w:color w:val="auto"/>
              </w:rPr>
            </w:pPr>
          </w:p>
        </w:tc>
      </w:tr>
      <w:tr>
        <w:trPr>
          <w:trHeight w:val="213"/>
        </w:trPr>
        <w:tc>
          <w:tcPr>
            <w:tcW w:w="6500" w:type="dxa"/>
            <w:vAlign w:val="bottom"/>
          </w:tcPr>
          <w:p>
            <w:pPr>
              <w:spacing w:after="0"/>
              <w:rPr>
                <w:sz w:val="20"/>
                <w:szCs w:val="20"/>
                <w:color w:val="auto"/>
              </w:rPr>
            </w:pPr>
            <w:r>
              <w:rPr>
                <w:rFonts w:ascii="Arial" w:cs="Arial" w:eastAsia="Arial" w:hAnsi="Arial"/>
                <w:sz w:val="18"/>
                <w:szCs w:val="18"/>
                <w:color w:val="auto"/>
              </w:rPr>
              <w:t>Escheat audit contingent liability</w:t>
            </w:r>
          </w:p>
        </w:tc>
        <w:tc>
          <w:tcPr>
            <w:tcW w:w="136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140" w:type="dxa"/>
            <w:vAlign w:val="bottom"/>
            <w:gridSpan w:val="2"/>
          </w:tcPr>
          <w:p>
            <w:pPr>
              <w:jc w:val="right"/>
              <w:ind w:right="160"/>
              <w:spacing w:after="0"/>
              <w:rPr>
                <w:sz w:val="20"/>
                <w:szCs w:val="20"/>
                <w:color w:val="auto"/>
              </w:rPr>
            </w:pPr>
            <w:r>
              <w:rPr>
                <w:rFonts w:ascii="Arial" w:cs="Arial" w:eastAsia="Arial" w:hAnsi="Arial"/>
                <w:sz w:val="18"/>
                <w:szCs w:val="18"/>
                <w:color w:val="auto"/>
              </w:rPr>
              <w:t>(2.3)</w:t>
            </w:r>
          </w:p>
        </w:tc>
        <w:tc>
          <w:tcPr>
            <w:tcW w:w="620" w:type="dxa"/>
            <w:vAlign w:val="bottom"/>
          </w:tcPr>
          <w:p>
            <w:pPr>
              <w:spacing w:after="0"/>
              <w:rPr>
                <w:sz w:val="18"/>
                <w:szCs w:val="18"/>
                <w:color w:val="auto"/>
              </w:rPr>
            </w:pPr>
          </w:p>
        </w:tc>
        <w:tc>
          <w:tcPr>
            <w:tcW w:w="940" w:type="dxa"/>
            <w:vAlign w:val="bottom"/>
            <w:gridSpan w:val="2"/>
          </w:tcPr>
          <w:p>
            <w:pPr>
              <w:jc w:val="right"/>
              <w:ind w:right="20"/>
              <w:spacing w:after="0"/>
              <w:rPr>
                <w:sz w:val="20"/>
                <w:szCs w:val="20"/>
                <w:color w:val="auto"/>
              </w:rPr>
            </w:pPr>
            <w:r>
              <w:rPr>
                <w:rFonts w:ascii="Arial" w:cs="Arial" w:eastAsia="Arial" w:hAnsi="Arial"/>
                <w:sz w:val="18"/>
                <w:szCs w:val="18"/>
                <w:color w:val="auto"/>
              </w:rPr>
              <w:t>7.7</w:t>
            </w:r>
          </w:p>
        </w:tc>
        <w:tc>
          <w:tcPr>
            <w:tcW w:w="80" w:type="dxa"/>
            <w:vAlign w:val="bottom"/>
          </w:tcPr>
          <w:p>
            <w:pPr>
              <w:spacing w:after="0"/>
              <w:rPr>
                <w:sz w:val="18"/>
                <w:szCs w:val="18"/>
                <w:color w:val="auto"/>
              </w:rPr>
            </w:pPr>
          </w:p>
        </w:tc>
      </w:tr>
      <w:tr>
        <w:trPr>
          <w:trHeight w:val="227"/>
        </w:trPr>
        <w:tc>
          <w:tcPr>
            <w:tcW w:w="6500" w:type="dxa"/>
            <w:vAlign w:val="bottom"/>
            <w:shd w:val="clear" w:color="auto" w:fill="CCEEFF"/>
          </w:tcPr>
          <w:p>
            <w:pPr>
              <w:spacing w:after="0"/>
              <w:rPr>
                <w:sz w:val="20"/>
                <w:szCs w:val="20"/>
                <w:color w:val="auto"/>
              </w:rPr>
            </w:pPr>
            <w:r>
              <w:rPr>
                <w:rFonts w:ascii="Arial" w:cs="Arial" w:eastAsia="Arial" w:hAnsi="Arial"/>
                <w:sz w:val="18"/>
                <w:szCs w:val="18"/>
                <w:color w:val="auto"/>
              </w:rPr>
              <w:t>Other</w:t>
            </w:r>
          </w:p>
        </w:tc>
        <w:tc>
          <w:tcPr>
            <w:tcW w:w="1360" w:type="dxa"/>
            <w:vAlign w:val="bottom"/>
            <w:shd w:val="clear" w:color="auto" w:fill="CCEEFF"/>
          </w:tcPr>
          <w:p>
            <w:pPr>
              <w:spacing w:after="0"/>
              <w:rPr>
                <w:sz w:val="19"/>
                <w:szCs w:val="19"/>
                <w:color w:val="auto"/>
              </w:rPr>
            </w:pPr>
          </w:p>
        </w:tc>
        <w:tc>
          <w:tcPr>
            <w:tcW w:w="600" w:type="dxa"/>
            <w:vAlign w:val="bottom"/>
            <w:shd w:val="clear" w:color="auto" w:fill="CCEEFF"/>
          </w:tcPr>
          <w:p>
            <w:pPr>
              <w:spacing w:after="0"/>
              <w:rPr>
                <w:sz w:val="19"/>
                <w:szCs w:val="19"/>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6.4</w:t>
            </w:r>
          </w:p>
        </w:tc>
        <w:tc>
          <w:tcPr>
            <w:tcW w:w="220" w:type="dxa"/>
            <w:vAlign w:val="bottom"/>
            <w:shd w:val="clear" w:color="auto" w:fill="CCEEFF"/>
          </w:tcPr>
          <w:p>
            <w:pPr>
              <w:spacing w:after="0"/>
              <w:rPr>
                <w:sz w:val="19"/>
                <w:szCs w:val="19"/>
                <w:color w:val="auto"/>
              </w:rPr>
            </w:pPr>
          </w:p>
        </w:tc>
        <w:tc>
          <w:tcPr>
            <w:tcW w:w="620" w:type="dxa"/>
            <w:vAlign w:val="bottom"/>
            <w:shd w:val="clear" w:color="auto" w:fill="CCEEFF"/>
          </w:tcPr>
          <w:p>
            <w:pPr>
              <w:spacing w:after="0"/>
              <w:rPr>
                <w:sz w:val="19"/>
                <w:szCs w:val="19"/>
                <w:color w:val="auto"/>
              </w:rPr>
            </w:pPr>
          </w:p>
        </w:tc>
        <w:tc>
          <w:tcPr>
            <w:tcW w:w="9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0.1</w:t>
            </w:r>
          </w:p>
        </w:tc>
        <w:tc>
          <w:tcPr>
            <w:tcW w:w="80" w:type="dxa"/>
            <w:vAlign w:val="bottom"/>
            <w:shd w:val="clear" w:color="auto" w:fill="CCEEFF"/>
          </w:tcPr>
          <w:p>
            <w:pPr>
              <w:spacing w:after="0"/>
              <w:rPr>
                <w:sz w:val="19"/>
                <w:szCs w:val="19"/>
                <w:color w:val="auto"/>
              </w:rPr>
            </w:pPr>
          </w:p>
        </w:tc>
      </w:tr>
      <w:tr>
        <w:trPr>
          <w:trHeight w:val="220"/>
        </w:trPr>
        <w:tc>
          <w:tcPr>
            <w:tcW w:w="6500" w:type="dxa"/>
            <w:vAlign w:val="bottom"/>
          </w:tcPr>
          <w:p>
            <w:pPr>
              <w:spacing w:after="0"/>
              <w:rPr>
                <w:sz w:val="20"/>
                <w:szCs w:val="20"/>
                <w:color w:val="auto"/>
              </w:rPr>
            </w:pPr>
            <w:r>
              <w:rPr>
                <w:rFonts w:ascii="Arial" w:cs="Arial" w:eastAsia="Arial" w:hAnsi="Arial"/>
                <w:sz w:val="18"/>
                <w:szCs w:val="18"/>
                <w:color w:val="auto"/>
              </w:rPr>
              <w:t>Adjusted EBITDA</w:t>
            </w:r>
          </w:p>
        </w:tc>
        <w:tc>
          <w:tcPr>
            <w:tcW w:w="1360" w:type="dxa"/>
            <w:vAlign w:val="bottom"/>
          </w:tcPr>
          <w:p>
            <w:pPr>
              <w:spacing w:after="0"/>
              <w:rPr>
                <w:sz w:val="19"/>
                <w:szCs w:val="19"/>
                <w:color w:val="auto"/>
              </w:rPr>
            </w:pPr>
          </w:p>
        </w:tc>
        <w:tc>
          <w:tcPr>
            <w:tcW w:w="60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9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173.1</w:t>
            </w:r>
          </w:p>
        </w:tc>
        <w:tc>
          <w:tcPr>
            <w:tcW w:w="220" w:type="dxa"/>
            <w:vAlign w:val="bottom"/>
          </w:tcPr>
          <w:p>
            <w:pPr>
              <w:spacing w:after="0"/>
              <w:rPr>
                <w:sz w:val="19"/>
                <w:szCs w:val="19"/>
                <w:color w:val="auto"/>
              </w:rPr>
            </w:pPr>
          </w:p>
        </w:tc>
        <w:tc>
          <w:tcPr>
            <w:tcW w:w="62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9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166.3</w:t>
            </w:r>
          </w:p>
        </w:tc>
        <w:tc>
          <w:tcPr>
            <w:tcW w:w="20" w:type="dxa"/>
            <w:vAlign w:val="bottom"/>
            <w:tcBorders>
              <w:bottom w:val="single" w:sz="8" w:color="auto"/>
            </w:tcBorders>
          </w:tcPr>
          <w:p>
            <w:pPr>
              <w:spacing w:after="0"/>
              <w:rPr>
                <w:sz w:val="19"/>
                <w:szCs w:val="19"/>
                <w:color w:val="auto"/>
              </w:rPr>
            </w:pPr>
          </w:p>
        </w:tc>
        <w:tc>
          <w:tcPr>
            <w:tcW w:w="80" w:type="dxa"/>
            <w:vAlign w:val="bottom"/>
          </w:tcPr>
          <w:p>
            <w:pPr>
              <w:spacing w:after="0"/>
              <w:rPr>
                <w:sz w:val="19"/>
                <w:szCs w:val="19"/>
                <w:color w:val="auto"/>
              </w:rPr>
            </w:pPr>
          </w:p>
        </w:tc>
      </w:tr>
      <w:tr>
        <w:trPr>
          <w:trHeight w:val="20"/>
        </w:trPr>
        <w:tc>
          <w:tcPr>
            <w:tcW w:w="6500" w:type="dxa"/>
            <w:vAlign w:val="bottom"/>
          </w:tcPr>
          <w:p>
            <w:pPr>
              <w:spacing w:after="0" w:line="20" w:lineRule="exact"/>
              <w:rPr>
                <w:sz w:val="1"/>
                <w:szCs w:val="1"/>
                <w:color w:val="auto"/>
              </w:rPr>
            </w:pPr>
          </w:p>
        </w:tc>
        <w:tc>
          <w:tcPr>
            <w:tcW w:w="1360" w:type="dxa"/>
            <w:vAlign w:val="bottom"/>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92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92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r>
        <w:trPr>
          <w:trHeight w:val="407"/>
        </w:trPr>
        <w:tc>
          <w:tcPr>
            <w:tcW w:w="6500" w:type="dxa"/>
            <w:vAlign w:val="bottom"/>
            <w:tcBorders>
              <w:bottom w:val="single" w:sz="8" w:color="auto"/>
            </w:tcBorders>
          </w:tcPr>
          <w:p>
            <w:pPr>
              <w:spacing w:after="0"/>
              <w:rPr>
                <w:sz w:val="24"/>
                <w:szCs w:val="24"/>
                <w:color w:val="auto"/>
              </w:rPr>
            </w:pPr>
          </w:p>
        </w:tc>
        <w:tc>
          <w:tcPr>
            <w:tcW w:w="1360" w:type="dxa"/>
            <w:vAlign w:val="bottom"/>
            <w:tcBorders>
              <w:bottom w:val="single" w:sz="8" w:color="auto"/>
            </w:tcBorders>
          </w:tcPr>
          <w:p>
            <w:pPr>
              <w:spacing w:after="0"/>
              <w:rPr>
                <w:sz w:val="24"/>
                <w:szCs w:val="24"/>
                <w:color w:val="auto"/>
              </w:rPr>
            </w:pPr>
          </w:p>
        </w:tc>
        <w:tc>
          <w:tcPr>
            <w:tcW w:w="600" w:type="dxa"/>
            <w:vAlign w:val="bottom"/>
            <w:tcBorders>
              <w:bottom w:val="single" w:sz="8" w:color="auto"/>
            </w:tcBorders>
          </w:tcPr>
          <w:p>
            <w:pPr>
              <w:spacing w:after="0"/>
              <w:rPr>
                <w:sz w:val="24"/>
                <w:szCs w:val="24"/>
                <w:color w:val="auto"/>
              </w:rPr>
            </w:pPr>
          </w:p>
        </w:tc>
        <w:tc>
          <w:tcPr>
            <w:tcW w:w="92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620" w:type="dxa"/>
            <w:vAlign w:val="bottom"/>
            <w:tcBorders>
              <w:bottom w:val="single" w:sz="8" w:color="auto"/>
            </w:tcBorders>
          </w:tcPr>
          <w:p>
            <w:pPr>
              <w:spacing w:after="0"/>
              <w:rPr>
                <w:sz w:val="24"/>
                <w:szCs w:val="24"/>
                <w:color w:val="auto"/>
              </w:rPr>
            </w:pPr>
          </w:p>
        </w:tc>
        <w:tc>
          <w:tcPr>
            <w:tcW w:w="92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r>
    </w:tbl>
    <w:p>
      <w:pPr>
        <w:sectPr>
          <w:pgSz w:w="11900" w:h="16838" w:orient="portrait"/>
          <w:cols w:equalWidth="0" w:num="1">
            <w:col w:w="11240"/>
          </w:cols>
          <w:pgMar w:left="320" w:top="895" w:right="339" w:bottom="1440" w:gutter="0" w:footer="0" w:header="0"/>
        </w:sectPr>
      </w:pPr>
    </w:p>
    <w:bookmarkStart w:id="13" w:name="page14"/>
    <w:bookmarkEnd w:id="13"/>
    <w:p>
      <w:pPr>
        <w:spacing w:after="0"/>
        <w:rPr>
          <w:sz w:val="20"/>
          <w:szCs w:val="20"/>
          <w:color w:val="auto"/>
        </w:rPr>
      </w:pPr>
      <w:r>
        <w:rPr>
          <w:rFonts w:ascii="Arial" w:cs="Arial" w:eastAsia="Arial" w:hAnsi="Arial"/>
          <w:sz w:val="18"/>
          <w:szCs w:val="18"/>
          <w:b w:val="1"/>
          <w:bCs w:val="1"/>
          <w:color w:val="006600"/>
        </w:rPr>
        <w:t>Veritiv Contacts:</w:t>
      </w:r>
    </w:p>
    <w:p>
      <w:pPr>
        <w:spacing w:after="0" w:line="224" w:lineRule="exact"/>
        <w:rPr>
          <w:sz w:val="20"/>
          <w:szCs w:val="20"/>
          <w:color w:val="auto"/>
        </w:rPr>
      </w:pPr>
    </w:p>
    <w:p>
      <w:pPr>
        <w:spacing w:after="0"/>
        <w:tabs>
          <w:tab w:leader="none" w:pos="5820" w:val="left"/>
        </w:tabs>
        <w:rPr>
          <w:sz w:val="20"/>
          <w:szCs w:val="20"/>
          <w:color w:val="auto"/>
        </w:rPr>
      </w:pPr>
      <w:r>
        <w:rPr>
          <w:rFonts w:ascii="Arial" w:cs="Arial" w:eastAsia="Arial" w:hAnsi="Arial"/>
          <w:sz w:val="18"/>
          <w:szCs w:val="18"/>
          <w:color w:val="auto"/>
        </w:rPr>
        <w:t>Investors: Scott Palfreeman, 844-845-2136</w:t>
      </w:r>
      <w:r>
        <w:rPr>
          <w:sz w:val="20"/>
          <w:szCs w:val="20"/>
          <w:color w:val="auto"/>
        </w:rPr>
        <w:tab/>
      </w:r>
      <w:r>
        <w:rPr>
          <w:rFonts w:ascii="Arial" w:cs="Arial" w:eastAsia="Arial" w:hAnsi="Arial"/>
          <w:sz w:val="16"/>
          <w:szCs w:val="16"/>
          <w:color w:val="auto"/>
        </w:rPr>
        <w:t>Media: Kristie Madara, 770-391-8471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284480</wp:posOffset>
            </wp:positionV>
            <wp:extent cx="7134225" cy="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134225" cy="8255"/>
                    </a:xfrm>
                    <a:prstGeom prst="rect">
                      <a:avLst/>
                    </a:prstGeom>
                    <a:noFill/>
                  </pic:spPr>
                </pic:pic>
              </a:graphicData>
            </a:graphic>
          </wp:anchor>
        </w:drawing>
      </w:r>
    </w:p>
    <w:p>
      <w:pPr>
        <w:sectPr>
          <w:pgSz w:w="11900" w:h="16838" w:orient="portrait"/>
          <w:cols w:equalWidth="0" w:num="1">
            <w:col w:w="10139"/>
          </w:cols>
          <w:pgMar w:left="320" w:top="895" w:right="1440" w:bottom="1440" w:gutter="0" w:footer="0" w:header="0"/>
        </w:sectPr>
      </w:pPr>
    </w:p>
    <w:bookmarkStart w:id="14" w:name="page15"/>
    <w:bookmarkEnd w:id="1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393700</wp:posOffset>
            </wp:positionV>
            <wp:extent cx="7196455" cy="420243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196455" cy="420243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5" w:name="page16"/>
    <w:bookmarkEnd w:id="1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444500</wp:posOffset>
            </wp:positionV>
            <wp:extent cx="7196455" cy="420243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196455" cy="420243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6" w:name="page17"/>
    <w:bookmarkEnd w:id="1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444500</wp:posOffset>
            </wp:positionV>
            <wp:extent cx="7196455" cy="42195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196455" cy="421957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7" w:name="page18"/>
    <w:bookmarkEnd w:id="1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444500</wp:posOffset>
            </wp:positionV>
            <wp:extent cx="7196455" cy="420243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196455" cy="420243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8" w:name="page19"/>
    <w:bookmarkEnd w:id="1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444500</wp:posOffset>
            </wp:positionV>
            <wp:extent cx="7196455" cy="420243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196455" cy="420243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9" w:name="page20"/>
    <w:bookmarkEnd w:id="19"/>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444500</wp:posOffset>
            </wp:positionV>
            <wp:extent cx="7196455" cy="420243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196455" cy="420243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0" w:name="page21"/>
    <w:bookmarkEnd w:id="20"/>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444500</wp:posOffset>
            </wp:positionV>
            <wp:extent cx="7196455" cy="420243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7196455" cy="420243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1" w:name="page22"/>
    <w:bookmarkEnd w:id="21"/>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444500</wp:posOffset>
            </wp:positionV>
            <wp:extent cx="7196455" cy="420243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196455" cy="420243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2" w:name="page23"/>
    <w:bookmarkEnd w:id="22"/>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444500</wp:posOffset>
            </wp:positionV>
            <wp:extent cx="7196455" cy="420243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7196455" cy="420243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3" w:name="page24"/>
    <w:bookmarkEnd w:id="23"/>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444500</wp:posOffset>
            </wp:positionV>
            <wp:extent cx="7196455" cy="420243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7196455" cy="420243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4" w:name="page25"/>
    <w:bookmarkEnd w:id="2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444500</wp:posOffset>
            </wp:positionV>
            <wp:extent cx="7196455" cy="420243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7196455" cy="420243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5" w:name="page26"/>
    <w:bookmarkEnd w:id="2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444500</wp:posOffset>
            </wp:positionV>
            <wp:extent cx="7196455" cy="420243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196455" cy="420243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6" w:name="page27"/>
    <w:bookmarkEnd w:id="2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444500</wp:posOffset>
            </wp:positionV>
            <wp:extent cx="7196455" cy="42106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7196455" cy="42106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7" w:name="page28"/>
    <w:bookmarkEnd w:id="2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444500</wp:posOffset>
            </wp:positionV>
            <wp:extent cx="7196455" cy="420243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7196455" cy="420243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8" w:name="page29"/>
    <w:bookmarkEnd w:id="2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444500</wp:posOffset>
            </wp:positionV>
            <wp:extent cx="7196455" cy="420243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7196455" cy="420243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9" w:name="page30"/>
    <w:bookmarkEnd w:id="29"/>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4638675</wp:posOffset>
            </wp:positionV>
            <wp:extent cx="7134225" cy="825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7134225" cy="82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0" w:name="page31"/>
    <w:bookmarkEnd w:id="30"/>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444500</wp:posOffset>
            </wp:positionV>
            <wp:extent cx="7196455" cy="420243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7196455" cy="420243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1" w:name="page32"/>
    <w:bookmarkEnd w:id="31"/>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444500</wp:posOffset>
            </wp:positionV>
            <wp:extent cx="7196455" cy="420243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7196455" cy="4202430"/>
                    </a:xfrm>
                    <a:prstGeom prst="rect">
                      <a:avLst/>
                    </a:prstGeom>
                    <a:noFill/>
                  </pic:spPr>
                </pic:pic>
              </a:graphicData>
            </a:graphic>
          </wp:anchor>
        </w:drawing>
      </w:r>
    </w:p>
    <w:sectPr>
      <w:pgSz w:w="11900" w:h="16838"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74B0DC51"/>
    <w:multiLevelType w:val="hybridMultilevel"/>
    <w:lvl w:ilvl="0">
      <w:lvlJc w:val="left"/>
      <w:lvlText w:val="☐"/>
      <w:numFmt w:val="bullet"/>
      <w:start w:val="1"/>
    </w:lvl>
  </w:abstractNum>
  <w:abstractNum w:abstractNumId="1">
    <w:nsid w:val="19495CFF"/>
    <w:multiLevelType w:val="hybridMultilevel"/>
    <w:lvl w:ilvl="0">
      <w:lvlJc w:val="left"/>
      <w:lvlText w:val="(%1)"/>
      <w:numFmt w:val="lowerLetter"/>
      <w:start w:val="4"/>
    </w:lvl>
  </w:abstractNum>
  <w:abstractNum w:abstractNumId="2">
    <w:nsid w:val="2AE8944A"/>
    <w:multiLevelType w:val="hybridMultilevel"/>
    <w:lvl w:ilvl="0">
      <w:lvlJc w:val="left"/>
      <w:lvlText w:val="•"/>
      <w:numFmt w:val="bullet"/>
      <w:start w:val="1"/>
    </w:lvl>
  </w:abstractNum>
  <w:abstractNum w:abstractNumId="3">
    <w:nsid w:val="625558EC"/>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2020-11-05T07:04:21Z</dcterms:created>
  <dcterms:modified xsi:type="dcterms:W3CDTF">2020-11-05T07:04:21Z</dcterms:modified>
</cp:coreProperties>
</file>