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spacing w:after="0"/>
        <w:rPr>
          <w:sz w:val="20"/>
          <w:szCs w:val="20"/>
          <w:color w:val="auto"/>
        </w:rPr>
      </w:pPr>
      <w:r>
        <w:rPr>
          <w:rFonts w:ascii="Arial" w:cs="Arial" w:eastAsia="Arial" w:hAnsi="Arial"/>
          <w:sz w:val="32"/>
          <w:szCs w:val="32"/>
          <w:b w:val="1"/>
          <w:bCs w:val="1"/>
          <w:color w:val="auto"/>
        </w:rPr>
        <w:drawing>
          <wp:anchor simplePos="0" relativeHeight="251657728" behindDoc="1" locked="0" layoutInCell="0" allowOverlap="1">
            <wp:simplePos x="0" y="0"/>
            <wp:positionH relativeFrom="page">
              <wp:posOffset>207645</wp:posOffset>
            </wp:positionH>
            <wp:positionV relativeFrom="page">
              <wp:posOffset>309245</wp:posOffset>
            </wp:positionV>
            <wp:extent cx="7134225" cy="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342900</wp:posOffset>
            </wp:positionV>
            <wp:extent cx="713422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4225" cy="8255"/>
                    </a:xfrm>
                    <a:prstGeom prst="rect">
                      <a:avLst/>
                    </a:prstGeom>
                    <a:noFill/>
                  </pic:spPr>
                </pic:pic>
              </a:graphicData>
            </a:graphic>
          </wp:anchor>
        </w:drawing>
        <w:t>UNITED STATES</w:t>
      </w:r>
    </w:p>
    <w:p>
      <w:pPr>
        <w:spacing w:after="0" w:line="2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SECURITIES AND EXCHANGE COMMISSION</w:t>
      </w:r>
    </w:p>
    <w:p>
      <w:pPr>
        <w:jc w:val="center"/>
        <w:spacing w:after="0"/>
        <w:rPr>
          <w:sz w:val="20"/>
          <w:szCs w:val="20"/>
          <w:color w:val="auto"/>
        </w:rPr>
      </w:pPr>
      <w:r>
        <w:rPr>
          <w:rFonts w:ascii="Arial" w:cs="Arial" w:eastAsia="Arial" w:hAnsi="Arial"/>
          <w:sz w:val="18"/>
          <w:szCs w:val="18"/>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2326005</wp:posOffset>
            </wp:positionH>
            <wp:positionV relativeFrom="paragraph">
              <wp:posOffset>138430</wp:posOffset>
            </wp:positionV>
            <wp:extent cx="1067435"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397"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FORM 8-K</w:t>
      </w:r>
    </w:p>
    <w:p>
      <w:pPr>
        <w:spacing w:after="0" w:line="229"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CURRENT REPORT</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Pursuant to Section 13 OR 15(d) of The 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2326005</wp:posOffset>
            </wp:positionH>
            <wp:positionV relativeFrom="paragraph">
              <wp:posOffset>140335</wp:posOffset>
            </wp:positionV>
            <wp:extent cx="1067435"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200" w:lineRule="exact"/>
        <w:rPr>
          <w:sz w:val="24"/>
          <w:szCs w:val="24"/>
          <w:color w:val="auto"/>
        </w:rPr>
      </w:pPr>
    </w:p>
    <w:p>
      <w:pPr>
        <w:spacing w:after="0" w:line="237" w:lineRule="exact"/>
        <w:rPr>
          <w:sz w:val="24"/>
          <w:szCs w:val="24"/>
          <w:color w:val="auto"/>
        </w:rPr>
      </w:pPr>
    </w:p>
    <w:p>
      <w:pPr>
        <w:ind w:left="1620"/>
        <w:spacing w:after="0"/>
        <w:rPr>
          <w:sz w:val="20"/>
          <w:szCs w:val="20"/>
          <w:color w:val="auto"/>
        </w:rPr>
      </w:pPr>
      <w:r>
        <w:rPr>
          <w:rFonts w:ascii="Arial" w:cs="Arial" w:eastAsia="Arial" w:hAnsi="Arial"/>
          <w:sz w:val="16"/>
          <w:szCs w:val="16"/>
          <w:b w:val="1"/>
          <w:bCs w:val="1"/>
          <w:color w:val="auto"/>
        </w:rPr>
        <w:t>Date of Report (Date of earliest event reported): August 5, 2020 (August 5, 2020)</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2326005</wp:posOffset>
            </wp:positionH>
            <wp:positionV relativeFrom="paragraph">
              <wp:posOffset>165735</wp:posOffset>
            </wp:positionV>
            <wp:extent cx="1067435"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67435" cy="8255"/>
                    </a:xfrm>
                    <a:prstGeom prst="rect">
                      <a:avLst/>
                    </a:prstGeom>
                    <a:noFill/>
                  </pic:spPr>
                </pic:pic>
              </a:graphicData>
            </a:graphic>
          </wp:anchor>
        </w:drawing>
        <w:drawing>
          <wp:anchor simplePos="0" relativeHeight="251657728" behindDoc="1" locked="0" layoutInCell="0" allowOverlap="1">
            <wp:simplePos x="0" y="0"/>
            <wp:positionH relativeFrom="column">
              <wp:posOffset>-706120</wp:posOffset>
            </wp:positionH>
            <wp:positionV relativeFrom="paragraph">
              <wp:posOffset>2428240</wp:posOffset>
            </wp:positionV>
            <wp:extent cx="7134225" cy="16268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34225" cy="162687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jc w:val="center"/>
        <w:spacing w:after="0"/>
        <w:rPr>
          <w:sz w:val="20"/>
          <w:szCs w:val="20"/>
          <w:color w:val="auto"/>
        </w:rPr>
      </w:pPr>
      <w:r>
        <w:rPr>
          <w:rFonts w:ascii="Arial" w:cs="Arial" w:eastAsia="Arial" w:hAnsi="Arial"/>
          <w:sz w:val="32"/>
          <w:szCs w:val="32"/>
          <w:b w:val="1"/>
          <w:bCs w:val="1"/>
          <w:color w:val="auto"/>
        </w:rPr>
        <w:t>VERITIV CORPORATION</w:t>
      </w:r>
    </w:p>
    <w:p>
      <w:pPr>
        <w:spacing w:after="0" w:line="35" w:lineRule="exact"/>
        <w:rPr>
          <w:sz w:val="24"/>
          <w:szCs w:val="24"/>
          <w:color w:val="auto"/>
        </w:rPr>
      </w:pPr>
    </w:p>
    <w:p>
      <w:pPr>
        <w:jc w:val="center"/>
        <w:spacing w:after="0"/>
        <w:rPr>
          <w:sz w:val="20"/>
          <w:szCs w:val="20"/>
          <w:color w:val="auto"/>
        </w:rPr>
      </w:pPr>
      <w:r>
        <w:rPr>
          <w:rFonts w:ascii="Arial" w:cs="Arial" w:eastAsia="Arial" w:hAnsi="Arial"/>
          <w:sz w:val="18"/>
          <w:szCs w:val="18"/>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2326005</wp:posOffset>
            </wp:positionH>
            <wp:positionV relativeFrom="paragraph">
              <wp:posOffset>138430</wp:posOffset>
            </wp:positionV>
            <wp:extent cx="1067435"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67435" cy="8255"/>
                    </a:xfrm>
                    <a:prstGeom prst="rect">
                      <a:avLst/>
                    </a:prstGeom>
                    <a:noFill/>
                  </pic:spPr>
                </pic:pic>
              </a:graphicData>
            </a:graphic>
          </wp:anchor>
        </w:drawing>
      </w:r>
    </w:p>
    <w:p>
      <w:pPr>
        <w:spacing w:after="0" w:line="200" w:lineRule="exact"/>
        <w:rPr>
          <w:sz w:val="24"/>
          <w:szCs w:val="24"/>
          <w:color w:val="auto"/>
        </w:rPr>
      </w:pPr>
    </w:p>
    <w:p>
      <w:pPr>
        <w:spacing w:after="0" w:line="220"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Delaware</w:t>
      </w:r>
    </w:p>
    <w:p>
      <w:pPr>
        <w:spacing w:after="0" w:line="23" w:lineRule="exact"/>
        <w:rPr>
          <w:sz w:val="24"/>
          <w:szCs w:val="24"/>
          <w:color w:val="auto"/>
        </w:rPr>
      </w:pPr>
    </w:p>
    <w:p>
      <w:pPr>
        <w:jc w:val="center"/>
        <w:spacing w:after="0"/>
        <w:rPr>
          <w:sz w:val="20"/>
          <w:szCs w:val="20"/>
          <w:color w:val="auto"/>
        </w:rPr>
      </w:pPr>
      <w:r>
        <w:rPr>
          <w:rFonts w:ascii="Arial" w:cs="Arial" w:eastAsia="Arial" w:hAnsi="Arial"/>
          <w:sz w:val="18"/>
          <w:szCs w:val="18"/>
          <w:b w:val="1"/>
          <w:bCs w:val="1"/>
          <w:color w:val="auto"/>
        </w:rPr>
        <w:t>(State or other jurisdiction of incorporation)</w:t>
      </w:r>
    </w:p>
    <w:p>
      <w:pPr>
        <w:sectPr>
          <w:pgSz w:w="11900" w:h="16838" w:orient="portrait"/>
          <w:cols w:equalWidth="0" w:num="1">
            <w:col w:w="9019"/>
          </w:cols>
          <w:pgMar w:left="1440" w:top="752" w:right="1440" w:bottom="0" w:gutter="0" w:footer="0" w:header="0"/>
        </w:sectPr>
      </w:pPr>
    </w:p>
    <w:p>
      <w:pPr>
        <w:spacing w:after="0" w:line="230" w:lineRule="exact"/>
        <w:rPr>
          <w:sz w:val="24"/>
          <w:szCs w:val="24"/>
          <w:color w:val="auto"/>
        </w:rPr>
      </w:pPr>
    </w:p>
    <w:p>
      <w:pPr>
        <w:jc w:val="center"/>
        <w:ind w:right="2080"/>
        <w:spacing w:after="0"/>
        <w:rPr>
          <w:sz w:val="20"/>
          <w:szCs w:val="20"/>
          <w:color w:val="auto"/>
        </w:rPr>
      </w:pPr>
      <w:r>
        <w:rPr>
          <w:rFonts w:ascii="Arial" w:cs="Arial" w:eastAsia="Arial" w:hAnsi="Arial"/>
          <w:sz w:val="18"/>
          <w:szCs w:val="18"/>
          <w:b w:val="1"/>
          <w:bCs w:val="1"/>
          <w:color w:val="auto"/>
        </w:rPr>
        <w:t>001-36479</w:t>
      </w:r>
    </w:p>
    <w:p>
      <w:pPr>
        <w:spacing w:after="0" w:line="23" w:lineRule="exact"/>
        <w:rPr>
          <w:sz w:val="24"/>
          <w:szCs w:val="24"/>
          <w:color w:val="auto"/>
        </w:rPr>
      </w:pPr>
    </w:p>
    <w:p>
      <w:pPr>
        <w:jc w:val="center"/>
        <w:ind w:right="2080"/>
        <w:spacing w:after="0"/>
        <w:rPr>
          <w:sz w:val="20"/>
          <w:szCs w:val="20"/>
          <w:color w:val="auto"/>
        </w:rPr>
      </w:pPr>
      <w:r>
        <w:rPr>
          <w:rFonts w:ascii="Arial" w:cs="Arial" w:eastAsia="Arial" w:hAnsi="Arial"/>
          <w:sz w:val="16"/>
          <w:szCs w:val="16"/>
          <w:color w:val="auto"/>
        </w:rPr>
        <w:t>(Commission File Number)</w:t>
      </w:r>
    </w:p>
    <w:p>
      <w:pPr>
        <w:spacing w:after="0" w:line="20" w:lineRule="exact"/>
        <w:rPr>
          <w:sz w:val="24"/>
          <w:szCs w:val="24"/>
          <w:color w:val="auto"/>
        </w:rPr>
      </w:pPr>
      <w:r>
        <w:rPr>
          <w:sz w:val="24"/>
          <w:szCs w:val="24"/>
          <w:color w:val="auto"/>
        </w:rPr>
        <w:br w:type="column"/>
      </w:r>
    </w:p>
    <w:p>
      <w:pPr>
        <w:spacing w:after="0" w:line="210" w:lineRule="exact"/>
        <w:rPr>
          <w:sz w:val="24"/>
          <w:szCs w:val="24"/>
          <w:color w:val="auto"/>
        </w:rPr>
      </w:pPr>
    </w:p>
    <w:p>
      <w:pPr>
        <w:jc w:val="center"/>
        <w:ind w:right="359"/>
        <w:spacing w:after="0"/>
        <w:rPr>
          <w:sz w:val="20"/>
          <w:szCs w:val="20"/>
          <w:color w:val="auto"/>
        </w:rPr>
      </w:pPr>
      <w:r>
        <w:rPr>
          <w:rFonts w:ascii="Arial" w:cs="Arial" w:eastAsia="Arial" w:hAnsi="Arial"/>
          <w:sz w:val="18"/>
          <w:szCs w:val="18"/>
          <w:b w:val="1"/>
          <w:bCs w:val="1"/>
          <w:color w:val="auto"/>
        </w:rPr>
        <w:t>46-3234977</w:t>
      </w:r>
    </w:p>
    <w:p>
      <w:pPr>
        <w:spacing w:after="0" w:line="23" w:lineRule="exact"/>
        <w:rPr>
          <w:sz w:val="24"/>
          <w:szCs w:val="24"/>
          <w:color w:val="auto"/>
        </w:rPr>
      </w:pPr>
    </w:p>
    <w:p>
      <w:pPr>
        <w:jc w:val="center"/>
        <w:ind w:right="359"/>
        <w:spacing w:after="0"/>
        <w:rPr>
          <w:sz w:val="20"/>
          <w:szCs w:val="20"/>
          <w:color w:val="auto"/>
        </w:rPr>
      </w:pPr>
      <w:r>
        <w:rPr>
          <w:rFonts w:ascii="Arial" w:cs="Arial" w:eastAsia="Arial" w:hAnsi="Arial"/>
          <w:sz w:val="16"/>
          <w:szCs w:val="16"/>
          <w:color w:val="auto"/>
        </w:rPr>
        <w:t>(I.R.S. Employer Identification No.)</w:t>
      </w:r>
    </w:p>
    <w:p>
      <w:pPr>
        <w:spacing w:after="0" w:line="200" w:lineRule="exact"/>
        <w:rPr>
          <w:sz w:val="24"/>
          <w:szCs w:val="24"/>
          <w:color w:val="auto"/>
        </w:rPr>
      </w:pPr>
    </w:p>
    <w:p>
      <w:pPr>
        <w:sectPr>
          <w:pgSz w:w="11900" w:h="16838" w:orient="portrait"/>
          <w:cols w:equalWidth="0" w:num="2">
            <w:col w:w="5360" w:space="720"/>
            <w:col w:w="2939"/>
          </w:cols>
          <w:pgMar w:left="1440" w:top="752" w:right="1440" w:bottom="0" w:gutter="0" w:footer="0" w:header="0"/>
          <w:type w:val="continuous"/>
        </w:sectPr>
      </w:pPr>
    </w:p>
    <w:p>
      <w:pPr>
        <w:spacing w:after="0" w:line="266" w:lineRule="exact"/>
        <w:rPr>
          <w:sz w:val="24"/>
          <w:szCs w:val="24"/>
          <w:color w:val="auto"/>
        </w:rPr>
      </w:pPr>
    </w:p>
    <w:p>
      <w:pPr>
        <w:ind w:left="660"/>
        <w:spacing w:after="0"/>
        <w:rPr>
          <w:sz w:val="20"/>
          <w:szCs w:val="20"/>
          <w:color w:val="auto"/>
        </w:rPr>
      </w:pPr>
      <w:r>
        <w:rPr>
          <w:rFonts w:ascii="Arial" w:cs="Arial" w:eastAsia="Arial" w:hAnsi="Arial"/>
          <w:sz w:val="16"/>
          <w:szCs w:val="16"/>
          <w:b w:val="1"/>
          <w:bCs w:val="1"/>
          <w:color w:val="auto"/>
        </w:rPr>
        <w:t>1000 Abernathy Road NE</w:t>
      </w:r>
    </w:p>
    <w:p>
      <w:pPr>
        <w:sectPr>
          <w:pgSz w:w="11900" w:h="16838" w:orient="portrait"/>
          <w:cols w:equalWidth="0" w:num="1">
            <w:col w:w="9019"/>
          </w:cols>
          <w:pgMar w:left="1440" w:top="752" w:right="1440" w:bottom="0" w:gutter="0" w:footer="0" w:header="0"/>
          <w:type w:val="continuous"/>
        </w:sectPr>
      </w:pPr>
    </w:p>
    <w:bookmarkStart w:id="1" w:name="page2"/>
    <w:bookmarkEnd w:id="1"/>
    <w:p>
      <w:pPr>
        <w:ind w:left="1840"/>
        <w:spacing w:after="0"/>
        <w:rPr>
          <w:sz w:val="20"/>
          <w:szCs w:val="20"/>
          <w:color w:val="auto"/>
        </w:rPr>
      </w:pPr>
      <w:r>
        <w:rPr>
          <w:rFonts w:ascii="Arial" w:cs="Arial" w:eastAsia="Arial" w:hAnsi="Arial"/>
          <w:sz w:val="18"/>
          <w:szCs w:val="18"/>
          <w:b w:val="1"/>
          <w:bCs w:val="1"/>
          <w:color w:val="auto"/>
        </w:rPr>
        <w:t>Building 400, Suite 1700</w:t>
      </w:r>
    </w:p>
    <w:p>
      <w:pPr>
        <w:spacing w:after="0" w:line="23" w:lineRule="exact"/>
        <w:rPr>
          <w:sz w:val="20"/>
          <w:szCs w:val="20"/>
          <w:color w:val="auto"/>
        </w:rPr>
      </w:pPr>
    </w:p>
    <w:p>
      <w:pPr>
        <w:ind w:left="2120"/>
        <w:spacing w:after="0"/>
        <w:rPr>
          <w:sz w:val="20"/>
          <w:szCs w:val="20"/>
          <w:color w:val="auto"/>
        </w:rPr>
      </w:pPr>
      <w:r>
        <w:rPr>
          <w:rFonts w:ascii="Arial" w:cs="Arial" w:eastAsia="Arial" w:hAnsi="Arial"/>
          <w:sz w:val="18"/>
          <w:szCs w:val="18"/>
          <w:b w:val="1"/>
          <w:bCs w:val="1"/>
          <w:color w:val="auto"/>
        </w:rPr>
        <w:t>Atlanta, Georgia</w:t>
      </w:r>
    </w:p>
    <w:p>
      <w:pPr>
        <w:spacing w:after="0" w:line="6" w:lineRule="exact"/>
        <w:rPr>
          <w:sz w:val="20"/>
          <w:szCs w:val="20"/>
          <w:color w:val="auto"/>
        </w:rPr>
      </w:pPr>
    </w:p>
    <w:p>
      <w:pPr>
        <w:ind w:left="1360"/>
        <w:spacing w:after="0"/>
        <w:rPr>
          <w:sz w:val="20"/>
          <w:szCs w:val="20"/>
          <w:color w:val="auto"/>
        </w:rPr>
      </w:pPr>
      <w:r>
        <w:rPr>
          <w:rFonts w:ascii="Arial" w:cs="Arial" w:eastAsia="Arial" w:hAnsi="Arial"/>
          <w:sz w:val="18"/>
          <w:szCs w:val="18"/>
          <w:color w:val="auto"/>
        </w:rPr>
        <w:t>(Address of principal executive offices)</w:t>
      </w:r>
    </w:p>
    <w:p>
      <w:pPr>
        <w:spacing w:after="0" w:line="203" w:lineRule="exact"/>
        <w:rPr>
          <w:sz w:val="20"/>
          <w:szCs w:val="20"/>
          <w:color w:val="auto"/>
        </w:rPr>
      </w:pPr>
    </w:p>
    <w:p>
      <w:pPr>
        <w:ind w:left="3200"/>
        <w:spacing w:after="0"/>
        <w:rPr>
          <w:sz w:val="20"/>
          <w:szCs w:val="20"/>
          <w:color w:val="auto"/>
        </w:rPr>
      </w:pPr>
      <w:r>
        <w:rPr>
          <w:rFonts w:ascii="Arial" w:cs="Arial" w:eastAsia="Arial" w:hAnsi="Arial"/>
          <w:sz w:val="16"/>
          <w:szCs w:val="16"/>
          <w:color w:val="auto"/>
        </w:rPr>
        <w:t xml:space="preserve">Registrant’s telephone number, including area code: </w:t>
      </w:r>
      <w:r>
        <w:rPr>
          <w:rFonts w:ascii="Arial" w:cs="Arial" w:eastAsia="Arial" w:hAnsi="Arial"/>
          <w:sz w:val="16"/>
          <w:szCs w:val="16"/>
          <w:b w:val="1"/>
          <w:bCs w:val="1"/>
          <w:color w:val="auto"/>
        </w:rPr>
        <w:t>(770) 391-8200</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p>
      <w:pPr>
        <w:jc w:val="center"/>
        <w:ind w:right="2360"/>
        <w:spacing w:after="0"/>
        <w:rPr>
          <w:sz w:val="20"/>
          <w:szCs w:val="20"/>
          <w:color w:val="auto"/>
        </w:rPr>
      </w:pPr>
      <w:r>
        <w:rPr>
          <w:rFonts w:ascii="Arial" w:cs="Arial" w:eastAsia="Arial" w:hAnsi="Arial"/>
          <w:sz w:val="18"/>
          <w:szCs w:val="18"/>
          <w:b w:val="1"/>
          <w:bCs w:val="1"/>
          <w:color w:val="auto"/>
        </w:rPr>
        <w:t>30328</w:t>
      </w:r>
    </w:p>
    <w:p>
      <w:pPr>
        <w:spacing w:after="0" w:line="23" w:lineRule="exact"/>
        <w:rPr>
          <w:sz w:val="20"/>
          <w:szCs w:val="20"/>
          <w:color w:val="auto"/>
        </w:rPr>
      </w:pPr>
    </w:p>
    <w:p>
      <w:pPr>
        <w:jc w:val="center"/>
        <w:ind w:right="2360"/>
        <w:spacing w:after="0"/>
        <w:rPr>
          <w:sz w:val="20"/>
          <w:szCs w:val="20"/>
          <w:color w:val="auto"/>
        </w:rPr>
      </w:pPr>
      <w:r>
        <w:rPr>
          <w:rFonts w:ascii="Arial" w:cs="Arial" w:eastAsia="Arial" w:hAnsi="Arial"/>
          <w:sz w:val="16"/>
          <w:szCs w:val="16"/>
          <w:color w:val="auto"/>
        </w:rPr>
        <w:t>(Zip Code)</w:t>
      </w:r>
    </w:p>
    <w:p>
      <w:pPr>
        <w:spacing w:after="0" w:line="609" w:lineRule="exact"/>
        <w:rPr>
          <w:sz w:val="20"/>
          <w:szCs w:val="20"/>
          <w:color w:val="auto"/>
        </w:rPr>
      </w:pPr>
    </w:p>
    <w:p>
      <w:pPr>
        <w:sectPr>
          <w:pgSz w:w="11900" w:h="16838" w:orient="portrait"/>
          <w:cols w:equalWidth="0" w:num="2">
            <w:col w:w="8060" w:space="40"/>
            <w:col w:w="3140"/>
          </w:cols>
          <w:pgMar w:left="320" w:top="121" w:right="339" w:bottom="1440" w:gutter="0" w:footer="0" w:header="0"/>
        </w:sectPr>
      </w:pPr>
    </w:p>
    <w:p>
      <w:pPr>
        <w:spacing w:after="0" w:line="4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 Applicable</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(Former name or former address, if changed since last report)</w:t>
      </w:r>
    </w:p>
    <w:p>
      <w:pPr>
        <w:spacing w:after="0" w:line="207" w:lineRule="exact"/>
        <w:rPr>
          <w:sz w:val="20"/>
          <w:szCs w:val="20"/>
          <w:color w:val="auto"/>
        </w:rPr>
      </w:pPr>
    </w:p>
    <w:p>
      <w:pPr>
        <w:spacing w:after="0" w:line="270"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175" w:lineRule="exact"/>
        <w:rPr>
          <w:sz w:val="20"/>
          <w:szCs w:val="20"/>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Written communications pursuant to Rule 425 under the Securities Act (17 CFR 230.425)</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Rule 14a-12 under the Exchange Act (17 CFR 240.14a-12)</w:t>
      </w:r>
    </w:p>
    <w:p>
      <w:pPr>
        <w:spacing w:after="0" w:line="219" w:lineRule="exact"/>
        <w:rPr>
          <w:rFonts w:ascii="MS PGothic" w:cs="MS PGothic" w:eastAsia="MS PGothic" w:hAnsi="MS PGothic"/>
          <w:sz w:val="18"/>
          <w:szCs w:val="18"/>
          <w:color w:val="auto"/>
        </w:rPr>
      </w:pPr>
    </w:p>
    <w:p>
      <w:pPr>
        <w:ind w:left="320" w:hanging="313"/>
        <w:spacing w:after="0"/>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14d-2(b) under the Exchange Act (17 CFR 240.14d-2(b))</w:t>
      </w:r>
    </w:p>
    <w:p>
      <w:pPr>
        <w:spacing w:after="0" w:line="219" w:lineRule="exact"/>
        <w:rPr>
          <w:rFonts w:ascii="MS PGothic" w:cs="MS PGothic" w:eastAsia="MS PGothic" w:hAnsi="MS PGothic"/>
          <w:sz w:val="18"/>
          <w:szCs w:val="18"/>
          <w:color w:val="auto"/>
        </w:rPr>
      </w:pPr>
    </w:p>
    <w:p>
      <w:pPr>
        <w:ind w:right="2960" w:firstLine="7"/>
        <w:spacing w:after="0" w:line="503" w:lineRule="auto"/>
        <w:tabs>
          <w:tab w:leader="none" w:pos="32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13e-4(c) under the Exchange Act (17 CFR 240.13e-4(c)) Securities registered pursuant to Section 12(b) of the Act:</w:t>
      </w:r>
    </w:p>
    <w:tbl>
      <w:tblPr>
        <w:tblLayout w:type="fixed"/>
        <w:tblInd w:w="10" w:type="dxa"/>
        <w:tblCellMar>
          <w:top w:w="0" w:type="dxa"/>
          <w:left w:w="0" w:type="dxa"/>
          <w:bottom w:w="0" w:type="dxa"/>
          <w:right w:w="0" w:type="dxa"/>
        </w:tblCellMar>
      </w:tblPr>
      <w:tr>
        <w:trPr>
          <w:trHeight w:val="233"/>
        </w:trPr>
        <w:tc>
          <w:tcPr>
            <w:tcW w:w="3620" w:type="dxa"/>
            <w:vAlign w:val="bottom"/>
            <w:tcBorders>
              <w:top w:val="single" w:sz="8" w:color="auto"/>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6"/>
              </w:rPr>
              <w:t>Title of each class</w:t>
            </w:r>
          </w:p>
        </w:tc>
        <w:tc>
          <w:tcPr>
            <w:tcW w:w="24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Trading Symbol(s)</w:t>
            </w:r>
          </w:p>
        </w:tc>
        <w:tc>
          <w:tcPr>
            <w:tcW w:w="514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7"/>
              </w:rPr>
              <w:t>Name of each exchange on which registered</w:t>
            </w:r>
          </w:p>
        </w:tc>
      </w:tr>
      <w:tr>
        <w:trPr>
          <w:trHeight w:val="28"/>
        </w:trPr>
        <w:tc>
          <w:tcPr>
            <w:tcW w:w="362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5140" w:type="dxa"/>
            <w:vAlign w:val="bottom"/>
            <w:tcBorders>
              <w:bottom w:val="single" w:sz="8" w:color="auto"/>
              <w:right w:val="single" w:sz="8" w:color="auto"/>
            </w:tcBorders>
          </w:tcPr>
          <w:p>
            <w:pPr>
              <w:spacing w:after="0"/>
              <w:rPr>
                <w:sz w:val="2"/>
                <w:szCs w:val="2"/>
                <w:color w:val="auto"/>
              </w:rPr>
            </w:pPr>
          </w:p>
        </w:tc>
      </w:tr>
      <w:tr>
        <w:trPr>
          <w:trHeight w:val="232"/>
        </w:trPr>
        <w:tc>
          <w:tcPr>
            <w:tcW w:w="3620" w:type="dxa"/>
            <w:vAlign w:val="bottom"/>
            <w:tcBorders>
              <w:left w:val="single" w:sz="8" w:color="auto"/>
              <w:right w:val="single" w:sz="8" w:color="auto"/>
            </w:tcBorders>
          </w:tcPr>
          <w:p>
            <w:pPr>
              <w:jc w:val="center"/>
              <w:spacing w:after="0"/>
              <w:rPr>
                <w:sz w:val="20"/>
                <w:szCs w:val="20"/>
                <w:color w:val="auto"/>
              </w:rPr>
            </w:pPr>
            <w:r>
              <w:rPr>
                <w:rFonts w:ascii="Arial" w:cs="Arial" w:eastAsia="Arial" w:hAnsi="Arial"/>
                <w:sz w:val="18"/>
                <w:szCs w:val="18"/>
                <w:b w:val="1"/>
                <w:bCs w:val="1"/>
                <w:color w:val="auto"/>
                <w:w w:val="89"/>
              </w:rPr>
              <w:t>Common stock, $0.01 par value</w:t>
            </w:r>
          </w:p>
        </w:tc>
        <w:tc>
          <w:tcPr>
            <w:tcW w:w="248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rPr>
              <w:t>VRTV</w:t>
            </w:r>
          </w:p>
        </w:tc>
        <w:tc>
          <w:tcPr>
            <w:tcW w:w="5140" w:type="dxa"/>
            <w:vAlign w:val="bottom"/>
            <w:tcBorders>
              <w:right w:val="single" w:sz="8" w:color="auto"/>
            </w:tcBorders>
          </w:tcPr>
          <w:p>
            <w:pPr>
              <w:jc w:val="center"/>
              <w:spacing w:after="0"/>
              <w:rPr>
                <w:sz w:val="20"/>
                <w:szCs w:val="20"/>
                <w:color w:val="auto"/>
              </w:rPr>
            </w:pPr>
            <w:r>
              <w:rPr>
                <w:rFonts w:ascii="Arial" w:cs="Arial" w:eastAsia="Arial" w:hAnsi="Arial"/>
                <w:sz w:val="18"/>
                <w:szCs w:val="18"/>
                <w:b w:val="1"/>
                <w:bCs w:val="1"/>
                <w:color w:val="auto"/>
                <w:w w:val="88"/>
              </w:rPr>
              <w:t>New York Stock Exchange</w:t>
            </w:r>
          </w:p>
        </w:tc>
      </w:tr>
      <w:tr>
        <w:trPr>
          <w:trHeight w:val="28"/>
        </w:trPr>
        <w:tc>
          <w:tcPr>
            <w:tcW w:w="3620" w:type="dxa"/>
            <w:vAlign w:val="bottom"/>
            <w:tcBorders>
              <w:left w:val="single" w:sz="8" w:color="auto"/>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5140" w:type="dxa"/>
            <w:vAlign w:val="bottom"/>
            <w:tcBorders>
              <w:bottom w:val="single" w:sz="8" w:color="auto"/>
              <w:right w:val="single" w:sz="8" w:color="auto"/>
            </w:tcBorders>
          </w:tcPr>
          <w:p>
            <w:pPr>
              <w:spacing w:after="0"/>
              <w:rPr>
                <w:sz w:val="2"/>
                <w:szCs w:val="2"/>
                <w:color w:val="auto"/>
              </w:rPr>
            </w:pPr>
          </w:p>
        </w:tc>
      </w:tr>
    </w:tbl>
    <w:p>
      <w:pPr>
        <w:spacing w:after="0" w:line="199" w:lineRule="exact"/>
        <w:rPr>
          <w:sz w:val="20"/>
          <w:szCs w:val="20"/>
          <w:color w:val="auto"/>
        </w:rPr>
      </w:pPr>
    </w:p>
    <w:p>
      <w:pPr>
        <w:jc w:val="both"/>
        <w:ind w:right="20"/>
        <w:spacing w:after="0" w:line="252" w:lineRule="auto"/>
        <w:rPr>
          <w:sz w:val="20"/>
          <w:szCs w:val="20"/>
          <w:color w:val="auto"/>
        </w:rPr>
      </w:pPr>
      <w:r>
        <w:rPr>
          <w:rFonts w:ascii="Arial" w:cs="Arial" w:eastAsia="Arial" w:hAnsi="Arial"/>
          <w:sz w:val="18"/>
          <w:szCs w:val="18"/>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2" w:lineRule="exact"/>
        <w:rPr>
          <w:sz w:val="20"/>
          <w:szCs w:val="20"/>
          <w:color w:val="auto"/>
        </w:rPr>
      </w:pPr>
    </w:p>
    <w:p>
      <w:pPr>
        <w:ind w:left="9100"/>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4" w:lineRule="exact"/>
        <w:rPr>
          <w:sz w:val="20"/>
          <w:szCs w:val="20"/>
          <w:color w:val="auto"/>
        </w:rPr>
      </w:pPr>
    </w:p>
    <w:p>
      <w:pPr>
        <w:jc w:val="both"/>
        <w:spacing w:after="0" w:line="230" w:lineRule="exact"/>
        <w:rPr>
          <w:sz w:val="20"/>
          <w:szCs w:val="20"/>
          <w:color w:val="auto"/>
        </w:rPr>
      </w:pPr>
      <w:r>
        <w:rPr>
          <w:rFonts w:ascii="Arial" w:cs="Arial" w:eastAsia="Arial" w:hAnsi="Arial"/>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124460</wp:posOffset>
            </wp:positionV>
            <wp:extent cx="7134225" cy="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141605</wp:posOffset>
            </wp:positionV>
            <wp:extent cx="7134225" cy="25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34225" cy="25400"/>
                    </a:xfrm>
                    <a:prstGeom prst="rect">
                      <a:avLst/>
                    </a:prstGeom>
                    <a:noFill/>
                  </pic:spPr>
                </pic:pic>
              </a:graphicData>
            </a:graphic>
          </wp:anchor>
        </w:drawing>
        <w:drawing>
          <wp:anchor simplePos="0" relativeHeight="251657728" behindDoc="1" locked="0" layoutInCell="0" allowOverlap="1">
            <wp:simplePos x="0" y="0"/>
            <wp:positionH relativeFrom="column">
              <wp:posOffset>4445</wp:posOffset>
            </wp:positionH>
            <wp:positionV relativeFrom="paragraph">
              <wp:posOffset>598805</wp:posOffset>
            </wp:positionV>
            <wp:extent cx="7134225" cy="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type w:val="continuous"/>
        </w:sectPr>
      </w:pPr>
    </w:p>
    <w:bookmarkStart w:id="2" w:name="page3"/>
    <w:bookmarkEnd w:id="2"/>
    <w:p>
      <w:pPr>
        <w:spacing w:after="0"/>
        <w:tabs>
          <w:tab w:leader="none" w:pos="1260" w:val="left"/>
        </w:tabs>
        <w:rPr>
          <w:sz w:val="20"/>
          <w:szCs w:val="20"/>
          <w:color w:val="auto"/>
        </w:rPr>
      </w:pPr>
      <w:r>
        <w:rPr>
          <w:rFonts w:ascii="Arial" w:cs="Arial" w:eastAsia="Arial" w:hAnsi="Arial"/>
          <w:sz w:val="18"/>
          <w:szCs w:val="18"/>
          <w:b w:val="1"/>
          <w:bCs w:val="1"/>
          <w:color w:val="auto"/>
        </w:rPr>
        <w:t>Item 2.02.</w:t>
      </w:r>
      <w:r>
        <w:rPr>
          <w:sz w:val="20"/>
          <w:szCs w:val="20"/>
          <w:color w:val="auto"/>
        </w:rPr>
        <w:tab/>
      </w:r>
      <w:r>
        <w:rPr>
          <w:rFonts w:ascii="Arial" w:cs="Arial" w:eastAsia="Arial" w:hAnsi="Arial"/>
          <w:sz w:val="16"/>
          <w:szCs w:val="16"/>
          <w:b w:val="1"/>
          <w:bCs w:val="1"/>
          <w:color w:val="auto"/>
        </w:rPr>
        <w:t>Results of Operations and Financial Condition.</w:t>
      </w:r>
    </w:p>
    <w:p>
      <w:pPr>
        <w:spacing w:after="0" w:line="224" w:lineRule="exact"/>
        <w:rPr>
          <w:sz w:val="20"/>
          <w:szCs w:val="20"/>
          <w:color w:val="auto"/>
        </w:rPr>
      </w:pPr>
    </w:p>
    <w:p>
      <w:pPr>
        <w:jc w:val="both"/>
        <w:ind w:firstLine="480"/>
        <w:spacing w:after="0" w:line="258" w:lineRule="auto"/>
        <w:rPr>
          <w:sz w:val="20"/>
          <w:szCs w:val="20"/>
          <w:color w:val="auto"/>
        </w:rPr>
      </w:pPr>
      <w:r>
        <w:rPr>
          <w:rFonts w:ascii="Arial" w:cs="Arial" w:eastAsia="Arial" w:hAnsi="Arial"/>
          <w:sz w:val="18"/>
          <w:szCs w:val="18"/>
          <w:color w:val="auto"/>
        </w:rPr>
        <w:t>On August 5, 2020, Veritiv Corporation (the “Company”) issued a press release containing certain financial results of the Company and its direct and indirect wholly-owned subsidiaries for the three and six months ended June 30, 2020. A copy of this press release is attached as Exhibit 99.1 to this Current Report on Form 8-K.</w:t>
      </w:r>
    </w:p>
    <w:p>
      <w:pPr>
        <w:spacing w:after="0" w:line="182"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7.01.</w:t>
      </w:r>
      <w:r>
        <w:rPr>
          <w:sz w:val="20"/>
          <w:szCs w:val="20"/>
          <w:color w:val="auto"/>
        </w:rPr>
        <w:tab/>
      </w:r>
      <w:r>
        <w:rPr>
          <w:rFonts w:ascii="Arial" w:cs="Arial" w:eastAsia="Arial" w:hAnsi="Arial"/>
          <w:sz w:val="16"/>
          <w:szCs w:val="16"/>
          <w:b w:val="1"/>
          <w:bCs w:val="1"/>
          <w:color w:val="auto"/>
        </w:rPr>
        <w:t>Regulation FD Disclosure.</w:t>
      </w:r>
    </w:p>
    <w:p>
      <w:pPr>
        <w:spacing w:after="0" w:line="224" w:lineRule="exact"/>
        <w:rPr>
          <w:sz w:val="20"/>
          <w:szCs w:val="20"/>
          <w:color w:val="auto"/>
        </w:rPr>
      </w:pPr>
    </w:p>
    <w:p>
      <w:pPr>
        <w:jc w:val="both"/>
        <w:ind w:firstLine="480"/>
        <w:spacing w:after="0" w:line="296" w:lineRule="auto"/>
        <w:rPr>
          <w:sz w:val="20"/>
          <w:szCs w:val="20"/>
          <w:color w:val="auto"/>
        </w:rPr>
      </w:pPr>
      <w:r>
        <w:rPr>
          <w:rFonts w:ascii="Arial" w:cs="Arial" w:eastAsia="Arial" w:hAnsi="Arial"/>
          <w:sz w:val="16"/>
          <w:szCs w:val="16"/>
          <w:color w:val="auto"/>
        </w:rPr>
        <w:t>The Company is furnishing herewith additional information in conjunction with the August 5, 2020 earnings release. This additional information includes general Company information and highlights of financial results of the Company and its direct and indirect wholly-owned subsidiaries for the three and six months ended June 30, 2020. The additional information, attached as Exhibit 99.2 to this Current Report on Form 8-K, is being furnished and will not be deemed “filed” for the purposes of Section 18 of the Securities Exchange Act of 1934, as amended, or otherwise subject to the liabilities of that Section.</w:t>
      </w:r>
    </w:p>
    <w:p>
      <w:pPr>
        <w:spacing w:after="0" w:line="160" w:lineRule="exact"/>
        <w:rPr>
          <w:sz w:val="20"/>
          <w:szCs w:val="20"/>
          <w:color w:val="auto"/>
        </w:rPr>
      </w:pPr>
    </w:p>
    <w:p>
      <w:pPr>
        <w:jc w:val="both"/>
        <w:ind w:firstLine="480"/>
        <w:spacing w:after="0" w:line="300" w:lineRule="auto"/>
        <w:rPr>
          <w:sz w:val="20"/>
          <w:szCs w:val="20"/>
          <w:color w:val="auto"/>
        </w:rPr>
      </w:pPr>
      <w:r>
        <w:rPr>
          <w:rFonts w:ascii="Arial" w:cs="Arial" w:eastAsia="Arial" w:hAnsi="Arial"/>
          <w:sz w:val="17"/>
          <w:szCs w:val="17"/>
          <w:color w:val="auto"/>
        </w:rPr>
        <w:t>The information in this Current Report on Form 8-K will not be incorporated by reference into any registration statement or other document filed by the Company under the Securities Act of 1933, as amended, unless specifically identified therein as being incorporated by reference.</w:t>
      </w:r>
    </w:p>
    <w:p>
      <w:pPr>
        <w:spacing w:after="0" w:line="148" w:lineRule="exact"/>
        <w:rPr>
          <w:sz w:val="20"/>
          <w:szCs w:val="20"/>
          <w:color w:val="auto"/>
        </w:rPr>
      </w:pPr>
    </w:p>
    <w:p>
      <w:pPr>
        <w:spacing w:after="0"/>
        <w:tabs>
          <w:tab w:leader="none" w:pos="1260" w:val="left"/>
        </w:tabs>
        <w:rPr>
          <w:sz w:val="20"/>
          <w:szCs w:val="20"/>
          <w:color w:val="auto"/>
        </w:rPr>
      </w:pPr>
      <w:r>
        <w:rPr>
          <w:rFonts w:ascii="Arial" w:cs="Arial" w:eastAsia="Arial" w:hAnsi="Arial"/>
          <w:sz w:val="18"/>
          <w:szCs w:val="18"/>
          <w:b w:val="1"/>
          <w:bCs w:val="1"/>
          <w:color w:val="auto"/>
        </w:rPr>
        <w:t>Item 9.01.</w:t>
      </w:r>
      <w:r>
        <w:rPr>
          <w:sz w:val="20"/>
          <w:szCs w:val="20"/>
          <w:color w:val="auto"/>
        </w:rPr>
        <w:tab/>
      </w:r>
      <w:r>
        <w:rPr>
          <w:rFonts w:ascii="Arial" w:cs="Arial" w:eastAsia="Arial" w:hAnsi="Arial"/>
          <w:sz w:val="16"/>
          <w:szCs w:val="16"/>
          <w:b w:val="1"/>
          <w:bCs w:val="1"/>
          <w:color w:val="auto"/>
        </w:rPr>
        <w:t>Financial Statements and Exhibits.</w:t>
      </w:r>
    </w:p>
    <w:p>
      <w:pPr>
        <w:spacing w:after="0" w:line="224" w:lineRule="exact"/>
        <w:rPr>
          <w:sz w:val="20"/>
          <w:szCs w:val="20"/>
          <w:color w:val="auto"/>
        </w:rPr>
      </w:pPr>
    </w:p>
    <w:p>
      <w:pPr>
        <w:ind w:left="1320" w:hanging="833"/>
        <w:spacing w:after="0"/>
        <w:tabs>
          <w:tab w:leader="none" w:pos="1320" w:val="left"/>
        </w:tabs>
        <w:numPr>
          <w:ilvl w:val="0"/>
          <w:numId w:val="2"/>
        </w:numPr>
        <w:rPr>
          <w:rFonts w:ascii="Arial" w:cs="Arial" w:eastAsia="Arial" w:hAnsi="Arial"/>
          <w:sz w:val="18"/>
          <w:szCs w:val="18"/>
          <w:color w:val="auto"/>
        </w:rPr>
      </w:pPr>
      <w:r>
        <w:rPr>
          <w:rFonts w:ascii="Arial" w:cs="Arial" w:eastAsia="Arial" w:hAnsi="Arial"/>
          <w:sz w:val="18"/>
          <w:szCs w:val="18"/>
          <w:color w:val="auto"/>
        </w:rPr>
        <w:t>Exhibits.</w:t>
      </w:r>
    </w:p>
    <w:p>
      <w:pPr>
        <w:spacing w:after="0" w:line="220" w:lineRule="exact"/>
        <w:rPr>
          <w:sz w:val="20"/>
          <w:szCs w:val="20"/>
          <w:color w:val="auto"/>
        </w:rPr>
      </w:pPr>
    </w:p>
    <w:p>
      <w:pPr>
        <w:ind w:left="480"/>
        <w:spacing w:after="0"/>
        <w:rPr>
          <w:sz w:val="20"/>
          <w:szCs w:val="20"/>
          <w:color w:val="auto"/>
        </w:rPr>
      </w:pPr>
      <w:r>
        <w:rPr>
          <w:rFonts w:ascii="Arial" w:cs="Arial" w:eastAsia="Arial" w:hAnsi="Arial"/>
          <w:sz w:val="18"/>
          <w:szCs w:val="18"/>
          <w:color w:val="auto"/>
        </w:rPr>
        <w:t>The following exhibits are filed with this report:</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320" w:type="dxa"/>
            <w:vAlign w:val="bottom"/>
          </w:tcPr>
          <w:p>
            <w:pPr>
              <w:spacing w:after="0"/>
              <w:rPr>
                <w:sz w:val="19"/>
                <w:szCs w:val="19"/>
                <w:color w:val="auto"/>
              </w:rPr>
            </w:pPr>
          </w:p>
        </w:tc>
        <w:tc>
          <w:tcPr>
            <w:tcW w:w="1220" w:type="dxa"/>
            <w:vAlign w:val="bottom"/>
            <w:gridSpan w:val="2"/>
          </w:tcPr>
          <w:p>
            <w:pPr>
              <w:spacing w:after="0"/>
              <w:rPr>
                <w:sz w:val="20"/>
                <w:szCs w:val="20"/>
                <w:color w:val="auto"/>
              </w:rPr>
            </w:pPr>
            <w:r>
              <w:rPr>
                <w:rFonts w:ascii="Arial" w:cs="Arial" w:eastAsia="Arial" w:hAnsi="Arial"/>
                <w:sz w:val="18"/>
                <w:szCs w:val="18"/>
                <w:color w:val="auto"/>
              </w:rPr>
              <w:t>Exhibit No.</w:t>
            </w:r>
          </w:p>
        </w:tc>
        <w:tc>
          <w:tcPr>
            <w:tcW w:w="8880" w:type="dxa"/>
            <w:vAlign w:val="bottom"/>
          </w:tcPr>
          <w:p>
            <w:pPr>
              <w:spacing w:after="0"/>
              <w:rPr>
                <w:sz w:val="20"/>
                <w:szCs w:val="20"/>
                <w:color w:val="auto"/>
              </w:rPr>
            </w:pPr>
            <w:r>
              <w:rPr>
                <w:rFonts w:ascii="Arial" w:cs="Arial" w:eastAsia="Arial" w:hAnsi="Arial"/>
                <w:sz w:val="18"/>
                <w:szCs w:val="18"/>
                <w:color w:val="auto"/>
              </w:rPr>
              <w:t>Exhibit Description</w:t>
            </w:r>
          </w:p>
        </w:tc>
        <w:tc>
          <w:tcPr>
            <w:tcW w:w="820" w:type="dxa"/>
            <w:vAlign w:val="bottom"/>
          </w:tcPr>
          <w:p>
            <w:pPr>
              <w:spacing w:after="0"/>
              <w:rPr>
                <w:sz w:val="19"/>
                <w:szCs w:val="19"/>
                <w:color w:val="auto"/>
              </w:rPr>
            </w:pPr>
          </w:p>
        </w:tc>
      </w:tr>
      <w:tr>
        <w:trPr>
          <w:trHeight w:val="420"/>
        </w:trPr>
        <w:tc>
          <w:tcPr>
            <w:tcW w:w="320" w:type="dxa"/>
            <w:vAlign w:val="bottom"/>
          </w:tcPr>
          <w:p>
            <w:pPr>
              <w:spacing w:after="0"/>
              <w:rPr>
                <w:sz w:val="24"/>
                <w:szCs w:val="24"/>
                <w:color w:val="auto"/>
              </w:rPr>
            </w:pPr>
          </w:p>
        </w:tc>
        <w:tc>
          <w:tcPr>
            <w:tcW w:w="1120" w:type="dxa"/>
            <w:vAlign w:val="bottom"/>
            <w:tcBorders>
              <w:top w:val="single" w:sz="8" w:color="auto"/>
            </w:tcBorders>
          </w:tcPr>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99.1</w:t>
              </w:r>
            </w:hyperlink>
          </w:p>
        </w:tc>
        <w:tc>
          <w:tcPr>
            <w:tcW w:w="100" w:type="dxa"/>
            <w:vAlign w:val="bottom"/>
          </w:tcPr>
          <w:p>
            <w:pPr>
              <w:spacing w:after="0"/>
              <w:rPr>
                <w:sz w:val="24"/>
                <w:szCs w:val="24"/>
                <w:color w:val="auto"/>
              </w:rPr>
            </w:pPr>
          </w:p>
        </w:tc>
        <w:tc>
          <w:tcPr>
            <w:tcW w:w="8880" w:type="dxa"/>
            <w:vAlign w:val="bottom"/>
            <w:tcBorders>
              <w:top w:val="single" w:sz="8" w:color="auto"/>
            </w:tcBorders>
          </w:tcPr>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Press Release of Veritiv Corporation issued August 5, 2020.</w:t>
              </w:r>
            </w:hyperlink>
          </w:p>
        </w:tc>
        <w:tc>
          <w:tcPr>
            <w:tcW w:w="820" w:type="dxa"/>
            <w:vAlign w:val="bottom"/>
          </w:tcPr>
          <w:p>
            <w:pPr>
              <w:spacing w:after="0"/>
              <w:rPr>
                <w:sz w:val="24"/>
                <w:szCs w:val="24"/>
                <w:color w:val="auto"/>
              </w:rPr>
            </w:pPr>
          </w:p>
        </w:tc>
      </w:tr>
      <w:tr>
        <w:trPr>
          <w:trHeight w:val="427"/>
        </w:trPr>
        <w:tc>
          <w:tcPr>
            <w:tcW w:w="320" w:type="dxa"/>
            <w:vAlign w:val="bottom"/>
          </w:tcPr>
          <w:p>
            <w:pPr>
              <w:spacing w:after="0"/>
              <w:rPr>
                <w:sz w:val="24"/>
                <w:szCs w:val="24"/>
                <w:color w:val="auto"/>
              </w:rPr>
            </w:pPr>
          </w:p>
        </w:tc>
        <w:tc>
          <w:tcPr>
            <w:tcW w:w="1120" w:type="dxa"/>
            <w:vAlign w:val="bottom"/>
          </w:tcPr>
          <w:p>
            <w:pPr>
              <w:spacing w:after="0"/>
              <w:rPr>
                <w:rFonts w:ascii="Arial" w:cs="Arial" w:eastAsia="Arial" w:hAnsi="Arial"/>
                <w:sz w:val="18"/>
                <w:szCs w:val="18"/>
                <w:u w:val="single" w:color="auto"/>
                <w:color w:val="0000EE"/>
              </w:rPr>
            </w:pPr>
            <w:hyperlink w:anchor="page16">
              <w:r>
                <w:rPr>
                  <w:rFonts w:ascii="Arial" w:cs="Arial" w:eastAsia="Arial" w:hAnsi="Arial"/>
                  <w:sz w:val="18"/>
                  <w:szCs w:val="18"/>
                  <w:u w:val="single" w:color="auto"/>
                  <w:color w:val="0000EE"/>
                </w:rPr>
                <w:t>99.2</w:t>
              </w:r>
            </w:hyperlink>
          </w:p>
        </w:tc>
        <w:tc>
          <w:tcPr>
            <w:tcW w:w="100" w:type="dxa"/>
            <w:vAlign w:val="bottom"/>
          </w:tcPr>
          <w:p>
            <w:pPr>
              <w:spacing w:after="0"/>
              <w:rPr>
                <w:sz w:val="24"/>
                <w:szCs w:val="24"/>
                <w:color w:val="auto"/>
              </w:rPr>
            </w:pPr>
          </w:p>
        </w:tc>
        <w:tc>
          <w:tcPr>
            <w:tcW w:w="8880" w:type="dxa"/>
            <w:vAlign w:val="bottom"/>
          </w:tcPr>
          <w:p>
            <w:pPr>
              <w:spacing w:after="0"/>
              <w:rPr>
                <w:rFonts w:ascii="Arial" w:cs="Arial" w:eastAsia="Arial" w:hAnsi="Arial"/>
                <w:sz w:val="18"/>
                <w:szCs w:val="18"/>
                <w:u w:val="single" w:color="auto"/>
                <w:color w:val="0000EE"/>
              </w:rPr>
            </w:pPr>
            <w:hyperlink w:anchor="page16">
              <w:r>
                <w:rPr>
                  <w:rFonts w:ascii="Arial" w:cs="Arial" w:eastAsia="Arial" w:hAnsi="Arial"/>
                  <w:sz w:val="18"/>
                  <w:szCs w:val="18"/>
                  <w:u w:val="single" w:color="auto"/>
                  <w:color w:val="0000EE"/>
                </w:rPr>
                <w:t>Additional Information of Veritiv Corporation issued August 5, 2020.</w:t>
              </w:r>
            </w:hyperlink>
          </w:p>
        </w:tc>
        <w:tc>
          <w:tcPr>
            <w:tcW w:w="820" w:type="dxa"/>
            <w:vAlign w:val="bottom"/>
          </w:tcPr>
          <w:p>
            <w:pPr>
              <w:spacing w:after="0"/>
              <w:rPr>
                <w:sz w:val="24"/>
                <w:szCs w:val="24"/>
                <w:color w:val="auto"/>
              </w:rPr>
            </w:pPr>
          </w:p>
        </w:tc>
      </w:tr>
      <w:tr>
        <w:trPr>
          <w:trHeight w:val="427"/>
        </w:trPr>
        <w:tc>
          <w:tcPr>
            <w:tcW w:w="320" w:type="dxa"/>
            <w:vAlign w:val="bottom"/>
          </w:tcPr>
          <w:p>
            <w:pPr>
              <w:spacing w:after="0"/>
              <w:rPr>
                <w:sz w:val="24"/>
                <w:szCs w:val="24"/>
                <w:color w:val="auto"/>
              </w:rPr>
            </w:pPr>
          </w:p>
        </w:tc>
        <w:tc>
          <w:tcPr>
            <w:tcW w:w="1120" w:type="dxa"/>
            <w:vAlign w:val="bottom"/>
          </w:tcPr>
          <w:p>
            <w:pPr>
              <w:spacing w:after="0"/>
              <w:rPr>
                <w:sz w:val="20"/>
                <w:szCs w:val="20"/>
                <w:color w:val="auto"/>
              </w:rPr>
            </w:pPr>
            <w:r>
              <w:rPr>
                <w:rFonts w:ascii="Arial" w:cs="Arial" w:eastAsia="Arial" w:hAnsi="Arial"/>
                <w:sz w:val="18"/>
                <w:szCs w:val="18"/>
                <w:color w:val="auto"/>
              </w:rPr>
              <w:t>104</w:t>
            </w:r>
          </w:p>
        </w:tc>
        <w:tc>
          <w:tcPr>
            <w:tcW w:w="100" w:type="dxa"/>
            <w:vAlign w:val="bottom"/>
          </w:tcPr>
          <w:p>
            <w:pPr>
              <w:spacing w:after="0"/>
              <w:rPr>
                <w:sz w:val="24"/>
                <w:szCs w:val="24"/>
                <w:color w:val="auto"/>
              </w:rPr>
            </w:pPr>
          </w:p>
        </w:tc>
        <w:tc>
          <w:tcPr>
            <w:tcW w:w="8880" w:type="dxa"/>
            <w:vAlign w:val="bottom"/>
          </w:tcPr>
          <w:p>
            <w:pPr>
              <w:spacing w:after="0"/>
              <w:rPr>
                <w:sz w:val="20"/>
                <w:szCs w:val="20"/>
                <w:color w:val="auto"/>
              </w:rPr>
            </w:pPr>
            <w:r>
              <w:rPr>
                <w:rFonts w:ascii="Arial" w:cs="Arial" w:eastAsia="Arial" w:hAnsi="Arial"/>
                <w:sz w:val="18"/>
                <w:szCs w:val="18"/>
                <w:color w:val="auto"/>
              </w:rPr>
              <w:t>Cover Page Interactive Data File (embedded within the Inline XBRL document)</w:t>
            </w:r>
          </w:p>
        </w:tc>
        <w:tc>
          <w:tcPr>
            <w:tcW w:w="820" w:type="dxa"/>
            <w:vAlign w:val="bottom"/>
          </w:tcPr>
          <w:p>
            <w:pPr>
              <w:spacing w:after="0"/>
              <w:rPr>
                <w:sz w:val="24"/>
                <w:szCs w:val="24"/>
                <w:color w:val="auto"/>
              </w:rPr>
            </w:pPr>
          </w:p>
        </w:tc>
      </w:tr>
      <w:tr>
        <w:trPr>
          <w:trHeight w:val="669"/>
        </w:trPr>
        <w:tc>
          <w:tcPr>
            <w:tcW w:w="32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8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3" w:name="page4"/>
    <w:bookmarkEnd w:id="3"/>
    <w:p>
      <w:pPr>
        <w:jc w:val="center"/>
        <w:spacing w:after="0"/>
        <w:rPr>
          <w:sz w:val="20"/>
          <w:szCs w:val="20"/>
          <w:color w:val="auto"/>
        </w:rPr>
      </w:pPr>
      <w:r>
        <w:rPr>
          <w:rFonts w:ascii="Arial" w:cs="Arial" w:eastAsia="Arial" w:hAnsi="Arial"/>
          <w:sz w:val="18"/>
          <w:szCs w:val="18"/>
          <w:b w:val="1"/>
          <w:bCs w:val="1"/>
          <w:color w:val="auto"/>
        </w:rPr>
        <w:t>SIGNATURES</w:t>
      </w:r>
    </w:p>
    <w:p>
      <w:pPr>
        <w:spacing w:after="0" w:line="224" w:lineRule="exact"/>
        <w:rPr>
          <w:sz w:val="20"/>
          <w:szCs w:val="20"/>
          <w:color w:val="auto"/>
        </w:rPr>
      </w:pPr>
    </w:p>
    <w:p>
      <w:pPr>
        <w:ind w:firstLine="640"/>
        <w:spacing w:after="0" w:line="270"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17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80" w:type="dxa"/>
            <w:vAlign w:val="bottom"/>
          </w:tcPr>
          <w:p>
            <w:pPr>
              <w:spacing w:after="0"/>
              <w:rPr>
                <w:sz w:val="20"/>
                <w:szCs w:val="20"/>
                <w:color w:val="auto"/>
              </w:rPr>
            </w:pPr>
          </w:p>
        </w:tc>
        <w:tc>
          <w:tcPr>
            <w:tcW w:w="48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620" w:type="dxa"/>
            <w:vAlign w:val="bottom"/>
          </w:tcPr>
          <w:p>
            <w:pPr>
              <w:spacing w:after="0"/>
              <w:rPr>
                <w:sz w:val="20"/>
                <w:szCs w:val="20"/>
                <w:color w:val="auto"/>
              </w:rPr>
            </w:pPr>
            <w:r>
              <w:rPr>
                <w:rFonts w:ascii="Arial" w:cs="Arial" w:eastAsia="Arial" w:hAnsi="Arial"/>
                <w:sz w:val="18"/>
                <w:szCs w:val="18"/>
                <w:b w:val="1"/>
                <w:bCs w:val="1"/>
                <w:color w:val="auto"/>
              </w:rPr>
              <w:t>VERITIV CORPORATION</w:t>
            </w:r>
          </w:p>
        </w:tc>
      </w:tr>
      <w:tr>
        <w:trPr>
          <w:trHeight w:val="428"/>
        </w:trPr>
        <w:tc>
          <w:tcPr>
            <w:tcW w:w="5620" w:type="dxa"/>
            <w:vAlign w:val="bottom"/>
            <w:gridSpan w:val="3"/>
          </w:tcPr>
          <w:p>
            <w:pPr>
              <w:spacing w:after="0"/>
              <w:rPr>
                <w:sz w:val="20"/>
                <w:szCs w:val="20"/>
                <w:color w:val="auto"/>
              </w:rPr>
            </w:pPr>
            <w:r>
              <w:rPr>
                <w:rFonts w:ascii="Arial" w:cs="Arial" w:eastAsia="Arial" w:hAnsi="Arial"/>
                <w:sz w:val="18"/>
                <w:szCs w:val="18"/>
                <w:color w:val="auto"/>
              </w:rPr>
              <w:t>Dated: August 5, 2020</w:t>
            </w:r>
          </w:p>
        </w:tc>
        <w:tc>
          <w:tcPr>
            <w:tcW w:w="5620" w:type="dxa"/>
            <w:vAlign w:val="bottom"/>
          </w:tcPr>
          <w:p>
            <w:pPr>
              <w:spacing w:after="0"/>
              <w:rPr>
                <w:sz w:val="20"/>
                <w:szCs w:val="20"/>
                <w:color w:val="auto"/>
              </w:rPr>
            </w:pPr>
            <w:r>
              <w:rPr>
                <w:rFonts w:ascii="Arial" w:cs="Arial" w:eastAsia="Arial" w:hAnsi="Arial"/>
                <w:sz w:val="18"/>
                <w:szCs w:val="18"/>
                <w:color w:val="auto"/>
              </w:rPr>
              <w:t>/s/ Mark W. Hianik</w:t>
            </w:r>
          </w:p>
        </w:tc>
      </w:tr>
      <w:tr>
        <w:trPr>
          <w:trHeight w:val="193"/>
        </w:trPr>
        <w:tc>
          <w:tcPr>
            <w:tcW w:w="580" w:type="dxa"/>
            <w:vAlign w:val="bottom"/>
          </w:tcPr>
          <w:p>
            <w:pPr>
              <w:spacing w:after="0"/>
              <w:rPr>
                <w:sz w:val="16"/>
                <w:szCs w:val="16"/>
                <w:color w:val="auto"/>
              </w:rPr>
            </w:pPr>
          </w:p>
        </w:tc>
        <w:tc>
          <w:tcPr>
            <w:tcW w:w="4840" w:type="dxa"/>
            <w:vAlign w:val="bottom"/>
            <w:tcBorders>
              <w:top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5620" w:type="dxa"/>
            <w:vAlign w:val="bottom"/>
            <w:tcBorders>
              <w:top w:val="single" w:sz="8" w:color="auto"/>
            </w:tcBorders>
          </w:tcPr>
          <w:p>
            <w:pPr>
              <w:spacing w:after="0" w:line="193" w:lineRule="exact"/>
              <w:rPr>
                <w:sz w:val="20"/>
                <w:szCs w:val="20"/>
                <w:color w:val="auto"/>
              </w:rPr>
            </w:pPr>
            <w:r>
              <w:rPr>
                <w:rFonts w:ascii="Arial" w:cs="Arial" w:eastAsia="Arial" w:hAnsi="Arial"/>
                <w:sz w:val="18"/>
                <w:szCs w:val="18"/>
                <w:color w:val="auto"/>
              </w:rPr>
              <w:t>Mark W. Hianik</w:t>
            </w:r>
          </w:p>
        </w:tc>
      </w:tr>
      <w:tr>
        <w:trPr>
          <w:trHeight w:val="226"/>
        </w:trPr>
        <w:tc>
          <w:tcPr>
            <w:tcW w:w="580" w:type="dxa"/>
            <w:vAlign w:val="bottom"/>
          </w:tcPr>
          <w:p>
            <w:pPr>
              <w:spacing w:after="0"/>
              <w:rPr>
                <w:sz w:val="19"/>
                <w:szCs w:val="19"/>
                <w:color w:val="auto"/>
              </w:rPr>
            </w:pPr>
          </w:p>
        </w:tc>
        <w:tc>
          <w:tcPr>
            <w:tcW w:w="48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5620" w:type="dxa"/>
            <w:vAlign w:val="bottom"/>
          </w:tcPr>
          <w:p>
            <w:pPr>
              <w:spacing w:after="0"/>
              <w:rPr>
                <w:sz w:val="20"/>
                <w:szCs w:val="20"/>
                <w:color w:val="auto"/>
              </w:rPr>
            </w:pPr>
            <w:r>
              <w:rPr>
                <w:rFonts w:ascii="Arial" w:cs="Arial" w:eastAsia="Arial" w:hAnsi="Arial"/>
                <w:sz w:val="18"/>
                <w:szCs w:val="18"/>
                <w:color w:val="auto"/>
              </w:rPr>
              <w:t>Senior Vice President, General Counsel &amp; Corporate Secretary</w:t>
            </w:r>
          </w:p>
        </w:tc>
      </w:tr>
      <w:tr>
        <w:trPr>
          <w:trHeight w:val="909"/>
        </w:trPr>
        <w:tc>
          <w:tcPr>
            <w:tcW w:w="580" w:type="dxa"/>
            <w:vAlign w:val="bottom"/>
            <w:tcBorders>
              <w:bottom w:val="single" w:sz="8" w:color="auto"/>
            </w:tcBorders>
          </w:tcPr>
          <w:p>
            <w:pPr>
              <w:spacing w:after="0"/>
              <w:rPr>
                <w:sz w:val="24"/>
                <w:szCs w:val="24"/>
                <w:color w:val="auto"/>
              </w:rPr>
            </w:pPr>
          </w:p>
        </w:tc>
        <w:tc>
          <w:tcPr>
            <w:tcW w:w="48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562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4" w:name="page5"/>
    <w:bookmarkEnd w:id="4"/>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2481580</wp:posOffset>
            </wp:positionV>
            <wp:extent cx="7134225" cy="11861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134225" cy="1186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Veritiv Announces Second Quarter 2020</w:t>
      </w:r>
    </w:p>
    <w:p>
      <w:pPr>
        <w:spacing w:after="0" w:line="23"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Financial Results</w:t>
      </w:r>
    </w:p>
    <w:p>
      <w:pPr>
        <w:spacing w:after="0" w:line="207"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Reports Second Quarter Net Sales of $1.4 Billion,</w:t>
      </w:r>
    </w:p>
    <w:p>
      <w:pPr>
        <w:spacing w:after="0" w:line="1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Net Loss of $(18.5) Million,</w:t>
      </w:r>
    </w:p>
    <w:p>
      <w:pPr>
        <w:spacing w:after="0" w:line="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Basic and Diluted Loss per Share of $(1.16), and</w:t>
      </w:r>
    </w:p>
    <w:p>
      <w:pPr>
        <w:spacing w:after="0" w:line="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i w:val="1"/>
          <w:iCs w:val="1"/>
          <w:color w:val="auto"/>
        </w:rPr>
        <w:t>Adjusted EBITDA of $39.8 Million</w:t>
      </w:r>
    </w:p>
    <w:p>
      <w:pPr>
        <w:spacing w:after="0" w:line="203" w:lineRule="exact"/>
        <w:rPr>
          <w:sz w:val="20"/>
          <w:szCs w:val="20"/>
          <w:color w:val="auto"/>
        </w:rPr>
      </w:pPr>
    </w:p>
    <w:p>
      <w:pPr>
        <w:ind w:right="720"/>
        <w:spacing w:after="0" w:line="274" w:lineRule="auto"/>
        <w:rPr>
          <w:sz w:val="20"/>
          <w:szCs w:val="20"/>
          <w:color w:val="auto"/>
        </w:rPr>
      </w:pPr>
      <w:r>
        <w:rPr>
          <w:rFonts w:ascii="Arial" w:cs="Arial" w:eastAsia="Arial" w:hAnsi="Arial"/>
          <w:sz w:val="18"/>
          <w:szCs w:val="18"/>
          <w:b w:val="1"/>
          <w:bCs w:val="1"/>
          <w:color w:val="auto"/>
        </w:rPr>
        <w:t xml:space="preserve">ATLANTA (August 5, 2020) – </w:t>
      </w:r>
      <w:r>
        <w:rPr>
          <w:rFonts w:ascii="Arial" w:cs="Arial" w:eastAsia="Arial" w:hAnsi="Arial"/>
          <w:sz w:val="18"/>
          <w:szCs w:val="18"/>
          <w:color w:val="auto"/>
        </w:rPr>
        <w:t>Veritiv Corporation (NYSE: VRTV), a North American leader in business-to-business distribution solutions, today</w:t>
      </w:r>
      <w:r>
        <w:rPr>
          <w:rFonts w:ascii="Arial" w:cs="Arial" w:eastAsia="Arial" w:hAnsi="Arial"/>
          <w:sz w:val="18"/>
          <w:szCs w:val="18"/>
          <w:b w:val="1"/>
          <w:bCs w:val="1"/>
          <w:color w:val="auto"/>
        </w:rPr>
        <w:t xml:space="preserve"> </w:t>
      </w:r>
      <w:r>
        <w:rPr>
          <w:rFonts w:ascii="Arial" w:cs="Arial" w:eastAsia="Arial" w:hAnsi="Arial"/>
          <w:sz w:val="18"/>
          <w:szCs w:val="18"/>
          <w:color w:val="auto"/>
        </w:rPr>
        <w:t>announced financial results for the second quarter ended June 30, 2020.</w:t>
      </w:r>
    </w:p>
    <w:p>
      <w:pPr>
        <w:spacing w:after="0" w:line="172" w:lineRule="exact"/>
        <w:rPr>
          <w:sz w:val="20"/>
          <w:szCs w:val="20"/>
          <w:color w:val="auto"/>
        </w:rPr>
      </w:pPr>
    </w:p>
    <w:p>
      <w:pPr>
        <w:ind w:right="160"/>
        <w:spacing w:after="0" w:line="271" w:lineRule="auto"/>
        <w:rPr>
          <w:sz w:val="20"/>
          <w:szCs w:val="20"/>
          <w:color w:val="auto"/>
        </w:rPr>
      </w:pPr>
      <w:r>
        <w:rPr>
          <w:rFonts w:ascii="Arial" w:cs="Arial" w:eastAsia="Arial" w:hAnsi="Arial"/>
          <w:sz w:val="17"/>
          <w:szCs w:val="17"/>
          <w:color w:val="auto"/>
        </w:rPr>
        <w:t>"We had solid Adjusted EBITDA and strong free cash flow in the second quarter, as our ongoing efficiency programs and the temporary actions we took to mitigate the impact of COVID-19, led to improved margins," said Mary Laschinger, Chairman and CEO of Veritiv Corporation. “As part of our efforts to address recent revenue declines from both COVID-19 and the continued structural decline in our Print and Publishing segments, we are implementing permanent changes to reduce our cost structure. We believe our substantial liquidity and the flexibility of our business model position us well to continue managing the impact of COVID-19 on our business, while safely and effectively serving our customers."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color w:val="auto"/>
        </w:rPr>
        <w:t>For the three months ended June 30, 2020, compared to the three months ended June 30, 2019:</w:t>
      </w:r>
    </w:p>
    <w:p>
      <w:pPr>
        <w:spacing w:after="0" w:line="220" w:lineRule="exact"/>
        <w:rPr>
          <w:sz w:val="20"/>
          <w:szCs w:val="20"/>
          <w:color w:val="auto"/>
        </w:rPr>
      </w:pPr>
    </w:p>
    <w:p>
      <w:pPr>
        <w:ind w:left="640" w:right="40" w:hanging="313"/>
        <w:spacing w:after="0" w:line="255" w:lineRule="auto"/>
        <w:tabs>
          <w:tab w:leader="none" w:pos="640" w:val="left"/>
        </w:tabs>
        <w:numPr>
          <w:ilvl w:val="0"/>
          <w:numId w:val="3"/>
        </w:numPr>
        <w:rPr>
          <w:rFonts w:ascii="Arial" w:cs="Arial" w:eastAsia="Arial" w:hAnsi="Arial"/>
          <w:sz w:val="18"/>
          <w:szCs w:val="18"/>
          <w:color w:val="auto"/>
        </w:rPr>
      </w:pPr>
      <w:r>
        <w:rPr>
          <w:rFonts w:ascii="Arial" w:cs="Arial" w:eastAsia="Arial" w:hAnsi="Arial"/>
          <w:sz w:val="18"/>
          <w:szCs w:val="18"/>
          <w:color w:val="auto"/>
        </w:rPr>
        <w:t>Net sales were $1.4 billion, a decrease of 28.3% from the prior year. Net sales decreased 28.0% from the prior year, excluding the negative effect of foreign currency (0.3%).</w:t>
      </w:r>
    </w:p>
    <w:p>
      <w:pPr>
        <w:ind w:left="640" w:right="240" w:hanging="313"/>
        <w:spacing w:after="0" w:line="247" w:lineRule="auto"/>
        <w:tabs>
          <w:tab w:leader="none" w:pos="640" w:val="left"/>
        </w:tabs>
        <w:numPr>
          <w:ilvl w:val="0"/>
          <w:numId w:val="3"/>
        </w:numPr>
        <w:rPr>
          <w:rFonts w:ascii="Arial" w:cs="Arial" w:eastAsia="Arial" w:hAnsi="Arial"/>
          <w:sz w:val="18"/>
          <w:szCs w:val="18"/>
          <w:color w:val="auto"/>
        </w:rPr>
      </w:pPr>
      <w:r>
        <w:rPr>
          <w:rFonts w:ascii="Arial" w:cs="Arial" w:eastAsia="Arial" w:hAnsi="Arial"/>
          <w:sz w:val="18"/>
          <w:szCs w:val="18"/>
          <w:color w:val="auto"/>
        </w:rPr>
        <w:t>Net loss was $(18.5) million, compared to net loss of $(11.3) million in the prior year. Net restructuring charges were $32.5 million in the second quarter of 2020 compared to $6.9 million in the prior year.</w:t>
      </w:r>
    </w:p>
    <w:p>
      <w:pPr>
        <w:ind w:left="640" w:hanging="313"/>
        <w:spacing w:after="0"/>
        <w:tabs>
          <w:tab w:leader="none" w:pos="640" w:val="left"/>
        </w:tabs>
        <w:numPr>
          <w:ilvl w:val="0"/>
          <w:numId w:val="3"/>
        </w:numPr>
        <w:rPr>
          <w:rFonts w:ascii="Arial" w:cs="Arial" w:eastAsia="Arial" w:hAnsi="Arial"/>
          <w:sz w:val="18"/>
          <w:szCs w:val="18"/>
          <w:color w:val="auto"/>
        </w:rPr>
      </w:pPr>
      <w:r>
        <w:rPr>
          <w:rFonts w:ascii="Arial" w:cs="Arial" w:eastAsia="Arial" w:hAnsi="Arial"/>
          <w:sz w:val="18"/>
          <w:szCs w:val="18"/>
          <w:color w:val="auto"/>
        </w:rPr>
        <w:t>Basic and diluted loss per share were $(1.16), compared to $(0.70) in the prior year.</w:t>
      </w:r>
    </w:p>
    <w:p>
      <w:pPr>
        <w:spacing w:after="0" w:line="6" w:lineRule="exact"/>
        <w:rPr>
          <w:rFonts w:ascii="Arial" w:cs="Arial" w:eastAsia="Arial" w:hAnsi="Arial"/>
          <w:sz w:val="18"/>
          <w:szCs w:val="18"/>
          <w:color w:val="auto"/>
        </w:rPr>
      </w:pPr>
    </w:p>
    <w:p>
      <w:pPr>
        <w:ind w:left="640" w:hanging="313"/>
        <w:spacing w:after="0"/>
        <w:tabs>
          <w:tab w:leader="none" w:pos="64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Adjusted EBITDA was $39.8 million, a decrease of 8.1% from the prior year.</w:t>
      </w:r>
    </w:p>
    <w:p>
      <w:pPr>
        <w:spacing w:after="0" w:line="6" w:lineRule="exact"/>
        <w:rPr>
          <w:rFonts w:ascii="Arial" w:cs="Arial" w:eastAsia="Arial" w:hAnsi="Arial"/>
          <w:sz w:val="18"/>
          <w:szCs w:val="18"/>
          <w:color w:val="auto"/>
        </w:rPr>
      </w:pPr>
    </w:p>
    <w:p>
      <w:pPr>
        <w:ind w:left="640" w:hanging="313"/>
        <w:spacing w:after="0"/>
        <w:tabs>
          <w:tab w:leader="none" w:pos="64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Adjusted EBITDA as a percentage of net sales was 2.8%, an increase of 60 basis points from the prior year.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color w:val="auto"/>
        </w:rPr>
        <w:t>For the six months ended June 30, 2020, compared to the six months ended June 30, 2019:</w:t>
      </w:r>
    </w:p>
    <w:p>
      <w:pPr>
        <w:spacing w:after="0" w:line="220" w:lineRule="exact"/>
        <w:rPr>
          <w:sz w:val="20"/>
          <w:szCs w:val="20"/>
          <w:color w:val="auto"/>
        </w:rPr>
      </w:pPr>
    </w:p>
    <w:p>
      <w:pPr>
        <w:ind w:left="640" w:hanging="313"/>
        <w:spacing w:after="0"/>
        <w:tabs>
          <w:tab w:leader="none" w:pos="640" w:val="left"/>
        </w:tabs>
        <w:numPr>
          <w:ilvl w:val="0"/>
          <w:numId w:val="4"/>
        </w:numPr>
        <w:rPr>
          <w:rFonts w:ascii="Arial" w:cs="Arial" w:eastAsia="Arial" w:hAnsi="Arial"/>
          <w:sz w:val="16"/>
          <w:szCs w:val="16"/>
          <w:color w:val="auto"/>
        </w:rPr>
      </w:pPr>
      <w:r>
        <w:rPr>
          <w:rFonts w:ascii="Arial" w:cs="Arial" w:eastAsia="Arial" w:hAnsi="Arial"/>
          <w:sz w:val="16"/>
          <w:szCs w:val="16"/>
          <w:color w:val="auto"/>
        </w:rPr>
        <w:t>Net sales were $3.1 billion, a decrease of 20.2% from the prior year. Net sales decreased 20.6% from the prior year, excluding the negative effect of</w:t>
      </w:r>
    </w:p>
    <w:p>
      <w:pPr>
        <w:sectPr>
          <w:pgSz w:w="11900" w:h="16838" w:orient="portrait"/>
          <w:cols w:equalWidth="0" w:num="1">
            <w:col w:w="11200"/>
          </w:cols>
          <w:pgMar w:left="320" w:top="335" w:right="379" w:bottom="0" w:gutter="0" w:footer="0" w:header="0"/>
        </w:sectPr>
      </w:pPr>
    </w:p>
    <w:bookmarkStart w:id="5" w:name="page6"/>
    <w:bookmarkEnd w:id="5"/>
    <w:p>
      <w:pPr>
        <w:ind w:left="313"/>
        <w:spacing w:after="0"/>
        <w:rPr>
          <w:sz w:val="20"/>
          <w:szCs w:val="20"/>
          <w:color w:val="auto"/>
        </w:rPr>
      </w:pPr>
      <w:r>
        <w:rPr>
          <w:rFonts w:ascii="Arial" w:cs="Arial" w:eastAsia="Arial" w:hAnsi="Arial"/>
          <w:sz w:val="18"/>
          <w:szCs w:val="18"/>
          <w:color w:val="auto"/>
        </w:rPr>
        <w:t>foreign currency (0.2%) and the positive effect of one more shipping day (0.6%) in 2020.</w:t>
      </w:r>
    </w:p>
    <w:p>
      <w:pPr>
        <w:spacing w:after="0" w:line="19" w:lineRule="exact"/>
        <w:rPr>
          <w:sz w:val="20"/>
          <w:szCs w:val="20"/>
          <w:color w:val="auto"/>
        </w:rPr>
      </w:pPr>
    </w:p>
    <w:p>
      <w:pPr>
        <w:ind w:left="313" w:hanging="313"/>
        <w:spacing w:after="0" w:line="247" w:lineRule="auto"/>
        <w:tabs>
          <w:tab w:leader="none" w:pos="313" w:val="left"/>
        </w:tabs>
        <w:numPr>
          <w:ilvl w:val="0"/>
          <w:numId w:val="5"/>
        </w:numPr>
        <w:rPr>
          <w:rFonts w:ascii="Arial" w:cs="Arial" w:eastAsia="Arial" w:hAnsi="Arial"/>
          <w:sz w:val="18"/>
          <w:szCs w:val="18"/>
          <w:color w:val="auto"/>
        </w:rPr>
      </w:pPr>
      <w:r>
        <w:rPr>
          <w:rFonts w:ascii="Arial" w:cs="Arial" w:eastAsia="Arial" w:hAnsi="Arial"/>
          <w:sz w:val="18"/>
          <w:szCs w:val="18"/>
          <w:color w:val="auto"/>
        </w:rPr>
        <w:t>Net loss was $(18.9) million, compared to net loss of $(38.0) million in the prior year. Net restructuring charges were $32.5 million in 2020 compared to $9.3 million in the prior year.</w:t>
      </w:r>
    </w:p>
    <w:p>
      <w:pPr>
        <w:ind w:left="313" w:hanging="313"/>
        <w:spacing w:after="0"/>
        <w:tabs>
          <w:tab w:leader="none" w:pos="313" w:val="left"/>
        </w:tabs>
        <w:numPr>
          <w:ilvl w:val="0"/>
          <w:numId w:val="5"/>
        </w:numPr>
        <w:rPr>
          <w:rFonts w:ascii="Arial" w:cs="Arial" w:eastAsia="Arial" w:hAnsi="Arial"/>
          <w:sz w:val="18"/>
          <w:szCs w:val="18"/>
          <w:color w:val="auto"/>
        </w:rPr>
      </w:pPr>
      <w:r>
        <w:rPr>
          <w:rFonts w:ascii="Arial" w:cs="Arial" w:eastAsia="Arial" w:hAnsi="Arial"/>
          <w:sz w:val="18"/>
          <w:szCs w:val="18"/>
          <w:color w:val="auto"/>
        </w:rPr>
        <w:t>Basic and diluted loss per share were $(1.18) compared to $(2.37) in the prior year.</w:t>
      </w:r>
    </w:p>
    <w:p>
      <w:pPr>
        <w:spacing w:after="0" w:line="6" w:lineRule="exact"/>
        <w:rPr>
          <w:rFonts w:ascii="Arial" w:cs="Arial" w:eastAsia="Arial" w:hAnsi="Arial"/>
          <w:sz w:val="18"/>
          <w:szCs w:val="18"/>
          <w:color w:val="auto"/>
        </w:rPr>
      </w:pPr>
    </w:p>
    <w:p>
      <w:pPr>
        <w:ind w:left="313" w:hanging="313"/>
        <w:spacing w:after="0"/>
        <w:tabs>
          <w:tab w:leader="none" w:pos="313" w:val="left"/>
        </w:tabs>
        <w:numPr>
          <w:ilvl w:val="0"/>
          <w:numId w:val="5"/>
        </w:numPr>
        <w:rPr>
          <w:rFonts w:ascii="Arial" w:cs="Arial" w:eastAsia="Arial" w:hAnsi="Arial"/>
          <w:sz w:val="18"/>
          <w:szCs w:val="18"/>
          <w:color w:val="auto"/>
        </w:rPr>
      </w:pPr>
      <w:r>
        <w:rPr>
          <w:rFonts w:ascii="Arial" w:cs="Arial" w:eastAsia="Arial" w:hAnsi="Arial"/>
          <w:sz w:val="18"/>
          <w:szCs w:val="18"/>
          <w:color w:val="auto"/>
        </w:rPr>
        <w:t>Adjusted EBITDA was $76.0 million, an increase of 19.3% from the prior year.</w:t>
      </w:r>
    </w:p>
    <w:p>
      <w:pPr>
        <w:spacing w:after="0" w:line="6" w:lineRule="exact"/>
        <w:rPr>
          <w:rFonts w:ascii="Arial" w:cs="Arial" w:eastAsia="Arial" w:hAnsi="Arial"/>
          <w:sz w:val="18"/>
          <w:szCs w:val="18"/>
          <w:color w:val="auto"/>
        </w:rPr>
      </w:pPr>
    </w:p>
    <w:p>
      <w:pPr>
        <w:ind w:left="313" w:hanging="313"/>
        <w:spacing w:after="0"/>
        <w:tabs>
          <w:tab w:leader="none" w:pos="313" w:val="left"/>
        </w:tabs>
        <w:numPr>
          <w:ilvl w:val="0"/>
          <w:numId w:val="5"/>
        </w:numPr>
        <w:rPr>
          <w:rFonts w:ascii="Arial" w:cs="Arial" w:eastAsia="Arial" w:hAnsi="Arial"/>
          <w:sz w:val="18"/>
          <w:szCs w:val="18"/>
          <w:color w:val="auto"/>
        </w:rPr>
      </w:pPr>
      <w:r>
        <w:rPr>
          <w:rFonts w:ascii="Arial" w:cs="Arial" w:eastAsia="Arial" w:hAnsi="Arial"/>
          <w:sz w:val="18"/>
          <w:szCs w:val="18"/>
          <w:color w:val="auto"/>
        </w:rPr>
        <w:t>Adjusted EBITDA as a percentage of net sales was 2.4%, an increase of 80 basis points from the prior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-202565</wp:posOffset>
            </wp:positionH>
            <wp:positionV relativeFrom="paragraph">
              <wp:posOffset>411480</wp:posOffset>
            </wp:positionV>
            <wp:extent cx="7134225" cy="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0253"/>
          </w:cols>
          <w:pgMar w:left="647" w:top="125" w:right="999" w:bottom="1440" w:gutter="0" w:footer="0" w:header="0"/>
        </w:sectPr>
      </w:pPr>
    </w:p>
    <w:bookmarkStart w:id="6" w:name="page7"/>
    <w:bookmarkEnd w:id="6"/>
    <w:p>
      <w:pPr>
        <w:spacing w:after="0"/>
        <w:rPr>
          <w:sz w:val="20"/>
          <w:szCs w:val="20"/>
          <w:color w:val="auto"/>
        </w:rPr>
      </w:pPr>
      <w:r>
        <w:rPr>
          <w:rFonts w:ascii="Arial" w:cs="Arial" w:eastAsia="Arial" w:hAnsi="Arial"/>
          <w:sz w:val="18"/>
          <w:szCs w:val="18"/>
          <w:color w:val="auto"/>
        </w:rPr>
        <w:t>For the quarter ended June 30, 2020, net cash provided by operating activities was $141.7 million and free cash flow was $135.9 million.</w:t>
      </w:r>
    </w:p>
    <w:p>
      <w:pPr>
        <w:spacing w:after="0" w:line="220" w:lineRule="exact"/>
        <w:rPr>
          <w:sz w:val="20"/>
          <w:szCs w:val="20"/>
          <w:color w:val="auto"/>
        </w:rPr>
      </w:pPr>
    </w:p>
    <w:p>
      <w:pPr>
        <w:jc w:val="both"/>
        <w:ind w:right="40"/>
        <w:spacing w:after="0" w:line="258" w:lineRule="auto"/>
        <w:rPr>
          <w:sz w:val="20"/>
          <w:szCs w:val="20"/>
          <w:color w:val="auto"/>
        </w:rPr>
      </w:pPr>
      <w:r>
        <w:rPr>
          <w:rFonts w:ascii="Arial" w:cs="Arial" w:eastAsia="Arial" w:hAnsi="Arial"/>
          <w:sz w:val="18"/>
          <w:szCs w:val="18"/>
          <w:color w:val="auto"/>
        </w:rPr>
        <w:t>"Our second quarter free cash flow generation was strong due to lower inventories and accounts receivable, driven by reduced volumes," said Stephen Smith, Senior Vice President and Chief Financial Officer of Veritiv Corporation. "Our liquidity position remains healthy, and at the end of June 2020, our net debt to Adjusted EBITDA leverage ratio was 2.8x, down from 4.0x in the prior year period."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color w:val="auto"/>
        </w:rPr>
        <w:t>Given the continued uncertainty caused by the COVID-19 pandemic, we will not be providing updated financial guidance at this time.</w:t>
      </w:r>
    </w:p>
    <w:p>
      <w:pPr>
        <w:spacing w:after="0" w:line="220" w:lineRule="exact"/>
        <w:rPr>
          <w:sz w:val="20"/>
          <w:szCs w:val="20"/>
          <w:color w:val="auto"/>
        </w:rPr>
      </w:pPr>
    </w:p>
    <w:p>
      <w:pPr>
        <w:ind w:right="120"/>
        <w:spacing w:after="0" w:line="255" w:lineRule="auto"/>
        <w:rPr>
          <w:sz w:val="20"/>
          <w:szCs w:val="20"/>
          <w:color w:val="auto"/>
        </w:rPr>
      </w:pPr>
      <w:r>
        <w:rPr>
          <w:rFonts w:ascii="Arial" w:cs="Arial" w:eastAsia="Arial" w:hAnsi="Arial"/>
          <w:sz w:val="18"/>
          <w:szCs w:val="18"/>
          <w:color w:val="auto"/>
        </w:rPr>
        <w:t xml:space="preserve">Veritiv Corporation will host a live conference call and webcast today, August 5, 2020, at 10 a.m. (ET) to discuss its second quarter financial results. To participate, callers within the United States ("U.S.") and Canada can dial (833) 968-2246, and international callers can dial (825) 312-2066, both using conference ID number 3988742. Interested parties can also listen online at </w:t>
      </w:r>
      <w:r>
        <w:rPr>
          <w:rFonts w:ascii="Arial" w:cs="Arial" w:eastAsia="Arial" w:hAnsi="Arial"/>
          <w:sz w:val="18"/>
          <w:szCs w:val="18"/>
          <w:u w:val="single" w:color="auto"/>
          <w:color w:val="auto"/>
        </w:rPr>
        <w:t>ir.veritivcorp.com</w:t>
      </w:r>
      <w:r>
        <w:rPr>
          <w:rFonts w:ascii="Arial" w:cs="Arial" w:eastAsia="Arial" w:hAnsi="Arial"/>
          <w:sz w:val="18"/>
          <w:szCs w:val="18"/>
          <w:color w:val="auto"/>
        </w:rPr>
        <w:t xml:space="preserve">. A replay of the call and webcast will be available online for a limited period of time at </w:t>
      </w:r>
      <w:r>
        <w:rPr>
          <w:rFonts w:ascii="Arial" w:cs="Arial" w:eastAsia="Arial" w:hAnsi="Arial"/>
          <w:sz w:val="18"/>
          <w:szCs w:val="18"/>
          <w:u w:val="single" w:color="auto"/>
          <w:color w:val="auto"/>
        </w:rPr>
        <w:t>ir.veritivcorp.com</w:t>
      </w:r>
      <w:r>
        <w:rPr>
          <w:rFonts w:ascii="Arial" w:cs="Arial" w:eastAsia="Arial" w:hAnsi="Arial"/>
          <w:sz w:val="18"/>
          <w:szCs w:val="18"/>
          <w:color w:val="auto"/>
        </w:rPr>
        <w:t xml:space="preserve"> shortly after the live webcast is completed.</w:t>
      </w:r>
    </w:p>
    <w:p>
      <w:pPr>
        <w:spacing w:after="0" w:line="188" w:lineRule="exact"/>
        <w:rPr>
          <w:sz w:val="20"/>
          <w:szCs w:val="20"/>
          <w:color w:val="auto"/>
        </w:rPr>
      </w:pPr>
    </w:p>
    <w:p>
      <w:pPr>
        <w:ind w:right="120"/>
        <w:spacing w:after="0" w:line="300" w:lineRule="auto"/>
        <w:rPr>
          <w:sz w:val="20"/>
          <w:szCs w:val="20"/>
          <w:color w:val="auto"/>
        </w:rPr>
      </w:pPr>
      <w:r>
        <w:rPr>
          <w:rFonts w:ascii="Arial" w:cs="Arial" w:eastAsia="Arial" w:hAnsi="Arial"/>
          <w:sz w:val="17"/>
          <w:szCs w:val="17"/>
          <w:color w:val="auto"/>
        </w:rPr>
        <w:t>Important information regarding U.S. generally accepted accounting principles ("U.S. GAAP") and related reconciliations of non-GAAP financial measures to the most comparable U.S. GAAP measures can be found in the schedules to this press release, which should be thoroughly reviewed.</w:t>
      </w:r>
    </w:p>
    <w:p>
      <w:pPr>
        <w:spacing w:after="0" w:line="1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About Veritiv</w:t>
      </w:r>
    </w:p>
    <w:p>
      <w:pPr>
        <w:spacing w:after="0" w:line="228" w:lineRule="exact"/>
        <w:rPr>
          <w:sz w:val="20"/>
          <w:szCs w:val="20"/>
          <w:color w:val="auto"/>
        </w:rPr>
      </w:pPr>
    </w:p>
    <w:p>
      <w:pPr>
        <w:ind w:right="80"/>
        <w:spacing w:after="0" w:line="258" w:lineRule="auto"/>
        <w:rPr>
          <w:sz w:val="20"/>
          <w:szCs w:val="20"/>
          <w:color w:val="auto"/>
        </w:rPr>
      </w:pPr>
      <w:r>
        <w:rPr>
          <w:rFonts w:ascii="Arial" w:cs="Arial" w:eastAsia="Arial" w:hAnsi="Arial"/>
          <w:sz w:val="16"/>
          <w:szCs w:val="16"/>
          <w:color w:val="auto"/>
        </w:rPr>
        <w:t>Veritiv Corporation (NYSE: VRTV), headquartered in Atlanta and a Fortune 500</w:t>
      </w:r>
      <w:r>
        <w:rPr>
          <w:rFonts w:ascii="Arial" w:cs="Arial" w:eastAsia="Arial" w:hAnsi="Arial"/>
          <w:sz w:val="26"/>
          <w:szCs w:val="26"/>
          <w:color w:val="auto"/>
          <w:vertAlign w:val="superscript"/>
        </w:rPr>
        <w:t>®</w:t>
      </w:r>
      <w:r>
        <w:rPr>
          <w:rFonts w:ascii="Arial" w:cs="Arial" w:eastAsia="Arial" w:hAnsi="Arial"/>
          <w:sz w:val="16"/>
          <w:szCs w:val="16"/>
          <w:color w:val="auto"/>
        </w:rPr>
        <w:t xml:space="preserve"> company, is a leading North American business-to-business distributor of packaging, facility solutions, print and publishing products and services. Additionally, Veritiv provides logistics and supply chain management solutions. Serving customers in a wide range of industries, Veritiv has distribution centers throughout the U.S., Canada and Mexico, and team members around the world helping shape the success of its customers. For more information about Veritiv and its business segments visit </w:t>
      </w:r>
      <w:r>
        <w:rPr>
          <w:rFonts w:ascii="Arial" w:cs="Arial" w:eastAsia="Arial" w:hAnsi="Arial"/>
          <w:sz w:val="16"/>
          <w:szCs w:val="16"/>
          <w:b w:val="1"/>
          <w:bCs w:val="1"/>
          <w:u w:val="single" w:color="auto"/>
          <w:color w:val="auto"/>
        </w:rPr>
        <w:t>www.veritivcorp.com</w:t>
      </w:r>
      <w:r>
        <w:rPr>
          <w:rFonts w:ascii="Arial" w:cs="Arial" w:eastAsia="Arial" w:hAnsi="Arial"/>
          <w:sz w:val="16"/>
          <w:szCs w:val="16"/>
          <w:b w:val="1"/>
          <w:bCs w:val="1"/>
          <w:color w:val="auto"/>
        </w:rPr>
        <w:t>.</w:t>
      </w:r>
    </w:p>
    <w:p>
      <w:pPr>
        <w:spacing w:after="0" w:line="1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Safe Harbor Provision</w:t>
      </w:r>
    </w:p>
    <w:p>
      <w:pPr>
        <w:spacing w:after="0" w:line="224"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Certain statements contained in this press release regarding Veritiv Corporation’s (the "Company") future operating results, performance, business plans, including prospects, guidance, the 2020 Restructuring Plan and any other restructuring, statements related to the impact of COVID-19 and any other statements not constituting historical fact are "forward-looking statements" subject to the safe harbor created by the Private Securities Litigation Reform Act of 1995. Where possible, the words "believe," "expect," "anticipate," "continue," "intend," "should," "will," "would," "planned," "estimated," "potential," "goal," "outlook," "may," "predicts," "could," or the negative of such terms, or other comparable expressions, as they relate to the Company or its business, have been used to identify such forward-looking statements. All forward-looking statements reflect only the Company’s current beliefs and assumptions with respect to future operating results, performance, business plans, prospects, guidance and other matters, and are based on information currently available to the Company. Accordingly, the statements are subject to significant risks, uncertainties and contingencies, which could cause the Company’s actual operating results, performance, business plans, prospects or guidance to differ materially from those expressed in, or implied by, these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387350</wp:posOffset>
            </wp:positionV>
            <wp:extent cx="7134225" cy="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899" w:right="339" w:bottom="1440" w:gutter="0" w:footer="0" w:header="0"/>
        </w:sectPr>
      </w:pPr>
    </w:p>
    <w:bookmarkStart w:id="7" w:name="page8"/>
    <w:bookmarkEnd w:id="7"/>
    <w:p>
      <w:pPr>
        <w:spacing w:after="0"/>
        <w:rPr>
          <w:sz w:val="20"/>
          <w:szCs w:val="20"/>
          <w:color w:val="auto"/>
        </w:rPr>
      </w:pPr>
      <w:r>
        <w:rPr>
          <w:rFonts w:ascii="Arial" w:cs="Arial" w:eastAsia="Arial" w:hAnsi="Arial"/>
          <w:sz w:val="16"/>
          <w:szCs w:val="16"/>
          <w:color w:val="auto"/>
        </w:rPr>
        <w:t>Factors that could cause actual results to differ materially from current expectations include risks and other factors described under "Risk Factors" in our</w:t>
      </w:r>
    </w:p>
    <w:p>
      <w:pPr>
        <w:spacing w:after="0" w:line="42" w:lineRule="exact"/>
        <w:rPr>
          <w:sz w:val="20"/>
          <w:szCs w:val="20"/>
          <w:color w:val="auto"/>
        </w:rPr>
      </w:pPr>
    </w:p>
    <w:p>
      <w:pPr>
        <w:spacing w:after="0"/>
        <w:rPr>
          <w:sz w:val="20"/>
          <w:szCs w:val="20"/>
          <w:color w:val="auto"/>
        </w:rPr>
      </w:pPr>
      <w:r>
        <w:rPr>
          <w:rFonts w:ascii="Arial" w:cs="Arial" w:eastAsia="Arial" w:hAnsi="Arial"/>
          <w:sz w:val="16"/>
          <w:szCs w:val="16"/>
          <w:color w:val="auto"/>
        </w:rPr>
        <w:t>Annual Report on Form 10-K and subsequent Quarterly Reports on Form 10-Q and elsewhere in the Company’s publicly available reports filed with the</w:t>
      </w:r>
    </w:p>
    <w:p>
      <w:pPr>
        <w:spacing w:after="0" w:line="29" w:lineRule="exact"/>
        <w:rPr>
          <w:sz w:val="20"/>
          <w:szCs w:val="20"/>
          <w:color w:val="auto"/>
        </w:rPr>
      </w:pPr>
    </w:p>
    <w:p>
      <w:pPr>
        <w:spacing w:after="0" w:line="280" w:lineRule="auto"/>
        <w:rPr>
          <w:sz w:val="20"/>
          <w:szCs w:val="20"/>
          <w:color w:val="auto"/>
        </w:rPr>
      </w:pPr>
      <w:r>
        <w:rPr>
          <w:rFonts w:ascii="Arial" w:cs="Arial" w:eastAsia="Arial" w:hAnsi="Arial"/>
          <w:sz w:val="16"/>
          <w:szCs w:val="16"/>
          <w:color w:val="auto"/>
        </w:rPr>
        <w:t>Securities and Exchange Commission ("SEC"), which contain a discussion of various factors that may affect the Company’s business or financial results. Such risks and other factors, which in some instances are beyond the Company’s control, include: the industry-wide decline in demand for paper and related products; adverse impacts of the COVID-19 pandemic; uncertainties as to the structure, timing, benefits and costs of the 2020 Restructuring Plan or any future restructuring plan that the Company may undertake; increased competition from existing and non-traditional sources; adverse developments in general business and economic conditions as well as conditions in the global capital and credit markets impacting our Company and our customers; foreign currency fluctuations; our ability to attract, train and retain highly qualified employees; the effects of work stoppages, union negotiations and labor disputes; the loss of any of our significant customers; changes in business conditions in our international operations; procurement and other risks in obtaining packaging, facility products and paper from our suppliers for resale to our customers; changes in prices for raw materials; increases in the cost of fuel and third-party freight and the availability of third-party freight providers; changes in trade policies and regulations; inclement weather, widespread outbreak of an illness or responses thereto, anti-terrorism measures and other disruptions to our supply chain, distribution system and operations; our dependence on a variety of information technology and telecommunications systems and the Internet; our reliance on third-party vendors for various services; cybersecurity risks; costs to comply with laws, rules and regulations, including environmental, health and safety laws, and to satisfy any liability or obligation imposed under such laws; regulatory changes and judicial rulings impacting our business; adverse results from litigation, governmental investigations or audits, or tax-related proceedings or audits; our ability to adequately protect our material intellectual property and other proprietary rights, or to defend successfully against intellectual property infringement claims by third parties; our pension and health care costs and participation in multi-employer pension, health and welfare plans; increasing interest rates; our ability to generate sufficient cash to service our debt; our ability to comply with the covenants contained in our debt agreements; our ability to refinance or restructure our debt on reasonable terms and conditions as might be necessary from time to time; changes in accounting standards and methodologies; and other events of which we are presently unaware or that we currently deem immaterial that may result in unexpected adverse operating results. The Company is not responsible for updating the information contained in this press release beyond the published date, or for changes made to this document by wire services or Internet service providers. This press release is being furnished to the SEC through a Form 8-K. The Company’s Quarterly Report on Form 10-Q for the three and six months ended June 30, 2020 to be filed with the SEC may contain updates to the information included in this release.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391160</wp:posOffset>
            </wp:positionV>
            <wp:extent cx="7134225" cy="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40"/>
          </w:cols>
          <w:pgMar w:left="320" w:top="899" w:right="339" w:bottom="1440" w:gutter="0" w:footer="0" w:header="0"/>
        </w:sectPr>
      </w:pPr>
    </w:p>
    <w:bookmarkStart w:id="8" w:name="page9"/>
    <w:bookmarkEnd w:id="8"/>
    <w:p>
      <w:pPr>
        <w:spacing w:after="0"/>
        <w:rPr>
          <w:sz w:val="20"/>
          <w:szCs w:val="20"/>
          <w:color w:val="auto"/>
        </w:rPr>
      </w:pPr>
      <w:r>
        <w:rPr>
          <w:rFonts w:ascii="Arial" w:cs="Arial" w:eastAsia="Arial" w:hAnsi="Arial"/>
          <w:sz w:val="18"/>
          <w:szCs w:val="18"/>
          <w:b w:val="1"/>
          <w:bCs w:val="1"/>
          <w:color w:val="auto"/>
        </w:rPr>
        <w:t>Financial Statements</w:t>
      </w:r>
    </w:p>
    <w:p>
      <w:pPr>
        <w:spacing w:after="0" w:line="22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OPERATIONS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except per share data, unaudited)</w:t>
      </w:r>
    </w:p>
    <w:p>
      <w:pPr>
        <w:spacing w:after="0" w:line="230"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5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60" w:type="dxa"/>
            <w:vAlign w:val="bottom"/>
            <w:gridSpan w:val="5"/>
          </w:tcPr>
          <w:p>
            <w:pPr>
              <w:jc w:val="right"/>
              <w:ind w:right="682"/>
              <w:spacing w:after="0"/>
              <w:rPr>
                <w:sz w:val="20"/>
                <w:szCs w:val="20"/>
                <w:color w:val="auto"/>
              </w:rPr>
            </w:pPr>
            <w:r>
              <w:rPr>
                <w:rFonts w:ascii="Arial" w:cs="Arial" w:eastAsia="Arial" w:hAnsi="Arial"/>
                <w:sz w:val="18"/>
                <w:szCs w:val="18"/>
                <w:b w:val="1"/>
                <w:bCs w:val="1"/>
                <w:color w:val="auto"/>
              </w:rPr>
              <w:t>Three Months Ended</w:t>
            </w:r>
          </w:p>
        </w:tc>
        <w:tc>
          <w:tcPr>
            <w:tcW w:w="260" w:type="dxa"/>
            <w:vAlign w:val="bottom"/>
          </w:tcPr>
          <w:p>
            <w:pPr>
              <w:spacing w:after="0"/>
              <w:rPr>
                <w:sz w:val="18"/>
                <w:szCs w:val="18"/>
                <w:color w:val="auto"/>
              </w:rPr>
            </w:pPr>
          </w:p>
        </w:tc>
        <w:tc>
          <w:tcPr>
            <w:tcW w:w="2520" w:type="dxa"/>
            <w:vAlign w:val="bottom"/>
            <w:gridSpan w:val="5"/>
          </w:tcPr>
          <w:p>
            <w:pPr>
              <w:jc w:val="right"/>
              <w:ind w:right="662"/>
              <w:spacing w:after="0"/>
              <w:rPr>
                <w:sz w:val="20"/>
                <w:szCs w:val="20"/>
                <w:color w:val="auto"/>
              </w:rPr>
            </w:pPr>
            <w:r>
              <w:rPr>
                <w:rFonts w:ascii="Arial" w:cs="Arial" w:eastAsia="Arial" w:hAnsi="Arial"/>
                <w:sz w:val="18"/>
                <w:szCs w:val="18"/>
                <w:b w:val="1"/>
                <w:bCs w:val="1"/>
                <w:color w:val="auto"/>
              </w:rPr>
              <w:t>Six Months Ended</w:t>
            </w:r>
          </w:p>
        </w:tc>
        <w:tc>
          <w:tcPr>
            <w:tcW w:w="0" w:type="dxa"/>
            <w:vAlign w:val="bottom"/>
          </w:tcPr>
          <w:p>
            <w:pPr>
              <w:spacing w:after="0"/>
              <w:rPr>
                <w:sz w:val="1"/>
                <w:szCs w:val="1"/>
                <w:color w:val="auto"/>
              </w:rPr>
            </w:pPr>
          </w:p>
        </w:tc>
      </w:tr>
      <w:tr>
        <w:trPr>
          <w:trHeight w:val="231"/>
        </w:trPr>
        <w:tc>
          <w:tcPr>
            <w:tcW w:w="5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540" w:type="dxa"/>
            <w:vAlign w:val="bottom"/>
            <w:tcBorders>
              <w:bottom w:val="single" w:sz="8" w:color="auto"/>
            </w:tcBorders>
            <w:gridSpan w:val="3"/>
          </w:tcPr>
          <w:p>
            <w:pPr>
              <w:jc w:val="right"/>
              <w:ind w:right="51"/>
              <w:spacing w:after="0"/>
              <w:rPr>
                <w:sz w:val="20"/>
                <w:szCs w:val="20"/>
                <w:color w:val="auto"/>
              </w:rPr>
            </w:pPr>
            <w:r>
              <w:rPr>
                <w:rFonts w:ascii="Arial" w:cs="Arial" w:eastAsia="Arial" w:hAnsi="Arial"/>
                <w:sz w:val="18"/>
                <w:szCs w:val="18"/>
                <w:b w:val="1"/>
                <w:bCs w:val="1"/>
                <w:color w:val="auto"/>
              </w:rPr>
              <w:t>June 30,</w:t>
            </w:r>
          </w:p>
        </w:tc>
        <w:tc>
          <w:tcPr>
            <w:tcW w:w="92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500" w:type="dxa"/>
            <w:vAlign w:val="bottom"/>
            <w:tcBorders>
              <w:bottom w:val="single" w:sz="8" w:color="auto"/>
            </w:tcBorders>
            <w:gridSpan w:val="3"/>
          </w:tcPr>
          <w:p>
            <w:pPr>
              <w:jc w:val="right"/>
              <w:ind w:right="11"/>
              <w:spacing w:after="0"/>
              <w:rPr>
                <w:sz w:val="20"/>
                <w:szCs w:val="20"/>
                <w:color w:val="auto"/>
              </w:rPr>
            </w:pPr>
            <w:r>
              <w:rPr>
                <w:rFonts w:ascii="Arial" w:cs="Arial" w:eastAsia="Arial" w:hAnsi="Arial"/>
                <w:sz w:val="18"/>
                <w:szCs w:val="18"/>
                <w:b w:val="1"/>
                <w:bCs w:val="1"/>
                <w:color w:val="auto"/>
              </w:rPr>
              <w:t>June 30,</w:t>
            </w:r>
          </w:p>
        </w:tc>
        <w:tc>
          <w:tcPr>
            <w:tcW w:w="920" w:type="dxa"/>
            <w:vAlign w:val="bottom"/>
            <w:tcBorders>
              <w:bottom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1"/>
        </w:trPr>
        <w:tc>
          <w:tcPr>
            <w:tcW w:w="5340" w:type="dxa"/>
            <w:vAlign w:val="bottom"/>
            <w:tcBorders>
              <w:bottom w:val="single" w:sz="8" w:color="CCEEFF"/>
            </w:tcBorders>
          </w:tcPr>
          <w:p>
            <w:pPr>
              <w:spacing w:after="0"/>
              <w:rPr>
                <w:sz w:val="19"/>
                <w:szCs w:val="19"/>
                <w:color w:val="auto"/>
              </w:rPr>
            </w:pPr>
          </w:p>
        </w:tc>
        <w:tc>
          <w:tcPr>
            <w:tcW w:w="2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40" w:type="dxa"/>
            <w:vAlign w:val="bottom"/>
            <w:tcBorders>
              <w:bottom w:val="single" w:sz="8" w:color="CCEEFF"/>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2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bottom w:val="single" w:sz="8" w:color="CCEEFF"/>
            </w:tcBorders>
          </w:tcPr>
          <w:p>
            <w:pPr>
              <w:spacing w:after="0"/>
              <w:rPr>
                <w:sz w:val="19"/>
                <w:szCs w:val="19"/>
                <w:color w:val="auto"/>
              </w:rPr>
            </w:pPr>
          </w:p>
        </w:tc>
        <w:tc>
          <w:tcPr>
            <w:tcW w:w="32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100" w:type="dxa"/>
            <w:vAlign w:val="bottom"/>
            <w:tcBorders>
              <w:bottom w:val="single" w:sz="8" w:color="CCEEFF"/>
            </w:tcBorders>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1,404.8</w:t>
            </w:r>
          </w:p>
        </w:tc>
        <w:tc>
          <w:tcPr>
            <w:tcW w:w="240" w:type="dxa"/>
            <w:vAlign w:val="bottom"/>
            <w:shd w:val="clear" w:color="auto" w:fill="CCEEFF"/>
          </w:tcPr>
          <w:p>
            <w:pPr>
              <w:spacing w:after="0"/>
              <w:rPr>
                <w:sz w:val="17"/>
                <w:szCs w:val="17"/>
                <w:color w:val="auto"/>
              </w:rPr>
            </w:pPr>
          </w:p>
        </w:tc>
        <w:tc>
          <w:tcPr>
            <w:tcW w:w="320" w:type="dxa"/>
            <w:vAlign w:val="bottom"/>
            <w:shd w:val="clear" w:color="auto" w:fill="CCEEFF"/>
          </w:tcPr>
          <w:p>
            <w:pPr>
              <w:jc w:val="right"/>
              <w:ind w:right="131"/>
              <w:spacing w:after="0"/>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1,958.2</w:t>
            </w: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3,112.1</w:t>
            </w:r>
          </w:p>
        </w:tc>
        <w:tc>
          <w:tcPr>
            <w:tcW w:w="200" w:type="dxa"/>
            <w:vAlign w:val="bottom"/>
            <w:shd w:val="clear" w:color="auto" w:fill="CCEEFF"/>
          </w:tcPr>
          <w:p>
            <w:pPr>
              <w:spacing w:after="0"/>
              <w:rPr>
                <w:sz w:val="17"/>
                <w:szCs w:val="17"/>
                <w:color w:val="auto"/>
              </w:rPr>
            </w:pPr>
          </w:p>
        </w:tc>
        <w:tc>
          <w:tcPr>
            <w:tcW w:w="320" w:type="dxa"/>
            <w:vAlign w:val="bottom"/>
            <w:shd w:val="clear" w:color="auto" w:fill="CCEEFF"/>
          </w:tcPr>
          <w:p>
            <w:pPr>
              <w:jc w:val="right"/>
              <w:ind w:right="131"/>
              <w:spacing w:after="0"/>
              <w:rPr>
                <w:sz w:val="20"/>
                <w:szCs w:val="20"/>
                <w:color w:val="auto"/>
              </w:rPr>
            </w:pPr>
            <w:r>
              <w:rPr>
                <w:rFonts w:ascii="Arial" w:cs="Arial" w:eastAsia="Arial" w:hAnsi="Arial"/>
                <w:sz w:val="18"/>
                <w:szCs w:val="18"/>
                <w:color w:val="auto"/>
                <w:w w:val="79"/>
              </w:rPr>
              <w:t>$</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3,899.7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9"/>
        </w:trPr>
        <w:tc>
          <w:tcPr>
            <w:tcW w:w="5340" w:type="dxa"/>
            <w:vAlign w:val="bottom"/>
          </w:tcPr>
          <w:p>
            <w:pPr>
              <w:spacing w:after="0" w:line="199" w:lineRule="exact"/>
              <w:rPr>
                <w:sz w:val="20"/>
                <w:szCs w:val="20"/>
                <w:color w:val="auto"/>
              </w:rPr>
            </w:pPr>
            <w:r>
              <w:rPr>
                <w:rFonts w:ascii="Arial" w:cs="Arial" w:eastAsia="Arial" w:hAnsi="Arial"/>
                <w:sz w:val="18"/>
                <w:szCs w:val="18"/>
                <w:color w:val="auto"/>
                <w:w w:val="92"/>
              </w:rPr>
              <w:t>Cost of products sold (exclusive of depreciation and amortization shown</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5340" w:type="dxa"/>
            <w:vAlign w:val="bottom"/>
          </w:tcPr>
          <w:p>
            <w:pPr>
              <w:spacing w:after="0"/>
              <w:rPr>
                <w:sz w:val="20"/>
                <w:szCs w:val="20"/>
                <w:color w:val="auto"/>
              </w:rPr>
            </w:pPr>
            <w:r>
              <w:rPr>
                <w:rFonts w:ascii="Arial" w:cs="Arial" w:eastAsia="Arial" w:hAnsi="Arial"/>
                <w:sz w:val="18"/>
                <w:szCs w:val="18"/>
                <w:color w:val="auto"/>
              </w:rPr>
              <w:t>separately below)</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1,106.8</w:t>
            </w:r>
          </w:p>
        </w:tc>
        <w:tc>
          <w:tcPr>
            <w:tcW w:w="2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120" w:type="dxa"/>
            <w:vAlign w:val="bottom"/>
            <w:gridSpan w:val="2"/>
          </w:tcPr>
          <w:p>
            <w:pPr>
              <w:jc w:val="right"/>
              <w:ind w:right="122"/>
              <w:spacing w:after="0"/>
              <w:rPr>
                <w:sz w:val="20"/>
                <w:szCs w:val="20"/>
                <w:color w:val="auto"/>
              </w:rPr>
            </w:pPr>
            <w:r>
              <w:rPr>
                <w:rFonts w:ascii="Arial" w:cs="Arial" w:eastAsia="Arial" w:hAnsi="Arial"/>
                <w:sz w:val="18"/>
                <w:szCs w:val="18"/>
                <w:color w:val="auto"/>
              </w:rPr>
              <w:t>1,584.3</w:t>
            </w:r>
          </w:p>
        </w:tc>
        <w:tc>
          <w:tcPr>
            <w:tcW w:w="260" w:type="dxa"/>
            <w:vAlign w:val="bottom"/>
          </w:tcPr>
          <w:p>
            <w:pPr>
              <w:spacing w:after="0"/>
              <w:rPr>
                <w:sz w:val="19"/>
                <w:szCs w:val="19"/>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2,466.4</w:t>
            </w:r>
          </w:p>
        </w:tc>
        <w:tc>
          <w:tcPr>
            <w:tcW w:w="320" w:type="dxa"/>
            <w:vAlign w:val="bottom"/>
          </w:tcPr>
          <w:p>
            <w:pPr>
              <w:spacing w:after="0"/>
              <w:rPr>
                <w:sz w:val="19"/>
                <w:szCs w:val="19"/>
                <w:color w:val="auto"/>
              </w:rPr>
            </w:pPr>
          </w:p>
        </w:tc>
        <w:tc>
          <w:tcPr>
            <w:tcW w:w="1020" w:type="dxa"/>
            <w:vAlign w:val="bottom"/>
            <w:gridSpan w:val="2"/>
          </w:tcPr>
          <w:p>
            <w:pPr>
              <w:jc w:val="right"/>
              <w:ind w:right="22"/>
              <w:spacing w:after="0"/>
              <w:rPr>
                <w:sz w:val="20"/>
                <w:szCs w:val="20"/>
                <w:color w:val="auto"/>
              </w:rPr>
            </w:pPr>
            <w:r>
              <w:rPr>
                <w:rFonts w:ascii="Arial" w:cs="Arial" w:eastAsia="Arial" w:hAnsi="Arial"/>
                <w:sz w:val="18"/>
                <w:szCs w:val="18"/>
                <w:color w:val="auto"/>
              </w:rPr>
              <w:t>3,175.7</w:t>
            </w:r>
          </w:p>
        </w:tc>
        <w:tc>
          <w:tcPr>
            <w:tcW w:w="0" w:type="dxa"/>
            <w:vAlign w:val="bottom"/>
          </w:tcPr>
          <w:p>
            <w:pPr>
              <w:spacing w:after="0"/>
              <w:rPr>
                <w:sz w:val="1"/>
                <w:szCs w:val="1"/>
                <w:color w:val="auto"/>
              </w:rPr>
            </w:pPr>
          </w:p>
        </w:tc>
      </w:tr>
      <w:tr>
        <w:trPr>
          <w:trHeight w:val="214"/>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Distribution expenses</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162"/>
              <w:spacing w:after="0"/>
              <w:rPr>
                <w:sz w:val="20"/>
                <w:szCs w:val="20"/>
                <w:color w:val="auto"/>
              </w:rPr>
            </w:pPr>
            <w:r>
              <w:rPr>
                <w:rFonts w:ascii="Arial" w:cs="Arial" w:eastAsia="Arial" w:hAnsi="Arial"/>
                <w:sz w:val="18"/>
                <w:szCs w:val="18"/>
                <w:color w:val="auto"/>
              </w:rPr>
              <w:t>99.9</w:t>
            </w:r>
          </w:p>
        </w:tc>
        <w:tc>
          <w:tcPr>
            <w:tcW w:w="3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132.0</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223.3</w:t>
            </w:r>
          </w:p>
        </w:tc>
        <w:tc>
          <w:tcPr>
            <w:tcW w:w="3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262.4</w:t>
            </w:r>
          </w:p>
        </w:tc>
        <w:tc>
          <w:tcPr>
            <w:tcW w:w="0" w:type="dxa"/>
            <w:vAlign w:val="bottom"/>
          </w:tcPr>
          <w:p>
            <w:pPr>
              <w:spacing w:after="0"/>
              <w:rPr>
                <w:sz w:val="1"/>
                <w:szCs w:val="1"/>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Selling and administrative expenses</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164.4</w:t>
            </w:r>
          </w:p>
        </w:tc>
        <w:tc>
          <w:tcPr>
            <w:tcW w:w="2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20" w:type="dxa"/>
            <w:vAlign w:val="bottom"/>
            <w:gridSpan w:val="2"/>
          </w:tcPr>
          <w:p>
            <w:pPr>
              <w:jc w:val="right"/>
              <w:ind w:right="122"/>
              <w:spacing w:after="0"/>
              <w:rPr>
                <w:sz w:val="20"/>
                <w:szCs w:val="20"/>
                <w:color w:val="auto"/>
              </w:rPr>
            </w:pPr>
            <w:r>
              <w:rPr>
                <w:rFonts w:ascii="Arial" w:cs="Arial" w:eastAsia="Arial" w:hAnsi="Arial"/>
                <w:sz w:val="18"/>
                <w:szCs w:val="18"/>
                <w:color w:val="auto"/>
              </w:rPr>
              <w:t>211.2</w:t>
            </w: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368.0</w:t>
            </w:r>
          </w:p>
        </w:tc>
        <w:tc>
          <w:tcPr>
            <w:tcW w:w="320" w:type="dxa"/>
            <w:vAlign w:val="bottom"/>
          </w:tcPr>
          <w:p>
            <w:pPr>
              <w:spacing w:after="0"/>
              <w:rPr>
                <w:sz w:val="18"/>
                <w:szCs w:val="18"/>
                <w:color w:val="auto"/>
              </w:rPr>
            </w:pPr>
          </w:p>
        </w:tc>
        <w:tc>
          <w:tcPr>
            <w:tcW w:w="1020" w:type="dxa"/>
            <w:vAlign w:val="bottom"/>
            <w:gridSpan w:val="2"/>
          </w:tcPr>
          <w:p>
            <w:pPr>
              <w:jc w:val="right"/>
              <w:ind w:right="22"/>
              <w:spacing w:after="0"/>
              <w:rPr>
                <w:sz w:val="20"/>
                <w:szCs w:val="20"/>
                <w:color w:val="auto"/>
              </w:rPr>
            </w:pPr>
            <w:r>
              <w:rPr>
                <w:rFonts w:ascii="Arial" w:cs="Arial" w:eastAsia="Arial" w:hAnsi="Arial"/>
                <w:sz w:val="18"/>
                <w:szCs w:val="18"/>
                <w:color w:val="auto"/>
              </w:rPr>
              <w:t>427.3</w:t>
            </w:r>
          </w:p>
        </w:tc>
        <w:tc>
          <w:tcPr>
            <w:tcW w:w="0" w:type="dxa"/>
            <w:vAlign w:val="bottom"/>
          </w:tcPr>
          <w:p>
            <w:pPr>
              <w:spacing w:after="0"/>
              <w:rPr>
                <w:sz w:val="1"/>
                <w:szCs w:val="1"/>
                <w:color w:val="auto"/>
              </w:rPr>
            </w:pPr>
          </w:p>
        </w:tc>
      </w:tr>
      <w:tr>
        <w:trPr>
          <w:trHeight w:val="213"/>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162"/>
              <w:spacing w:after="0"/>
              <w:rPr>
                <w:sz w:val="20"/>
                <w:szCs w:val="20"/>
                <w:color w:val="auto"/>
              </w:rPr>
            </w:pPr>
            <w:r>
              <w:rPr>
                <w:rFonts w:ascii="Arial" w:cs="Arial" w:eastAsia="Arial" w:hAnsi="Arial"/>
                <w:sz w:val="18"/>
                <w:szCs w:val="18"/>
                <w:color w:val="auto"/>
              </w:rPr>
              <w:t>14.3</w:t>
            </w:r>
          </w:p>
        </w:tc>
        <w:tc>
          <w:tcPr>
            <w:tcW w:w="3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13.4</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28.1</w:t>
            </w:r>
          </w:p>
        </w:tc>
        <w:tc>
          <w:tcPr>
            <w:tcW w:w="3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26.2</w:t>
            </w:r>
          </w:p>
        </w:tc>
        <w:tc>
          <w:tcPr>
            <w:tcW w:w="0" w:type="dxa"/>
            <w:vAlign w:val="bottom"/>
          </w:tcPr>
          <w:p>
            <w:pPr>
              <w:spacing w:after="0"/>
              <w:rPr>
                <w:sz w:val="1"/>
                <w:szCs w:val="1"/>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Integration expenses</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220" w:type="dxa"/>
            <w:vAlign w:val="bottom"/>
            <w:gridSpan w:val="2"/>
          </w:tcPr>
          <w:p>
            <w:pPr>
              <w:jc w:val="right"/>
              <w:ind w:right="162"/>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120" w:type="dxa"/>
            <w:vAlign w:val="bottom"/>
            <w:gridSpan w:val="2"/>
          </w:tcPr>
          <w:p>
            <w:pPr>
              <w:jc w:val="right"/>
              <w:ind w:right="122"/>
              <w:spacing w:after="0"/>
              <w:rPr>
                <w:sz w:val="20"/>
                <w:szCs w:val="20"/>
                <w:color w:val="auto"/>
              </w:rPr>
            </w:pPr>
            <w:r>
              <w:rPr>
                <w:rFonts w:ascii="Arial" w:cs="Arial" w:eastAsia="Arial" w:hAnsi="Arial"/>
                <w:sz w:val="18"/>
                <w:szCs w:val="18"/>
                <w:color w:val="auto"/>
              </w:rPr>
              <w:t>4.5</w:t>
            </w:r>
          </w:p>
        </w:tc>
        <w:tc>
          <w:tcPr>
            <w:tcW w:w="260" w:type="dxa"/>
            <w:vAlign w:val="bottom"/>
          </w:tcPr>
          <w:p>
            <w:pPr>
              <w:spacing w:after="0"/>
              <w:rPr>
                <w:sz w:val="18"/>
                <w:szCs w:val="18"/>
                <w:color w:val="auto"/>
              </w:rPr>
            </w:pPr>
          </w:p>
        </w:tc>
        <w:tc>
          <w:tcPr>
            <w:tcW w:w="1180" w:type="dxa"/>
            <w:vAlign w:val="bottom"/>
            <w:gridSpan w:val="2"/>
          </w:tcPr>
          <w:p>
            <w:pPr>
              <w:jc w:val="right"/>
              <w:ind w:right="122"/>
              <w:spacing w:after="0"/>
              <w:rPr>
                <w:sz w:val="20"/>
                <w:szCs w:val="20"/>
                <w:color w:val="auto"/>
              </w:rPr>
            </w:pPr>
            <w:r>
              <w:rPr>
                <w:rFonts w:ascii="Arial" w:cs="Arial" w:eastAsia="Arial" w:hAnsi="Arial"/>
                <w:sz w:val="18"/>
                <w:szCs w:val="18"/>
                <w:color w:val="auto"/>
              </w:rPr>
              <w:t>—</w:t>
            </w:r>
          </w:p>
        </w:tc>
        <w:tc>
          <w:tcPr>
            <w:tcW w:w="320" w:type="dxa"/>
            <w:vAlign w:val="bottom"/>
          </w:tcPr>
          <w:p>
            <w:pPr>
              <w:spacing w:after="0"/>
              <w:rPr>
                <w:sz w:val="18"/>
                <w:szCs w:val="18"/>
                <w:color w:val="auto"/>
              </w:rPr>
            </w:pPr>
          </w:p>
        </w:tc>
        <w:tc>
          <w:tcPr>
            <w:tcW w:w="1020" w:type="dxa"/>
            <w:vAlign w:val="bottom"/>
            <w:gridSpan w:val="2"/>
          </w:tcPr>
          <w:p>
            <w:pPr>
              <w:jc w:val="right"/>
              <w:ind w:right="22"/>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27"/>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Restructuring charges, net</w:t>
            </w:r>
          </w:p>
        </w:tc>
        <w:tc>
          <w:tcPr>
            <w:tcW w:w="2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220" w:type="dxa"/>
            <w:vAlign w:val="bottom"/>
            <w:gridSpan w:val="2"/>
            <w:shd w:val="clear" w:color="auto" w:fill="CCEEFF"/>
          </w:tcPr>
          <w:p>
            <w:pPr>
              <w:jc w:val="right"/>
              <w:ind w:right="162"/>
              <w:spacing w:after="0"/>
              <w:rPr>
                <w:sz w:val="20"/>
                <w:szCs w:val="20"/>
                <w:color w:val="auto"/>
              </w:rPr>
            </w:pPr>
            <w:r>
              <w:rPr>
                <w:rFonts w:ascii="Arial" w:cs="Arial" w:eastAsia="Arial" w:hAnsi="Arial"/>
                <w:sz w:val="18"/>
                <w:szCs w:val="18"/>
                <w:color w:val="auto"/>
              </w:rPr>
              <w:t>32.5</w:t>
            </w:r>
          </w:p>
        </w:tc>
        <w:tc>
          <w:tcPr>
            <w:tcW w:w="320" w:type="dxa"/>
            <w:vAlign w:val="bottom"/>
            <w:shd w:val="clear" w:color="auto" w:fill="CCEEFF"/>
          </w:tcPr>
          <w:p>
            <w:pPr>
              <w:spacing w:after="0"/>
              <w:rPr>
                <w:sz w:val="19"/>
                <w:szCs w:val="19"/>
                <w:color w:val="auto"/>
              </w:rPr>
            </w:pPr>
          </w:p>
        </w:tc>
        <w:tc>
          <w:tcPr>
            <w:tcW w:w="112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6.9</w:t>
            </w:r>
          </w:p>
        </w:tc>
        <w:tc>
          <w:tcPr>
            <w:tcW w:w="26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32.5</w:t>
            </w:r>
          </w:p>
        </w:tc>
        <w:tc>
          <w:tcPr>
            <w:tcW w:w="320" w:type="dxa"/>
            <w:vAlign w:val="bottom"/>
            <w:shd w:val="clear" w:color="auto" w:fill="CCEEFF"/>
          </w:tcPr>
          <w:p>
            <w:pPr>
              <w:spacing w:after="0"/>
              <w:rPr>
                <w:sz w:val="19"/>
                <w:szCs w:val="19"/>
                <w:color w:val="auto"/>
              </w:rPr>
            </w:pPr>
          </w:p>
        </w:tc>
        <w:tc>
          <w:tcPr>
            <w:tcW w:w="10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9.3</w:t>
            </w:r>
          </w:p>
        </w:tc>
        <w:tc>
          <w:tcPr>
            <w:tcW w:w="0" w:type="dxa"/>
            <w:vAlign w:val="bottom"/>
          </w:tcPr>
          <w:p>
            <w:pPr>
              <w:spacing w:after="0"/>
              <w:rPr>
                <w:sz w:val="1"/>
                <w:szCs w:val="1"/>
                <w:color w:val="auto"/>
              </w:rPr>
            </w:pPr>
          </w:p>
        </w:tc>
      </w:tr>
      <w:tr>
        <w:trPr>
          <w:trHeight w:val="20"/>
        </w:trPr>
        <w:tc>
          <w:tcPr>
            <w:tcW w:w="5340" w:type="dxa"/>
            <w:vAlign w:val="bottom"/>
            <w:vMerge w:val="restart"/>
          </w:tcPr>
          <w:p>
            <w:pPr>
              <w:spacing w:after="0"/>
              <w:rPr>
                <w:sz w:val="20"/>
                <w:szCs w:val="20"/>
                <w:color w:val="auto"/>
              </w:rPr>
            </w:pPr>
            <w:r>
              <w:rPr>
                <w:rFonts w:ascii="Arial" w:cs="Arial" w:eastAsia="Arial" w:hAnsi="Arial"/>
                <w:sz w:val="18"/>
                <w:szCs w:val="18"/>
                <w:b w:val="1"/>
                <w:bCs w:val="1"/>
                <w:color w:val="auto"/>
              </w:rPr>
              <w:t>Operating income (loss)</w:t>
            </w:r>
          </w:p>
        </w:tc>
        <w:tc>
          <w:tcPr>
            <w:tcW w:w="20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5340" w:type="dxa"/>
            <w:vAlign w:val="bottom"/>
            <w:vMerge w:val="continue"/>
          </w:tcPr>
          <w:p>
            <w:pPr>
              <w:spacing w:after="0"/>
              <w:rPr>
                <w:sz w:val="17"/>
                <w:szCs w:val="17"/>
                <w:color w:val="auto"/>
              </w:rPr>
            </w:pP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20" w:type="dxa"/>
            <w:vAlign w:val="bottom"/>
            <w:gridSpan w:val="2"/>
          </w:tcPr>
          <w:p>
            <w:pPr>
              <w:jc w:val="right"/>
              <w:ind w:right="102"/>
              <w:spacing w:after="0"/>
              <w:rPr>
                <w:sz w:val="20"/>
                <w:szCs w:val="20"/>
                <w:color w:val="auto"/>
              </w:rPr>
            </w:pPr>
            <w:r>
              <w:rPr>
                <w:rFonts w:ascii="Arial" w:cs="Arial" w:eastAsia="Arial" w:hAnsi="Arial"/>
                <w:sz w:val="18"/>
                <w:szCs w:val="18"/>
                <w:color w:val="auto"/>
              </w:rPr>
              <w:t>(13.1)</w:t>
            </w:r>
          </w:p>
        </w:tc>
        <w:tc>
          <w:tcPr>
            <w:tcW w:w="320" w:type="dxa"/>
            <w:vAlign w:val="bottom"/>
          </w:tcPr>
          <w:p>
            <w:pPr>
              <w:spacing w:after="0"/>
              <w:rPr>
                <w:sz w:val="17"/>
                <w:szCs w:val="17"/>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5.9</w:t>
            </w:r>
          </w:p>
        </w:tc>
        <w:tc>
          <w:tcPr>
            <w:tcW w:w="200" w:type="dxa"/>
            <w:vAlign w:val="bottom"/>
            <w:vMerge w:val="continue"/>
          </w:tcPr>
          <w:p>
            <w:pPr>
              <w:spacing w:after="0"/>
              <w:rPr>
                <w:sz w:val="17"/>
                <w:szCs w:val="17"/>
                <w:color w:val="auto"/>
              </w:rPr>
            </w:pPr>
          </w:p>
        </w:tc>
        <w:tc>
          <w:tcPr>
            <w:tcW w:w="260" w:type="dxa"/>
            <w:vAlign w:val="bottom"/>
          </w:tcPr>
          <w:p>
            <w:pPr>
              <w:spacing w:after="0"/>
              <w:rPr>
                <w:sz w:val="17"/>
                <w:szCs w:val="17"/>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(6.2)</w:t>
            </w:r>
          </w:p>
        </w:tc>
        <w:tc>
          <w:tcPr>
            <w:tcW w:w="320" w:type="dxa"/>
            <w:vAlign w:val="bottom"/>
          </w:tcPr>
          <w:p>
            <w:pPr>
              <w:spacing w:after="0"/>
              <w:rPr>
                <w:sz w:val="17"/>
                <w:szCs w:val="17"/>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0" w:type="dxa"/>
            <w:vAlign w:val="bottom"/>
          </w:tcPr>
          <w:p>
            <w:pPr>
              <w:spacing w:after="0"/>
              <w:rPr>
                <w:sz w:val="1"/>
                <w:szCs w:val="1"/>
                <w:color w:val="auto"/>
              </w:rPr>
            </w:pPr>
          </w:p>
        </w:tc>
      </w:tr>
      <w:tr>
        <w:trPr>
          <w:trHeight w:val="213"/>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 net</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w:t>
            </w:r>
          </w:p>
        </w:tc>
        <w:tc>
          <w:tcPr>
            <w:tcW w:w="2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10.2</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14.2</w:t>
            </w:r>
          </w:p>
        </w:tc>
        <w:tc>
          <w:tcPr>
            <w:tcW w:w="3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21.6</w:t>
            </w:r>
          </w:p>
        </w:tc>
        <w:tc>
          <w:tcPr>
            <w:tcW w:w="0" w:type="dxa"/>
            <w:vAlign w:val="bottom"/>
          </w:tcPr>
          <w:p>
            <w:pPr>
              <w:spacing w:after="0"/>
              <w:rPr>
                <w:sz w:val="1"/>
                <w:szCs w:val="1"/>
                <w:color w:val="auto"/>
              </w:rPr>
            </w:pPr>
          </w:p>
        </w:tc>
      </w:tr>
      <w:tr>
        <w:trPr>
          <w:trHeight w:val="227"/>
        </w:trPr>
        <w:tc>
          <w:tcPr>
            <w:tcW w:w="534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220" w:type="dxa"/>
            <w:vAlign w:val="bottom"/>
            <w:gridSpan w:val="2"/>
          </w:tcPr>
          <w:p>
            <w:pPr>
              <w:jc w:val="right"/>
              <w:ind w:right="102"/>
              <w:spacing w:after="0"/>
              <w:rPr>
                <w:sz w:val="20"/>
                <w:szCs w:val="20"/>
                <w:color w:val="auto"/>
              </w:rPr>
            </w:pPr>
            <w:r>
              <w:rPr>
                <w:rFonts w:ascii="Arial" w:cs="Arial" w:eastAsia="Arial" w:hAnsi="Arial"/>
                <w:sz w:val="18"/>
                <w:szCs w:val="18"/>
                <w:color w:val="auto"/>
              </w:rPr>
              <w:t>(1.3)</w:t>
            </w:r>
          </w:p>
        </w:tc>
        <w:tc>
          <w:tcPr>
            <w:tcW w:w="320" w:type="dxa"/>
            <w:vAlign w:val="bottom"/>
          </w:tcPr>
          <w:p>
            <w:pPr>
              <w:spacing w:after="0"/>
              <w:rPr>
                <w:sz w:val="19"/>
                <w:szCs w:val="19"/>
                <w:color w:val="auto"/>
              </w:rPr>
            </w:pPr>
          </w:p>
        </w:tc>
        <w:tc>
          <w:tcPr>
            <w:tcW w:w="1120" w:type="dxa"/>
            <w:vAlign w:val="bottom"/>
            <w:gridSpan w:val="2"/>
          </w:tcPr>
          <w:p>
            <w:pPr>
              <w:jc w:val="right"/>
              <w:ind w:right="122"/>
              <w:spacing w:after="0"/>
              <w:rPr>
                <w:sz w:val="20"/>
                <w:szCs w:val="20"/>
                <w:color w:val="auto"/>
              </w:rPr>
            </w:pPr>
            <w:r>
              <w:rPr>
                <w:rFonts w:ascii="Arial" w:cs="Arial" w:eastAsia="Arial" w:hAnsi="Arial"/>
                <w:sz w:val="18"/>
                <w:szCs w:val="18"/>
                <w:color w:val="auto"/>
              </w:rPr>
              <w:t>7.6</w:t>
            </w:r>
          </w:p>
        </w:tc>
        <w:tc>
          <w:tcPr>
            <w:tcW w:w="260" w:type="dxa"/>
            <w:vAlign w:val="bottom"/>
          </w:tcPr>
          <w:p>
            <w:pPr>
              <w:spacing w:after="0"/>
              <w:rPr>
                <w:sz w:val="19"/>
                <w:szCs w:val="19"/>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(1.4)</w:t>
            </w:r>
          </w:p>
        </w:tc>
        <w:tc>
          <w:tcPr>
            <w:tcW w:w="320" w:type="dxa"/>
            <w:vAlign w:val="bottom"/>
          </w:tcPr>
          <w:p>
            <w:pPr>
              <w:spacing w:after="0"/>
              <w:rPr>
                <w:sz w:val="19"/>
                <w:szCs w:val="19"/>
                <w:color w:val="auto"/>
              </w:rPr>
            </w:pPr>
          </w:p>
        </w:tc>
        <w:tc>
          <w:tcPr>
            <w:tcW w:w="1020" w:type="dxa"/>
            <w:vAlign w:val="bottom"/>
            <w:gridSpan w:val="2"/>
          </w:tcPr>
          <w:p>
            <w:pPr>
              <w:jc w:val="right"/>
              <w:ind w:right="22"/>
              <w:spacing w:after="0"/>
              <w:rPr>
                <w:sz w:val="20"/>
                <w:szCs w:val="20"/>
                <w:color w:val="auto"/>
              </w:rPr>
            </w:pPr>
            <w:r>
              <w:rPr>
                <w:rFonts w:ascii="Arial" w:cs="Arial" w:eastAsia="Arial" w:hAnsi="Arial"/>
                <w:sz w:val="18"/>
                <w:szCs w:val="18"/>
                <w:color w:val="auto"/>
              </w:rPr>
              <w:t>13.8</w:t>
            </w:r>
          </w:p>
        </w:tc>
        <w:tc>
          <w:tcPr>
            <w:tcW w:w="0" w:type="dxa"/>
            <w:vAlign w:val="bottom"/>
          </w:tcPr>
          <w:p>
            <w:pPr>
              <w:spacing w:after="0"/>
              <w:rPr>
                <w:sz w:val="1"/>
                <w:szCs w:val="1"/>
                <w:color w:val="auto"/>
              </w:rPr>
            </w:pPr>
          </w:p>
        </w:tc>
      </w:tr>
      <w:tr>
        <w:trPr>
          <w:trHeight w:val="207"/>
        </w:trPr>
        <w:tc>
          <w:tcPr>
            <w:tcW w:w="5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Income (loss) before income taxes</w:t>
            </w:r>
          </w:p>
        </w:tc>
        <w:tc>
          <w:tcPr>
            <w:tcW w:w="2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(19.0)</w:t>
            </w:r>
          </w:p>
        </w:tc>
        <w:tc>
          <w:tcPr>
            <w:tcW w:w="2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w:t>
            </w:r>
          </w:p>
        </w:tc>
        <w:tc>
          <w:tcPr>
            <w:tcW w:w="20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(19.0)</w:t>
            </w:r>
          </w:p>
        </w:tc>
        <w:tc>
          <w:tcPr>
            <w:tcW w:w="20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(45.4)</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7"/>
        </w:trPr>
        <w:tc>
          <w:tcPr>
            <w:tcW w:w="5340" w:type="dxa"/>
            <w:vAlign w:val="bottom"/>
          </w:tcPr>
          <w:p>
            <w:pPr>
              <w:spacing w:after="0"/>
              <w:rPr>
                <w:sz w:val="20"/>
                <w:szCs w:val="20"/>
                <w:color w:val="auto"/>
              </w:rPr>
            </w:pPr>
            <w:r>
              <w:rPr>
                <w:rFonts w:ascii="Arial" w:cs="Arial" w:eastAsia="Arial" w:hAnsi="Arial"/>
                <w:sz w:val="18"/>
                <w:szCs w:val="18"/>
                <w:color w:val="auto"/>
              </w:rPr>
              <w:t>Income tax expense (benefit)</w:t>
            </w: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220" w:type="dxa"/>
            <w:vAlign w:val="bottom"/>
            <w:gridSpan w:val="2"/>
          </w:tcPr>
          <w:p>
            <w:pPr>
              <w:jc w:val="right"/>
              <w:ind w:right="102"/>
              <w:spacing w:after="0"/>
              <w:rPr>
                <w:sz w:val="20"/>
                <w:szCs w:val="20"/>
                <w:color w:val="auto"/>
              </w:rPr>
            </w:pPr>
            <w:r>
              <w:rPr>
                <w:rFonts w:ascii="Arial" w:cs="Arial" w:eastAsia="Arial" w:hAnsi="Arial"/>
                <w:sz w:val="18"/>
                <w:szCs w:val="18"/>
                <w:color w:val="auto"/>
              </w:rPr>
              <w:t>(0.5)</w:t>
            </w:r>
          </w:p>
        </w:tc>
        <w:tc>
          <w:tcPr>
            <w:tcW w:w="320" w:type="dxa"/>
            <w:vAlign w:val="bottom"/>
          </w:tcPr>
          <w:p>
            <w:pPr>
              <w:spacing w:after="0"/>
              <w:rPr>
                <w:sz w:val="19"/>
                <w:szCs w:val="19"/>
                <w:color w:val="auto"/>
              </w:rPr>
            </w:pPr>
          </w:p>
        </w:tc>
        <w:tc>
          <w:tcPr>
            <w:tcW w:w="1120" w:type="dxa"/>
            <w:vAlign w:val="bottom"/>
            <w:gridSpan w:val="2"/>
          </w:tcPr>
          <w:p>
            <w:pPr>
              <w:jc w:val="right"/>
              <w:ind w:right="62"/>
              <w:spacing w:after="0"/>
              <w:rPr>
                <w:sz w:val="20"/>
                <w:szCs w:val="20"/>
                <w:color w:val="auto"/>
              </w:rPr>
            </w:pPr>
            <w:r>
              <w:rPr>
                <w:rFonts w:ascii="Arial" w:cs="Arial" w:eastAsia="Arial" w:hAnsi="Arial"/>
                <w:sz w:val="18"/>
                <w:szCs w:val="18"/>
                <w:color w:val="auto"/>
              </w:rPr>
              <w:t>(0.6)</w:t>
            </w:r>
          </w:p>
        </w:tc>
        <w:tc>
          <w:tcPr>
            <w:tcW w:w="260" w:type="dxa"/>
            <w:vAlign w:val="bottom"/>
          </w:tcPr>
          <w:p>
            <w:pPr>
              <w:spacing w:after="0"/>
              <w:rPr>
                <w:sz w:val="19"/>
                <w:szCs w:val="19"/>
                <w:color w:val="auto"/>
              </w:rPr>
            </w:pP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(0.1)</w:t>
            </w:r>
          </w:p>
        </w:tc>
        <w:tc>
          <w:tcPr>
            <w:tcW w:w="320" w:type="dxa"/>
            <w:vAlign w:val="bottom"/>
          </w:tcPr>
          <w:p>
            <w:pPr>
              <w:spacing w:after="0"/>
              <w:rPr>
                <w:sz w:val="19"/>
                <w:szCs w:val="19"/>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(7.4)</w:t>
            </w:r>
          </w:p>
        </w:tc>
        <w:tc>
          <w:tcPr>
            <w:tcW w:w="0" w:type="dxa"/>
            <w:vAlign w:val="bottom"/>
          </w:tcPr>
          <w:p>
            <w:pPr>
              <w:spacing w:after="0"/>
              <w:rPr>
                <w:sz w:val="1"/>
                <w:szCs w:val="1"/>
                <w:color w:val="auto"/>
              </w:rPr>
            </w:pPr>
          </w:p>
        </w:tc>
      </w:tr>
      <w:tr>
        <w:trPr>
          <w:trHeight w:val="220"/>
        </w:trPr>
        <w:tc>
          <w:tcPr>
            <w:tcW w:w="53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(18.5</w:t>
            </w:r>
          </w:p>
        </w:tc>
        <w:tc>
          <w:tcPr>
            <w:tcW w:w="240" w:type="dxa"/>
            <w:vAlign w:val="bottom"/>
            <w:tcBorders>
              <w:top w:val="single" w:sz="8" w:color="CCEEFF"/>
              <w:bottom w:val="single" w:sz="8" w:color="CCEEFF"/>
            </w:tcBorders>
            <w:shd w:val="clear" w:color="auto" w:fill="CCEEFF"/>
          </w:tcPr>
          <w:p>
            <w:pPr>
              <w:jc w:val="right"/>
              <w:ind w:right="102"/>
              <w:spacing w:after="0"/>
              <w:rPr>
                <w:sz w:val="20"/>
                <w:szCs w:val="20"/>
                <w:color w:val="auto"/>
              </w:rPr>
            </w:pPr>
            <w:r>
              <w:rPr>
                <w:rFonts w:ascii="Arial" w:cs="Arial" w:eastAsia="Arial" w:hAnsi="Arial"/>
                <w:sz w:val="16"/>
                <w:szCs w:val="16"/>
                <w:color w:val="auto"/>
                <w:w w:val="74"/>
              </w:rPr>
              <w:t>)</w:t>
            </w:r>
          </w:p>
        </w:tc>
        <w:tc>
          <w:tcPr>
            <w:tcW w:w="320" w:type="dxa"/>
            <w:vAlign w:val="bottom"/>
            <w:tcBorders>
              <w:top w:val="single" w:sz="8" w:color="auto"/>
              <w:bottom w:val="single" w:sz="8" w:color="auto"/>
            </w:tcBorders>
            <w:shd w:val="clear" w:color="auto" w:fill="CCEEFF"/>
          </w:tcPr>
          <w:p>
            <w:pPr>
              <w:jc w:val="right"/>
              <w:ind w:right="131"/>
              <w:spacing w:after="0"/>
              <w:rPr>
                <w:sz w:val="20"/>
                <w:szCs w:val="20"/>
                <w:color w:val="auto"/>
              </w:rPr>
            </w:pPr>
            <w:r>
              <w:rPr>
                <w:rFonts w:ascii="Arial" w:cs="Arial" w:eastAsia="Arial" w:hAnsi="Arial"/>
                <w:sz w:val="18"/>
                <w:szCs w:val="18"/>
                <w:color w:val="auto"/>
                <w:w w:val="79"/>
              </w:rPr>
              <w:t>$</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(11.3</w:t>
            </w:r>
          </w:p>
        </w:tc>
        <w:tc>
          <w:tcPr>
            <w:tcW w:w="200" w:type="dxa"/>
            <w:vAlign w:val="bottom"/>
            <w:tcBorders>
              <w:top w:val="single" w:sz="8" w:color="CCEEFF"/>
              <w:bottom w:val="single" w:sz="8" w:color="CCEEFF"/>
            </w:tcBorders>
            <w:shd w:val="clear" w:color="auto" w:fill="CCEEFF"/>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auto"/>
              <w:bottom w:val="single" w:sz="8" w:color="auto"/>
            </w:tcBorders>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(18.9</w:t>
            </w:r>
          </w:p>
        </w:tc>
        <w:tc>
          <w:tcPr>
            <w:tcW w:w="200" w:type="dxa"/>
            <w:vAlign w:val="bottom"/>
            <w:tcBorders>
              <w:top w:val="single" w:sz="8" w:color="CCEEFF"/>
              <w:bottom w:val="single" w:sz="8" w:color="CCEEFF"/>
            </w:tcBorders>
            <w:shd w:val="clear" w:color="auto" w:fill="CCEEFF"/>
          </w:tcPr>
          <w:p>
            <w:pPr>
              <w:jc w:val="right"/>
              <w:ind w:right="62"/>
              <w:spacing w:after="0"/>
              <w:rPr>
                <w:sz w:val="20"/>
                <w:szCs w:val="20"/>
                <w:color w:val="auto"/>
              </w:rPr>
            </w:pPr>
            <w:r>
              <w:rPr>
                <w:rFonts w:ascii="Arial" w:cs="Arial" w:eastAsia="Arial" w:hAnsi="Arial"/>
                <w:sz w:val="16"/>
                <w:szCs w:val="16"/>
                <w:color w:val="auto"/>
                <w:w w:val="74"/>
              </w:rPr>
              <w:t>)</w:t>
            </w:r>
          </w:p>
        </w:tc>
        <w:tc>
          <w:tcPr>
            <w:tcW w:w="320" w:type="dxa"/>
            <w:vAlign w:val="bottom"/>
            <w:tcBorders>
              <w:top w:val="single" w:sz="8" w:color="auto"/>
              <w:bottom w:val="single" w:sz="8" w:color="auto"/>
            </w:tcBorders>
            <w:shd w:val="clear" w:color="auto" w:fill="CCEEFF"/>
          </w:tcPr>
          <w:p>
            <w:pPr>
              <w:jc w:val="right"/>
              <w:ind w:right="131"/>
              <w:spacing w:after="0"/>
              <w:rPr>
                <w:sz w:val="20"/>
                <w:szCs w:val="20"/>
                <w:color w:val="auto"/>
              </w:rPr>
            </w:pPr>
            <w:r>
              <w:rPr>
                <w:rFonts w:ascii="Arial" w:cs="Arial" w:eastAsia="Arial" w:hAnsi="Arial"/>
                <w:sz w:val="18"/>
                <w:szCs w:val="18"/>
                <w:color w:val="auto"/>
                <w:w w:val="79"/>
              </w:rPr>
              <w:t>$</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(38.0</w:t>
            </w:r>
          </w:p>
        </w:tc>
        <w:tc>
          <w:tcPr>
            <w:tcW w:w="10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5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5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3"/>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Earnings (loss) per share:</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5340" w:type="dxa"/>
            <w:vAlign w:val="bottom"/>
          </w:tcPr>
          <w:p>
            <w:pPr>
              <w:ind w:left="160"/>
              <w:spacing w:after="0"/>
              <w:rPr>
                <w:sz w:val="20"/>
                <w:szCs w:val="20"/>
                <w:color w:val="auto"/>
              </w:rPr>
            </w:pPr>
            <w:r>
              <w:rPr>
                <w:rFonts w:ascii="Arial" w:cs="Arial" w:eastAsia="Arial" w:hAnsi="Arial"/>
                <w:sz w:val="18"/>
                <w:szCs w:val="18"/>
                <w:color w:val="auto"/>
              </w:rPr>
              <w:t>Basic and diluted earnings (loss) per share</w:t>
            </w:r>
          </w:p>
        </w:tc>
        <w:tc>
          <w:tcPr>
            <w:tcW w:w="460" w:type="dxa"/>
            <w:vAlign w:val="bottom"/>
            <w:gridSpan w:val="2"/>
          </w:tcPr>
          <w:p>
            <w:pPr>
              <w:jc w:val="right"/>
              <w:ind w:right="108"/>
              <w:spacing w:after="0"/>
              <w:rPr>
                <w:sz w:val="20"/>
                <w:szCs w:val="20"/>
                <w:color w:val="auto"/>
              </w:rPr>
            </w:pPr>
            <w:r>
              <w:rPr>
                <w:rFonts w:ascii="Arial" w:cs="Arial" w:eastAsia="Arial" w:hAnsi="Arial"/>
                <w:sz w:val="18"/>
                <w:szCs w:val="18"/>
                <w:color w:val="auto"/>
              </w:rPr>
              <w:t>$</w:t>
            </w:r>
          </w:p>
        </w:tc>
        <w:tc>
          <w:tcPr>
            <w:tcW w:w="1220" w:type="dxa"/>
            <w:vAlign w:val="bottom"/>
            <w:gridSpan w:val="2"/>
          </w:tcPr>
          <w:p>
            <w:pPr>
              <w:jc w:val="right"/>
              <w:ind w:right="102"/>
              <w:spacing w:after="0"/>
              <w:rPr>
                <w:sz w:val="20"/>
                <w:szCs w:val="20"/>
                <w:color w:val="auto"/>
              </w:rPr>
            </w:pPr>
            <w:r>
              <w:rPr>
                <w:rFonts w:ascii="Arial" w:cs="Arial" w:eastAsia="Arial" w:hAnsi="Arial"/>
                <w:sz w:val="18"/>
                <w:szCs w:val="18"/>
                <w:color w:val="auto"/>
              </w:rPr>
              <w:t>(1.16)</w:t>
            </w:r>
          </w:p>
        </w:tc>
        <w:tc>
          <w:tcPr>
            <w:tcW w:w="320" w:type="dxa"/>
            <w:vAlign w:val="bottom"/>
          </w:tcPr>
          <w:p>
            <w:pPr>
              <w:jc w:val="right"/>
              <w:ind w:right="131"/>
              <w:spacing w:after="0"/>
              <w:rPr>
                <w:sz w:val="20"/>
                <w:szCs w:val="20"/>
                <w:color w:val="auto"/>
              </w:rPr>
            </w:pPr>
            <w:r>
              <w:rPr>
                <w:rFonts w:ascii="Arial" w:cs="Arial" w:eastAsia="Arial" w:hAnsi="Arial"/>
                <w:sz w:val="18"/>
                <w:szCs w:val="18"/>
                <w:color w:val="auto"/>
                <w:w w:val="79"/>
              </w:rPr>
              <w:t>$</w:t>
            </w:r>
          </w:p>
        </w:tc>
        <w:tc>
          <w:tcPr>
            <w:tcW w:w="1120" w:type="dxa"/>
            <w:vAlign w:val="bottom"/>
            <w:gridSpan w:val="2"/>
          </w:tcPr>
          <w:p>
            <w:pPr>
              <w:jc w:val="right"/>
              <w:ind w:right="62"/>
              <w:spacing w:after="0"/>
              <w:rPr>
                <w:sz w:val="20"/>
                <w:szCs w:val="20"/>
                <w:color w:val="auto"/>
              </w:rPr>
            </w:pPr>
            <w:r>
              <w:rPr>
                <w:rFonts w:ascii="Arial" w:cs="Arial" w:eastAsia="Arial" w:hAnsi="Arial"/>
                <w:sz w:val="18"/>
                <w:szCs w:val="18"/>
                <w:color w:val="auto"/>
              </w:rPr>
              <w:t>(0.70)</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180" w:type="dxa"/>
            <w:vAlign w:val="bottom"/>
            <w:gridSpan w:val="2"/>
          </w:tcPr>
          <w:p>
            <w:pPr>
              <w:jc w:val="right"/>
              <w:ind w:right="62"/>
              <w:spacing w:after="0"/>
              <w:rPr>
                <w:sz w:val="20"/>
                <w:szCs w:val="20"/>
                <w:color w:val="auto"/>
              </w:rPr>
            </w:pPr>
            <w:r>
              <w:rPr>
                <w:rFonts w:ascii="Arial" w:cs="Arial" w:eastAsia="Arial" w:hAnsi="Arial"/>
                <w:sz w:val="18"/>
                <w:szCs w:val="18"/>
                <w:color w:val="auto"/>
              </w:rPr>
              <w:t>(1.18)</w:t>
            </w:r>
          </w:p>
        </w:tc>
        <w:tc>
          <w:tcPr>
            <w:tcW w:w="320" w:type="dxa"/>
            <w:vAlign w:val="bottom"/>
          </w:tcPr>
          <w:p>
            <w:pPr>
              <w:jc w:val="right"/>
              <w:ind w:right="131"/>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(2.37)</w:t>
            </w:r>
          </w:p>
        </w:tc>
        <w:tc>
          <w:tcPr>
            <w:tcW w:w="0" w:type="dxa"/>
            <w:vAlign w:val="bottom"/>
          </w:tcPr>
          <w:p>
            <w:pPr>
              <w:spacing w:after="0"/>
              <w:rPr>
                <w:sz w:val="1"/>
                <w:szCs w:val="1"/>
                <w:color w:val="auto"/>
              </w:rPr>
            </w:pPr>
          </w:p>
        </w:tc>
      </w:tr>
      <w:tr>
        <w:trPr>
          <w:trHeight w:val="213"/>
        </w:trPr>
        <w:tc>
          <w:tcPr>
            <w:tcW w:w="5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5340" w:type="dxa"/>
            <w:vAlign w:val="bottom"/>
          </w:tcPr>
          <w:p>
            <w:pPr>
              <w:spacing w:after="0"/>
              <w:rPr>
                <w:sz w:val="20"/>
                <w:szCs w:val="20"/>
                <w:color w:val="auto"/>
              </w:rPr>
            </w:pPr>
            <w:r>
              <w:rPr>
                <w:rFonts w:ascii="Arial" w:cs="Arial" w:eastAsia="Arial" w:hAnsi="Arial"/>
                <w:sz w:val="18"/>
                <w:szCs w:val="18"/>
                <w:color w:val="auto"/>
              </w:rPr>
              <w:t>Weighted-average shares outstanding:</w:t>
            </w: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53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Basic and diluted</w:t>
            </w:r>
          </w:p>
        </w:tc>
        <w:tc>
          <w:tcPr>
            <w:tcW w:w="2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15.91</w:t>
            </w:r>
          </w:p>
        </w:tc>
        <w:tc>
          <w:tcPr>
            <w:tcW w:w="2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16.09</w:t>
            </w: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16.03</w:t>
            </w:r>
          </w:p>
        </w:tc>
        <w:tc>
          <w:tcPr>
            <w:tcW w:w="3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16.01</w:t>
            </w:r>
          </w:p>
        </w:tc>
        <w:tc>
          <w:tcPr>
            <w:tcW w:w="0" w:type="dxa"/>
            <w:vAlign w:val="bottom"/>
          </w:tcPr>
          <w:p>
            <w:pPr>
              <w:spacing w:after="0"/>
              <w:rPr>
                <w:sz w:val="1"/>
                <w:szCs w:val="1"/>
                <w:color w:val="auto"/>
              </w:rPr>
            </w:pPr>
          </w:p>
        </w:tc>
      </w:tr>
      <w:tr>
        <w:trPr>
          <w:trHeight w:val="640"/>
        </w:trPr>
        <w:tc>
          <w:tcPr>
            <w:tcW w:w="53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240"/>
          </w:cols>
          <w:pgMar w:left="320" w:top="895" w:right="339" w:bottom="1440" w:gutter="0" w:footer="0" w:header="0"/>
        </w:sectPr>
      </w:pPr>
    </w:p>
    <w:bookmarkStart w:id="9" w:name="page10"/>
    <w:bookmarkEnd w:id="9"/>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(dollars in millions, except par value, unaudited)</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81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34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w w:val="87"/>
              </w:rPr>
              <w:t>June 30, 2020</w:t>
            </w:r>
          </w:p>
        </w:tc>
        <w:tc>
          <w:tcPr>
            <w:tcW w:w="1540" w:type="dxa"/>
            <w:vAlign w:val="bottom"/>
            <w:gridSpan w:val="5"/>
          </w:tcPr>
          <w:p>
            <w:pPr>
              <w:spacing w:after="0"/>
              <w:rPr>
                <w:sz w:val="20"/>
                <w:szCs w:val="20"/>
                <w:color w:val="auto"/>
              </w:rPr>
            </w:pPr>
            <w:r>
              <w:rPr>
                <w:rFonts w:ascii="Arial" w:cs="Arial" w:eastAsia="Arial" w:hAnsi="Arial"/>
                <w:sz w:val="18"/>
                <w:szCs w:val="18"/>
                <w:b w:val="1"/>
                <w:bCs w:val="1"/>
                <w:color w:val="auto"/>
                <w:w w:val="93"/>
              </w:rPr>
              <w:t>December 31, 2019</w:t>
            </w:r>
          </w:p>
        </w:tc>
      </w:tr>
      <w:tr>
        <w:trPr>
          <w:trHeight w:val="208"/>
        </w:trPr>
        <w:tc>
          <w:tcPr>
            <w:tcW w:w="8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4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Current assets: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112.4</w:t>
            </w:r>
          </w:p>
        </w:tc>
        <w:tc>
          <w:tcPr>
            <w:tcW w:w="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38.0</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Accounts receivable, less allowances of $42.0 and $43.8, respectively</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762.4</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910.8</w:t>
            </w: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Related party receivable</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3.2</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2.8</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Inventories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509.4</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552.9</w:t>
            </w:r>
          </w:p>
        </w:tc>
        <w:tc>
          <w:tcPr>
            <w:tcW w:w="80" w:type="dxa"/>
            <w:vAlign w:val="bottom"/>
          </w:tcPr>
          <w:p>
            <w:pPr>
              <w:spacing w:after="0"/>
              <w:rPr>
                <w:sz w:val="18"/>
                <w:szCs w:val="18"/>
                <w:color w:val="auto"/>
              </w:rPr>
            </w:pPr>
          </w:p>
        </w:tc>
      </w:tr>
      <w:tr>
        <w:trPr>
          <w:trHeight w:val="227"/>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Other current assets</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105.9</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126.1</w:t>
            </w:r>
          </w:p>
        </w:tc>
        <w:tc>
          <w:tcPr>
            <w:tcW w:w="80" w:type="dxa"/>
            <w:vAlign w:val="bottom"/>
            <w:shd w:val="clear" w:color="auto" w:fill="CCEEFF"/>
          </w:tcPr>
          <w:p>
            <w:pPr>
              <w:spacing w:after="0"/>
              <w:rPr>
                <w:sz w:val="19"/>
                <w:szCs w:val="19"/>
                <w:color w:val="auto"/>
              </w:rPr>
            </w:pPr>
          </w:p>
        </w:tc>
      </w:tr>
      <w:tr>
        <w:trPr>
          <w:trHeight w:val="207"/>
        </w:trPr>
        <w:tc>
          <w:tcPr>
            <w:tcW w:w="8100" w:type="dxa"/>
            <w:vAlign w:val="bottom"/>
          </w:tcPr>
          <w:p>
            <w:pPr>
              <w:spacing w:after="0"/>
              <w:rPr>
                <w:sz w:val="20"/>
                <w:szCs w:val="20"/>
                <w:color w:val="auto"/>
              </w:rPr>
            </w:pPr>
            <w:r>
              <w:rPr>
                <w:rFonts w:ascii="Arial" w:cs="Arial" w:eastAsia="Arial" w:hAnsi="Arial"/>
                <w:sz w:val="18"/>
                <w:szCs w:val="18"/>
                <w:b w:val="1"/>
                <w:bCs w:val="1"/>
                <w:color w:val="auto"/>
              </w:rPr>
              <w:t>Total current assets</w:t>
            </w:r>
          </w:p>
        </w:tc>
        <w:tc>
          <w:tcPr>
            <w:tcW w:w="16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11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1,493.3</w:t>
            </w: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1,630.6</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w w:val="91"/>
              </w:rPr>
              <w:t>Property and equipment (net of accumulated depreciation and amortization of $358.4 and $342.6, respectively)</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210.2</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216.9</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Goodwill</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99.6</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99.6</w:t>
            </w: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Other intangibles, net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49.8</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52.2</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Deferred income tax assets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54.0</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57.0</w:t>
            </w:r>
          </w:p>
        </w:tc>
        <w:tc>
          <w:tcPr>
            <w:tcW w:w="80" w:type="dxa"/>
            <w:vAlign w:val="bottom"/>
          </w:tcPr>
          <w:p>
            <w:pPr>
              <w:spacing w:after="0"/>
              <w:rPr>
                <w:sz w:val="18"/>
                <w:szCs w:val="18"/>
                <w:color w:val="auto"/>
              </w:rPr>
            </w:pPr>
          </w:p>
        </w:tc>
      </w:tr>
      <w:tr>
        <w:trPr>
          <w:trHeight w:val="227"/>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Other non-current assets</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419.3</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454.8</w:t>
            </w:r>
          </w:p>
        </w:tc>
        <w:tc>
          <w:tcPr>
            <w:tcW w:w="80" w:type="dxa"/>
            <w:vAlign w:val="bottom"/>
            <w:shd w:val="clear" w:color="auto" w:fill="CCEEFF"/>
          </w:tcPr>
          <w:p>
            <w:pPr>
              <w:spacing w:after="0"/>
              <w:rPr>
                <w:sz w:val="19"/>
                <w:szCs w:val="19"/>
                <w:color w:val="auto"/>
              </w:rPr>
            </w:pPr>
          </w:p>
        </w:tc>
      </w:tr>
      <w:tr>
        <w:trPr>
          <w:trHeight w:val="260"/>
        </w:trPr>
        <w:tc>
          <w:tcPr>
            <w:tcW w:w="810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assets</w:t>
            </w:r>
          </w:p>
        </w:tc>
        <w:tc>
          <w:tcPr>
            <w:tcW w:w="160" w:type="dxa"/>
            <w:vAlign w:val="bottom"/>
            <w:tcBorders>
              <w:bottom w:val="single" w:sz="8" w:color="CCEEFF"/>
            </w:tcBorders>
          </w:tcPr>
          <w:p>
            <w:pPr>
              <w:spacing w:after="0"/>
              <w:rPr>
                <w:sz w:val="22"/>
                <w:szCs w:val="22"/>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2,326.2</w:t>
            </w:r>
          </w:p>
        </w:tc>
        <w:tc>
          <w:tcPr>
            <w:tcW w:w="200" w:type="dxa"/>
            <w:vAlign w:val="bottom"/>
            <w:tcBorders>
              <w:bottom w:val="single" w:sz="8" w:color="CCEEFF"/>
            </w:tcBorders>
          </w:tcPr>
          <w:p>
            <w:pPr>
              <w:spacing w:after="0"/>
              <w:rPr>
                <w:sz w:val="22"/>
                <w:szCs w:val="22"/>
                <w:color w:val="auto"/>
              </w:rPr>
            </w:pPr>
          </w:p>
        </w:tc>
        <w:tc>
          <w:tcPr>
            <w:tcW w:w="20" w:type="dxa"/>
            <w:vAlign w:val="bottom"/>
            <w:tcBorders>
              <w:bottom w:val="single" w:sz="8" w:color="CCEEFF"/>
            </w:tcBorders>
          </w:tcPr>
          <w:p>
            <w:pPr>
              <w:spacing w:after="0"/>
              <w:rPr>
                <w:sz w:val="22"/>
                <w:szCs w:val="22"/>
                <w:color w:val="auto"/>
              </w:rPr>
            </w:pPr>
          </w:p>
        </w:tc>
        <w:tc>
          <w:tcPr>
            <w:tcW w:w="4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2,511.1</w:t>
            </w:r>
          </w:p>
        </w:tc>
        <w:tc>
          <w:tcPr>
            <w:tcW w:w="2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r>
      <w:tr>
        <w:trPr>
          <w:trHeight w:val="194"/>
        </w:trPr>
        <w:tc>
          <w:tcPr>
            <w:tcW w:w="8100" w:type="dxa"/>
            <w:vAlign w:val="bottom"/>
            <w:shd w:val="clear" w:color="auto" w:fill="CCEEFF"/>
          </w:tcPr>
          <w:p>
            <w:pPr>
              <w:spacing w:after="0" w:line="192" w:lineRule="exact"/>
              <w:rPr>
                <w:sz w:val="20"/>
                <w:szCs w:val="20"/>
                <w:color w:val="auto"/>
              </w:rPr>
            </w:pPr>
            <w:r>
              <w:rPr>
                <w:rFonts w:ascii="Arial" w:cs="Arial" w:eastAsia="Arial" w:hAnsi="Arial"/>
                <w:sz w:val="18"/>
                <w:szCs w:val="18"/>
                <w:b w:val="1"/>
                <w:bCs w:val="1"/>
                <w:color w:val="auto"/>
              </w:rPr>
              <w:t>Liabilities and shareholders' equity</w:t>
            </w:r>
          </w:p>
        </w:tc>
        <w:tc>
          <w:tcPr>
            <w:tcW w:w="1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1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9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Current liabilities: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Accounts payable</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441.5</w:t>
            </w:r>
          </w:p>
        </w:tc>
        <w:tc>
          <w:tcPr>
            <w:tcW w:w="5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476.9</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Related party payable</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3.3</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4.3</w:t>
            </w: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38.7</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53.9</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191.7</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183.8</w:t>
            </w:r>
          </w:p>
        </w:tc>
        <w:tc>
          <w:tcPr>
            <w:tcW w:w="80" w:type="dxa"/>
            <w:vAlign w:val="bottom"/>
          </w:tcPr>
          <w:p>
            <w:pPr>
              <w:spacing w:after="0"/>
              <w:rPr>
                <w:sz w:val="18"/>
                <w:szCs w:val="18"/>
                <w:color w:val="auto"/>
              </w:rPr>
            </w:pPr>
          </w:p>
        </w:tc>
      </w:tr>
      <w:tr>
        <w:trPr>
          <w:trHeight w:val="227"/>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Current portion of debt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14.0</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12.6</w:t>
            </w:r>
          </w:p>
        </w:tc>
        <w:tc>
          <w:tcPr>
            <w:tcW w:w="80" w:type="dxa"/>
            <w:vAlign w:val="bottom"/>
            <w:shd w:val="clear" w:color="auto" w:fill="CCEEFF"/>
          </w:tcPr>
          <w:p>
            <w:pPr>
              <w:spacing w:after="0"/>
              <w:rPr>
                <w:sz w:val="19"/>
                <w:szCs w:val="19"/>
                <w:color w:val="auto"/>
              </w:rPr>
            </w:pPr>
          </w:p>
        </w:tc>
      </w:tr>
      <w:tr>
        <w:trPr>
          <w:trHeight w:val="207"/>
        </w:trPr>
        <w:tc>
          <w:tcPr>
            <w:tcW w:w="8100" w:type="dxa"/>
            <w:vAlign w:val="bottom"/>
          </w:tcPr>
          <w:p>
            <w:pPr>
              <w:spacing w:after="0"/>
              <w:rPr>
                <w:sz w:val="20"/>
                <w:szCs w:val="20"/>
                <w:color w:val="auto"/>
              </w:rPr>
            </w:pPr>
            <w:r>
              <w:rPr>
                <w:rFonts w:ascii="Arial" w:cs="Arial" w:eastAsia="Arial" w:hAnsi="Arial"/>
                <w:sz w:val="18"/>
                <w:szCs w:val="18"/>
                <w:b w:val="1"/>
                <w:bCs w:val="1"/>
                <w:color w:val="auto"/>
              </w:rPr>
              <w:t>Total current liabilities</w:t>
            </w:r>
          </w:p>
        </w:tc>
        <w:tc>
          <w:tcPr>
            <w:tcW w:w="16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11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689.2</w:t>
            </w: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9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731.5</w:t>
            </w: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Long-term debt, net of current portion</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652.3</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742.4</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Defined benefit pension obligations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14.4</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15.7</w:t>
            </w:r>
          </w:p>
        </w:tc>
        <w:tc>
          <w:tcPr>
            <w:tcW w:w="80" w:type="dxa"/>
            <w:vAlign w:val="bottom"/>
          </w:tcPr>
          <w:p>
            <w:pPr>
              <w:spacing w:after="0"/>
              <w:rPr>
                <w:sz w:val="18"/>
                <w:szCs w:val="18"/>
                <w:color w:val="auto"/>
              </w:rPr>
            </w:pPr>
          </w:p>
        </w:tc>
      </w:tr>
      <w:tr>
        <w:trPr>
          <w:trHeight w:val="227"/>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Other non-current liabilities</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457.3</w:t>
            </w:r>
          </w:p>
        </w:tc>
        <w:tc>
          <w:tcPr>
            <w:tcW w:w="2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485.3</w:t>
            </w:r>
          </w:p>
        </w:tc>
        <w:tc>
          <w:tcPr>
            <w:tcW w:w="80" w:type="dxa"/>
            <w:vAlign w:val="bottom"/>
            <w:shd w:val="clear" w:color="auto" w:fill="CCEEFF"/>
          </w:tcPr>
          <w:p>
            <w:pPr>
              <w:spacing w:after="0"/>
              <w:rPr>
                <w:sz w:val="19"/>
                <w:szCs w:val="19"/>
                <w:color w:val="auto"/>
              </w:rPr>
            </w:pPr>
          </w:p>
        </w:tc>
      </w:tr>
      <w:tr>
        <w:trPr>
          <w:trHeight w:val="207"/>
        </w:trPr>
        <w:tc>
          <w:tcPr>
            <w:tcW w:w="810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liabilities</w:t>
            </w:r>
          </w:p>
        </w:tc>
        <w:tc>
          <w:tcPr>
            <w:tcW w:w="160" w:type="dxa"/>
            <w:vAlign w:val="bottom"/>
            <w:tcBorders>
              <w:bottom w:val="single" w:sz="8" w:color="CCEEFF"/>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1,813.2</w:t>
            </w:r>
          </w:p>
        </w:tc>
        <w:tc>
          <w:tcPr>
            <w:tcW w:w="200" w:type="dxa"/>
            <w:vAlign w:val="bottom"/>
            <w:tcBorders>
              <w:bottom w:val="single" w:sz="8" w:color="CCEEFF"/>
            </w:tcBorders>
          </w:tcPr>
          <w:p>
            <w:pPr>
              <w:spacing w:after="0"/>
              <w:rPr>
                <w:sz w:val="17"/>
                <w:szCs w:val="17"/>
                <w:color w:val="auto"/>
              </w:rPr>
            </w:pPr>
          </w:p>
        </w:tc>
        <w:tc>
          <w:tcPr>
            <w:tcW w:w="20" w:type="dxa"/>
            <w:vAlign w:val="bottom"/>
            <w:tcBorders>
              <w:bottom w:val="single" w:sz="8" w:color="CCEEFF"/>
            </w:tcBorders>
          </w:tcPr>
          <w:p>
            <w:pPr>
              <w:spacing w:after="0"/>
              <w:rPr>
                <w:sz w:val="17"/>
                <w:szCs w:val="17"/>
                <w:color w:val="auto"/>
              </w:rPr>
            </w:pPr>
          </w:p>
        </w:tc>
        <w:tc>
          <w:tcPr>
            <w:tcW w:w="480" w:type="dxa"/>
            <w:vAlign w:val="bottom"/>
            <w:tcBorders>
              <w:top w:val="single" w:sz="8" w:color="auto"/>
              <w:bottom w:val="single" w:sz="8" w:color="auto"/>
            </w:tcBorders>
          </w:tcPr>
          <w:p>
            <w:pPr>
              <w:spacing w:after="0"/>
              <w:rPr>
                <w:sz w:val="17"/>
                <w:szCs w:val="17"/>
                <w:color w:val="auto"/>
              </w:rPr>
            </w:pP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1,974.9</w:t>
            </w:r>
          </w:p>
        </w:tc>
        <w:tc>
          <w:tcPr>
            <w:tcW w:w="20" w:type="dxa"/>
            <w:vAlign w:val="bottom"/>
            <w:tcBorders>
              <w:bottom w:val="single" w:sz="8" w:color="CCEEFF"/>
            </w:tcBorders>
          </w:tcPr>
          <w:p>
            <w:pPr>
              <w:spacing w:after="0"/>
              <w:rPr>
                <w:sz w:val="17"/>
                <w:szCs w:val="17"/>
                <w:color w:val="auto"/>
              </w:rPr>
            </w:pPr>
          </w:p>
        </w:tc>
        <w:tc>
          <w:tcPr>
            <w:tcW w:w="80" w:type="dxa"/>
            <w:vAlign w:val="bottom"/>
            <w:tcBorders>
              <w:bottom w:val="single" w:sz="8" w:color="CCEEFF"/>
            </w:tcBorders>
          </w:tcPr>
          <w:p>
            <w:pPr>
              <w:spacing w:after="0"/>
              <w:rPr>
                <w:sz w:val="17"/>
                <w:szCs w:val="17"/>
                <w:color w:val="auto"/>
              </w:rPr>
            </w:pPr>
          </w:p>
        </w:tc>
      </w:tr>
      <w:tr>
        <w:trPr>
          <w:trHeight w:val="207"/>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Commitments and contingencies</w:t>
            </w:r>
          </w:p>
        </w:tc>
        <w:tc>
          <w:tcPr>
            <w:tcW w:w="1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Shareholders' equity:</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Preferred stock, $0.01 par value, 10.0 million shares authorized, none issued</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199"/>
        </w:trPr>
        <w:tc>
          <w:tcPr>
            <w:tcW w:w="8100" w:type="dxa"/>
            <w:vAlign w:val="bottom"/>
          </w:tcPr>
          <w:p>
            <w:pPr>
              <w:spacing w:after="0" w:line="199" w:lineRule="exact"/>
              <w:rPr>
                <w:sz w:val="20"/>
                <w:szCs w:val="20"/>
                <w:color w:val="auto"/>
              </w:rPr>
            </w:pPr>
            <w:r>
              <w:rPr>
                <w:rFonts w:ascii="Arial" w:cs="Arial" w:eastAsia="Arial" w:hAnsi="Arial"/>
                <w:sz w:val="18"/>
                <w:szCs w:val="18"/>
                <w:color w:val="auto"/>
                <w:w w:val="92"/>
              </w:rPr>
              <w:t>Common stock, $0.01 par value, 100.0 million shares authorized; shares issued - 16.6 million and 16.4 million,</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r>
      <w:tr>
        <w:trPr>
          <w:trHeight w:val="227"/>
        </w:trPr>
        <w:tc>
          <w:tcPr>
            <w:tcW w:w="8100" w:type="dxa"/>
            <w:vAlign w:val="bottom"/>
          </w:tcPr>
          <w:p>
            <w:pPr>
              <w:spacing w:after="0"/>
              <w:rPr>
                <w:sz w:val="20"/>
                <w:szCs w:val="20"/>
                <w:color w:val="auto"/>
              </w:rPr>
            </w:pPr>
            <w:r>
              <w:rPr>
                <w:rFonts w:ascii="Arial" w:cs="Arial" w:eastAsia="Arial" w:hAnsi="Arial"/>
                <w:sz w:val="18"/>
                <w:szCs w:val="18"/>
                <w:color w:val="auto"/>
              </w:rPr>
              <w:t>respectively; shares outstanding - 15.9 million and 16.1 million, respectively</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0.2</w:t>
            </w:r>
          </w:p>
        </w:tc>
        <w:tc>
          <w:tcPr>
            <w:tcW w:w="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0.2</w:t>
            </w:r>
          </w:p>
        </w:tc>
        <w:tc>
          <w:tcPr>
            <w:tcW w:w="80" w:type="dxa"/>
            <w:vAlign w:val="bottom"/>
          </w:tcPr>
          <w:p>
            <w:pPr>
              <w:spacing w:after="0"/>
              <w:rPr>
                <w:sz w:val="19"/>
                <w:szCs w:val="19"/>
                <w:color w:val="auto"/>
              </w:rPr>
            </w:pPr>
          </w:p>
        </w:tc>
      </w:tr>
      <w:tr>
        <w:trPr>
          <w:trHeight w:val="214"/>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Additional paid-in capital</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627.3</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618.0</w:t>
            </w:r>
          </w:p>
        </w:tc>
        <w:tc>
          <w:tcPr>
            <w:tcW w:w="80" w:type="dxa"/>
            <w:vAlign w:val="bottom"/>
            <w:shd w:val="clear" w:color="auto" w:fill="CCEEFF"/>
          </w:tcPr>
          <w:p>
            <w:pPr>
              <w:spacing w:after="0"/>
              <w:rPr>
                <w:sz w:val="18"/>
                <w:szCs w:val="18"/>
                <w:color w:val="auto"/>
              </w:rPr>
            </w:pPr>
          </w:p>
        </w:tc>
      </w:tr>
      <w:tr>
        <w:trPr>
          <w:trHeight w:val="213"/>
        </w:trPr>
        <w:tc>
          <w:tcPr>
            <w:tcW w:w="8100" w:type="dxa"/>
            <w:vAlign w:val="bottom"/>
          </w:tcPr>
          <w:p>
            <w:pPr>
              <w:spacing w:after="0"/>
              <w:rPr>
                <w:sz w:val="20"/>
                <w:szCs w:val="20"/>
                <w:color w:val="auto"/>
              </w:rPr>
            </w:pPr>
            <w:r>
              <w:rPr>
                <w:rFonts w:ascii="Arial" w:cs="Arial" w:eastAsia="Arial" w:hAnsi="Arial"/>
                <w:sz w:val="18"/>
                <w:szCs w:val="18"/>
                <w:color w:val="auto"/>
              </w:rPr>
              <w:t>Accumulated (deficit) earnings</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40"/>
              <w:spacing w:after="0"/>
              <w:rPr>
                <w:sz w:val="20"/>
                <w:szCs w:val="20"/>
                <w:color w:val="auto"/>
              </w:rPr>
            </w:pPr>
            <w:r>
              <w:rPr>
                <w:rFonts w:ascii="Arial" w:cs="Arial" w:eastAsia="Arial" w:hAnsi="Arial"/>
                <w:sz w:val="18"/>
                <w:szCs w:val="18"/>
                <w:color w:val="auto"/>
              </w:rPr>
              <w:t>(54.5)</w:t>
            </w:r>
          </w:p>
        </w:tc>
        <w:tc>
          <w:tcPr>
            <w:tcW w:w="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40" w:type="dxa"/>
            <w:vAlign w:val="bottom"/>
            <w:gridSpan w:val="3"/>
          </w:tcPr>
          <w:p>
            <w:pPr>
              <w:jc w:val="right"/>
              <w:ind w:right="40"/>
              <w:spacing w:after="0"/>
              <w:rPr>
                <w:sz w:val="20"/>
                <w:szCs w:val="20"/>
                <w:color w:val="auto"/>
              </w:rPr>
            </w:pPr>
            <w:r>
              <w:rPr>
                <w:rFonts w:ascii="Arial" w:cs="Arial" w:eastAsia="Arial" w:hAnsi="Arial"/>
                <w:sz w:val="18"/>
                <w:szCs w:val="18"/>
                <w:color w:val="auto"/>
              </w:rPr>
              <w:t>(35.3)</w:t>
            </w:r>
          </w:p>
        </w:tc>
      </w:tr>
      <w:tr>
        <w:trPr>
          <w:trHeight w:val="213"/>
        </w:trPr>
        <w:tc>
          <w:tcPr>
            <w:tcW w:w="810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loss</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(42.9)</w:t>
            </w:r>
          </w:p>
        </w:tc>
        <w:tc>
          <w:tcPr>
            <w:tcW w:w="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(33.1)</w:t>
            </w:r>
          </w:p>
        </w:tc>
      </w:tr>
      <w:tr>
        <w:trPr>
          <w:trHeight w:val="227"/>
        </w:trPr>
        <w:tc>
          <w:tcPr>
            <w:tcW w:w="8100" w:type="dxa"/>
            <w:vAlign w:val="bottom"/>
          </w:tcPr>
          <w:p>
            <w:pPr>
              <w:spacing w:after="0"/>
              <w:rPr>
                <w:sz w:val="20"/>
                <w:szCs w:val="20"/>
                <w:color w:val="auto"/>
              </w:rPr>
            </w:pPr>
            <w:r>
              <w:rPr>
                <w:rFonts w:ascii="Arial" w:cs="Arial" w:eastAsia="Arial" w:hAnsi="Arial"/>
                <w:sz w:val="18"/>
                <w:szCs w:val="18"/>
                <w:color w:val="auto"/>
              </w:rPr>
              <w:t>Treasury stock at cost - 0.7 million shares in 2020 and 0.3 million shares in 2019</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340" w:type="dxa"/>
            <w:vAlign w:val="bottom"/>
            <w:gridSpan w:val="2"/>
          </w:tcPr>
          <w:p>
            <w:pPr>
              <w:jc w:val="right"/>
              <w:ind w:right="140"/>
              <w:spacing w:after="0"/>
              <w:rPr>
                <w:sz w:val="20"/>
                <w:szCs w:val="20"/>
                <w:color w:val="auto"/>
              </w:rPr>
            </w:pPr>
            <w:r>
              <w:rPr>
                <w:rFonts w:ascii="Arial" w:cs="Arial" w:eastAsia="Arial" w:hAnsi="Arial"/>
                <w:sz w:val="18"/>
                <w:szCs w:val="18"/>
                <w:color w:val="auto"/>
              </w:rPr>
              <w:t>(17.1)</w:t>
            </w:r>
          </w:p>
        </w:tc>
        <w:tc>
          <w:tcPr>
            <w:tcW w:w="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040" w:type="dxa"/>
            <w:vAlign w:val="bottom"/>
            <w:gridSpan w:val="3"/>
          </w:tcPr>
          <w:p>
            <w:pPr>
              <w:jc w:val="right"/>
              <w:ind w:right="40"/>
              <w:spacing w:after="0"/>
              <w:rPr>
                <w:sz w:val="20"/>
                <w:szCs w:val="20"/>
                <w:color w:val="auto"/>
              </w:rPr>
            </w:pPr>
            <w:r>
              <w:rPr>
                <w:rFonts w:ascii="Arial" w:cs="Arial" w:eastAsia="Arial" w:hAnsi="Arial"/>
                <w:sz w:val="18"/>
                <w:szCs w:val="18"/>
                <w:color w:val="auto"/>
              </w:rPr>
              <w:t>(13.6)</w:t>
            </w:r>
          </w:p>
        </w:tc>
      </w:tr>
      <w:tr>
        <w:trPr>
          <w:trHeight w:val="207"/>
        </w:trPr>
        <w:tc>
          <w:tcPr>
            <w:tcW w:w="8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shareholders' equity</w:t>
            </w: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1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513.0</w:t>
            </w:r>
          </w:p>
        </w:tc>
        <w:tc>
          <w:tcPr>
            <w:tcW w:w="20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bottom w:val="single" w:sz="8" w:color="auto"/>
            </w:tcBorders>
            <w:shd w:val="clear" w:color="auto" w:fill="CCEEFF"/>
          </w:tcPr>
          <w:p>
            <w:pPr>
              <w:spacing w:after="0"/>
              <w:rPr>
                <w:sz w:val="18"/>
                <w:szCs w:val="18"/>
                <w:color w:val="auto"/>
              </w:rPr>
            </w:pPr>
          </w:p>
        </w:tc>
        <w:tc>
          <w:tcPr>
            <w:tcW w:w="9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536.2</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20"/>
        </w:trPr>
        <w:tc>
          <w:tcPr>
            <w:tcW w:w="8100" w:type="dxa"/>
            <w:vAlign w:val="bottom"/>
          </w:tcPr>
          <w:p>
            <w:pPr>
              <w:spacing w:after="0"/>
              <w:rPr>
                <w:sz w:val="20"/>
                <w:szCs w:val="20"/>
                <w:color w:val="auto"/>
              </w:rPr>
            </w:pPr>
            <w:r>
              <w:rPr>
                <w:rFonts w:ascii="Arial" w:cs="Arial" w:eastAsia="Arial" w:hAnsi="Arial"/>
                <w:sz w:val="18"/>
                <w:szCs w:val="18"/>
                <w:b w:val="1"/>
                <w:bCs w:val="1"/>
                <w:color w:val="auto"/>
              </w:rPr>
              <w:t>Total liabilities and shareholders' equity</w:t>
            </w:r>
          </w:p>
        </w:tc>
        <w:tc>
          <w:tcPr>
            <w:tcW w:w="160" w:type="dxa"/>
            <w:vAlign w:val="bottom"/>
          </w:tcPr>
          <w:p>
            <w:pPr>
              <w:spacing w:after="0"/>
              <w:rPr>
                <w:sz w:val="19"/>
                <w:szCs w:val="19"/>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1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2,326.2</w:t>
            </w:r>
          </w:p>
        </w:tc>
        <w:tc>
          <w:tcPr>
            <w:tcW w:w="2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2,511.1</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81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621"/>
        </w:trPr>
        <w:tc>
          <w:tcPr>
            <w:tcW w:w="81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0" w:name="page11"/>
    <w:bookmarkEnd w:id="10"/>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STATEMENTS OF CASH FLOWS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70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600" w:type="dxa"/>
            <w:vAlign w:val="bottom"/>
            <w:gridSpan w:val="5"/>
          </w:tcPr>
          <w:p>
            <w:pPr>
              <w:jc w:val="right"/>
              <w:ind w:right="322"/>
              <w:spacing w:after="0"/>
              <w:rPr>
                <w:sz w:val="20"/>
                <w:szCs w:val="20"/>
                <w:color w:val="auto"/>
              </w:rPr>
            </w:pPr>
            <w:r>
              <w:rPr>
                <w:rFonts w:ascii="Arial" w:cs="Arial" w:eastAsia="Arial" w:hAnsi="Arial"/>
                <w:sz w:val="18"/>
                <w:szCs w:val="18"/>
                <w:b w:val="1"/>
                <w:bCs w:val="1"/>
                <w:color w:val="auto"/>
                <w:w w:val="93"/>
              </w:rPr>
              <w:t>Six Months Ended June 30,</w:t>
            </w:r>
          </w:p>
        </w:tc>
      </w:tr>
      <w:tr>
        <w:trPr>
          <w:trHeight w:val="221"/>
        </w:trPr>
        <w:tc>
          <w:tcPr>
            <w:tcW w:w="7040" w:type="dxa"/>
            <w:vAlign w:val="bottom"/>
            <w:tcBorders>
              <w:bottom w:val="single" w:sz="8" w:color="CCEEFF"/>
            </w:tcBorders>
          </w:tcPr>
          <w:p>
            <w:pPr>
              <w:spacing w:after="0"/>
              <w:rPr>
                <w:sz w:val="19"/>
                <w:szCs w:val="19"/>
                <w:color w:val="auto"/>
              </w:rPr>
            </w:pPr>
          </w:p>
        </w:tc>
        <w:tc>
          <w:tcPr>
            <w:tcW w:w="1420" w:type="dxa"/>
            <w:vAlign w:val="bottom"/>
            <w:tcBorders>
              <w:bottom w:val="single" w:sz="8" w:color="CCEEFF"/>
            </w:tcBorders>
          </w:tcPr>
          <w:p>
            <w:pPr>
              <w:spacing w:after="0"/>
              <w:rPr>
                <w:sz w:val="19"/>
                <w:szCs w:val="19"/>
                <w:color w:val="auto"/>
              </w:rPr>
            </w:pPr>
          </w:p>
        </w:tc>
        <w:tc>
          <w:tcPr>
            <w:tcW w:w="180" w:type="dxa"/>
            <w:vAlign w:val="bottom"/>
            <w:tcBorders>
              <w:top w:val="single" w:sz="8" w:color="auto"/>
              <w:bottom w:val="single" w:sz="8" w:color="auto"/>
            </w:tcBorders>
          </w:tcPr>
          <w:p>
            <w:pPr>
              <w:spacing w:after="0"/>
              <w:rPr>
                <w:sz w:val="19"/>
                <w:szCs w:val="19"/>
                <w:color w:val="auto"/>
              </w:rPr>
            </w:pPr>
          </w:p>
        </w:tc>
        <w:tc>
          <w:tcPr>
            <w:tcW w:w="1060" w:type="dxa"/>
            <w:vAlign w:val="bottom"/>
            <w:tcBorders>
              <w:top w:val="single" w:sz="8" w:color="auto"/>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top w:val="single" w:sz="8" w:color="auto"/>
              <w:bottom w:val="single" w:sz="8" w:color="CCEEFF"/>
            </w:tcBorders>
          </w:tcPr>
          <w:p>
            <w:pPr>
              <w:spacing w:after="0"/>
              <w:rPr>
                <w:sz w:val="19"/>
                <w:szCs w:val="19"/>
                <w:color w:val="auto"/>
              </w:rPr>
            </w:pPr>
          </w:p>
        </w:tc>
        <w:tc>
          <w:tcPr>
            <w:tcW w:w="260" w:type="dxa"/>
            <w:vAlign w:val="bottom"/>
            <w:tcBorders>
              <w:top w:val="single" w:sz="8" w:color="auto"/>
              <w:bottom w:val="single" w:sz="8" w:color="auto"/>
            </w:tcBorders>
          </w:tcPr>
          <w:p>
            <w:pPr>
              <w:spacing w:after="0"/>
              <w:rPr>
                <w:sz w:val="19"/>
                <w:szCs w:val="19"/>
                <w:color w:val="auto"/>
              </w:rPr>
            </w:pPr>
          </w:p>
        </w:tc>
        <w:tc>
          <w:tcPr>
            <w:tcW w:w="980" w:type="dxa"/>
            <w:vAlign w:val="bottom"/>
            <w:tcBorders>
              <w:top w:val="single" w:sz="8" w:color="auto"/>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100" w:type="dxa"/>
            <w:vAlign w:val="bottom"/>
            <w:tcBorders>
              <w:bottom w:val="single" w:sz="8" w:color="CCEEFF"/>
            </w:tcBorders>
          </w:tcPr>
          <w:p>
            <w:pPr>
              <w:spacing w:after="0"/>
              <w:rPr>
                <w:sz w:val="19"/>
                <w:szCs w:val="19"/>
                <w:color w:val="auto"/>
              </w:rPr>
            </w:pP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activities</w:t>
            </w:r>
          </w:p>
        </w:tc>
        <w:tc>
          <w:tcPr>
            <w:tcW w:w="1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Net income (loss)</w:t>
            </w:r>
          </w:p>
        </w:tc>
        <w:tc>
          <w:tcPr>
            <w:tcW w:w="1600" w:type="dxa"/>
            <w:vAlign w:val="bottom"/>
            <w:gridSpan w:val="2"/>
          </w:tcPr>
          <w:p>
            <w:pPr>
              <w:jc w:val="right"/>
              <w:ind w:right="28"/>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(18.9)</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(38.0)</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28.1</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26.2</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Amortization and write-off of deferred financing fees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1.5</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1.3</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Net losses (gains) on dispositions of property and equipment</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0.3</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(0.2)</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Provision for expected credit losses and doubtful accounts, respectively</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8.7</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9.0</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Deferred income tax provision (benefit)</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2.4</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10.1</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9.0</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 non-cash items, net</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3.5</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10.2</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Changes in operating assets and liabilities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Accounts receivable and related party receivable</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134.7</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165.3</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Inventories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37.9</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53.6</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 current assets</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15.9</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23.7</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Accounts payable and related party payable</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0.2</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(59.8)</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Accrued payroll and benefits</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(14.8)</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(14.6)</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Other accrued liabilities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10.1</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(6.0)</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4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6.8</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12.1</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operating activities</w:t>
            </w:r>
          </w:p>
        </w:tc>
        <w:tc>
          <w:tcPr>
            <w:tcW w:w="1420" w:type="dxa"/>
            <w:vAlign w:val="bottom"/>
            <w:tcBorders>
              <w:bottom w:val="single" w:sz="8" w:color="CCEEFF"/>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226.5</w:t>
            </w:r>
          </w:p>
        </w:tc>
        <w:tc>
          <w:tcPr>
            <w:tcW w:w="200" w:type="dxa"/>
            <w:vAlign w:val="bottom"/>
            <w:tcBorders>
              <w:bottom w:val="single" w:sz="8" w:color="CCEEFF"/>
            </w:tcBorders>
          </w:tcPr>
          <w:p>
            <w:pPr>
              <w:spacing w:after="0"/>
              <w:rPr>
                <w:sz w:val="17"/>
                <w:szCs w:val="17"/>
                <w:color w:val="auto"/>
              </w:rPr>
            </w:pP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182.2</w:t>
            </w:r>
          </w:p>
        </w:tc>
        <w:tc>
          <w:tcPr>
            <w:tcW w:w="100" w:type="dxa"/>
            <w:vAlign w:val="bottom"/>
            <w:tcBorders>
              <w:bottom w:val="single" w:sz="8" w:color="CCEEFF"/>
            </w:tcBorders>
          </w:tcPr>
          <w:p>
            <w:pPr>
              <w:spacing w:after="0"/>
              <w:rPr>
                <w:sz w:val="17"/>
                <w:szCs w:val="17"/>
                <w:color w:val="auto"/>
              </w:rPr>
            </w:pP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Investing activities</w:t>
            </w:r>
          </w:p>
        </w:tc>
        <w:tc>
          <w:tcPr>
            <w:tcW w:w="1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Property and equipment additions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(14.7)</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(14.9)</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Proceeds from asset sales</w:t>
            </w:r>
          </w:p>
        </w:tc>
        <w:tc>
          <w:tcPr>
            <w:tcW w:w="14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0.7</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0.3</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investing activities</w:t>
            </w:r>
          </w:p>
        </w:tc>
        <w:tc>
          <w:tcPr>
            <w:tcW w:w="1420" w:type="dxa"/>
            <w:vAlign w:val="bottom"/>
            <w:tcBorders>
              <w:bottom w:val="single" w:sz="8" w:color="CCEEFF"/>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(14.0</w:t>
            </w:r>
          </w:p>
        </w:tc>
        <w:tc>
          <w:tcPr>
            <w:tcW w:w="200" w:type="dxa"/>
            <w:vAlign w:val="bottom"/>
            <w:tcBorders>
              <w:bottom w:val="single" w:sz="8" w:color="CCEEFF"/>
            </w:tcBorders>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(14.6</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Financing activities</w:t>
            </w:r>
          </w:p>
        </w:tc>
        <w:tc>
          <w:tcPr>
            <w:tcW w:w="14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Change in book overdrafts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(31.5)</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15.2</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Borrowings of long-term debt</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2,774.2</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3,416.1</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Repayments of long-term debt</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(2,865.7)</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(3,592.5)</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Payments under right-of-use finance leases</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(6.2)</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(4.2)</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Deferred financing fees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(3.4)</w:t>
            </w:r>
          </w:p>
        </w:tc>
        <w:tc>
          <w:tcPr>
            <w:tcW w:w="260" w:type="dxa"/>
            <w:vAlign w:val="bottom"/>
          </w:tcPr>
          <w:p>
            <w:pPr>
              <w:spacing w:after="0"/>
              <w:rPr>
                <w:sz w:val="18"/>
                <w:szCs w:val="18"/>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Purchase of treasury stock</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(3.5)</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w:t>
            </w: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Payments under Tax Receivable Agreement</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60" w:type="dxa"/>
            <w:vAlign w:val="bottom"/>
            <w:gridSpan w:val="2"/>
          </w:tcPr>
          <w:p>
            <w:pPr>
              <w:jc w:val="right"/>
              <w:ind w:right="62"/>
              <w:spacing w:after="0"/>
              <w:rPr>
                <w:sz w:val="20"/>
                <w:szCs w:val="20"/>
                <w:color w:val="auto"/>
              </w:rPr>
            </w:pPr>
            <w:r>
              <w:rPr>
                <w:rFonts w:ascii="Arial" w:cs="Arial" w:eastAsia="Arial" w:hAnsi="Arial"/>
                <w:sz w:val="18"/>
                <w:szCs w:val="18"/>
                <w:color w:val="auto"/>
              </w:rPr>
              <w:t>(0.3)</w:t>
            </w:r>
          </w:p>
        </w:tc>
        <w:tc>
          <w:tcPr>
            <w:tcW w:w="260" w:type="dxa"/>
            <w:vAlign w:val="bottom"/>
          </w:tcPr>
          <w:p>
            <w:pPr>
              <w:spacing w:after="0"/>
              <w:rPr>
                <w:sz w:val="18"/>
                <w:szCs w:val="18"/>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(7.8)</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4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62"/>
              <w:spacing w:after="0"/>
              <w:rPr>
                <w:sz w:val="20"/>
                <w:szCs w:val="20"/>
                <w:color w:val="auto"/>
              </w:rPr>
            </w:pPr>
            <w:r>
              <w:rPr>
                <w:rFonts w:ascii="Arial" w:cs="Arial" w:eastAsia="Arial" w:hAnsi="Arial"/>
                <w:sz w:val="18"/>
                <w:szCs w:val="18"/>
                <w:color w:val="auto"/>
              </w:rPr>
              <w:t>(1.1)</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(2.8)</w:t>
            </w:r>
          </w:p>
        </w:tc>
      </w:tr>
      <w:tr>
        <w:trPr>
          <w:trHeight w:val="207"/>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(used for) financing activities</w:t>
            </w:r>
          </w:p>
        </w:tc>
        <w:tc>
          <w:tcPr>
            <w:tcW w:w="1420" w:type="dxa"/>
            <w:vAlign w:val="bottom"/>
            <w:tcBorders>
              <w:bottom w:val="single" w:sz="8" w:color="CCEEFF"/>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(137.5</w:t>
            </w:r>
          </w:p>
        </w:tc>
        <w:tc>
          <w:tcPr>
            <w:tcW w:w="200" w:type="dxa"/>
            <w:vAlign w:val="bottom"/>
            <w:tcBorders>
              <w:bottom w:val="single" w:sz="8" w:color="CCEEFF"/>
            </w:tcBorders>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auto"/>
              <w:bottom w:val="single" w:sz="8" w:color="auto"/>
            </w:tcBorders>
          </w:tcPr>
          <w:p>
            <w:pPr>
              <w:spacing w:after="0"/>
              <w:rPr>
                <w:sz w:val="17"/>
                <w:szCs w:val="17"/>
                <w:color w:val="auto"/>
              </w:rPr>
            </w:pP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(176.0</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6"/>
                <w:szCs w:val="16"/>
                <w:color w:val="auto"/>
                <w:w w:val="74"/>
              </w:rPr>
              <w:t>)</w:t>
            </w:r>
          </w:p>
        </w:tc>
      </w:tr>
      <w:tr>
        <w:trPr>
          <w:trHeight w:val="20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Effect of exchange rate changes on cash</w:t>
            </w:r>
          </w:p>
        </w:tc>
        <w:tc>
          <w:tcPr>
            <w:tcW w:w="1420" w:type="dxa"/>
            <w:vAlign w:val="bottom"/>
            <w:shd w:val="clear" w:color="auto" w:fill="CCEEFF"/>
          </w:tcPr>
          <w:p>
            <w:pPr>
              <w:spacing w:after="0"/>
              <w:rPr>
                <w:sz w:val="17"/>
                <w:szCs w:val="17"/>
                <w:color w:val="auto"/>
              </w:rPr>
            </w:pPr>
          </w:p>
        </w:tc>
        <w:tc>
          <w:tcPr>
            <w:tcW w:w="180" w:type="dxa"/>
            <w:vAlign w:val="bottom"/>
            <w:tcBorders>
              <w:bottom w:val="single" w:sz="8" w:color="auto"/>
            </w:tcBorders>
            <w:shd w:val="clear" w:color="auto" w:fill="CCEEFF"/>
          </w:tcPr>
          <w:p>
            <w:pPr>
              <w:spacing w:after="0"/>
              <w:rPr>
                <w:sz w:val="17"/>
                <w:szCs w:val="17"/>
                <w:color w:val="auto"/>
              </w:rPr>
            </w:pPr>
          </w:p>
        </w:tc>
        <w:tc>
          <w:tcPr>
            <w:tcW w:w="10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(0.6</w:t>
            </w:r>
          </w:p>
        </w:tc>
        <w:tc>
          <w:tcPr>
            <w:tcW w:w="200" w:type="dxa"/>
            <w:vAlign w:val="bottom"/>
            <w:shd w:val="clear" w:color="auto" w:fill="CCEEFF"/>
          </w:tcPr>
          <w:p>
            <w:pPr>
              <w:jc w:val="right"/>
              <w:ind w:right="62"/>
              <w:spacing w:after="0"/>
              <w:rPr>
                <w:sz w:val="20"/>
                <w:szCs w:val="20"/>
                <w:color w:val="auto"/>
              </w:rPr>
            </w:pPr>
            <w:r>
              <w:rPr>
                <w:rFonts w:ascii="Arial" w:cs="Arial" w:eastAsia="Arial" w:hAnsi="Arial"/>
                <w:sz w:val="16"/>
                <w:szCs w:val="16"/>
                <w:color w:val="auto"/>
                <w:w w:val="74"/>
              </w:rPr>
              <w:t>)</w:t>
            </w:r>
          </w:p>
        </w:tc>
        <w:tc>
          <w:tcPr>
            <w:tcW w:w="260" w:type="dxa"/>
            <w:vAlign w:val="bottom"/>
            <w:tcBorders>
              <w:bottom w:val="single" w:sz="8" w:color="auto"/>
            </w:tcBorders>
            <w:shd w:val="clear" w:color="auto" w:fill="CCEEFF"/>
          </w:tcPr>
          <w:p>
            <w:pPr>
              <w:spacing w:after="0"/>
              <w:rPr>
                <w:sz w:val="17"/>
                <w:szCs w:val="17"/>
                <w:color w:val="auto"/>
              </w:rPr>
            </w:pPr>
          </w:p>
        </w:tc>
        <w:tc>
          <w:tcPr>
            <w:tcW w:w="9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0.2</w:t>
            </w:r>
          </w:p>
        </w:tc>
        <w:tc>
          <w:tcPr>
            <w:tcW w:w="100" w:type="dxa"/>
            <w:vAlign w:val="bottom"/>
            <w:shd w:val="clear" w:color="auto" w:fill="CCEEFF"/>
          </w:tcPr>
          <w:p>
            <w:pPr>
              <w:spacing w:after="0"/>
              <w:rPr>
                <w:sz w:val="17"/>
                <w:szCs w:val="17"/>
                <w:color w:val="auto"/>
              </w:rPr>
            </w:pPr>
          </w:p>
        </w:tc>
      </w:tr>
      <w:tr>
        <w:trPr>
          <w:trHeight w:val="207"/>
        </w:trPr>
        <w:tc>
          <w:tcPr>
            <w:tcW w:w="7040" w:type="dxa"/>
            <w:vAlign w:val="bottom"/>
          </w:tcPr>
          <w:p>
            <w:pPr>
              <w:spacing w:after="0"/>
              <w:rPr>
                <w:sz w:val="20"/>
                <w:szCs w:val="20"/>
                <w:color w:val="auto"/>
              </w:rPr>
            </w:pPr>
            <w:r>
              <w:rPr>
                <w:rFonts w:ascii="Arial" w:cs="Arial" w:eastAsia="Arial" w:hAnsi="Arial"/>
                <w:sz w:val="18"/>
                <w:szCs w:val="18"/>
                <w:color w:val="auto"/>
              </w:rPr>
              <w:t>Net change in cash and cash equivalents</w:t>
            </w:r>
          </w:p>
        </w:tc>
        <w:tc>
          <w:tcPr>
            <w:tcW w:w="14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60" w:type="dxa"/>
            <w:vAlign w:val="bottom"/>
          </w:tcPr>
          <w:p>
            <w:pPr>
              <w:jc w:val="right"/>
              <w:spacing w:after="0"/>
              <w:rPr>
                <w:sz w:val="20"/>
                <w:szCs w:val="20"/>
                <w:color w:val="auto"/>
              </w:rPr>
            </w:pPr>
            <w:r>
              <w:rPr>
                <w:rFonts w:ascii="Arial" w:cs="Arial" w:eastAsia="Arial" w:hAnsi="Arial"/>
                <w:sz w:val="18"/>
                <w:szCs w:val="18"/>
                <w:color w:val="auto"/>
              </w:rPr>
              <w:t>74.4</w:t>
            </w:r>
          </w:p>
        </w:tc>
        <w:tc>
          <w:tcPr>
            <w:tcW w:w="2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80" w:type="dxa"/>
            <w:vAlign w:val="bottom"/>
            <w:gridSpan w:val="2"/>
          </w:tcPr>
          <w:p>
            <w:pPr>
              <w:jc w:val="right"/>
              <w:spacing w:after="0"/>
              <w:rPr>
                <w:sz w:val="20"/>
                <w:szCs w:val="20"/>
                <w:color w:val="auto"/>
              </w:rPr>
            </w:pPr>
            <w:r>
              <w:rPr>
                <w:rFonts w:ascii="Arial" w:cs="Arial" w:eastAsia="Arial" w:hAnsi="Arial"/>
                <w:sz w:val="18"/>
                <w:szCs w:val="18"/>
                <w:color w:val="auto"/>
              </w:rPr>
              <w:t>(8.2)</w:t>
            </w:r>
          </w:p>
        </w:tc>
      </w:tr>
      <w:tr>
        <w:trPr>
          <w:trHeight w:val="227"/>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beginning of period</w:t>
            </w:r>
          </w:p>
        </w:tc>
        <w:tc>
          <w:tcPr>
            <w:tcW w:w="14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38.0</w:t>
            </w:r>
          </w:p>
        </w:tc>
        <w:tc>
          <w:tcPr>
            <w:tcW w:w="26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64.3</w:t>
            </w:r>
          </w:p>
        </w:tc>
      </w:tr>
      <w:tr>
        <w:trPr>
          <w:trHeight w:val="260"/>
        </w:trPr>
        <w:tc>
          <w:tcPr>
            <w:tcW w:w="704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Cash and cash equivalents at end of period</w:t>
            </w:r>
          </w:p>
        </w:tc>
        <w:tc>
          <w:tcPr>
            <w:tcW w:w="1420" w:type="dxa"/>
            <w:vAlign w:val="bottom"/>
            <w:tcBorders>
              <w:bottom w:val="single" w:sz="8" w:color="CCEEFF"/>
            </w:tcBorders>
          </w:tcPr>
          <w:p>
            <w:pPr>
              <w:spacing w:after="0"/>
              <w:rPr>
                <w:sz w:val="22"/>
                <w:szCs w:val="22"/>
                <w:color w:val="auto"/>
              </w:rPr>
            </w:pPr>
          </w:p>
        </w:tc>
        <w:tc>
          <w:tcPr>
            <w:tcW w:w="180" w:type="dxa"/>
            <w:vAlign w:val="bottom"/>
            <w:tcBorders>
              <w:top w:val="single" w:sz="8" w:color="auto"/>
              <w:bottom w:val="single" w:sz="8" w:color="auto"/>
            </w:tcBorders>
          </w:tcPr>
          <w:p>
            <w:pPr>
              <w:jc w:val="right"/>
              <w:ind w:right="28"/>
              <w:spacing w:after="0"/>
              <w:rPr>
                <w:sz w:val="20"/>
                <w:szCs w:val="20"/>
                <w:color w:val="auto"/>
              </w:rPr>
            </w:pPr>
            <w:r>
              <w:rPr>
                <w:rFonts w:ascii="Arial" w:cs="Arial" w:eastAsia="Arial" w:hAnsi="Arial"/>
                <w:sz w:val="14"/>
                <w:szCs w:val="14"/>
                <w:color w:val="auto"/>
                <w:w w:val="76"/>
              </w:rPr>
              <w:t>$</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112.4</w:t>
            </w:r>
          </w:p>
        </w:tc>
        <w:tc>
          <w:tcPr>
            <w:tcW w:w="200" w:type="dxa"/>
            <w:vAlign w:val="bottom"/>
            <w:tcBorders>
              <w:bottom w:val="single" w:sz="8" w:color="CCEEFF"/>
            </w:tcBorders>
          </w:tcPr>
          <w:p>
            <w:pPr>
              <w:spacing w:after="0"/>
              <w:rPr>
                <w:sz w:val="22"/>
                <w:szCs w:val="22"/>
                <w:color w:val="auto"/>
              </w:rPr>
            </w:pPr>
          </w:p>
        </w:tc>
        <w:tc>
          <w:tcPr>
            <w:tcW w:w="260" w:type="dxa"/>
            <w:vAlign w:val="bottom"/>
            <w:tcBorders>
              <w:top w:val="single" w:sz="8" w:color="auto"/>
              <w:bottom w:val="single" w:sz="8" w:color="auto"/>
            </w:tcBorders>
          </w:tcPr>
          <w:p>
            <w:pPr>
              <w:jc w:val="right"/>
              <w:ind w:right="71"/>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56.1</w:t>
            </w:r>
          </w:p>
        </w:tc>
        <w:tc>
          <w:tcPr>
            <w:tcW w:w="100" w:type="dxa"/>
            <w:vAlign w:val="bottom"/>
            <w:tcBorders>
              <w:bottom w:val="single" w:sz="8" w:color="CCEEFF"/>
            </w:tcBorders>
          </w:tcPr>
          <w:p>
            <w:pPr>
              <w:spacing w:after="0"/>
              <w:rPr>
                <w:sz w:val="22"/>
                <w:szCs w:val="22"/>
                <w:color w:val="auto"/>
              </w:rPr>
            </w:pPr>
          </w:p>
        </w:tc>
      </w:tr>
      <w:tr>
        <w:trPr>
          <w:trHeight w:val="194"/>
        </w:trPr>
        <w:tc>
          <w:tcPr>
            <w:tcW w:w="7040" w:type="dxa"/>
            <w:vAlign w:val="bottom"/>
            <w:shd w:val="clear" w:color="auto" w:fill="CCEEFF"/>
          </w:tcPr>
          <w:p>
            <w:pPr>
              <w:spacing w:after="0" w:line="192" w:lineRule="exact"/>
              <w:rPr>
                <w:sz w:val="20"/>
                <w:szCs w:val="20"/>
                <w:color w:val="auto"/>
              </w:rPr>
            </w:pPr>
            <w:r>
              <w:rPr>
                <w:rFonts w:ascii="Arial" w:cs="Arial" w:eastAsia="Arial" w:hAnsi="Arial"/>
                <w:sz w:val="18"/>
                <w:szCs w:val="18"/>
                <w:b w:val="1"/>
                <w:bCs w:val="1"/>
                <w:color w:val="auto"/>
              </w:rPr>
              <w:t>Supplemental cash flow information</w:t>
            </w:r>
          </w:p>
        </w:tc>
        <w:tc>
          <w:tcPr>
            <w:tcW w:w="14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9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213"/>
        </w:trPr>
        <w:tc>
          <w:tcPr>
            <w:tcW w:w="7040" w:type="dxa"/>
            <w:vAlign w:val="bottom"/>
          </w:tcPr>
          <w:p>
            <w:pPr>
              <w:spacing w:after="0"/>
              <w:rPr>
                <w:sz w:val="20"/>
                <w:szCs w:val="20"/>
                <w:color w:val="auto"/>
              </w:rPr>
            </w:pPr>
            <w:r>
              <w:rPr>
                <w:rFonts w:ascii="Arial" w:cs="Arial" w:eastAsia="Arial" w:hAnsi="Arial"/>
                <w:sz w:val="18"/>
                <w:szCs w:val="18"/>
                <w:color w:val="auto"/>
              </w:rPr>
              <w:t>Cash paid for income taxes, net of refunds</w:t>
            </w:r>
          </w:p>
        </w:tc>
        <w:tc>
          <w:tcPr>
            <w:tcW w:w="1600" w:type="dxa"/>
            <w:vAlign w:val="bottom"/>
            <w:gridSpan w:val="2"/>
          </w:tcPr>
          <w:p>
            <w:pPr>
              <w:jc w:val="right"/>
              <w:ind w:right="28"/>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1.2</w:t>
            </w:r>
          </w:p>
        </w:tc>
        <w:tc>
          <w:tcPr>
            <w:tcW w:w="260" w:type="dxa"/>
            <w:vAlign w:val="bottom"/>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2.1</w:t>
            </w: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Cash paid for interest</w:t>
            </w:r>
          </w:p>
        </w:tc>
        <w:tc>
          <w:tcPr>
            <w:tcW w:w="14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12.2</w:t>
            </w:r>
          </w:p>
        </w:tc>
        <w:tc>
          <w:tcPr>
            <w:tcW w:w="2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19.9</w:t>
            </w:r>
          </w:p>
        </w:tc>
      </w:tr>
      <w:tr>
        <w:trPr>
          <w:trHeight w:val="213"/>
        </w:trPr>
        <w:tc>
          <w:tcPr>
            <w:tcW w:w="7040" w:type="dxa"/>
            <w:vAlign w:val="bottom"/>
          </w:tcPr>
          <w:p>
            <w:pPr>
              <w:spacing w:after="0"/>
              <w:rPr>
                <w:sz w:val="20"/>
                <w:szCs w:val="20"/>
                <w:color w:val="auto"/>
              </w:rPr>
            </w:pPr>
            <w:r>
              <w:rPr>
                <w:rFonts w:ascii="Arial" w:cs="Arial" w:eastAsia="Arial" w:hAnsi="Arial"/>
                <w:sz w:val="18"/>
                <w:szCs w:val="18"/>
                <w:b w:val="1"/>
                <w:bCs w:val="1"/>
                <w:color w:val="auto"/>
              </w:rPr>
              <w:t>Non-cash investing and financing activities</w:t>
            </w:r>
          </w:p>
        </w:tc>
        <w:tc>
          <w:tcPr>
            <w:tcW w:w="14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3"/>
        </w:trPr>
        <w:tc>
          <w:tcPr>
            <w:tcW w:w="7040" w:type="dxa"/>
            <w:vAlign w:val="bottom"/>
            <w:shd w:val="clear" w:color="auto" w:fill="CCEEFF"/>
          </w:tcPr>
          <w:p>
            <w:pPr>
              <w:spacing w:after="0"/>
              <w:rPr>
                <w:sz w:val="20"/>
                <w:szCs w:val="20"/>
                <w:color w:val="auto"/>
              </w:rPr>
            </w:pPr>
            <w:r>
              <w:rPr>
                <w:rFonts w:ascii="Arial" w:cs="Arial" w:eastAsia="Arial" w:hAnsi="Arial"/>
                <w:sz w:val="18"/>
                <w:szCs w:val="18"/>
                <w:color w:val="auto"/>
              </w:rPr>
              <w:t>Non-cash additions to property and equipment for right-of-use finance leases</w:t>
            </w:r>
          </w:p>
        </w:tc>
        <w:tc>
          <w:tcPr>
            <w:tcW w:w="1600" w:type="dxa"/>
            <w:vAlign w:val="bottom"/>
            <w:gridSpan w:val="2"/>
            <w:shd w:val="clear" w:color="auto" w:fill="CCEEFF"/>
          </w:tcPr>
          <w:p>
            <w:pPr>
              <w:jc w:val="right"/>
              <w:ind w:right="28"/>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122"/>
              <w:spacing w:after="0"/>
              <w:rPr>
                <w:sz w:val="20"/>
                <w:szCs w:val="20"/>
                <w:color w:val="auto"/>
              </w:rPr>
            </w:pPr>
            <w:r>
              <w:rPr>
                <w:rFonts w:ascii="Arial" w:cs="Arial" w:eastAsia="Arial" w:hAnsi="Arial"/>
                <w:sz w:val="18"/>
                <w:szCs w:val="18"/>
                <w:color w:val="auto"/>
              </w:rPr>
              <w:t>12.6</w:t>
            </w:r>
          </w:p>
        </w:tc>
        <w:tc>
          <w:tcPr>
            <w:tcW w:w="260" w:type="dxa"/>
            <w:vAlign w:val="bottom"/>
            <w:shd w:val="clear" w:color="auto" w:fill="CCEEFF"/>
          </w:tcPr>
          <w:p>
            <w:pPr>
              <w:jc w:val="right"/>
              <w:ind w:right="71"/>
              <w:spacing w:after="0"/>
              <w:rPr>
                <w:sz w:val="20"/>
                <w:szCs w:val="20"/>
                <w:color w:val="auto"/>
              </w:rPr>
            </w:pPr>
            <w:r>
              <w:rPr>
                <w:rFonts w:ascii="Arial" w:cs="Arial" w:eastAsia="Arial" w:hAnsi="Arial"/>
                <w:sz w:val="18"/>
                <w:szCs w:val="18"/>
                <w:color w:val="auto"/>
                <w:w w:val="79"/>
              </w:rPr>
              <w:t>$</w:t>
            </w:r>
          </w:p>
        </w:tc>
        <w:tc>
          <w:tcPr>
            <w:tcW w:w="10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3.4</w:t>
            </w:r>
          </w:p>
        </w:tc>
      </w:tr>
      <w:tr>
        <w:trPr>
          <w:trHeight w:val="226"/>
        </w:trPr>
        <w:tc>
          <w:tcPr>
            <w:tcW w:w="7040" w:type="dxa"/>
            <w:vAlign w:val="bottom"/>
          </w:tcPr>
          <w:p>
            <w:pPr>
              <w:spacing w:after="0"/>
              <w:rPr>
                <w:sz w:val="20"/>
                <w:szCs w:val="20"/>
                <w:color w:val="auto"/>
              </w:rPr>
            </w:pPr>
            <w:r>
              <w:rPr>
                <w:rFonts w:ascii="Arial" w:cs="Arial" w:eastAsia="Arial" w:hAnsi="Arial"/>
                <w:sz w:val="18"/>
                <w:szCs w:val="18"/>
                <w:color w:val="auto"/>
              </w:rPr>
              <w:t>Non-cash additions to other non-current assets for right-of-use operating leases</w:t>
            </w:r>
          </w:p>
        </w:tc>
        <w:tc>
          <w:tcPr>
            <w:tcW w:w="14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60" w:type="dxa"/>
            <w:vAlign w:val="bottom"/>
            <w:gridSpan w:val="2"/>
          </w:tcPr>
          <w:p>
            <w:pPr>
              <w:jc w:val="right"/>
              <w:ind w:right="122"/>
              <w:spacing w:after="0"/>
              <w:rPr>
                <w:sz w:val="20"/>
                <w:szCs w:val="20"/>
                <w:color w:val="auto"/>
              </w:rPr>
            </w:pPr>
            <w:r>
              <w:rPr>
                <w:rFonts w:ascii="Arial" w:cs="Arial" w:eastAsia="Arial" w:hAnsi="Arial"/>
                <w:sz w:val="18"/>
                <w:szCs w:val="18"/>
                <w:color w:val="auto"/>
              </w:rPr>
              <w:t>11.3</w:t>
            </w:r>
          </w:p>
        </w:tc>
        <w:tc>
          <w:tcPr>
            <w:tcW w:w="260" w:type="dxa"/>
            <w:vAlign w:val="bottom"/>
          </w:tcPr>
          <w:p>
            <w:pPr>
              <w:spacing w:after="0"/>
              <w:rPr>
                <w:sz w:val="19"/>
                <w:szCs w:val="19"/>
                <w:color w:val="auto"/>
              </w:rPr>
            </w:pPr>
          </w:p>
        </w:tc>
        <w:tc>
          <w:tcPr>
            <w:tcW w:w="1080" w:type="dxa"/>
            <w:vAlign w:val="bottom"/>
            <w:gridSpan w:val="2"/>
          </w:tcPr>
          <w:p>
            <w:pPr>
              <w:jc w:val="right"/>
              <w:ind w:right="22"/>
              <w:spacing w:after="0"/>
              <w:rPr>
                <w:sz w:val="20"/>
                <w:szCs w:val="20"/>
                <w:color w:val="auto"/>
              </w:rPr>
            </w:pPr>
            <w:r>
              <w:rPr>
                <w:rFonts w:ascii="Arial" w:cs="Arial" w:eastAsia="Arial" w:hAnsi="Arial"/>
                <w:sz w:val="18"/>
                <w:szCs w:val="18"/>
                <w:color w:val="auto"/>
              </w:rPr>
              <w:t>62.1</w:t>
            </w:r>
          </w:p>
        </w:tc>
      </w:tr>
      <w:tr>
        <w:trPr>
          <w:trHeight w:val="627"/>
        </w:trPr>
        <w:tc>
          <w:tcPr>
            <w:tcW w:w="704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1108" w:right="339" w:bottom="1440" w:gutter="0" w:footer="0" w:header="0"/>
        </w:sectPr>
      </w:pPr>
    </w:p>
    <w:bookmarkStart w:id="11" w:name="page12"/>
    <w:bookmarkEnd w:id="11"/>
    <w:p>
      <w:pPr>
        <w:spacing w:after="0"/>
        <w:rPr>
          <w:sz w:val="20"/>
          <w:szCs w:val="20"/>
          <w:color w:val="auto"/>
        </w:rPr>
      </w:pPr>
      <w:r>
        <w:rPr>
          <w:rFonts w:ascii="Arial" w:cs="Arial" w:eastAsia="Arial" w:hAnsi="Arial"/>
          <w:sz w:val="18"/>
          <w:szCs w:val="18"/>
          <w:b w:val="1"/>
          <w:bCs w:val="1"/>
          <w:color w:val="auto"/>
        </w:rPr>
        <w:t>Non-GAAP Measures</w:t>
      </w:r>
    </w:p>
    <w:p>
      <w:pPr>
        <w:spacing w:after="0" w:line="224" w:lineRule="exact"/>
        <w:rPr>
          <w:sz w:val="20"/>
          <w:szCs w:val="20"/>
          <w:color w:val="auto"/>
        </w:rPr>
      </w:pPr>
    </w:p>
    <w:p>
      <w:pPr>
        <w:spacing w:after="0" w:line="266" w:lineRule="auto"/>
        <w:rPr>
          <w:sz w:val="20"/>
          <w:szCs w:val="20"/>
          <w:color w:val="auto"/>
        </w:rPr>
      </w:pPr>
      <w:r>
        <w:rPr>
          <w:rFonts w:ascii="Arial" w:cs="Arial" w:eastAsia="Arial" w:hAnsi="Arial"/>
          <w:sz w:val="17"/>
          <w:szCs w:val="17"/>
          <w:color w:val="auto"/>
        </w:rPr>
        <w:t>We supplement our financial information prepared in accordance with U.S. GAAP with certain non-GAAP measures including Adjusted EBITDA (earnings before interest, income taxes, depreciation and amortization, restructuring charges, net, integration and acquisition expenses and other similar charges including any severance costs, costs associated with warehouse and office openings or closings, consolidation, and relocation and other business optimization expenses, stock-based compensation expense, changes in the LIFO reserve, non-restructuring asset impairment charges, non-restructuring severance charges, non-restructuring pension charges, net, fair value adjustments related to contingent liabilities assumed in mergers and acquisitions and certain other adjustments) because we believe investors commonly use Adjusted EBITDA and these other non-GAAP measures as key financial metrics for valuing companies. In addition, the credit agreement governing our ABL Facility permits us to exclude the foregoing and other charges in calculating "Consolidated EBITDA", as defined in the ABL Facility. We approximate foreign currency effects by applying the foreign currency exchange rate for the prior period to the local currency results for the current period.</w:t>
      </w:r>
    </w:p>
    <w:p>
      <w:pPr>
        <w:spacing w:after="0" w:line="185" w:lineRule="exact"/>
        <w:rPr>
          <w:sz w:val="20"/>
          <w:szCs w:val="20"/>
          <w:color w:val="auto"/>
        </w:rPr>
      </w:pPr>
    </w:p>
    <w:p>
      <w:pPr>
        <w:ind w:right="60"/>
        <w:spacing w:after="0" w:line="268" w:lineRule="auto"/>
        <w:rPr>
          <w:sz w:val="20"/>
          <w:szCs w:val="20"/>
          <w:color w:val="auto"/>
        </w:rPr>
      </w:pPr>
      <w:r>
        <w:rPr>
          <w:rFonts w:ascii="Arial" w:cs="Arial" w:eastAsia="Arial" w:hAnsi="Arial"/>
          <w:sz w:val="17"/>
          <w:szCs w:val="17"/>
          <w:color w:val="auto"/>
        </w:rPr>
        <w:t>Adjusted EBITDA and these other non-GAAP measures are not alternative measures of financial performance under U.S. GAAP. Non-GAAP measures do not have definitions under U.S. GAAP and may be defined differently by, and not be comparable to, similarly titled measures used by other companies. As a result, we consider and evaluate non-GAAP measures in connection with a review of the most directly comparable measure calculated in accordance with U.S. GAAP. We caution investors not to place undue reliance on such non-GAAP measures and to consider them with the most directly comparable U.S. GAAP measures. Adjusted EBITDA and these other non-GAAP measures have limitations as analytical tools and should not be considered in isolation or as a substitute for analyzing our results as reported under U.S. GAAP. Please see the following tables for reconciliations of non-GAAP measures to the most comparable U.S. GAAP measures.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394335</wp:posOffset>
            </wp:positionV>
            <wp:extent cx="7134225"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1220"/>
          </w:cols>
          <w:pgMar w:left="320" w:top="895" w:right="359" w:bottom="1440" w:gutter="0" w:footer="0" w:header="0"/>
        </w:sectPr>
      </w:pPr>
    </w:p>
    <w:bookmarkStart w:id="12" w:name="page13"/>
    <w:bookmarkEnd w:id="12"/>
    <w:p>
      <w:pPr>
        <w:jc w:val="center"/>
        <w:spacing w:after="0"/>
        <w:rPr>
          <w:sz w:val="20"/>
          <w:szCs w:val="20"/>
          <w:color w:val="auto"/>
        </w:rPr>
      </w:pPr>
      <w:r>
        <w:rPr>
          <w:rFonts w:ascii="Arial" w:cs="Arial" w:eastAsia="Arial" w:hAnsi="Arial"/>
          <w:sz w:val="18"/>
          <w:szCs w:val="18"/>
          <w:b w:val="1"/>
          <w:bCs w:val="1"/>
          <w:color w:val="auto"/>
        </w:rPr>
        <w:t>Table 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NET INCOME (LOSS) TO ADJUSTED EBITDA; ADJUSTED EBITDA MARGIN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54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40" w:type="dxa"/>
            <w:vAlign w:val="bottom"/>
            <w:gridSpan w:val="6"/>
          </w:tcPr>
          <w:p>
            <w:pPr>
              <w:jc w:val="right"/>
              <w:ind w:right="740"/>
              <w:spacing w:after="0"/>
              <w:rPr>
                <w:sz w:val="20"/>
                <w:szCs w:val="20"/>
                <w:color w:val="auto"/>
              </w:rPr>
            </w:pPr>
            <w:r>
              <w:rPr>
                <w:rFonts w:ascii="Arial" w:cs="Arial" w:eastAsia="Arial" w:hAnsi="Arial"/>
                <w:sz w:val="18"/>
                <w:szCs w:val="18"/>
                <w:b w:val="1"/>
                <w:bCs w:val="1"/>
                <w:color w:val="auto"/>
              </w:rPr>
              <w:t>Three Months Ended</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620" w:type="dxa"/>
            <w:vAlign w:val="bottom"/>
            <w:gridSpan w:val="6"/>
          </w:tcPr>
          <w:p>
            <w:pPr>
              <w:jc w:val="right"/>
              <w:ind w:right="820"/>
              <w:spacing w:after="0"/>
              <w:rPr>
                <w:sz w:val="20"/>
                <w:szCs w:val="20"/>
                <w:color w:val="auto"/>
              </w:rPr>
            </w:pPr>
            <w:r>
              <w:rPr>
                <w:rFonts w:ascii="Arial" w:cs="Arial" w:eastAsia="Arial" w:hAnsi="Arial"/>
                <w:sz w:val="18"/>
                <w:szCs w:val="18"/>
                <w:b w:val="1"/>
                <w:bCs w:val="1"/>
                <w:color w:val="auto"/>
              </w:rPr>
              <w:t>Six Months Ended</w:t>
            </w:r>
          </w:p>
        </w:tc>
      </w:tr>
      <w:tr>
        <w:trPr>
          <w:trHeight w:val="231"/>
        </w:trPr>
        <w:tc>
          <w:tcPr>
            <w:tcW w:w="540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520" w:type="dxa"/>
            <w:vAlign w:val="bottom"/>
            <w:tcBorders>
              <w:bottom w:val="single" w:sz="8" w:color="auto"/>
            </w:tcBorders>
            <w:gridSpan w:val="4"/>
          </w:tcPr>
          <w:p>
            <w:pPr>
              <w:jc w:val="right"/>
              <w:ind w:right="48"/>
              <w:spacing w:after="0"/>
              <w:rPr>
                <w:sz w:val="20"/>
                <w:szCs w:val="20"/>
                <w:color w:val="auto"/>
              </w:rPr>
            </w:pPr>
            <w:r>
              <w:rPr>
                <w:rFonts w:ascii="Arial" w:cs="Arial" w:eastAsia="Arial" w:hAnsi="Arial"/>
                <w:sz w:val="18"/>
                <w:szCs w:val="18"/>
                <w:b w:val="1"/>
                <w:bCs w:val="1"/>
                <w:color w:val="auto"/>
              </w:rPr>
              <w:t>June 30,</w:t>
            </w:r>
          </w:p>
        </w:tc>
        <w:tc>
          <w:tcPr>
            <w:tcW w:w="920" w:type="dxa"/>
            <w:vAlign w:val="bottom"/>
            <w:tcBorders>
              <w:bottom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1540" w:type="dxa"/>
            <w:vAlign w:val="bottom"/>
            <w:tcBorders>
              <w:bottom w:val="single" w:sz="8" w:color="auto"/>
            </w:tcBorders>
            <w:gridSpan w:val="4"/>
          </w:tcPr>
          <w:p>
            <w:pPr>
              <w:jc w:val="right"/>
              <w:ind w:right="48"/>
              <w:spacing w:after="0"/>
              <w:rPr>
                <w:sz w:val="20"/>
                <w:szCs w:val="20"/>
                <w:color w:val="auto"/>
              </w:rPr>
            </w:pPr>
            <w:r>
              <w:rPr>
                <w:rFonts w:ascii="Arial" w:cs="Arial" w:eastAsia="Arial" w:hAnsi="Arial"/>
                <w:sz w:val="18"/>
                <w:szCs w:val="18"/>
                <w:b w:val="1"/>
                <w:bCs w:val="1"/>
                <w:color w:val="auto"/>
              </w:rPr>
              <w:t>June 30,</w:t>
            </w:r>
          </w:p>
        </w:tc>
        <w:tc>
          <w:tcPr>
            <w:tcW w:w="920" w:type="dxa"/>
            <w:vAlign w:val="bottom"/>
            <w:tcBorders>
              <w:bottom w:val="single" w:sz="8" w:color="auto"/>
            </w:tcBorders>
          </w:tcPr>
          <w:p>
            <w:pPr>
              <w:spacing w:after="0"/>
              <w:rPr>
                <w:sz w:val="20"/>
                <w:szCs w:val="20"/>
                <w:color w:val="auto"/>
              </w:rPr>
            </w:pPr>
          </w:p>
        </w:tc>
        <w:tc>
          <w:tcPr>
            <w:tcW w:w="160" w:type="dxa"/>
            <w:vAlign w:val="bottom"/>
          </w:tcPr>
          <w:p>
            <w:pPr>
              <w:spacing w:after="0"/>
              <w:rPr>
                <w:sz w:val="20"/>
                <w:szCs w:val="20"/>
                <w:color w:val="auto"/>
              </w:rPr>
            </w:pPr>
          </w:p>
        </w:tc>
      </w:tr>
      <w:tr>
        <w:trPr>
          <w:trHeight w:val="221"/>
        </w:trPr>
        <w:tc>
          <w:tcPr>
            <w:tcW w:w="540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2020</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20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jc w:val="right"/>
              <w:ind w:right="331"/>
              <w:spacing w:after="0"/>
              <w:rPr>
                <w:sz w:val="20"/>
                <w:szCs w:val="20"/>
                <w:color w:val="auto"/>
              </w:rPr>
            </w:pPr>
            <w:r>
              <w:rPr>
                <w:rFonts w:ascii="Arial" w:cs="Arial" w:eastAsia="Arial" w:hAnsi="Arial"/>
                <w:sz w:val="18"/>
                <w:szCs w:val="18"/>
                <w:b w:val="1"/>
                <w:bCs w:val="1"/>
                <w:color w:val="auto"/>
              </w:rPr>
              <w:t>2020</w:t>
            </w:r>
          </w:p>
        </w:tc>
        <w:tc>
          <w:tcPr>
            <w:tcW w:w="220" w:type="dxa"/>
            <w:vAlign w:val="bottom"/>
            <w:tcBorders>
              <w:bottom w:val="single" w:sz="8" w:color="CCEEFF"/>
            </w:tcBorders>
          </w:tcPr>
          <w:p>
            <w:pPr>
              <w:spacing w:after="0"/>
              <w:rPr>
                <w:sz w:val="19"/>
                <w:szCs w:val="19"/>
                <w:color w:val="auto"/>
              </w:rPr>
            </w:pPr>
          </w:p>
        </w:tc>
        <w:tc>
          <w:tcPr>
            <w:tcW w:w="60" w:type="dxa"/>
            <w:vAlign w:val="bottom"/>
            <w:tcBorders>
              <w:bottom w:val="single" w:sz="8" w:color="CCEEFF"/>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jc w:val="right"/>
              <w:ind w:right="351"/>
              <w:spacing w:after="0"/>
              <w:rPr>
                <w:sz w:val="20"/>
                <w:szCs w:val="20"/>
                <w:color w:val="auto"/>
              </w:rPr>
            </w:pPr>
            <w:r>
              <w:rPr>
                <w:rFonts w:ascii="Arial" w:cs="Arial" w:eastAsia="Arial" w:hAnsi="Arial"/>
                <w:sz w:val="18"/>
                <w:szCs w:val="18"/>
                <w:b w:val="1"/>
                <w:bCs w:val="1"/>
                <w:color w:val="auto"/>
              </w:rPr>
              <w:t>2019</w:t>
            </w:r>
          </w:p>
        </w:tc>
        <w:tc>
          <w:tcPr>
            <w:tcW w:w="160" w:type="dxa"/>
            <w:vAlign w:val="bottom"/>
            <w:tcBorders>
              <w:bottom w:val="single" w:sz="8" w:color="CCEEFF"/>
            </w:tcBorders>
          </w:tcPr>
          <w:p>
            <w:pPr>
              <w:spacing w:after="0"/>
              <w:rPr>
                <w:sz w:val="19"/>
                <w:szCs w:val="19"/>
                <w:color w:val="auto"/>
              </w:rPr>
            </w:pPr>
          </w:p>
        </w:tc>
      </w:tr>
      <w:tr>
        <w:trPr>
          <w:trHeight w:val="207"/>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(18.5)</w:t>
            </w:r>
          </w:p>
        </w:tc>
        <w:tc>
          <w:tcPr>
            <w:tcW w:w="6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48"/>
              <w:spacing w:after="0"/>
              <w:rPr>
                <w:sz w:val="20"/>
                <w:szCs w:val="20"/>
                <w:color w:val="auto"/>
              </w:rPr>
            </w:pPr>
            <w:r>
              <w:rPr>
                <w:rFonts w:ascii="Arial" w:cs="Arial" w:eastAsia="Arial" w:hAnsi="Arial"/>
                <w:sz w:val="14"/>
                <w:szCs w:val="14"/>
                <w:color w:val="auto"/>
                <w:w w:val="76"/>
              </w:rPr>
              <w:t>$</w:t>
            </w:r>
          </w:p>
        </w:tc>
        <w:tc>
          <w:tcPr>
            <w:tcW w:w="11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(11.3)</w:t>
            </w:r>
          </w:p>
        </w:tc>
        <w:tc>
          <w:tcPr>
            <w:tcW w:w="60" w:type="dxa"/>
            <w:vAlign w:val="bottom"/>
            <w:shd w:val="clear" w:color="auto" w:fill="CCEEFF"/>
          </w:tcPr>
          <w:p>
            <w:pPr>
              <w:spacing w:after="0"/>
              <w:rPr>
                <w:sz w:val="17"/>
                <w:szCs w:val="17"/>
                <w:color w:val="auto"/>
              </w:rPr>
            </w:pP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(18.9)</w:t>
            </w:r>
          </w:p>
        </w:tc>
        <w:tc>
          <w:tcPr>
            <w:tcW w:w="60" w:type="dxa"/>
            <w:vAlign w:val="bottom"/>
            <w:shd w:val="clear" w:color="auto" w:fill="CCEEFF"/>
          </w:tcPr>
          <w:p>
            <w:pPr>
              <w:spacing w:after="0"/>
              <w:rPr>
                <w:sz w:val="17"/>
                <w:szCs w:val="17"/>
                <w:color w:val="auto"/>
              </w:rPr>
            </w:pPr>
          </w:p>
        </w:tc>
        <w:tc>
          <w:tcPr>
            <w:tcW w:w="300" w:type="dxa"/>
            <w:vAlign w:val="bottom"/>
            <w:shd w:val="clear" w:color="auto" w:fill="CCEEFF"/>
          </w:tcPr>
          <w:p>
            <w:pPr>
              <w:jc w:val="right"/>
              <w:ind w:right="148"/>
              <w:spacing w:after="0"/>
              <w:rPr>
                <w:sz w:val="20"/>
                <w:szCs w:val="20"/>
                <w:color w:val="auto"/>
              </w:rPr>
            </w:pPr>
            <w:r>
              <w:rPr>
                <w:rFonts w:ascii="Arial" w:cs="Arial" w:eastAsia="Arial" w:hAnsi="Arial"/>
                <w:sz w:val="14"/>
                <w:szCs w:val="14"/>
                <w:color w:val="auto"/>
                <w:w w:val="76"/>
              </w:rPr>
              <w:t>$</w:t>
            </w: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(38.0)</w:t>
            </w: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Interest expense, net</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7.2</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10.2</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14.2</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21.6</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(0.5)</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(0.6)</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(0.1)</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(7.4)</w:t>
            </w:r>
          </w:p>
        </w:tc>
      </w:tr>
      <w:tr>
        <w:trPr>
          <w:trHeight w:val="227"/>
        </w:trPr>
        <w:tc>
          <w:tcPr>
            <w:tcW w:w="540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260" w:type="dxa"/>
            <w:vAlign w:val="bottom"/>
          </w:tcPr>
          <w:p>
            <w:pPr>
              <w:spacing w:after="0"/>
              <w:rPr>
                <w:sz w:val="19"/>
                <w:szCs w:val="19"/>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14.3</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13.4</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28.1</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26.2</w:t>
            </w:r>
          </w:p>
        </w:tc>
      </w:tr>
      <w:tr>
        <w:trPr>
          <w:trHeight w:val="207"/>
        </w:trPr>
        <w:tc>
          <w:tcPr>
            <w:tcW w:w="54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26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11.7</w:t>
            </w:r>
          </w:p>
        </w:tc>
        <w:tc>
          <w:tcPr>
            <w:tcW w:w="20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23.3</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2.4</w:t>
            </w:r>
          </w:p>
        </w:tc>
        <w:tc>
          <w:tcPr>
            <w:tcW w:w="160" w:type="dxa"/>
            <w:vAlign w:val="bottom"/>
            <w:tcBorders>
              <w:top w:val="single" w:sz="8" w:color="CCEEFF"/>
            </w:tcBorders>
            <w:shd w:val="clear" w:color="auto" w:fill="CCEEFF"/>
          </w:tcPr>
          <w:p>
            <w:pPr>
              <w:spacing w:after="0"/>
              <w:rPr>
                <w:sz w:val="18"/>
                <w:szCs w:val="18"/>
                <w:color w:val="auto"/>
              </w:rPr>
            </w:pP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Restructuring charges, net</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32.5</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6.9</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32.5</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9.3</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Facility closure charges, including (gain) loss from asset disposition</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0.6</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2.0</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Stock-based compensation</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0.7</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4.3</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10.1</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9.0</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LIFO reserve (decrease) increase</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1.7</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(0.5)</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(4.2)</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2.9</w:t>
            </w: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Non-restructuring severance charges</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0.7</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1.4</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2.4</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2.7</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pension charges, net</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0.1</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6.6</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7.2</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w:t>
            </w: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Integration expenses</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4.5</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8.8</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w w:val="95"/>
              </w:rPr>
              <w:t>Fair value adjustment on Tax Receivable Agreement contingent liability</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(0.3)</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0.6</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w:t>
            </w:r>
          </w:p>
        </w:tc>
      </w:tr>
      <w:tr>
        <w:trPr>
          <w:trHeight w:val="213"/>
        </w:trPr>
        <w:tc>
          <w:tcPr>
            <w:tcW w:w="5400" w:type="dxa"/>
            <w:vAlign w:val="bottom"/>
          </w:tcPr>
          <w:p>
            <w:pPr>
              <w:spacing w:after="0"/>
              <w:rPr>
                <w:sz w:val="20"/>
                <w:szCs w:val="20"/>
                <w:color w:val="auto"/>
              </w:rPr>
            </w:pPr>
            <w:r>
              <w:rPr>
                <w:rFonts w:ascii="Arial" w:cs="Arial" w:eastAsia="Arial" w:hAnsi="Arial"/>
                <w:sz w:val="18"/>
                <w:szCs w:val="18"/>
                <w:color w:val="auto"/>
              </w:rPr>
              <w:t>Fair value adjustment on contingent consideration liability</w:t>
            </w:r>
          </w:p>
        </w:tc>
        <w:tc>
          <w:tcPr>
            <w:tcW w:w="260" w:type="dxa"/>
            <w:vAlign w:val="bottom"/>
          </w:tcPr>
          <w:p>
            <w:pPr>
              <w:spacing w:after="0"/>
              <w:rPr>
                <w:sz w:val="18"/>
                <w:szCs w:val="18"/>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7.7</w:t>
            </w:r>
          </w:p>
        </w:tc>
        <w:tc>
          <w:tcPr>
            <w:tcW w:w="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1.0</w:t>
            </w: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13.1</w:t>
            </w: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Escheat audit contingent liability</w:t>
            </w:r>
          </w:p>
        </w:tc>
        <w:tc>
          <w:tcPr>
            <w:tcW w:w="26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w:t>
            </w:r>
          </w:p>
        </w:tc>
      </w:tr>
      <w:tr>
        <w:trPr>
          <w:trHeight w:val="227"/>
        </w:trPr>
        <w:tc>
          <w:tcPr>
            <w:tcW w:w="5400" w:type="dxa"/>
            <w:vAlign w:val="bottom"/>
          </w:tcPr>
          <w:p>
            <w:pPr>
              <w:spacing w:after="0"/>
              <w:rPr>
                <w:sz w:val="20"/>
                <w:szCs w:val="20"/>
                <w:color w:val="auto"/>
              </w:rPr>
            </w:pPr>
            <w:r>
              <w:rPr>
                <w:rFonts w:ascii="Arial" w:cs="Arial" w:eastAsia="Arial" w:hAnsi="Arial"/>
                <w:sz w:val="18"/>
                <w:szCs w:val="18"/>
                <w:color w:val="auto"/>
              </w:rPr>
              <w:t>Other</w:t>
            </w:r>
          </w:p>
        </w:tc>
        <w:tc>
          <w:tcPr>
            <w:tcW w:w="260" w:type="dxa"/>
            <w:vAlign w:val="bottom"/>
          </w:tcPr>
          <w:p>
            <w:pPr>
              <w:spacing w:after="0"/>
              <w:rPr>
                <w:sz w:val="19"/>
                <w:szCs w:val="19"/>
                <w:color w:val="auto"/>
              </w:rPr>
            </w:pPr>
          </w:p>
        </w:tc>
        <w:tc>
          <w:tcPr>
            <w:tcW w:w="1160" w:type="dxa"/>
            <w:vAlign w:val="bottom"/>
            <w:gridSpan w:val="2"/>
          </w:tcPr>
          <w:p>
            <w:pPr>
              <w:jc w:val="right"/>
              <w:ind w:right="200"/>
              <w:spacing w:after="0"/>
              <w:rPr>
                <w:sz w:val="20"/>
                <w:szCs w:val="20"/>
                <w:color w:val="auto"/>
              </w:rPr>
            </w:pPr>
            <w:r>
              <w:rPr>
                <w:rFonts w:ascii="Arial" w:cs="Arial" w:eastAsia="Arial" w:hAnsi="Arial"/>
                <w:sz w:val="18"/>
                <w:szCs w:val="18"/>
                <w:color w:val="auto"/>
              </w:rPr>
              <w:t>1.3</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8"/>
                <w:szCs w:val="18"/>
                <w:color w:val="auto"/>
              </w:rPr>
              <w:t>0.1</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220"/>
              <w:spacing w:after="0"/>
              <w:rPr>
                <w:sz w:val="20"/>
                <w:szCs w:val="20"/>
                <w:color w:val="auto"/>
              </w:rPr>
            </w:pPr>
            <w:r>
              <w:rPr>
                <w:rFonts w:ascii="Arial" w:cs="Arial" w:eastAsia="Arial" w:hAnsi="Arial"/>
                <w:sz w:val="18"/>
                <w:szCs w:val="18"/>
                <w:color w:val="auto"/>
              </w:rPr>
              <w:t>2.7</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8"/>
                <w:szCs w:val="18"/>
                <w:color w:val="auto"/>
              </w:rPr>
              <w:t>0.4</w:t>
            </w:r>
          </w:p>
        </w:tc>
      </w:tr>
      <w:tr>
        <w:trPr>
          <w:trHeight w:val="220"/>
        </w:trPr>
        <w:tc>
          <w:tcPr>
            <w:tcW w:w="540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Adjusted EBITDA</w:t>
            </w: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39.8</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300" w:type="dxa"/>
            <w:vAlign w:val="bottom"/>
            <w:tcBorders>
              <w:top w:val="single" w:sz="8" w:color="auto"/>
              <w:bottom w:val="single" w:sz="8" w:color="auto"/>
            </w:tcBorders>
            <w:shd w:val="clear" w:color="auto" w:fill="CCEEFF"/>
          </w:tcPr>
          <w:p>
            <w:pPr>
              <w:jc w:val="right"/>
              <w:ind w:right="148"/>
              <w:spacing w:after="0"/>
              <w:rPr>
                <w:sz w:val="20"/>
                <w:szCs w:val="20"/>
                <w:color w:val="auto"/>
              </w:rPr>
            </w:pPr>
            <w:r>
              <w:rPr>
                <w:rFonts w:ascii="Arial" w:cs="Arial" w:eastAsia="Arial" w:hAnsi="Arial"/>
                <w:sz w:val="14"/>
                <w:szCs w:val="14"/>
                <w:color w:val="auto"/>
                <w:w w:val="76"/>
              </w:rPr>
              <w:t>$</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43.3</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260" w:type="dxa"/>
            <w:vAlign w:val="bottom"/>
            <w:tcBorders>
              <w:top w:val="single" w:sz="8" w:color="auto"/>
              <w:bottom w:val="single" w:sz="8" w:color="auto"/>
            </w:tcBorders>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76.0</w:t>
            </w:r>
          </w:p>
        </w:tc>
        <w:tc>
          <w:tcPr>
            <w:tcW w:w="220" w:type="dxa"/>
            <w:vAlign w:val="bottom"/>
            <w:tcBorders>
              <w:top w:val="single" w:sz="8" w:color="CCEEFF"/>
              <w:bottom w:val="single" w:sz="8" w:color="CCEEFF"/>
            </w:tcBorders>
            <w:shd w:val="clear" w:color="auto" w:fill="CCEEFF"/>
          </w:tcPr>
          <w:p>
            <w:pPr>
              <w:spacing w:after="0"/>
              <w:rPr>
                <w:sz w:val="19"/>
                <w:szCs w:val="19"/>
                <w:color w:val="auto"/>
              </w:rPr>
            </w:pPr>
          </w:p>
        </w:tc>
        <w:tc>
          <w:tcPr>
            <w:tcW w:w="60" w:type="dxa"/>
            <w:vAlign w:val="bottom"/>
            <w:tcBorders>
              <w:top w:val="single" w:sz="8" w:color="CCEEFF"/>
              <w:bottom w:val="single" w:sz="8" w:color="CCEEFF"/>
            </w:tcBorders>
            <w:shd w:val="clear" w:color="auto" w:fill="CCEEFF"/>
          </w:tcPr>
          <w:p>
            <w:pPr>
              <w:spacing w:after="0"/>
              <w:rPr>
                <w:sz w:val="19"/>
                <w:szCs w:val="19"/>
                <w:color w:val="auto"/>
              </w:rPr>
            </w:pPr>
          </w:p>
        </w:tc>
        <w:tc>
          <w:tcPr>
            <w:tcW w:w="300" w:type="dxa"/>
            <w:vAlign w:val="bottom"/>
            <w:tcBorders>
              <w:top w:val="single" w:sz="8" w:color="auto"/>
              <w:bottom w:val="single" w:sz="8" w:color="auto"/>
            </w:tcBorders>
            <w:shd w:val="clear" w:color="auto" w:fill="CCEEFF"/>
          </w:tcPr>
          <w:p>
            <w:pPr>
              <w:jc w:val="right"/>
              <w:ind w:right="148"/>
              <w:spacing w:after="0"/>
              <w:rPr>
                <w:sz w:val="20"/>
                <w:szCs w:val="20"/>
                <w:color w:val="auto"/>
              </w:rPr>
            </w:pPr>
            <w:r>
              <w:rPr>
                <w:rFonts w:ascii="Arial" w:cs="Arial" w:eastAsia="Arial" w:hAnsi="Arial"/>
                <w:sz w:val="14"/>
                <w:szCs w:val="14"/>
                <w:color w:val="auto"/>
                <w:w w:val="76"/>
              </w:rPr>
              <w:t>$</w:t>
            </w:r>
          </w:p>
        </w:tc>
        <w:tc>
          <w:tcPr>
            <w:tcW w:w="9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63.7</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r>
      <w:tr>
        <w:trPr>
          <w:trHeight w:val="20"/>
        </w:trPr>
        <w:tc>
          <w:tcPr>
            <w:tcW w:w="54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194"/>
        </w:trPr>
        <w:tc>
          <w:tcPr>
            <w:tcW w:w="54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9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60" w:type="dxa"/>
            <w:vAlign w:val="bottom"/>
          </w:tcPr>
          <w:p>
            <w:pPr>
              <w:spacing w:after="0"/>
              <w:rPr>
                <w:sz w:val="16"/>
                <w:szCs w:val="16"/>
                <w:color w:val="auto"/>
              </w:rPr>
            </w:pPr>
          </w:p>
        </w:tc>
      </w:tr>
      <w:tr>
        <w:trPr>
          <w:trHeight w:val="21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260" w:type="dxa"/>
            <w:vAlign w:val="bottom"/>
            <w:shd w:val="clear" w:color="auto" w:fill="CCEEFF"/>
          </w:tcPr>
          <w:p>
            <w:pPr>
              <w:jc w:val="right"/>
              <w:ind w:right="108"/>
              <w:spacing w:after="0"/>
              <w:rPr>
                <w:sz w:val="20"/>
                <w:szCs w:val="20"/>
                <w:color w:val="auto"/>
              </w:rPr>
            </w:pPr>
            <w:r>
              <w:rPr>
                <w:rFonts w:ascii="Arial" w:cs="Arial" w:eastAsia="Arial" w:hAnsi="Arial"/>
                <w:sz w:val="14"/>
                <w:szCs w:val="14"/>
                <w:color w:val="auto"/>
                <w:w w:val="76"/>
              </w:rPr>
              <w:t>$</w:t>
            </w:r>
          </w:p>
        </w:tc>
        <w:tc>
          <w:tcPr>
            <w:tcW w:w="11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1,404.8</w:t>
            </w:r>
          </w:p>
        </w:tc>
        <w:tc>
          <w:tcPr>
            <w:tcW w:w="360" w:type="dxa"/>
            <w:vAlign w:val="bottom"/>
            <w:gridSpan w:val="2"/>
            <w:shd w:val="clear" w:color="auto" w:fill="CCEEFF"/>
          </w:tcPr>
          <w:p>
            <w:pPr>
              <w:jc w:val="right"/>
              <w:ind w:right="148"/>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1,958.2</w:t>
            </w:r>
          </w:p>
        </w:tc>
        <w:tc>
          <w:tcPr>
            <w:tcW w:w="32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3,112.1</w:t>
            </w:r>
          </w:p>
        </w:tc>
        <w:tc>
          <w:tcPr>
            <w:tcW w:w="360" w:type="dxa"/>
            <w:vAlign w:val="bottom"/>
            <w:gridSpan w:val="2"/>
            <w:shd w:val="clear" w:color="auto" w:fill="CCEEFF"/>
          </w:tcPr>
          <w:p>
            <w:pPr>
              <w:jc w:val="right"/>
              <w:ind w:right="148"/>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3,899.7</w:t>
            </w:r>
          </w:p>
        </w:tc>
      </w:tr>
      <w:tr>
        <w:trPr>
          <w:trHeight w:val="226"/>
        </w:trPr>
        <w:tc>
          <w:tcPr>
            <w:tcW w:w="5400" w:type="dxa"/>
            <w:vAlign w:val="bottom"/>
          </w:tcPr>
          <w:p>
            <w:pPr>
              <w:spacing w:after="0"/>
              <w:rPr>
                <w:sz w:val="20"/>
                <w:szCs w:val="20"/>
                <w:color w:val="auto"/>
              </w:rPr>
            </w:pPr>
            <w:r>
              <w:rPr>
                <w:rFonts w:ascii="Arial" w:cs="Arial" w:eastAsia="Arial" w:hAnsi="Arial"/>
                <w:sz w:val="18"/>
                <w:szCs w:val="18"/>
                <w:color w:val="auto"/>
              </w:rPr>
              <w:t>Adjusted EBITDA as a % of net sales</w:t>
            </w:r>
          </w:p>
        </w:tc>
        <w:tc>
          <w:tcPr>
            <w:tcW w:w="260" w:type="dxa"/>
            <w:vAlign w:val="bottom"/>
          </w:tcPr>
          <w:p>
            <w:pPr>
              <w:spacing w:after="0"/>
              <w:rPr>
                <w:sz w:val="19"/>
                <w:szCs w:val="19"/>
                <w:color w:val="auto"/>
              </w:rPr>
            </w:pPr>
          </w:p>
        </w:tc>
        <w:tc>
          <w:tcPr>
            <w:tcW w:w="1160" w:type="dxa"/>
            <w:vAlign w:val="bottom"/>
            <w:gridSpan w:val="2"/>
          </w:tcPr>
          <w:p>
            <w:pPr>
              <w:jc w:val="right"/>
              <w:ind w:right="60"/>
              <w:spacing w:after="0"/>
              <w:rPr>
                <w:sz w:val="20"/>
                <w:szCs w:val="20"/>
                <w:color w:val="auto"/>
              </w:rPr>
            </w:pPr>
            <w:r>
              <w:rPr>
                <w:rFonts w:ascii="Arial" w:cs="Arial" w:eastAsia="Arial" w:hAnsi="Arial"/>
                <w:sz w:val="18"/>
                <w:szCs w:val="18"/>
                <w:color w:val="auto"/>
              </w:rPr>
              <w:t>2.8%</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8"/>
                <w:szCs w:val="18"/>
                <w:color w:val="auto"/>
              </w:rPr>
              <w:t>2.2%</w:t>
            </w:r>
          </w:p>
        </w:tc>
        <w:tc>
          <w:tcPr>
            <w:tcW w:w="6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180" w:type="dxa"/>
            <w:vAlign w:val="bottom"/>
            <w:gridSpan w:val="2"/>
          </w:tcPr>
          <w:p>
            <w:pPr>
              <w:jc w:val="right"/>
              <w:ind w:right="60"/>
              <w:spacing w:after="0"/>
              <w:rPr>
                <w:sz w:val="20"/>
                <w:szCs w:val="20"/>
                <w:color w:val="auto"/>
              </w:rPr>
            </w:pPr>
            <w:r>
              <w:rPr>
                <w:rFonts w:ascii="Arial" w:cs="Arial" w:eastAsia="Arial" w:hAnsi="Arial"/>
                <w:sz w:val="18"/>
                <w:szCs w:val="18"/>
                <w:color w:val="auto"/>
              </w:rPr>
              <w:t>2.4%</w:t>
            </w:r>
          </w:p>
        </w:tc>
        <w:tc>
          <w:tcPr>
            <w:tcW w:w="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1.6%</w:t>
            </w:r>
          </w:p>
        </w:tc>
      </w:tr>
      <w:tr>
        <w:trPr>
          <w:trHeight w:val="627"/>
        </w:trPr>
        <w:tc>
          <w:tcPr>
            <w:tcW w:w="54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3" w:name="page14"/>
    <w:bookmarkEnd w:id="13"/>
    <w:p>
      <w:pPr>
        <w:jc w:val="center"/>
        <w:spacing w:after="0"/>
        <w:rPr>
          <w:sz w:val="20"/>
          <w:szCs w:val="20"/>
          <w:color w:val="auto"/>
        </w:rPr>
      </w:pPr>
      <w:r>
        <w:rPr>
          <w:rFonts w:ascii="Arial" w:cs="Arial" w:eastAsia="Arial" w:hAnsi="Arial"/>
          <w:sz w:val="18"/>
          <w:szCs w:val="18"/>
          <w:b w:val="1"/>
          <w:bCs w:val="1"/>
          <w:color w:val="auto"/>
        </w:rPr>
        <w:t>Table 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6" w:lineRule="exact"/>
        <w:rPr>
          <w:sz w:val="20"/>
          <w:szCs w:val="20"/>
          <w:color w:val="auto"/>
        </w:rPr>
      </w:pPr>
    </w:p>
    <w:p>
      <w:pPr>
        <w:ind w:left="4820"/>
        <w:spacing w:after="0"/>
        <w:rPr>
          <w:sz w:val="20"/>
          <w:szCs w:val="20"/>
          <w:color w:val="auto"/>
        </w:rPr>
      </w:pPr>
      <w:r>
        <w:rPr>
          <w:rFonts w:ascii="Arial" w:cs="Arial" w:eastAsia="Arial" w:hAnsi="Arial"/>
          <w:sz w:val="18"/>
          <w:szCs w:val="18"/>
          <w:b w:val="1"/>
          <w:bCs w:val="1"/>
          <w:color w:val="auto"/>
        </w:rPr>
        <w:t>FREE CASH FLOW</w:t>
      </w:r>
    </w:p>
    <w:p>
      <w:pPr>
        <w:spacing w:after="0" w:line="6" w:lineRule="exact"/>
        <w:rPr>
          <w:sz w:val="20"/>
          <w:szCs w:val="20"/>
          <w:color w:val="auto"/>
        </w:rPr>
      </w:pPr>
    </w:p>
    <w:p>
      <w:pPr>
        <w:ind w:left="4780"/>
        <w:spacing w:after="0"/>
        <w:rPr>
          <w:sz w:val="20"/>
          <w:szCs w:val="20"/>
          <w:color w:val="auto"/>
        </w:rPr>
      </w:pPr>
      <w:r>
        <w:rPr>
          <w:rFonts w:ascii="Arial" w:cs="Arial" w:eastAsia="Arial" w:hAnsi="Arial"/>
          <w:sz w:val="18"/>
          <w:szCs w:val="18"/>
          <w:color w:val="auto"/>
        </w:rPr>
        <w:t>(in millions, unaudited)</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213"/>
        </w:trPr>
        <w:tc>
          <w:tcPr>
            <w:tcW w:w="9480" w:type="dxa"/>
            <w:vAlign w:val="bottom"/>
          </w:tcPr>
          <w:p>
            <w:pPr>
              <w:spacing w:after="0"/>
              <w:rPr>
                <w:sz w:val="18"/>
                <w:szCs w:val="18"/>
                <w:color w:val="auto"/>
              </w:rPr>
            </w:pPr>
          </w:p>
        </w:tc>
        <w:tc>
          <w:tcPr>
            <w:tcW w:w="1760" w:type="dxa"/>
            <w:vAlign w:val="bottom"/>
            <w:gridSpan w:val="3"/>
          </w:tcPr>
          <w:p>
            <w:pPr>
              <w:ind w:left="20"/>
              <w:spacing w:after="0"/>
              <w:rPr>
                <w:sz w:val="20"/>
                <w:szCs w:val="20"/>
                <w:color w:val="auto"/>
              </w:rPr>
            </w:pPr>
            <w:r>
              <w:rPr>
                <w:rFonts w:ascii="Arial" w:cs="Arial" w:eastAsia="Arial" w:hAnsi="Arial"/>
                <w:sz w:val="18"/>
                <w:szCs w:val="18"/>
                <w:b w:val="1"/>
                <w:bCs w:val="1"/>
                <w:color w:val="auto"/>
                <w:w w:val="96"/>
              </w:rPr>
              <w:t>Three Months Ended</w:t>
            </w:r>
          </w:p>
        </w:tc>
      </w:tr>
      <w:tr>
        <w:trPr>
          <w:trHeight w:val="231"/>
        </w:trPr>
        <w:tc>
          <w:tcPr>
            <w:tcW w:w="94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560" w:type="dxa"/>
            <w:vAlign w:val="bottom"/>
            <w:gridSpan w:val="2"/>
          </w:tcPr>
          <w:p>
            <w:pPr>
              <w:jc w:val="right"/>
              <w:ind w:right="420"/>
              <w:spacing w:after="0"/>
              <w:rPr>
                <w:sz w:val="20"/>
                <w:szCs w:val="20"/>
                <w:color w:val="auto"/>
              </w:rPr>
            </w:pPr>
            <w:r>
              <w:rPr>
                <w:rFonts w:ascii="Arial" w:cs="Arial" w:eastAsia="Arial" w:hAnsi="Arial"/>
                <w:sz w:val="18"/>
                <w:szCs w:val="18"/>
                <w:b w:val="1"/>
                <w:bCs w:val="1"/>
                <w:color w:val="auto"/>
                <w:w w:val="95"/>
              </w:rPr>
              <w:t>June 30, 2020</w:t>
            </w:r>
          </w:p>
        </w:tc>
      </w:tr>
      <w:tr>
        <w:trPr>
          <w:trHeight w:val="208"/>
        </w:trPr>
        <w:tc>
          <w:tcPr>
            <w:tcW w:w="94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provided by (used for) operating activities</w:t>
            </w:r>
          </w:p>
        </w:tc>
        <w:tc>
          <w:tcPr>
            <w:tcW w:w="2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1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141.7</w:t>
            </w:r>
          </w:p>
        </w:tc>
        <w:tc>
          <w:tcPr>
            <w:tcW w:w="100" w:type="dxa"/>
            <w:vAlign w:val="bottom"/>
            <w:tcBorders>
              <w:top w:val="single" w:sz="8" w:color="CCEEFF"/>
            </w:tcBorders>
            <w:shd w:val="clear" w:color="auto" w:fill="CCEEFF"/>
          </w:tcPr>
          <w:p>
            <w:pPr>
              <w:spacing w:after="0"/>
              <w:rPr>
                <w:sz w:val="18"/>
                <w:szCs w:val="18"/>
                <w:color w:val="auto"/>
              </w:rPr>
            </w:pPr>
          </w:p>
        </w:tc>
      </w:tr>
      <w:tr>
        <w:trPr>
          <w:trHeight w:val="227"/>
        </w:trPr>
        <w:tc>
          <w:tcPr>
            <w:tcW w:w="9480" w:type="dxa"/>
            <w:vAlign w:val="bottom"/>
          </w:tcPr>
          <w:p>
            <w:pPr>
              <w:spacing w:after="0"/>
              <w:rPr>
                <w:sz w:val="20"/>
                <w:szCs w:val="20"/>
                <w:color w:val="auto"/>
              </w:rPr>
            </w:pPr>
            <w:r>
              <w:rPr>
                <w:rFonts w:ascii="Arial" w:cs="Arial" w:eastAsia="Arial" w:hAnsi="Arial"/>
                <w:sz w:val="18"/>
                <w:szCs w:val="18"/>
                <w:color w:val="auto"/>
              </w:rPr>
              <w:t>Less: Capital expenditures</w:t>
            </w:r>
          </w:p>
        </w:tc>
        <w:tc>
          <w:tcPr>
            <w:tcW w:w="200" w:type="dxa"/>
            <w:vAlign w:val="bottom"/>
          </w:tcPr>
          <w:p>
            <w:pPr>
              <w:spacing w:after="0"/>
              <w:rPr>
                <w:sz w:val="19"/>
                <w:szCs w:val="19"/>
                <w:color w:val="auto"/>
              </w:rPr>
            </w:pPr>
          </w:p>
        </w:tc>
        <w:tc>
          <w:tcPr>
            <w:tcW w:w="1560" w:type="dxa"/>
            <w:vAlign w:val="bottom"/>
            <w:gridSpan w:val="2"/>
          </w:tcPr>
          <w:p>
            <w:pPr>
              <w:jc w:val="right"/>
              <w:ind w:right="40"/>
              <w:spacing w:after="0"/>
              <w:rPr>
                <w:sz w:val="20"/>
                <w:szCs w:val="20"/>
                <w:color w:val="auto"/>
              </w:rPr>
            </w:pPr>
            <w:r>
              <w:rPr>
                <w:rFonts w:ascii="Arial" w:cs="Arial" w:eastAsia="Arial" w:hAnsi="Arial"/>
                <w:sz w:val="18"/>
                <w:szCs w:val="18"/>
                <w:color w:val="auto"/>
              </w:rPr>
              <w:t>(5.8)</w:t>
            </w:r>
          </w:p>
        </w:tc>
      </w:tr>
      <w:tr>
        <w:trPr>
          <w:trHeight w:val="220"/>
        </w:trPr>
        <w:tc>
          <w:tcPr>
            <w:tcW w:w="94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Free cash flow</w:t>
            </w:r>
          </w:p>
        </w:tc>
        <w:tc>
          <w:tcPr>
            <w:tcW w:w="20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14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135.9</w:t>
            </w: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r>
      <w:tr>
        <w:trPr>
          <w:trHeight w:val="20"/>
        </w:trPr>
        <w:tc>
          <w:tcPr>
            <w:tcW w:w="948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621"/>
        </w:trPr>
        <w:tc>
          <w:tcPr>
            <w:tcW w:w="94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r>
    </w:tbl>
    <w:p>
      <w:pPr>
        <w:sectPr>
          <w:pgSz w:w="11900" w:h="16838" w:orient="portrait"/>
          <w:cols w:equalWidth="0" w:num="1">
            <w:col w:w="11240"/>
          </w:cols>
          <w:pgMar w:left="320" w:top="895" w:right="339" w:bottom="1440" w:gutter="0" w:footer="0" w:header="0"/>
        </w:sectPr>
      </w:pPr>
    </w:p>
    <w:bookmarkStart w:id="14" w:name="page15"/>
    <w:bookmarkEnd w:id="14"/>
    <w:p>
      <w:pPr>
        <w:spacing w:after="0"/>
        <w:rPr>
          <w:sz w:val="20"/>
          <w:szCs w:val="20"/>
          <w:color w:val="auto"/>
        </w:rPr>
      </w:pPr>
      <w:r>
        <w:rPr>
          <w:rFonts w:ascii="Arial" w:cs="Arial" w:eastAsia="Arial" w:hAnsi="Arial"/>
          <w:sz w:val="18"/>
          <w:szCs w:val="18"/>
          <w:b w:val="1"/>
          <w:bCs w:val="1"/>
          <w:color w:val="auto"/>
        </w:rPr>
        <w:t>Veritiv Contacts:</w:t>
      </w:r>
    </w:p>
    <w:p>
      <w:pPr>
        <w:spacing w:after="0" w:line="224" w:lineRule="exact"/>
        <w:rPr>
          <w:sz w:val="20"/>
          <w:szCs w:val="20"/>
          <w:color w:val="auto"/>
        </w:rPr>
      </w:pPr>
    </w:p>
    <w:p>
      <w:pPr>
        <w:spacing w:after="0"/>
        <w:tabs>
          <w:tab w:leader="none" w:pos="3620" w:val="left"/>
        </w:tabs>
        <w:rPr>
          <w:sz w:val="20"/>
          <w:szCs w:val="20"/>
          <w:color w:val="auto"/>
        </w:rPr>
      </w:pPr>
      <w:r>
        <w:rPr>
          <w:rFonts w:ascii="Arial" w:cs="Arial" w:eastAsia="Arial" w:hAnsi="Arial"/>
          <w:sz w:val="18"/>
          <w:szCs w:val="18"/>
          <w:color w:val="auto"/>
        </w:rPr>
        <w:t>Investors: Tom Morabito, 770-391-8451</w:t>
      </w:r>
      <w:r>
        <w:rPr>
          <w:sz w:val="20"/>
          <w:szCs w:val="20"/>
          <w:color w:val="auto"/>
        </w:rPr>
        <w:tab/>
      </w:r>
      <w:r>
        <w:rPr>
          <w:rFonts w:ascii="Arial" w:cs="Arial" w:eastAsia="Arial" w:hAnsi="Arial"/>
          <w:sz w:val="16"/>
          <w:szCs w:val="16"/>
          <w:color w:val="auto"/>
        </w:rPr>
        <w:t>Media: Kristie Madara, 770-391-8471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419735</wp:posOffset>
            </wp:positionV>
            <wp:extent cx="7134225"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4225" cy="8255"/>
                    </a:xfrm>
                    <a:prstGeom prst="rect">
                      <a:avLst/>
                    </a:prstGeom>
                    <a:noFill/>
                  </pic:spPr>
                </pic:pic>
              </a:graphicData>
            </a:graphic>
          </wp:anchor>
        </w:drawing>
      </w:r>
    </w:p>
    <w:p>
      <w:pPr>
        <w:sectPr>
          <w:pgSz w:w="11900" w:h="16838" w:orient="portrait"/>
          <w:cols w:equalWidth="0" w:num="1">
            <w:col w:w="10139"/>
          </w:cols>
          <w:pgMar w:left="320" w:top="895" w:right="1440" w:bottom="1440" w:gutter="0" w:footer="0" w:header="0"/>
        </w:sectPr>
      </w:pPr>
    </w:p>
    <w:bookmarkStart w:id="15" w:name="page16"/>
    <w:bookmarkEnd w:id="15"/>
    <w:p>
      <w:pPr>
        <w:ind w:left="9020"/>
        <w:spacing w:after="0"/>
        <w:rPr>
          <w:sz w:val="20"/>
          <w:szCs w:val="20"/>
          <w:color w:val="auto"/>
        </w:rPr>
      </w:pPr>
      <w:r>
        <w:rPr>
          <w:rFonts w:ascii="Arial" w:cs="Arial" w:eastAsia="Arial" w:hAnsi="Arial"/>
          <w:sz w:val="19"/>
          <w:szCs w:val="19"/>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-706120</wp:posOffset>
            </wp:positionH>
            <wp:positionV relativeFrom="paragraph">
              <wp:posOffset>234315</wp:posOffset>
            </wp:positionV>
            <wp:extent cx="7196455" cy="55746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96455" cy="5574665"/>
                    </a:xfrm>
                    <a:prstGeom prst="rect">
                      <a:avLst/>
                    </a:prstGeom>
                    <a:noFill/>
                  </pic:spPr>
                </pic:pic>
              </a:graphicData>
            </a:graphic>
          </wp:anchor>
        </w:drawing>
      </w:r>
    </w:p>
    <w:p>
      <w:pPr>
        <w:sectPr>
          <w:pgSz w:w="11900" w:h="16838" w:orient="portrait"/>
          <w:cols w:equalWidth="0" w:num="1">
            <w:col w:w="10120"/>
          </w:cols>
          <w:pgMar w:left="1440" w:top="352" w:right="339" w:bottom="1440"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6604635</wp:posOffset>
            </wp:positionV>
            <wp:extent cx="7134225"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6595745</wp:posOffset>
            </wp:positionV>
            <wp:extent cx="7134225" cy="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1" w:name="page32"/>
    <w:bookmarkEnd w:id="3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2" w:name="page33"/>
    <w:bookmarkEnd w:id="3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3" w:name="page34"/>
    <w:bookmarkEnd w:id="3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4" w:name="page35"/>
    <w:bookmarkEnd w:id="3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207645</wp:posOffset>
            </wp:positionH>
            <wp:positionV relativeFrom="page">
              <wp:posOffset>6587490</wp:posOffset>
            </wp:positionV>
            <wp:extent cx="7134225"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34225" cy="8255"/>
                    </a:xfrm>
                    <a:prstGeom prst="rect">
                      <a:avLst/>
                    </a:prstGeom>
                    <a:noFill/>
                  </pic:spPr>
                </pic:pic>
              </a:graphicData>
            </a:graphic>
          </wp:anchor>
        </w:drawing>
        <w:drawing>
          <wp:anchor simplePos="0" relativeHeight="251657728" behindDoc="1" locked="0" layoutInCell="0" allowOverlap="1">
            <wp:simplePos x="0" y="0"/>
            <wp:positionH relativeFrom="page">
              <wp:posOffset>207645</wp:posOffset>
            </wp:positionH>
            <wp:positionV relativeFrom="page">
              <wp:posOffset>690245</wp:posOffset>
            </wp:positionV>
            <wp:extent cx="7134225" cy="53549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7134225" cy="535495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1)"/>
      <w:numFmt w:val="lowerLetter"/>
      <w:start w:val="4"/>
    </w:lvl>
  </w:abstractNum>
  <w:abstractNum w:abstractNumId="2">
    <w:nsid w:val="625558EC"/>
    <w:multiLevelType w:val="hybridMultilevel"/>
    <w:lvl w:ilvl="0">
      <w:lvlJc w:val="left"/>
      <w:lvlText w:val="•"/>
      <w:numFmt w:val="bullet"/>
      <w:start w:val="1"/>
    </w:lvl>
  </w:abstractNum>
  <w:abstractNum w:abstractNumId="3">
    <w:nsid w:val="238E1F29"/>
    <w:multiLevelType w:val="hybridMultilevel"/>
    <w:lvl w:ilvl="0">
      <w:lvlJc w:val="left"/>
      <w:lvlText w:val="•"/>
      <w:numFmt w:val="bullet"/>
      <w:start w:val="1"/>
    </w:lvl>
  </w:abstractNum>
  <w:abstractNum w:abstractNumId="4">
    <w:nsid w:val="46E87CCD"/>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png"/><Relationship Id="rId44" Type="http://schemas.openxmlformats.org/officeDocument/2006/relationships/image" Target="media/image37.jpe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image" Target="media/image54.png"/><Relationship Id="rId62" Type="http://schemas.openxmlformats.org/officeDocument/2006/relationships/image" Target="media/image55.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2020-08-05T07:02:34Z</dcterms:created>
  <dcterms:modified xsi:type="dcterms:W3CDTF">2020-08-05T07:02:34Z</dcterms:modified>
</cp:coreProperties>
</file>