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9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144780</wp:posOffset>
            </wp:positionH>
            <wp:positionV relativeFrom="page">
              <wp:posOffset>144780</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t>UNITED STATES</w:t>
      </w:r>
    </w:p>
    <w:p>
      <w:pPr>
        <w:spacing w:after="0" w:line="36" w:lineRule="exact"/>
        <w:rPr>
          <w:sz w:val="24"/>
          <w:szCs w:val="24"/>
          <w:color w:val="auto"/>
        </w:rPr>
      </w:pPr>
    </w:p>
    <w:p>
      <w:pPr>
        <w:jc w:val="center"/>
        <w:ind w:right="-299"/>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Washington, D.C. 20549</w:t>
      </w:r>
    </w:p>
    <w:p>
      <w:pPr>
        <w:spacing w:after="0" w:line="7" w:lineRule="exact"/>
        <w:rPr>
          <w:sz w:val="24"/>
          <w:szCs w:val="24"/>
          <w:color w:val="auto"/>
        </w:rPr>
      </w:pPr>
    </w:p>
    <w:p>
      <w:pPr>
        <w:jc w:val="center"/>
        <w:ind w:right="-299"/>
        <w:spacing w:after="0"/>
        <w:rPr>
          <w:sz w:val="20"/>
          <w:szCs w:val="20"/>
          <w:color w:val="auto"/>
        </w:rPr>
      </w:pPr>
      <w:r>
        <w:rPr>
          <w:rFonts w:ascii="Arial" w:cs="Arial" w:eastAsia="Arial" w:hAnsi="Arial"/>
          <w:sz w:val="29"/>
          <w:szCs w:val="29"/>
          <w:b w:val="1"/>
          <w:bCs w:val="1"/>
          <w:color w:val="auto"/>
        </w:rPr>
        <w:t>FORM 10-Q</w:t>
      </w:r>
    </w:p>
    <w:p>
      <w:pPr>
        <w:spacing w:after="0" w:line="80" w:lineRule="exact"/>
        <w:rPr>
          <w:sz w:val="24"/>
          <w:szCs w:val="24"/>
          <w:color w:val="auto"/>
        </w:rPr>
      </w:pPr>
    </w:p>
    <w:p>
      <w:pPr>
        <w:ind w:left="1260" w:hanging="242"/>
        <w:spacing w:after="0"/>
        <w:tabs>
          <w:tab w:leader="none" w:pos="1260" w:val="left"/>
        </w:tabs>
        <w:numPr>
          <w:ilvl w:val="0"/>
          <w:numId w:val="1"/>
        </w:numPr>
        <w:rPr>
          <w:rFonts w:ascii="MS PGothic" w:cs="MS PGothic" w:eastAsia="MS PGothic" w:hAnsi="MS PGothic"/>
          <w:sz w:val="22"/>
          <w:szCs w:val="22"/>
          <w:color w:val="auto"/>
        </w:rPr>
      </w:pPr>
      <w:r>
        <w:rPr>
          <w:rFonts w:ascii="Arial" w:cs="Arial" w:eastAsia="Arial" w:hAnsi="Arial"/>
          <w:sz w:val="18"/>
          <w:szCs w:val="18"/>
          <w:b w:val="1"/>
          <w:bCs w:val="1"/>
          <w:color w:val="auto"/>
        </w:rPr>
        <w:t>QUARTERLY REPORT PURSUANT TO SECTION 13 OR 15(d) OF THE SECURITIES EXCHANGE ACT OF 1934</w:t>
      </w:r>
    </w:p>
    <w:p>
      <w:pPr>
        <w:spacing w:after="0" w:line="218"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For the quarterly period ended June 30, 2019</w:t>
      </w:r>
    </w:p>
    <w:p>
      <w:pPr>
        <w:spacing w:after="0" w:line="185"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or</w:t>
      </w:r>
    </w:p>
    <w:p>
      <w:pPr>
        <w:spacing w:after="0" w:line="171" w:lineRule="exact"/>
        <w:rPr>
          <w:sz w:val="24"/>
          <w:szCs w:val="24"/>
          <w:color w:val="auto"/>
        </w:rPr>
      </w:pPr>
    </w:p>
    <w:p>
      <w:pPr>
        <w:ind w:left="1260" w:hanging="248"/>
        <w:spacing w:after="0"/>
        <w:tabs>
          <w:tab w:leader="none" w:pos="1260" w:val="left"/>
        </w:tabs>
        <w:numPr>
          <w:ilvl w:val="0"/>
          <w:numId w:val="2"/>
        </w:numPr>
        <w:rPr>
          <w:rFonts w:ascii="MS PGothic" w:cs="MS PGothic" w:eastAsia="MS PGothic" w:hAnsi="MS PGothic"/>
          <w:sz w:val="22"/>
          <w:szCs w:val="22"/>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218" w:lineRule="exact"/>
        <w:rPr>
          <w:sz w:val="24"/>
          <w:szCs w:val="24"/>
          <w:color w:val="auto"/>
        </w:rPr>
      </w:pPr>
    </w:p>
    <w:p>
      <w:pPr>
        <w:ind w:left="3640"/>
        <w:spacing w:after="0"/>
        <w:rPr>
          <w:sz w:val="20"/>
          <w:szCs w:val="20"/>
          <w:color w:val="auto"/>
        </w:rPr>
      </w:pPr>
      <w:r>
        <w:rPr>
          <w:rFonts w:ascii="Arial" w:cs="Arial" w:eastAsia="Arial" w:hAnsi="Arial"/>
          <w:sz w:val="18"/>
          <w:szCs w:val="18"/>
          <w:b w:val="1"/>
          <w:bCs w:val="1"/>
          <w:color w:val="auto"/>
        </w:rPr>
        <w:t>For the transition period from ________ to _________</w:t>
      </w:r>
    </w:p>
    <w:p>
      <w:pPr>
        <w:spacing w:after="0" w:line="27"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Commission file number 001-36479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2200275</wp:posOffset>
            </wp:positionH>
            <wp:positionV relativeFrom="paragraph">
              <wp:posOffset>5715</wp:posOffset>
            </wp:positionV>
            <wp:extent cx="2864485" cy="7029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864485" cy="7029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1" w:lineRule="exact"/>
        <w:rPr>
          <w:sz w:val="24"/>
          <w:szCs w:val="24"/>
          <w:color w:val="auto"/>
        </w:rPr>
      </w:pPr>
    </w:p>
    <w:p>
      <w:pPr>
        <w:jc w:val="center"/>
        <w:ind w:right="-299"/>
        <w:spacing w:after="0"/>
        <w:rPr>
          <w:sz w:val="20"/>
          <w:szCs w:val="20"/>
          <w:color w:val="auto"/>
        </w:rPr>
      </w:pPr>
      <w:r>
        <w:rPr>
          <w:rFonts w:ascii="Arial" w:cs="Arial" w:eastAsia="Arial" w:hAnsi="Arial"/>
          <w:sz w:val="36"/>
          <w:szCs w:val="36"/>
          <w:b w:val="1"/>
          <w:bCs w:val="1"/>
          <w:color w:val="auto"/>
        </w:rPr>
        <w:t>VERITIV CORPORATION</w:t>
      </w:r>
    </w:p>
    <w:p>
      <w:pPr>
        <w:spacing w:after="0" w:line="45"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151" w:lineRule="exact"/>
        <w:rPr>
          <w:sz w:val="24"/>
          <w:szCs w:val="24"/>
          <w:color w:val="auto"/>
        </w:rPr>
      </w:pPr>
    </w:p>
    <w:tbl>
      <w:tblPr>
        <w:tblLayout w:type="fixed"/>
        <w:tblInd w:w="1560" w:type="dxa"/>
        <w:tblCellMar>
          <w:top w:w="0" w:type="dxa"/>
          <w:left w:w="0" w:type="dxa"/>
          <w:bottom w:w="0" w:type="dxa"/>
          <w:right w:w="0" w:type="dxa"/>
        </w:tblCellMar>
      </w:tblPr>
      <w:tr>
        <w:trPr>
          <w:trHeight w:val="234"/>
        </w:trPr>
        <w:tc>
          <w:tcPr>
            <w:tcW w:w="5860" w:type="dxa"/>
            <w:vAlign w:val="bottom"/>
          </w:tcPr>
          <w:p>
            <w:pPr>
              <w:jc w:val="center"/>
              <w:ind w:right="2057"/>
              <w:spacing w:after="0"/>
              <w:rPr>
                <w:sz w:val="20"/>
                <w:szCs w:val="20"/>
                <w:color w:val="auto"/>
              </w:rPr>
            </w:pPr>
            <w:r>
              <w:rPr>
                <w:rFonts w:ascii="Arial" w:cs="Arial" w:eastAsia="Arial" w:hAnsi="Arial"/>
                <w:sz w:val="18"/>
                <w:szCs w:val="18"/>
                <w:b w:val="1"/>
                <w:bCs w:val="1"/>
                <w:color w:val="auto"/>
                <w:w w:val="91"/>
              </w:rPr>
              <w:t>Delaware</w:t>
            </w:r>
          </w:p>
        </w:tc>
        <w:tc>
          <w:tcPr>
            <w:tcW w:w="2600" w:type="dxa"/>
            <w:vAlign w:val="bottom"/>
          </w:tcPr>
          <w:p>
            <w:pPr>
              <w:jc w:val="right"/>
              <w:ind w:right="739"/>
              <w:spacing w:after="0"/>
              <w:rPr>
                <w:sz w:val="20"/>
                <w:szCs w:val="20"/>
                <w:color w:val="auto"/>
              </w:rPr>
            </w:pPr>
            <w:r>
              <w:rPr>
                <w:rFonts w:ascii="Arial" w:cs="Arial" w:eastAsia="Arial" w:hAnsi="Arial"/>
                <w:sz w:val="18"/>
                <w:szCs w:val="18"/>
                <w:b w:val="1"/>
                <w:bCs w:val="1"/>
                <w:color w:val="auto"/>
              </w:rPr>
              <w:t>46-3234977</w:t>
            </w:r>
          </w:p>
        </w:tc>
        <w:tc>
          <w:tcPr>
            <w:tcW w:w="0" w:type="dxa"/>
            <w:vAlign w:val="bottom"/>
          </w:tcPr>
          <w:p>
            <w:pPr>
              <w:spacing w:after="0"/>
              <w:rPr>
                <w:sz w:val="1"/>
                <w:szCs w:val="1"/>
                <w:color w:val="auto"/>
              </w:rPr>
            </w:pPr>
          </w:p>
        </w:tc>
      </w:tr>
      <w:tr>
        <w:trPr>
          <w:trHeight w:val="285"/>
        </w:trPr>
        <w:tc>
          <w:tcPr>
            <w:tcW w:w="5860" w:type="dxa"/>
            <w:vAlign w:val="bottom"/>
          </w:tcPr>
          <w:p>
            <w:pPr>
              <w:jc w:val="center"/>
              <w:ind w:right="2057"/>
              <w:spacing w:after="0"/>
              <w:rPr>
                <w:sz w:val="20"/>
                <w:szCs w:val="20"/>
                <w:color w:val="auto"/>
              </w:rPr>
            </w:pPr>
            <w:r>
              <w:rPr>
                <w:rFonts w:ascii="Arial" w:cs="Arial" w:eastAsia="Arial" w:hAnsi="Arial"/>
                <w:sz w:val="14"/>
                <w:szCs w:val="14"/>
                <w:b w:val="1"/>
                <w:bCs w:val="1"/>
                <w:color w:val="auto"/>
                <w:w w:val="93"/>
              </w:rPr>
              <w:t>(State or other jurisdiction of incorporation or organization)</w:t>
            </w:r>
          </w:p>
        </w:tc>
        <w:tc>
          <w:tcPr>
            <w:tcW w:w="2600" w:type="dxa"/>
            <w:vAlign w:val="bottom"/>
          </w:tcPr>
          <w:p>
            <w:pPr>
              <w:jc w:val="center"/>
              <w:spacing w:after="0"/>
              <w:rPr>
                <w:sz w:val="20"/>
                <w:szCs w:val="20"/>
                <w:color w:val="auto"/>
              </w:rPr>
            </w:pPr>
            <w:r>
              <w:rPr>
                <w:rFonts w:ascii="Arial" w:cs="Arial" w:eastAsia="Arial" w:hAnsi="Arial"/>
                <w:sz w:val="14"/>
                <w:szCs w:val="14"/>
                <w:b w:val="1"/>
                <w:bCs w:val="1"/>
                <w:color w:val="auto"/>
                <w:w w:val="96"/>
              </w:rPr>
              <w:t>(I.R.S. Employer Identification Number)</w:t>
            </w:r>
          </w:p>
        </w:tc>
        <w:tc>
          <w:tcPr>
            <w:tcW w:w="0" w:type="dxa"/>
            <w:vAlign w:val="bottom"/>
          </w:tcPr>
          <w:p>
            <w:pPr>
              <w:spacing w:after="0"/>
              <w:rPr>
                <w:sz w:val="1"/>
                <w:szCs w:val="1"/>
                <w:color w:val="auto"/>
              </w:rPr>
            </w:pPr>
          </w:p>
        </w:tc>
      </w:tr>
      <w:tr>
        <w:trPr>
          <w:trHeight w:val="471"/>
        </w:trPr>
        <w:tc>
          <w:tcPr>
            <w:tcW w:w="5860" w:type="dxa"/>
            <w:vAlign w:val="bottom"/>
          </w:tcPr>
          <w:p>
            <w:pPr>
              <w:jc w:val="center"/>
              <w:ind w:right="2057"/>
              <w:spacing w:after="0"/>
              <w:rPr>
                <w:sz w:val="20"/>
                <w:szCs w:val="20"/>
                <w:color w:val="auto"/>
              </w:rPr>
            </w:pPr>
            <w:r>
              <w:rPr>
                <w:rFonts w:ascii="Arial" w:cs="Arial" w:eastAsia="Arial" w:hAnsi="Arial"/>
                <w:sz w:val="18"/>
                <w:szCs w:val="18"/>
                <w:b w:val="1"/>
                <w:bCs w:val="1"/>
                <w:color w:val="auto"/>
                <w:w w:val="93"/>
              </w:rPr>
              <w:t>1000 Abernathy Road NE</w:t>
            </w:r>
          </w:p>
        </w:tc>
        <w:tc>
          <w:tcPr>
            <w:tcW w:w="2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860" w:type="dxa"/>
            <w:vAlign w:val="bottom"/>
          </w:tcPr>
          <w:p>
            <w:pPr>
              <w:jc w:val="center"/>
              <w:ind w:right="2077"/>
              <w:spacing w:after="0"/>
              <w:rPr>
                <w:sz w:val="20"/>
                <w:szCs w:val="20"/>
                <w:color w:val="auto"/>
              </w:rPr>
            </w:pPr>
            <w:r>
              <w:rPr>
                <w:rFonts w:ascii="Arial" w:cs="Arial" w:eastAsia="Arial" w:hAnsi="Arial"/>
                <w:sz w:val="18"/>
                <w:szCs w:val="18"/>
                <w:b w:val="1"/>
                <w:bCs w:val="1"/>
                <w:color w:val="auto"/>
                <w:w w:val="90"/>
              </w:rPr>
              <w:t>Building 400, Suite 1700</w:t>
            </w:r>
          </w:p>
        </w:tc>
        <w:tc>
          <w:tcPr>
            <w:tcW w:w="2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860" w:type="dxa"/>
            <w:vAlign w:val="bottom"/>
          </w:tcPr>
          <w:p>
            <w:pPr>
              <w:jc w:val="center"/>
              <w:ind w:right="2057"/>
              <w:spacing w:after="0"/>
              <w:rPr>
                <w:sz w:val="20"/>
                <w:szCs w:val="20"/>
                <w:color w:val="auto"/>
              </w:rPr>
            </w:pPr>
            <w:r>
              <w:rPr>
                <w:rFonts w:ascii="Arial" w:cs="Arial" w:eastAsia="Arial" w:hAnsi="Arial"/>
                <w:sz w:val="18"/>
                <w:szCs w:val="18"/>
                <w:b w:val="1"/>
                <w:bCs w:val="1"/>
                <w:color w:val="auto"/>
                <w:w w:val="92"/>
              </w:rPr>
              <w:t>Atlanta, Georgia</w:t>
            </w:r>
          </w:p>
        </w:tc>
        <w:tc>
          <w:tcPr>
            <w:tcW w:w="2600" w:type="dxa"/>
            <w:vAlign w:val="bottom"/>
          </w:tcPr>
          <w:p>
            <w:pPr>
              <w:jc w:val="right"/>
              <w:ind w:right="959"/>
              <w:spacing w:after="0"/>
              <w:rPr>
                <w:sz w:val="20"/>
                <w:szCs w:val="20"/>
                <w:color w:val="auto"/>
              </w:rPr>
            </w:pPr>
            <w:r>
              <w:rPr>
                <w:rFonts w:ascii="Arial" w:cs="Arial" w:eastAsia="Arial" w:hAnsi="Arial"/>
                <w:sz w:val="18"/>
                <w:szCs w:val="18"/>
                <w:b w:val="1"/>
                <w:bCs w:val="1"/>
                <w:color w:val="auto"/>
              </w:rPr>
              <w:t>30328</w:t>
            </w:r>
          </w:p>
        </w:tc>
        <w:tc>
          <w:tcPr>
            <w:tcW w:w="0" w:type="dxa"/>
            <w:vAlign w:val="bottom"/>
          </w:tcPr>
          <w:p>
            <w:pPr>
              <w:spacing w:after="0"/>
              <w:rPr>
                <w:sz w:val="1"/>
                <w:szCs w:val="1"/>
                <w:color w:val="auto"/>
              </w:rPr>
            </w:pPr>
          </w:p>
        </w:tc>
      </w:tr>
      <w:tr>
        <w:trPr>
          <w:trHeight w:val="218"/>
        </w:trPr>
        <w:tc>
          <w:tcPr>
            <w:tcW w:w="5860" w:type="dxa"/>
            <w:vAlign w:val="bottom"/>
            <w:vMerge w:val="restart"/>
          </w:tcPr>
          <w:p>
            <w:pPr>
              <w:jc w:val="center"/>
              <w:ind w:right="2077"/>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600" w:type="dxa"/>
            <w:vAlign w:val="bottom"/>
          </w:tcPr>
          <w:p>
            <w:pPr>
              <w:jc w:val="center"/>
              <w:spacing w:after="0"/>
              <w:rPr>
                <w:sz w:val="20"/>
                <w:szCs w:val="20"/>
                <w:color w:val="auto"/>
              </w:rPr>
            </w:pPr>
            <w:r>
              <w:rPr>
                <w:rFonts w:ascii="Arial" w:cs="Arial" w:eastAsia="Arial" w:hAnsi="Arial"/>
                <w:sz w:val="14"/>
                <w:szCs w:val="14"/>
                <w:b w:val="1"/>
                <w:bCs w:val="1"/>
                <w:color w:val="auto"/>
                <w:w w:val="98"/>
              </w:rPr>
              <w:t>(Zip Code)</w:t>
            </w:r>
          </w:p>
        </w:tc>
        <w:tc>
          <w:tcPr>
            <w:tcW w:w="0" w:type="dxa"/>
            <w:vAlign w:val="bottom"/>
          </w:tcPr>
          <w:p>
            <w:pPr>
              <w:spacing w:after="0"/>
              <w:rPr>
                <w:sz w:val="1"/>
                <w:szCs w:val="1"/>
                <w:color w:val="auto"/>
              </w:rPr>
            </w:pPr>
          </w:p>
        </w:tc>
      </w:tr>
      <w:tr>
        <w:trPr>
          <w:trHeight w:val="61"/>
        </w:trPr>
        <w:tc>
          <w:tcPr>
            <w:tcW w:w="5860" w:type="dxa"/>
            <w:vAlign w:val="bottom"/>
            <w:vMerge w:val="continue"/>
          </w:tcPr>
          <w:p>
            <w:pPr>
              <w:spacing w:after="0"/>
              <w:rPr>
                <w:sz w:val="5"/>
                <w:szCs w:val="5"/>
                <w:color w:val="auto"/>
              </w:rPr>
            </w:pPr>
          </w:p>
        </w:tc>
        <w:tc>
          <w:tcPr>
            <w:tcW w:w="26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5860" w:type="dxa"/>
            <w:vAlign w:val="bottom"/>
          </w:tcPr>
          <w:p>
            <w:pPr>
              <w:jc w:val="right"/>
              <w:ind w:right="1057"/>
              <w:spacing w:after="0"/>
              <w:rPr>
                <w:sz w:val="20"/>
                <w:szCs w:val="20"/>
                <w:color w:val="auto"/>
              </w:rPr>
            </w:pPr>
            <w:r>
              <w:rPr>
                <w:rFonts w:ascii="Arial" w:cs="Arial" w:eastAsia="Arial" w:hAnsi="Arial"/>
                <w:sz w:val="18"/>
                <w:szCs w:val="18"/>
                <w:b w:val="1"/>
                <w:bCs w:val="1"/>
                <w:color w:val="auto"/>
              </w:rPr>
              <w:t>(770) 391-8200</w:t>
            </w:r>
          </w:p>
        </w:tc>
        <w:tc>
          <w:tcPr>
            <w:tcW w:w="2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6"/>
        </w:trPr>
        <w:tc>
          <w:tcPr>
            <w:tcW w:w="5860" w:type="dxa"/>
            <w:vAlign w:val="bottom"/>
          </w:tcPr>
          <w:p>
            <w:pPr>
              <w:jc w:val="center"/>
              <w:ind w:left="2377"/>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26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102"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299"/>
        <w:spacing w:after="0"/>
        <w:rPr>
          <w:sz w:val="20"/>
          <w:szCs w:val="20"/>
          <w:color w:val="auto"/>
        </w:rPr>
      </w:pPr>
      <w:r>
        <w:rPr>
          <w:rFonts w:ascii="Arial" w:cs="Arial" w:eastAsia="Arial" w:hAnsi="Arial"/>
          <w:sz w:val="14"/>
          <w:szCs w:val="14"/>
          <w:b w:val="1"/>
          <w:bCs w:val="1"/>
          <w:color w:val="auto"/>
        </w:rPr>
        <w:t>(Former name, former address and former fiscal year, if changed since last report)</w:t>
      </w:r>
    </w:p>
    <w:p>
      <w:pPr>
        <w:spacing w:after="0" w:line="152"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142" w:lineRule="exact"/>
        <w:rPr>
          <w:sz w:val="24"/>
          <w:szCs w:val="24"/>
          <w:color w:val="auto"/>
        </w:rPr>
      </w:pPr>
    </w:p>
    <w:tbl>
      <w:tblPr>
        <w:tblLayout w:type="fixed"/>
        <w:tblInd w:w="770" w:type="dxa"/>
        <w:tblCellMar>
          <w:top w:w="0" w:type="dxa"/>
          <w:left w:w="0" w:type="dxa"/>
          <w:bottom w:w="0" w:type="dxa"/>
          <w:right w:w="0" w:type="dxa"/>
        </w:tblCellMar>
      </w:tblPr>
      <w:tr>
        <w:trPr>
          <w:trHeight w:val="257"/>
        </w:trPr>
        <w:tc>
          <w:tcPr>
            <w:tcW w:w="33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2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Trading Symbol(s)</w:t>
            </w:r>
          </w:p>
        </w:tc>
        <w:tc>
          <w:tcPr>
            <w:tcW w:w="43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4360" w:type="dxa"/>
            <w:vAlign w:val="bottom"/>
            <w:tcBorders>
              <w:bottom w:val="single" w:sz="8" w:color="auto"/>
              <w:right w:val="single" w:sz="8" w:color="auto"/>
            </w:tcBorders>
          </w:tcPr>
          <w:p>
            <w:pPr>
              <w:spacing w:after="0"/>
              <w:rPr>
                <w:sz w:val="2"/>
                <w:szCs w:val="2"/>
                <w:color w:val="auto"/>
              </w:rPr>
            </w:pPr>
          </w:p>
        </w:tc>
      </w:tr>
      <w:tr>
        <w:trPr>
          <w:trHeight w:val="237"/>
        </w:trPr>
        <w:tc>
          <w:tcPr>
            <w:tcW w:w="33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$0.01 par value</w:t>
            </w:r>
          </w:p>
        </w:tc>
        <w:tc>
          <w:tcPr>
            <w:tcW w:w="228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rPr>
              <w:t>VRTV</w:t>
            </w:r>
          </w:p>
        </w:tc>
        <w:tc>
          <w:tcPr>
            <w:tcW w:w="436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r>
      <w:tr>
        <w:trPr>
          <w:trHeight w:val="27"/>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4360" w:type="dxa"/>
            <w:vAlign w:val="bottom"/>
            <w:tcBorders>
              <w:bottom w:val="single" w:sz="8" w:color="auto"/>
              <w:right w:val="single" w:sz="8" w:color="auto"/>
            </w:tcBorders>
          </w:tcPr>
          <w:p>
            <w:pPr>
              <w:spacing w:after="0"/>
              <w:rPr>
                <w:sz w:val="2"/>
                <w:szCs w:val="2"/>
                <w:color w:val="auto"/>
              </w:rPr>
            </w:pPr>
          </w:p>
        </w:tc>
      </w:tr>
    </w:tbl>
    <w:p>
      <w:pPr>
        <w:spacing w:after="0" w:line="364" w:lineRule="exact"/>
        <w:rPr>
          <w:sz w:val="24"/>
          <w:szCs w:val="24"/>
          <w:color w:val="auto"/>
        </w:rPr>
      </w:pPr>
    </w:p>
    <w:p>
      <w:pPr>
        <w:ind w:right="180"/>
        <w:spacing w:after="0" w:line="222"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8"/>
          <w:szCs w:val="18"/>
          <w:color w:val="auto"/>
        </w:rPr>
        <w:t xml:space="preserve"> No </w:t>
      </w:r>
      <w:r>
        <w:rPr>
          <w:rFonts w:ascii="MS PGothic" w:cs="MS PGothic" w:eastAsia="MS PGothic" w:hAnsi="MS PGothic"/>
          <w:sz w:val="14"/>
          <w:szCs w:val="14"/>
          <w:color w:val="auto"/>
        </w:rPr>
        <w:t>☐</w:t>
      </w:r>
    </w:p>
    <w:p>
      <w:pPr>
        <w:spacing w:after="0" w:line="213" w:lineRule="exact"/>
        <w:rPr>
          <w:sz w:val="24"/>
          <w:szCs w:val="24"/>
          <w:color w:val="auto"/>
        </w:rPr>
      </w:pPr>
    </w:p>
    <w:p>
      <w:pPr>
        <w:spacing w:after="0" w:line="222"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8"/>
          <w:szCs w:val="18"/>
          <w:color w:val="auto"/>
        </w:rPr>
        <w:t xml:space="preserve"> No </w:t>
      </w:r>
      <w:r>
        <w:rPr>
          <w:rFonts w:ascii="MS PGothic" w:cs="MS PGothic" w:eastAsia="MS PGothic" w:hAnsi="MS PGothic"/>
          <w:sz w:val="14"/>
          <w:szCs w:val="14"/>
          <w:color w:val="auto"/>
        </w:rPr>
        <w:t>☐</w:t>
      </w:r>
    </w:p>
    <w:p>
      <w:pPr>
        <w:sectPr>
          <w:pgSz w:w="11900" w:h="16838" w:orient="portrait"/>
          <w:cols w:equalWidth="0" w:num="1">
            <w:col w:w="11120"/>
          </w:cols>
          <w:pgMar w:left="240" w:top="351" w:right="539" w:bottom="1440" w:gutter="0" w:footer="0" w:header="0"/>
        </w:sectPr>
      </w:pPr>
    </w:p>
    <w:bookmarkStart w:id="1" w:name="page2"/>
    <w:bookmarkEnd w:id="1"/>
    <w:p>
      <w:pPr>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291" w:lineRule="exact"/>
        <w:rPr>
          <w:sz w:val="20"/>
          <w:szCs w:val="20"/>
          <w:color w:val="auto"/>
        </w:rPr>
      </w:pPr>
    </w:p>
    <w:tbl>
      <w:tblPr>
        <w:tblLayout w:type="fixed"/>
        <w:tblInd w:w="40" w:type="dxa"/>
        <w:tblCellMar>
          <w:top w:w="0" w:type="dxa"/>
          <w:left w:w="0" w:type="dxa"/>
          <w:bottom w:w="0" w:type="dxa"/>
          <w:right w:w="0" w:type="dxa"/>
        </w:tblCellMar>
      </w:tblPr>
      <w:tr>
        <w:trPr>
          <w:trHeight w:val="254"/>
        </w:trPr>
        <w:tc>
          <w:tcPr>
            <w:tcW w:w="198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280" w:type="dxa"/>
            <w:vAlign w:val="bottom"/>
          </w:tcPr>
          <w:p>
            <w:pPr>
              <w:ind w:left="520"/>
              <w:spacing w:after="0" w:line="161" w:lineRule="exact"/>
              <w:rPr>
                <w:sz w:val="20"/>
                <w:szCs w:val="20"/>
                <w:color w:val="auto"/>
              </w:rPr>
            </w:pPr>
            <w:r>
              <w:rPr>
                <w:rFonts w:ascii="MS PGothic" w:cs="MS PGothic" w:eastAsia="MS PGothic" w:hAnsi="MS PGothic"/>
                <w:sz w:val="16"/>
                <w:szCs w:val="16"/>
                <w:color w:val="auto"/>
              </w:rPr>
              <w:t>☐</w:t>
            </w:r>
          </w:p>
        </w:tc>
        <w:tc>
          <w:tcPr>
            <w:tcW w:w="5040" w:type="dxa"/>
            <w:vAlign w:val="bottom"/>
          </w:tcPr>
          <w:p>
            <w:pPr>
              <w:ind w:left="2620"/>
              <w:spacing w:after="0"/>
              <w:rPr>
                <w:sz w:val="20"/>
                <w:szCs w:val="20"/>
                <w:color w:val="auto"/>
              </w:rPr>
            </w:pPr>
            <w:r>
              <w:rPr>
                <w:rFonts w:ascii="Arial" w:cs="Arial" w:eastAsia="Arial" w:hAnsi="Arial"/>
                <w:sz w:val="16"/>
                <w:szCs w:val="16"/>
                <w:color w:val="auto"/>
              </w:rPr>
              <w:t>Accelerated filer</w:t>
            </w:r>
          </w:p>
        </w:tc>
        <w:tc>
          <w:tcPr>
            <w:tcW w:w="800" w:type="dxa"/>
            <w:vAlign w:val="bottom"/>
          </w:tcPr>
          <w:p>
            <w:pPr>
              <w:ind w:left="660"/>
              <w:spacing w:after="0" w:line="161" w:lineRule="exact"/>
              <w:rPr>
                <w:sz w:val="20"/>
                <w:szCs w:val="20"/>
                <w:color w:val="auto"/>
              </w:rPr>
            </w:pPr>
            <w:r>
              <w:rPr>
                <w:rFonts w:ascii="MS PGothic" w:cs="MS PGothic" w:eastAsia="MS PGothic" w:hAnsi="MS PGothic"/>
                <w:sz w:val="16"/>
                <w:szCs w:val="16"/>
                <w:color w:val="auto"/>
                <w:w w:val="74"/>
              </w:rPr>
              <w:t>☒</w:t>
            </w:r>
          </w:p>
        </w:tc>
        <w:tc>
          <w:tcPr>
            <w:tcW w:w="0" w:type="dxa"/>
            <w:vAlign w:val="bottom"/>
          </w:tcPr>
          <w:p>
            <w:pPr>
              <w:spacing w:after="0"/>
              <w:rPr>
                <w:sz w:val="1"/>
                <w:szCs w:val="1"/>
                <w:color w:val="auto"/>
              </w:rPr>
            </w:pPr>
          </w:p>
        </w:tc>
      </w:tr>
      <w:tr>
        <w:trPr>
          <w:trHeight w:val="257"/>
        </w:trPr>
        <w:tc>
          <w:tcPr>
            <w:tcW w:w="1980" w:type="dxa"/>
            <w:vAlign w:val="bottom"/>
            <w:vMerge w:val="restart"/>
          </w:tcPr>
          <w:p>
            <w:pPr>
              <w:spacing w:after="0"/>
              <w:rPr>
                <w:sz w:val="20"/>
                <w:szCs w:val="20"/>
                <w:color w:val="auto"/>
              </w:rPr>
            </w:pPr>
            <w:r>
              <w:rPr>
                <w:rFonts w:ascii="Arial" w:cs="Arial" w:eastAsia="Arial" w:hAnsi="Arial"/>
                <w:sz w:val="16"/>
                <w:szCs w:val="16"/>
                <w:color w:val="auto"/>
              </w:rPr>
              <w:t>Non-accelerated filer</w:t>
            </w:r>
          </w:p>
        </w:tc>
        <w:tc>
          <w:tcPr>
            <w:tcW w:w="3280" w:type="dxa"/>
            <w:vAlign w:val="bottom"/>
          </w:tcPr>
          <w:p>
            <w:pPr>
              <w:ind w:left="520"/>
              <w:spacing w:after="0" w:line="161" w:lineRule="exact"/>
              <w:rPr>
                <w:sz w:val="20"/>
                <w:szCs w:val="20"/>
                <w:color w:val="auto"/>
              </w:rPr>
            </w:pPr>
            <w:r>
              <w:rPr>
                <w:rFonts w:ascii="MS PGothic" w:cs="MS PGothic" w:eastAsia="MS PGothic" w:hAnsi="MS PGothic"/>
                <w:sz w:val="16"/>
                <w:szCs w:val="16"/>
                <w:color w:val="auto"/>
              </w:rPr>
              <w:t>☐</w:t>
            </w:r>
          </w:p>
        </w:tc>
        <w:tc>
          <w:tcPr>
            <w:tcW w:w="5040" w:type="dxa"/>
            <w:vAlign w:val="bottom"/>
            <w:vMerge w:val="restart"/>
          </w:tcPr>
          <w:p>
            <w:pPr>
              <w:ind w:left="2620"/>
              <w:spacing w:after="0"/>
              <w:rPr>
                <w:sz w:val="20"/>
                <w:szCs w:val="20"/>
                <w:color w:val="auto"/>
              </w:rPr>
            </w:pPr>
            <w:r>
              <w:rPr>
                <w:rFonts w:ascii="Arial" w:cs="Arial" w:eastAsia="Arial" w:hAnsi="Arial"/>
                <w:sz w:val="16"/>
                <w:szCs w:val="16"/>
                <w:color w:val="auto"/>
              </w:rPr>
              <w:t>Smaller reporting company</w:t>
            </w:r>
          </w:p>
        </w:tc>
        <w:tc>
          <w:tcPr>
            <w:tcW w:w="800" w:type="dxa"/>
            <w:vAlign w:val="bottom"/>
            <w:vMerge w:val="restart"/>
          </w:tcPr>
          <w:p>
            <w:pPr>
              <w:ind w:left="660"/>
              <w:spacing w:after="0" w:line="161" w:lineRule="exact"/>
              <w:rPr>
                <w:sz w:val="20"/>
                <w:szCs w:val="20"/>
                <w:color w:val="auto"/>
              </w:rPr>
            </w:pPr>
            <w:r>
              <w:rPr>
                <w:rFonts w:ascii="MS PGothic" w:cs="MS PGothic" w:eastAsia="MS PGothic" w:hAnsi="MS PGothic"/>
                <w:sz w:val="16"/>
                <w:szCs w:val="16"/>
                <w:color w:val="auto"/>
                <w:w w:val="74"/>
              </w:rPr>
              <w:t>☐</w:t>
            </w:r>
          </w:p>
        </w:tc>
        <w:tc>
          <w:tcPr>
            <w:tcW w:w="0" w:type="dxa"/>
            <w:vAlign w:val="bottom"/>
          </w:tcPr>
          <w:p>
            <w:pPr>
              <w:spacing w:after="0"/>
              <w:rPr>
                <w:sz w:val="1"/>
                <w:szCs w:val="1"/>
                <w:color w:val="auto"/>
              </w:rPr>
            </w:pPr>
          </w:p>
        </w:tc>
      </w:tr>
      <w:tr>
        <w:trPr>
          <w:trHeight w:val="176"/>
        </w:trPr>
        <w:tc>
          <w:tcPr>
            <w:tcW w:w="1980" w:type="dxa"/>
            <w:vAlign w:val="bottom"/>
            <w:vMerge w:val="continue"/>
          </w:tcPr>
          <w:p>
            <w:pPr>
              <w:spacing w:after="0"/>
              <w:rPr>
                <w:sz w:val="15"/>
                <w:szCs w:val="15"/>
                <w:color w:val="auto"/>
              </w:rPr>
            </w:pPr>
          </w:p>
        </w:tc>
        <w:tc>
          <w:tcPr>
            <w:tcW w:w="3280" w:type="dxa"/>
            <w:vAlign w:val="bottom"/>
          </w:tcPr>
          <w:p>
            <w:pPr>
              <w:spacing w:after="0"/>
              <w:rPr>
                <w:sz w:val="15"/>
                <w:szCs w:val="15"/>
                <w:color w:val="auto"/>
              </w:rPr>
            </w:pPr>
          </w:p>
        </w:tc>
        <w:tc>
          <w:tcPr>
            <w:tcW w:w="5040" w:type="dxa"/>
            <w:vAlign w:val="bottom"/>
            <w:vMerge w:val="continue"/>
          </w:tcPr>
          <w:p>
            <w:pPr>
              <w:spacing w:after="0"/>
              <w:rPr>
                <w:sz w:val="15"/>
                <w:szCs w:val="15"/>
                <w:color w:val="auto"/>
              </w:rPr>
            </w:pPr>
          </w:p>
        </w:tc>
        <w:tc>
          <w:tcPr>
            <w:tcW w:w="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70"/>
        </w:trPr>
        <w:tc>
          <w:tcPr>
            <w:tcW w:w="1980" w:type="dxa"/>
            <w:vAlign w:val="bottom"/>
          </w:tcPr>
          <w:p>
            <w:pPr>
              <w:spacing w:after="0"/>
              <w:rPr>
                <w:sz w:val="23"/>
                <w:szCs w:val="23"/>
                <w:color w:val="auto"/>
              </w:rPr>
            </w:pPr>
          </w:p>
        </w:tc>
        <w:tc>
          <w:tcPr>
            <w:tcW w:w="3280" w:type="dxa"/>
            <w:vAlign w:val="bottom"/>
          </w:tcPr>
          <w:p>
            <w:pPr>
              <w:spacing w:after="0"/>
              <w:rPr>
                <w:sz w:val="23"/>
                <w:szCs w:val="23"/>
                <w:color w:val="auto"/>
              </w:rPr>
            </w:pPr>
          </w:p>
        </w:tc>
        <w:tc>
          <w:tcPr>
            <w:tcW w:w="5040" w:type="dxa"/>
            <w:vAlign w:val="bottom"/>
          </w:tcPr>
          <w:p>
            <w:pPr>
              <w:ind w:left="2620"/>
              <w:spacing w:after="0"/>
              <w:rPr>
                <w:sz w:val="20"/>
                <w:szCs w:val="20"/>
                <w:color w:val="auto"/>
              </w:rPr>
            </w:pPr>
            <w:r>
              <w:rPr>
                <w:rFonts w:ascii="Arial" w:cs="Arial" w:eastAsia="Arial" w:hAnsi="Arial"/>
                <w:sz w:val="16"/>
                <w:szCs w:val="16"/>
                <w:color w:val="auto"/>
              </w:rPr>
              <w:t>Emerging growth company</w:t>
            </w:r>
          </w:p>
        </w:tc>
        <w:tc>
          <w:tcPr>
            <w:tcW w:w="800" w:type="dxa"/>
            <w:vAlign w:val="bottom"/>
          </w:tcPr>
          <w:p>
            <w:pPr>
              <w:ind w:left="660"/>
              <w:spacing w:after="0" w:line="161" w:lineRule="exact"/>
              <w:rPr>
                <w:sz w:val="20"/>
                <w:szCs w:val="20"/>
                <w:color w:val="auto"/>
              </w:rPr>
            </w:pPr>
            <w:r>
              <w:rPr>
                <w:rFonts w:ascii="MS PGothic" w:cs="MS PGothic" w:eastAsia="MS PGothic" w:hAnsi="MS PGothic"/>
                <w:sz w:val="16"/>
                <w:szCs w:val="16"/>
                <w:color w:val="auto"/>
                <w:w w:val="74"/>
              </w:rPr>
              <w:t>☐</w:t>
            </w:r>
          </w:p>
        </w:tc>
        <w:tc>
          <w:tcPr>
            <w:tcW w:w="0" w:type="dxa"/>
            <w:vAlign w:val="bottom"/>
          </w:tcPr>
          <w:p>
            <w:pPr>
              <w:spacing w:after="0"/>
              <w:rPr>
                <w:sz w:val="1"/>
                <w:szCs w:val="1"/>
                <w:color w:val="auto"/>
              </w:rPr>
            </w:pPr>
          </w:p>
        </w:tc>
      </w:tr>
    </w:tbl>
    <w:p>
      <w:pPr>
        <w:spacing w:after="0" w:line="109" w:lineRule="exact"/>
        <w:rPr>
          <w:sz w:val="20"/>
          <w:szCs w:val="20"/>
          <w:color w:val="auto"/>
        </w:rPr>
      </w:pPr>
    </w:p>
    <w:p>
      <w:pPr>
        <w:ind w:right="60"/>
        <w:spacing w:after="0" w:line="229"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191"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Act). Yes </w:t>
      </w:r>
      <w:r>
        <w:rPr>
          <w:rFonts w:ascii="MS PGothic" w:cs="MS PGothic" w:eastAsia="MS PGothic" w:hAnsi="MS PGothic"/>
          <w:sz w:val="14"/>
          <w:szCs w:val="14"/>
          <w:color w:val="auto"/>
        </w:rPr>
        <w:t>☐</w:t>
      </w:r>
      <w:r>
        <w:rPr>
          <w:rFonts w:ascii="Arial" w:cs="Arial" w:eastAsia="Arial" w:hAnsi="Arial"/>
          <w:sz w:val="18"/>
          <w:szCs w:val="18"/>
          <w:color w:val="auto"/>
        </w:rPr>
        <w:t xml:space="preserve"> No </w:t>
      </w:r>
      <w:r>
        <w:rPr>
          <w:rFonts w:ascii="MS PGothic" w:cs="MS PGothic" w:eastAsia="MS PGothic" w:hAnsi="MS PGothic"/>
          <w:sz w:val="14"/>
          <w:szCs w:val="14"/>
          <w:color w:val="auto"/>
        </w:rPr>
        <w:t>☒</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The number of shares outstanding of the registrant's common stock as of August 1, 2019 was 16,099,579.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368" w:right="31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7320" w:type="dxa"/>
            <w:vAlign w:val="bottom"/>
            <w:gridSpan w:val="9"/>
          </w:tcPr>
          <w:p>
            <w:pPr>
              <w:ind w:left="1380"/>
              <w:spacing w:after="0"/>
              <w:rPr>
                <w:sz w:val="20"/>
                <w:szCs w:val="20"/>
                <w:color w:val="auto"/>
              </w:rPr>
            </w:pPr>
            <w:r>
              <w:rPr>
                <w:rFonts w:ascii="Arial" w:cs="Arial" w:eastAsia="Arial" w:hAnsi="Arial"/>
                <w:sz w:val="18"/>
                <w:szCs w:val="18"/>
                <w:b w:val="1"/>
                <w:bCs w:val="1"/>
                <w:color w:val="auto"/>
              </w:rPr>
              <w:t>TABLE OF CONTENTS</w:t>
            </w: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78"/>
        </w:trPr>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60" w:type="dxa"/>
            <w:vAlign w:val="bottom"/>
            <w:gridSpan w:val="4"/>
          </w:tcPr>
          <w:p>
            <w:pPr>
              <w:ind w:left="140"/>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27"/>
        </w:trPr>
        <w:tc>
          <w:tcPr>
            <w:tcW w:w="10660" w:type="dxa"/>
            <w:vAlign w:val="bottom"/>
            <w:gridSpan w:val="20"/>
            <w:vMerge w:val="restart"/>
          </w:tcPr>
          <w:p>
            <w:pPr>
              <w:spacing w:after="0"/>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Part I: FINANCIAL INFORMATION</w:t>
              </w:r>
            </w:hyperlink>
          </w:p>
        </w:tc>
        <w:tc>
          <w:tcPr>
            <w:tcW w:w="4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10660" w:type="dxa"/>
            <w:vAlign w:val="bottom"/>
            <w:gridSpan w:val="20"/>
            <w:vMerge w:val="continue"/>
          </w:tcPr>
          <w:p>
            <w:pPr>
              <w:spacing w:after="0"/>
              <w:rPr>
                <w:sz w:val="15"/>
                <w:szCs w:val="15"/>
                <w:color w:val="auto"/>
              </w:rPr>
            </w:pPr>
          </w:p>
        </w:tc>
        <w:tc>
          <w:tcPr>
            <w:tcW w:w="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right w:val="single" w:sz="8" w:color="0000EE"/>
            </w:tcBorders>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920" w:type="dxa"/>
            <w:vAlign w:val="bottom"/>
            <w:gridSpan w:val="3"/>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Item 1.</w:t>
              </w:r>
            </w:hyperlink>
          </w:p>
        </w:tc>
        <w:tc>
          <w:tcPr>
            <w:tcW w:w="9740" w:type="dxa"/>
            <w:vAlign w:val="bottom"/>
            <w:gridSpan w:val="17"/>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Financial Statements (Unaudited)</w:t>
              </w:r>
            </w:hyperlink>
          </w:p>
        </w:tc>
        <w:tc>
          <w:tcPr>
            <w:tcW w:w="660" w:type="dxa"/>
            <w:vAlign w:val="bottom"/>
            <w:gridSpan w:val="4"/>
          </w:tcPr>
          <w:p>
            <w:pPr>
              <w:jc w:val="right"/>
              <w:ind w:right="20"/>
              <w:spacing w:after="0"/>
              <w:rPr>
                <w:rFonts w:ascii="Arial" w:cs="Arial" w:eastAsia="Arial" w:hAnsi="Arial"/>
                <w:sz w:val="18"/>
                <w:szCs w:val="18"/>
                <w:color w:val="0000EE"/>
              </w:rPr>
            </w:pPr>
            <w:hyperlink w:anchor="page4">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740" w:type="dxa"/>
            <w:vAlign w:val="bottom"/>
            <w:gridSpan w:val="17"/>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Condensed Consolidated Statements of Operations for the three and six months ended June 30, 2019 and 2018</w:t>
              </w:r>
            </w:hyperlink>
          </w:p>
        </w:tc>
        <w:tc>
          <w:tcPr>
            <w:tcW w:w="660" w:type="dxa"/>
            <w:vAlign w:val="bottom"/>
            <w:gridSpan w:val="4"/>
          </w:tcPr>
          <w:p>
            <w:pPr>
              <w:jc w:val="right"/>
              <w:ind w:right="20"/>
              <w:spacing w:after="0"/>
              <w:rPr>
                <w:rFonts w:ascii="Arial" w:cs="Arial" w:eastAsia="Arial" w:hAnsi="Arial"/>
                <w:sz w:val="18"/>
                <w:szCs w:val="18"/>
                <w:color w:val="0000EE"/>
              </w:rPr>
            </w:pPr>
            <w:hyperlink w:anchor="page4">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right w:val="single" w:sz="8" w:color="0000EE"/>
            </w:tcBorders>
            <w:shd w:val="clear" w:color="auto" w:fill="0000EE"/>
          </w:tcPr>
          <w:p>
            <w:pPr>
              <w:spacing w:after="0" w:line="20" w:lineRule="exact"/>
              <w:rPr>
                <w:sz w:val="1"/>
                <w:szCs w:val="1"/>
                <w:color w:val="auto"/>
              </w:rPr>
            </w:pPr>
          </w:p>
        </w:tc>
        <w:tc>
          <w:tcPr>
            <w:tcW w:w="2220" w:type="dxa"/>
            <w:vAlign w:val="bottom"/>
            <w:gridSpan w:val="3"/>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380" w:type="dxa"/>
            <w:vAlign w:val="bottom"/>
            <w:tcBorders>
              <w:bottom w:val="single" w:sz="8" w:color="0000EE"/>
            </w:tcBorders>
            <w:gridSpan w:val="16"/>
          </w:tcPr>
          <w:p>
            <w:pPr>
              <w:spacing w:after="0"/>
              <w:rPr>
                <w:rFonts w:ascii="Arial" w:cs="Arial" w:eastAsia="Arial" w:hAnsi="Arial"/>
                <w:sz w:val="18"/>
                <w:szCs w:val="18"/>
                <w:color w:val="0000EE"/>
                <w:w w:val="89"/>
              </w:rPr>
            </w:pPr>
            <w:hyperlink w:anchor="page5">
              <w:r>
                <w:rPr>
                  <w:rFonts w:ascii="Arial" w:cs="Arial" w:eastAsia="Arial" w:hAnsi="Arial"/>
                  <w:sz w:val="18"/>
                  <w:szCs w:val="18"/>
                  <w:color w:val="0000EE"/>
                  <w:w w:val="89"/>
                </w:rPr>
                <w:t>Condensed Consolidated Statements of Comprehensive Income (Loss) for the three and six months ended June 30, 2019 and 2018</w:t>
              </w:r>
            </w:hyperlink>
          </w:p>
        </w:tc>
        <w:tc>
          <w:tcPr>
            <w:tcW w:w="360" w:type="dxa"/>
            <w:vAlign w:val="bottom"/>
          </w:tcPr>
          <w:p>
            <w:pPr>
              <w:spacing w:after="0"/>
              <w:rPr>
                <w:sz w:val="21"/>
                <w:szCs w:val="21"/>
                <w:color w:val="auto"/>
              </w:rPr>
            </w:pPr>
          </w:p>
        </w:tc>
        <w:tc>
          <w:tcPr>
            <w:tcW w:w="540" w:type="dxa"/>
            <w:vAlign w:val="bottom"/>
            <w:gridSpan w:val="2"/>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5">
              <w:r>
                <w:rPr>
                  <w:rFonts w:ascii="Arial" w:cs="Arial" w:eastAsia="Arial" w:hAnsi="Arial"/>
                  <w:sz w:val="18"/>
                  <w:szCs w:val="18"/>
                  <w:color w:val="0000EE"/>
                  <w:w w:val="79"/>
                </w:rPr>
                <w:t>2</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140" w:type="dxa"/>
            <w:vAlign w:val="bottom"/>
            <w:tcBorders>
              <w:bottom w:val="single" w:sz="8" w:color="0000EE"/>
            </w:tcBorders>
            <w:gridSpan w:val="11"/>
          </w:tcPr>
          <w:p>
            <w:pPr>
              <w:spacing w:after="0"/>
              <w:rPr>
                <w:rFonts w:ascii="Arial" w:cs="Arial" w:eastAsia="Arial" w:hAnsi="Arial"/>
                <w:sz w:val="18"/>
                <w:szCs w:val="18"/>
                <w:color w:val="0000EE"/>
                <w:w w:val="88"/>
              </w:rPr>
            </w:pPr>
            <w:hyperlink w:anchor="page6">
              <w:r>
                <w:rPr>
                  <w:rFonts w:ascii="Arial" w:cs="Arial" w:eastAsia="Arial" w:hAnsi="Arial"/>
                  <w:sz w:val="18"/>
                  <w:szCs w:val="18"/>
                  <w:color w:val="0000EE"/>
                  <w:w w:val="88"/>
                </w:rPr>
                <w:t>Condensed Consolidated Balance Sheets as of June 30, 2019 and December 31, 2018</w:t>
              </w:r>
            </w:hyperlink>
          </w:p>
        </w:tc>
        <w:tc>
          <w:tcPr>
            <w:tcW w:w="3600" w:type="dxa"/>
            <w:vAlign w:val="bottom"/>
            <w:gridSpan w:val="6"/>
          </w:tcPr>
          <w:p>
            <w:pPr>
              <w:spacing w:after="0"/>
              <w:rPr>
                <w:sz w:val="21"/>
                <w:szCs w:val="21"/>
                <w:color w:val="auto"/>
              </w:rPr>
            </w:pPr>
          </w:p>
        </w:tc>
        <w:tc>
          <w:tcPr>
            <w:tcW w:w="540" w:type="dxa"/>
            <w:vAlign w:val="bottom"/>
            <w:gridSpan w:val="2"/>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6">
              <w:r>
                <w:rPr>
                  <w:rFonts w:ascii="Arial" w:cs="Arial" w:eastAsia="Arial" w:hAnsi="Arial"/>
                  <w:sz w:val="18"/>
                  <w:szCs w:val="18"/>
                  <w:color w:val="0000EE"/>
                  <w:w w:val="79"/>
                </w:rPr>
                <w:t>3</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300" w:type="dxa"/>
            <w:vAlign w:val="bottom"/>
            <w:tcBorders>
              <w:bottom w:val="single" w:sz="8" w:color="0000EE"/>
            </w:tcBorders>
            <w:gridSpan w:val="13"/>
          </w:tcPr>
          <w:p>
            <w:pPr>
              <w:spacing w:after="0"/>
              <w:rPr>
                <w:rFonts w:ascii="Arial" w:cs="Arial" w:eastAsia="Arial" w:hAnsi="Arial"/>
                <w:sz w:val="18"/>
                <w:szCs w:val="18"/>
                <w:color w:val="0000EE"/>
                <w:w w:val="88"/>
              </w:rPr>
            </w:pPr>
            <w:hyperlink w:anchor="page7">
              <w:r>
                <w:rPr>
                  <w:rFonts w:ascii="Arial" w:cs="Arial" w:eastAsia="Arial" w:hAnsi="Arial"/>
                  <w:sz w:val="18"/>
                  <w:szCs w:val="18"/>
                  <w:color w:val="0000EE"/>
                  <w:w w:val="88"/>
                </w:rPr>
                <w:t>Condensed Consolidated Statements of Cash Flows for the six months ended June 30, 2019 and 2018</w:t>
              </w:r>
            </w:hyperlink>
          </w:p>
        </w:tc>
        <w:tc>
          <w:tcPr>
            <w:tcW w:w="2440" w:type="dxa"/>
            <w:vAlign w:val="bottom"/>
            <w:gridSpan w:val="4"/>
          </w:tcPr>
          <w:p>
            <w:pPr>
              <w:spacing w:after="0"/>
              <w:rPr>
                <w:sz w:val="21"/>
                <w:szCs w:val="21"/>
                <w:color w:val="auto"/>
              </w:rPr>
            </w:pPr>
          </w:p>
        </w:tc>
        <w:tc>
          <w:tcPr>
            <w:tcW w:w="540" w:type="dxa"/>
            <w:vAlign w:val="bottom"/>
            <w:gridSpan w:val="2"/>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4</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60" w:type="dxa"/>
            <w:vAlign w:val="bottom"/>
            <w:tcBorders>
              <w:bottom w:val="single" w:sz="8" w:color="0000EE"/>
            </w:tcBorders>
            <w:gridSpan w:val="15"/>
          </w:tcPr>
          <w:p>
            <w:pPr>
              <w:spacing w:after="0"/>
              <w:rPr>
                <w:rFonts w:ascii="Arial" w:cs="Arial" w:eastAsia="Arial" w:hAnsi="Arial"/>
                <w:sz w:val="18"/>
                <w:szCs w:val="18"/>
                <w:color w:val="0000EE"/>
                <w:w w:val="88"/>
              </w:rPr>
            </w:pPr>
            <w:hyperlink w:anchor="page8">
              <w:r>
                <w:rPr>
                  <w:rFonts w:ascii="Arial" w:cs="Arial" w:eastAsia="Arial" w:hAnsi="Arial"/>
                  <w:sz w:val="18"/>
                  <w:szCs w:val="18"/>
                  <w:color w:val="0000EE"/>
                  <w:w w:val="88"/>
                </w:rPr>
                <w:t>Condensed Consolidated Statements of Shareholders' Equity for the three and six months ended June 30, 2019 and 2018</w:t>
              </w:r>
            </w:hyperlink>
          </w:p>
        </w:tc>
        <w:tc>
          <w:tcPr>
            <w:tcW w:w="1080" w:type="dxa"/>
            <w:vAlign w:val="bottom"/>
            <w:gridSpan w:val="2"/>
          </w:tcPr>
          <w:p>
            <w:pPr>
              <w:spacing w:after="0"/>
              <w:rPr>
                <w:sz w:val="21"/>
                <w:szCs w:val="21"/>
                <w:color w:val="auto"/>
              </w:rPr>
            </w:pPr>
          </w:p>
        </w:tc>
        <w:tc>
          <w:tcPr>
            <w:tcW w:w="540" w:type="dxa"/>
            <w:vAlign w:val="bottom"/>
            <w:gridSpan w:val="2"/>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8">
              <w:r>
                <w:rPr>
                  <w:rFonts w:ascii="Arial" w:cs="Arial" w:eastAsia="Arial" w:hAnsi="Arial"/>
                  <w:sz w:val="18"/>
                  <w:szCs w:val="18"/>
                  <w:color w:val="0000EE"/>
                  <w:w w:val="79"/>
                </w:rPr>
                <w:t>5</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740" w:type="dxa"/>
            <w:vAlign w:val="bottom"/>
            <w:gridSpan w:val="17"/>
          </w:tcPr>
          <w:p>
            <w:pPr>
              <w:spacing w:after="0"/>
              <w:rPr>
                <w:rFonts w:ascii="Arial" w:cs="Arial" w:eastAsia="Arial" w:hAnsi="Arial"/>
                <w:sz w:val="18"/>
                <w:szCs w:val="18"/>
                <w:color w:val="0000EE"/>
              </w:rPr>
            </w:pPr>
            <w:hyperlink w:anchor="page10">
              <w:r>
                <w:rPr>
                  <w:rFonts w:ascii="Arial" w:cs="Arial" w:eastAsia="Arial" w:hAnsi="Arial"/>
                  <w:sz w:val="18"/>
                  <w:szCs w:val="18"/>
                  <w:color w:val="0000EE"/>
                </w:rPr>
                <w:t>Notes to Condensed Consolidated Financial Statements</w:t>
              </w:r>
            </w:hyperlink>
          </w:p>
        </w:tc>
        <w:tc>
          <w:tcPr>
            <w:tcW w:w="660" w:type="dxa"/>
            <w:vAlign w:val="bottom"/>
            <w:gridSpan w:val="4"/>
          </w:tcPr>
          <w:p>
            <w:pPr>
              <w:jc w:val="right"/>
              <w:ind w:right="20"/>
              <w:spacing w:after="0"/>
              <w:rPr>
                <w:rFonts w:ascii="Arial" w:cs="Arial" w:eastAsia="Arial" w:hAnsi="Arial"/>
                <w:sz w:val="18"/>
                <w:szCs w:val="18"/>
                <w:color w:val="0000EE"/>
              </w:rPr>
            </w:pPr>
            <w:hyperlink w:anchor="page10">
              <w:r>
                <w:rPr>
                  <w:rFonts w:ascii="Arial" w:cs="Arial" w:eastAsia="Arial" w:hAnsi="Arial"/>
                  <w:sz w:val="18"/>
                  <w:szCs w:val="18"/>
                  <w:color w:val="0000EE"/>
                </w:rPr>
                <w:t>7</w:t>
              </w:r>
            </w:hyperlink>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right w:val="single" w:sz="8" w:color="0000EE"/>
            </w:tcBorders>
            <w:shd w:val="clear" w:color="auto" w:fill="0000EE"/>
          </w:tcPr>
          <w:p>
            <w:pPr>
              <w:spacing w:after="0" w:line="20" w:lineRule="exact"/>
              <w:rPr>
                <w:sz w:val="1"/>
                <w:szCs w:val="1"/>
                <w:color w:val="auto"/>
              </w:rPr>
            </w:pPr>
          </w:p>
        </w:tc>
        <w:tc>
          <w:tcPr>
            <w:tcW w:w="2220" w:type="dxa"/>
            <w:vAlign w:val="bottom"/>
            <w:gridSpan w:val="3"/>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80" w:type="dxa"/>
            <w:vAlign w:val="bottom"/>
            <w:gridSpan w:val="2"/>
          </w:tcPr>
          <w:p>
            <w:pPr>
              <w:spacing w:after="0" w:line="20" w:lineRule="exact"/>
              <w:rPr>
                <w:sz w:val="1"/>
                <w:szCs w:val="1"/>
                <w:color w:val="auto"/>
              </w:rPr>
            </w:pPr>
          </w:p>
        </w:tc>
        <w:tc>
          <w:tcPr>
            <w:tcW w:w="3300" w:type="dxa"/>
            <w:vAlign w:val="bottom"/>
            <w:gridSpan w:val="5"/>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920" w:type="dxa"/>
            <w:vAlign w:val="bottom"/>
            <w:gridSpan w:val="3"/>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Item 2.</w:t>
              </w:r>
            </w:hyperlink>
          </w:p>
        </w:tc>
        <w:tc>
          <w:tcPr>
            <w:tcW w:w="9740" w:type="dxa"/>
            <w:vAlign w:val="bottom"/>
            <w:gridSpan w:val="17"/>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Management's Discussion and Analysis of Financial Condition and Results of Operations</w:t>
              </w:r>
            </w:hyperlink>
          </w:p>
        </w:tc>
        <w:tc>
          <w:tcPr>
            <w:tcW w:w="660" w:type="dxa"/>
            <w:vAlign w:val="bottom"/>
            <w:gridSpan w:val="4"/>
          </w:tcPr>
          <w:p>
            <w:pPr>
              <w:jc w:val="right"/>
              <w:ind w:right="20"/>
              <w:spacing w:after="0"/>
              <w:rPr>
                <w:rFonts w:ascii="Arial" w:cs="Arial" w:eastAsia="Arial" w:hAnsi="Arial"/>
                <w:sz w:val="18"/>
                <w:szCs w:val="18"/>
                <w:color w:val="0000EE"/>
              </w:rPr>
            </w:pPr>
            <w:hyperlink w:anchor="page31">
              <w:r>
                <w:rPr>
                  <w:rFonts w:ascii="Arial" w:cs="Arial" w:eastAsia="Arial" w:hAnsi="Arial"/>
                  <w:sz w:val="18"/>
                  <w:szCs w:val="18"/>
                  <w:color w:val="0000EE"/>
                </w:rPr>
                <w:t>28</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right w:val="single" w:sz="8" w:color="0000EE"/>
            </w:tcBorders>
            <w:shd w:val="clear" w:color="auto" w:fill="0000EE"/>
          </w:tcPr>
          <w:p>
            <w:pPr>
              <w:spacing w:after="0" w:line="20" w:lineRule="exact"/>
              <w:rPr>
                <w:sz w:val="1"/>
                <w:szCs w:val="1"/>
                <w:color w:val="auto"/>
              </w:rPr>
            </w:pPr>
          </w:p>
        </w:tc>
        <w:tc>
          <w:tcPr>
            <w:tcW w:w="2600" w:type="dxa"/>
            <w:vAlign w:val="bottom"/>
            <w:gridSpan w:val="4"/>
            <w:shd w:val="clear" w:color="auto" w:fill="0000EE"/>
          </w:tcPr>
          <w:p>
            <w:pPr>
              <w:spacing w:after="0" w:line="20" w:lineRule="exact"/>
              <w:rPr>
                <w:sz w:val="1"/>
                <w:szCs w:val="1"/>
                <w:color w:val="auto"/>
              </w:rPr>
            </w:pPr>
          </w:p>
        </w:tc>
        <w:tc>
          <w:tcPr>
            <w:tcW w:w="2080" w:type="dxa"/>
            <w:vAlign w:val="bottom"/>
            <w:gridSpan w:val="2"/>
            <w:shd w:val="clear" w:color="auto" w:fill="0000EE"/>
          </w:tcPr>
          <w:p>
            <w:pPr>
              <w:spacing w:after="0" w:line="20" w:lineRule="exact"/>
              <w:rPr>
                <w:sz w:val="1"/>
                <w:szCs w:val="1"/>
                <w:color w:val="auto"/>
              </w:rPr>
            </w:pPr>
          </w:p>
        </w:tc>
        <w:tc>
          <w:tcPr>
            <w:tcW w:w="3300" w:type="dxa"/>
            <w:vAlign w:val="bottom"/>
            <w:gridSpan w:val="5"/>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920" w:type="dxa"/>
            <w:vAlign w:val="bottom"/>
            <w:gridSpan w:val="3"/>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Item 3.</w:t>
              </w:r>
            </w:hyperlink>
          </w:p>
        </w:tc>
        <w:tc>
          <w:tcPr>
            <w:tcW w:w="9740" w:type="dxa"/>
            <w:vAlign w:val="bottom"/>
            <w:gridSpan w:val="17"/>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Quantitative and Qualitative Disclosures About Market Risk</w:t>
              </w:r>
            </w:hyperlink>
          </w:p>
        </w:tc>
        <w:tc>
          <w:tcPr>
            <w:tcW w:w="660" w:type="dxa"/>
            <w:vAlign w:val="bottom"/>
            <w:gridSpan w:val="4"/>
          </w:tcPr>
          <w:p>
            <w:pPr>
              <w:jc w:val="right"/>
              <w:ind w:right="20"/>
              <w:spacing w:after="0"/>
              <w:rPr>
                <w:rFonts w:ascii="Arial" w:cs="Arial" w:eastAsia="Arial" w:hAnsi="Arial"/>
                <w:sz w:val="18"/>
                <w:szCs w:val="18"/>
                <w:color w:val="0000EE"/>
              </w:rPr>
            </w:pPr>
            <w:hyperlink w:anchor="page42">
              <w:r>
                <w:rPr>
                  <w:rFonts w:ascii="Arial" w:cs="Arial" w:eastAsia="Arial" w:hAnsi="Arial"/>
                  <w:sz w:val="18"/>
                  <w:szCs w:val="18"/>
                  <w:color w:val="0000EE"/>
                </w:rPr>
                <w:t>39</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right w:val="single" w:sz="8" w:color="0000EE"/>
            </w:tcBorders>
            <w:shd w:val="clear" w:color="auto" w:fill="0000EE"/>
          </w:tcPr>
          <w:p>
            <w:pPr>
              <w:spacing w:after="0" w:line="20" w:lineRule="exact"/>
              <w:rPr>
                <w:sz w:val="1"/>
                <w:szCs w:val="1"/>
                <w:color w:val="auto"/>
              </w:rPr>
            </w:pPr>
          </w:p>
        </w:tc>
        <w:tc>
          <w:tcPr>
            <w:tcW w:w="2600" w:type="dxa"/>
            <w:vAlign w:val="bottom"/>
            <w:gridSpan w:val="4"/>
            <w:shd w:val="clear" w:color="auto" w:fill="0000EE"/>
          </w:tcPr>
          <w:p>
            <w:pPr>
              <w:spacing w:after="0" w:line="20" w:lineRule="exact"/>
              <w:rPr>
                <w:sz w:val="1"/>
                <w:szCs w:val="1"/>
                <w:color w:val="auto"/>
              </w:rPr>
            </w:pPr>
          </w:p>
        </w:tc>
        <w:tc>
          <w:tcPr>
            <w:tcW w:w="5380" w:type="dxa"/>
            <w:vAlign w:val="bottom"/>
            <w:gridSpan w:val="7"/>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920" w:type="dxa"/>
            <w:vAlign w:val="bottom"/>
            <w:gridSpan w:val="3"/>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Item 4.</w:t>
              </w:r>
            </w:hyperlink>
          </w:p>
        </w:tc>
        <w:tc>
          <w:tcPr>
            <w:tcW w:w="9740" w:type="dxa"/>
            <w:vAlign w:val="bottom"/>
            <w:gridSpan w:val="17"/>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Controls and Procedures</w:t>
              </w:r>
            </w:hyperlink>
          </w:p>
        </w:tc>
        <w:tc>
          <w:tcPr>
            <w:tcW w:w="660" w:type="dxa"/>
            <w:vAlign w:val="bottom"/>
            <w:gridSpan w:val="4"/>
          </w:tcPr>
          <w:p>
            <w:pPr>
              <w:jc w:val="right"/>
              <w:ind w:right="20"/>
              <w:spacing w:after="0"/>
              <w:rPr>
                <w:rFonts w:ascii="Arial" w:cs="Arial" w:eastAsia="Arial" w:hAnsi="Arial"/>
                <w:sz w:val="18"/>
                <w:szCs w:val="18"/>
                <w:color w:val="0000EE"/>
              </w:rPr>
            </w:pPr>
            <w:hyperlink w:anchor="page42">
              <w:r>
                <w:rPr>
                  <w:rFonts w:ascii="Arial" w:cs="Arial" w:eastAsia="Arial" w:hAnsi="Arial"/>
                  <w:sz w:val="18"/>
                  <w:szCs w:val="18"/>
                  <w:color w:val="0000EE"/>
                </w:rPr>
                <w:t>39</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right w:val="single" w:sz="8" w:color="0000EE"/>
            </w:tcBorders>
            <w:shd w:val="clear" w:color="auto" w:fill="0000EE"/>
          </w:tcPr>
          <w:p>
            <w:pPr>
              <w:spacing w:after="0" w:line="20" w:lineRule="exact"/>
              <w:rPr>
                <w:sz w:val="1"/>
                <w:szCs w:val="1"/>
                <w:color w:val="auto"/>
              </w:rPr>
            </w:pPr>
          </w:p>
        </w:tc>
        <w:tc>
          <w:tcPr>
            <w:tcW w:w="7980" w:type="dxa"/>
            <w:vAlign w:val="bottom"/>
            <w:gridSpan w:val="11"/>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6"/>
        </w:trPr>
        <w:tc>
          <w:tcPr>
            <w:tcW w:w="10660" w:type="dxa"/>
            <w:vAlign w:val="bottom"/>
            <w:gridSpan w:val="20"/>
          </w:tcPr>
          <w:p>
            <w:pPr>
              <w:spacing w:after="0"/>
              <w:rPr>
                <w:rFonts w:ascii="Arial" w:cs="Arial" w:eastAsia="Arial" w:hAnsi="Arial"/>
                <w:sz w:val="18"/>
                <w:szCs w:val="18"/>
                <w:b w:val="1"/>
                <w:bCs w:val="1"/>
                <w:color w:val="0000EE"/>
              </w:rPr>
            </w:pPr>
            <w:hyperlink w:anchor="page43">
              <w:r>
                <w:rPr>
                  <w:rFonts w:ascii="Arial" w:cs="Arial" w:eastAsia="Arial" w:hAnsi="Arial"/>
                  <w:sz w:val="18"/>
                  <w:szCs w:val="18"/>
                  <w:b w:val="1"/>
                  <w:bCs w:val="1"/>
                  <w:color w:val="0000EE"/>
                </w:rPr>
                <w:t>Part II: OTHER INFORMATION</w:t>
              </w:r>
            </w:hyperlink>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20" w:type="dxa"/>
            <w:vAlign w:val="bottom"/>
            <w:tcBorders>
              <w:top w:val="single" w:sz="8" w:color="0000EE"/>
            </w:tcBorders>
            <w:gridSpan w:val="3"/>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Item 1.</w:t>
              </w:r>
            </w:hyperlink>
          </w:p>
        </w:tc>
        <w:tc>
          <w:tcPr>
            <w:tcW w:w="1760" w:type="dxa"/>
            <w:vAlign w:val="bottom"/>
            <w:tcBorders>
              <w:top w:val="single" w:sz="8" w:color="0000EE"/>
            </w:tcBorders>
            <w:gridSpan w:val="6"/>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Legal Proceedings</w:t>
              </w:r>
            </w:hyperlink>
          </w:p>
        </w:tc>
        <w:tc>
          <w:tcPr>
            <w:tcW w:w="7980" w:type="dxa"/>
            <w:vAlign w:val="bottom"/>
            <w:gridSpan w:val="11"/>
          </w:tcPr>
          <w:p>
            <w:pPr>
              <w:spacing w:after="0"/>
              <w:rPr>
                <w:sz w:val="21"/>
                <w:szCs w:val="21"/>
                <w:color w:val="auto"/>
              </w:rPr>
            </w:pPr>
          </w:p>
        </w:tc>
        <w:tc>
          <w:tcPr>
            <w:tcW w:w="660" w:type="dxa"/>
            <w:vAlign w:val="bottom"/>
            <w:gridSpan w:val="4"/>
          </w:tcPr>
          <w:p>
            <w:pPr>
              <w:jc w:val="right"/>
              <w:ind w:right="20"/>
              <w:spacing w:after="0"/>
              <w:rPr>
                <w:rFonts w:ascii="Arial" w:cs="Arial" w:eastAsia="Arial" w:hAnsi="Arial"/>
                <w:sz w:val="18"/>
                <w:szCs w:val="18"/>
                <w:color w:val="0000EE"/>
              </w:rPr>
            </w:pPr>
            <w:hyperlink w:anchor="page43">
              <w:r>
                <w:rPr>
                  <w:rFonts w:ascii="Arial" w:cs="Arial" w:eastAsia="Arial" w:hAnsi="Arial"/>
                  <w:sz w:val="18"/>
                  <w:szCs w:val="18"/>
                  <w:color w:val="0000EE"/>
                </w:rPr>
                <w:t>40</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420" w:type="dxa"/>
            <w:vAlign w:val="bottom"/>
            <w:gridSpan w:val="1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40" w:type="dxa"/>
            <w:vAlign w:val="bottom"/>
            <w:gridSpan w:val="2"/>
          </w:tcPr>
          <w:p>
            <w:pPr>
              <w:spacing w:after="0"/>
              <w:rPr>
                <w:rFonts w:ascii="Arial" w:cs="Arial" w:eastAsia="Arial" w:hAnsi="Arial"/>
                <w:sz w:val="18"/>
                <w:szCs w:val="18"/>
                <w:color w:val="0000EE"/>
                <w:w w:val="92"/>
              </w:rPr>
            </w:pPr>
            <w:hyperlink w:anchor="page43">
              <w:r>
                <w:rPr>
                  <w:rFonts w:ascii="Arial" w:cs="Arial" w:eastAsia="Arial" w:hAnsi="Arial"/>
                  <w:sz w:val="18"/>
                  <w:szCs w:val="18"/>
                  <w:color w:val="0000EE"/>
                  <w:w w:val="92"/>
                </w:rPr>
                <w:t>Item 1A.</w:t>
              </w:r>
            </w:hyperlink>
          </w:p>
        </w:tc>
        <w:tc>
          <w:tcPr>
            <w:tcW w:w="280" w:type="dxa"/>
            <w:vAlign w:val="bottom"/>
          </w:tcPr>
          <w:p>
            <w:pPr>
              <w:spacing w:after="0"/>
              <w:rPr>
                <w:sz w:val="21"/>
                <w:szCs w:val="21"/>
                <w:color w:val="auto"/>
              </w:rPr>
            </w:pPr>
          </w:p>
        </w:tc>
        <w:tc>
          <w:tcPr>
            <w:tcW w:w="9740" w:type="dxa"/>
            <w:vAlign w:val="bottom"/>
            <w:gridSpan w:val="17"/>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Risk Factors</w:t>
              </w:r>
            </w:hyperlink>
          </w:p>
        </w:tc>
        <w:tc>
          <w:tcPr>
            <w:tcW w:w="660" w:type="dxa"/>
            <w:vAlign w:val="bottom"/>
            <w:gridSpan w:val="4"/>
          </w:tcPr>
          <w:p>
            <w:pPr>
              <w:jc w:val="right"/>
              <w:ind w:right="20"/>
              <w:spacing w:after="0"/>
              <w:rPr>
                <w:rFonts w:ascii="Arial" w:cs="Arial" w:eastAsia="Arial" w:hAnsi="Arial"/>
                <w:sz w:val="18"/>
                <w:szCs w:val="18"/>
                <w:color w:val="0000EE"/>
              </w:rPr>
            </w:pPr>
            <w:hyperlink w:anchor="page43">
              <w:r>
                <w:rPr>
                  <w:rFonts w:ascii="Arial" w:cs="Arial" w:eastAsia="Arial" w:hAnsi="Arial"/>
                  <w:sz w:val="18"/>
                  <w:szCs w:val="18"/>
                  <w:color w:val="0000EE"/>
                </w:rPr>
                <w:t>40</w:t>
              </w:r>
            </w:hyperlink>
          </w:p>
        </w:tc>
        <w:tc>
          <w:tcPr>
            <w:tcW w:w="0" w:type="dxa"/>
            <w:vAlign w:val="bottom"/>
          </w:tcPr>
          <w:p>
            <w:pPr>
              <w:spacing w:after="0"/>
              <w:rPr>
                <w:sz w:val="1"/>
                <w:szCs w:val="1"/>
                <w:color w:val="auto"/>
              </w:rPr>
            </w:pPr>
          </w:p>
        </w:tc>
      </w:tr>
      <w:tr>
        <w:trPr>
          <w:trHeight w:val="20"/>
        </w:trPr>
        <w:tc>
          <w:tcPr>
            <w:tcW w:w="640" w:type="dxa"/>
            <w:vAlign w:val="bottom"/>
            <w:gridSpan w:val="2"/>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8840" w:type="dxa"/>
            <w:vAlign w:val="bottom"/>
            <w:gridSpan w:val="13"/>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40" w:type="dxa"/>
            <w:vAlign w:val="bottom"/>
            <w:gridSpan w:val="2"/>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Item 6.</w:t>
              </w:r>
            </w:hyperlink>
          </w:p>
        </w:tc>
        <w:tc>
          <w:tcPr>
            <w:tcW w:w="280" w:type="dxa"/>
            <w:vAlign w:val="bottom"/>
          </w:tcPr>
          <w:p>
            <w:pPr>
              <w:spacing w:after="0"/>
              <w:rPr>
                <w:sz w:val="21"/>
                <w:szCs w:val="21"/>
                <w:color w:val="auto"/>
              </w:rPr>
            </w:pPr>
          </w:p>
        </w:tc>
        <w:tc>
          <w:tcPr>
            <w:tcW w:w="9740" w:type="dxa"/>
            <w:vAlign w:val="bottom"/>
            <w:gridSpan w:val="17"/>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Exhibits</w:t>
              </w:r>
            </w:hyperlink>
          </w:p>
        </w:tc>
        <w:tc>
          <w:tcPr>
            <w:tcW w:w="660" w:type="dxa"/>
            <w:vAlign w:val="bottom"/>
            <w:gridSpan w:val="4"/>
          </w:tcPr>
          <w:p>
            <w:pPr>
              <w:jc w:val="right"/>
              <w:ind w:right="20"/>
              <w:spacing w:after="0"/>
              <w:rPr>
                <w:rFonts w:ascii="Arial" w:cs="Arial" w:eastAsia="Arial" w:hAnsi="Arial"/>
                <w:sz w:val="18"/>
                <w:szCs w:val="18"/>
                <w:color w:val="0000EE"/>
              </w:rPr>
            </w:pPr>
            <w:hyperlink w:anchor="page43">
              <w:r>
                <w:rPr>
                  <w:rFonts w:ascii="Arial" w:cs="Arial" w:eastAsia="Arial" w:hAnsi="Arial"/>
                  <w:sz w:val="18"/>
                  <w:szCs w:val="18"/>
                  <w:color w:val="0000EE"/>
                </w:rPr>
                <w:t>40</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9140" w:type="dxa"/>
            <w:vAlign w:val="bottom"/>
            <w:gridSpan w:val="14"/>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gridSpan w:val="5"/>
          </w:tcPr>
          <w:p>
            <w:pPr>
              <w:spacing w:after="0"/>
              <w:rPr>
                <w:rFonts w:ascii="Arial" w:cs="Arial" w:eastAsia="Arial" w:hAnsi="Arial"/>
                <w:sz w:val="18"/>
                <w:szCs w:val="18"/>
                <w:color w:val="0000EE"/>
                <w:w w:val="92"/>
              </w:rPr>
            </w:pPr>
            <w:hyperlink w:anchor="page44">
              <w:r>
                <w:rPr>
                  <w:rFonts w:ascii="Arial" w:cs="Arial" w:eastAsia="Arial" w:hAnsi="Arial"/>
                  <w:sz w:val="18"/>
                  <w:szCs w:val="18"/>
                  <w:color w:val="0000EE"/>
                  <w:w w:val="92"/>
                </w:rPr>
                <w:t>SIGNATURES</w:t>
              </w:r>
            </w:hyperlink>
          </w:p>
        </w:tc>
        <w:tc>
          <w:tcPr>
            <w:tcW w:w="9560" w:type="dxa"/>
            <w:vAlign w:val="bottom"/>
            <w:gridSpan w:val="15"/>
          </w:tcPr>
          <w:p>
            <w:pPr>
              <w:spacing w:after="0"/>
              <w:rPr>
                <w:sz w:val="21"/>
                <w:szCs w:val="21"/>
                <w:color w:val="auto"/>
              </w:rPr>
            </w:pPr>
          </w:p>
        </w:tc>
        <w:tc>
          <w:tcPr>
            <w:tcW w:w="660" w:type="dxa"/>
            <w:vAlign w:val="bottom"/>
            <w:gridSpan w:val="4"/>
          </w:tcPr>
          <w:p>
            <w:pPr>
              <w:jc w:val="right"/>
              <w:ind w:right="20"/>
              <w:spacing w:after="0"/>
              <w:rPr>
                <w:rFonts w:ascii="Arial" w:cs="Arial" w:eastAsia="Arial" w:hAnsi="Arial"/>
                <w:sz w:val="18"/>
                <w:szCs w:val="18"/>
                <w:color w:val="0000EE"/>
              </w:rPr>
            </w:pPr>
            <w:hyperlink w:anchor="page44">
              <w:r>
                <w:rPr>
                  <w:rFonts w:ascii="Arial" w:cs="Arial" w:eastAsia="Arial" w:hAnsi="Arial"/>
                  <w:sz w:val="18"/>
                  <w:szCs w:val="18"/>
                  <w:color w:val="0000EE"/>
                </w:rPr>
                <w:t>41</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320"/>
          </w:cols>
          <w:pgMar w:left="280" w:top="378" w:right="29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ind w:left="4020"/>
        <w:spacing w:after="0"/>
        <w:rPr>
          <w:sz w:val="20"/>
          <w:szCs w:val="20"/>
          <w:color w:val="auto"/>
        </w:rPr>
      </w:pPr>
      <w:r>
        <w:rPr>
          <w:rFonts w:ascii="Arial" w:cs="Arial" w:eastAsia="Arial" w:hAnsi="Arial"/>
          <w:sz w:val="20"/>
          <w:szCs w:val="20"/>
          <w:b w:val="1"/>
          <w:bCs w:val="1"/>
          <w:color w:val="auto"/>
        </w:rPr>
        <w:t>PART I. FINANCIAL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 FINANCIAL STATEMENTS (UNAUDITED)</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VERITIV CORPORATION</w:t>
      </w:r>
    </w:p>
    <w:p>
      <w:pPr>
        <w:spacing w:after="0" w:line="22" w:lineRule="exact"/>
        <w:rPr>
          <w:sz w:val="20"/>
          <w:szCs w:val="20"/>
          <w:color w:val="auto"/>
        </w:rPr>
      </w:pPr>
    </w:p>
    <w:p>
      <w:pPr>
        <w:jc w:val="center"/>
        <w:ind w:right="-19"/>
        <w:spacing w:after="0"/>
        <w:rPr>
          <w:sz w:val="20"/>
          <w:szCs w:val="20"/>
          <w:color w:val="auto"/>
        </w:rPr>
      </w:pPr>
      <w:r>
        <w:rPr>
          <w:rFonts w:ascii="Arial" w:cs="Arial" w:eastAsia="Arial" w:hAnsi="Arial"/>
          <w:sz w:val="19"/>
          <w:szCs w:val="19"/>
          <w:b w:val="1"/>
          <w:bCs w:val="1"/>
          <w:color w:val="auto"/>
        </w:rPr>
        <w:t>CONDENSED CONSOLIDATED STATEMENTS OF OPERATIONS</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 millions, except per share data, unaudited)</w:t>
      </w:r>
    </w:p>
    <w:p>
      <w:pPr>
        <w:sectPr>
          <w:pgSz w:w="11900" w:h="16838" w:orient="portrait"/>
          <w:cols w:equalWidth="0" w:num="1">
            <w:col w:w="11420"/>
          </w:cols>
          <w:pgMar w:left="240" w:top="34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tbl>
      <w:tblPr>
        <w:tblLayout w:type="fixed"/>
        <w:tblInd w:w="440" w:type="dxa"/>
        <w:tblCellMar>
          <w:top w:w="0" w:type="dxa"/>
          <w:left w:w="0" w:type="dxa"/>
          <w:bottom w:w="0" w:type="dxa"/>
          <w:right w:w="0" w:type="dxa"/>
        </w:tblCellMar>
      </w:tblPr>
      <w:tr>
        <w:trPr>
          <w:trHeight w:val="216"/>
        </w:trPr>
        <w:tc>
          <w:tcPr>
            <w:tcW w:w="4960" w:type="dxa"/>
            <w:vAlign w:val="bottom"/>
          </w:tcPr>
          <w:p>
            <w:pPr>
              <w:spacing w:after="0"/>
              <w:rPr>
                <w:sz w:val="20"/>
                <w:szCs w:val="20"/>
                <w:color w:val="auto"/>
              </w:rPr>
            </w:pPr>
            <w:r>
              <w:rPr>
                <w:rFonts w:ascii="Arial" w:cs="Arial" w:eastAsia="Arial" w:hAnsi="Arial"/>
                <w:sz w:val="18"/>
                <w:szCs w:val="18"/>
                <w:color w:val="auto"/>
                <w:w w:val="94"/>
              </w:rPr>
              <w:t>Net sales (including sales to related party of $5.2, $7.8, $11.6 and</w:t>
            </w:r>
          </w:p>
        </w:tc>
        <w:tc>
          <w:tcPr>
            <w:tcW w:w="32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22"/>
        </w:trPr>
        <w:tc>
          <w:tcPr>
            <w:tcW w:w="4960" w:type="dxa"/>
            <w:vAlign w:val="bottom"/>
            <w:vMerge w:val="restart"/>
          </w:tcPr>
          <w:p>
            <w:pPr>
              <w:spacing w:after="0"/>
              <w:rPr>
                <w:sz w:val="20"/>
                <w:szCs w:val="20"/>
                <w:color w:val="auto"/>
              </w:rPr>
            </w:pPr>
            <w:r>
              <w:rPr>
                <w:rFonts w:ascii="Arial" w:cs="Arial" w:eastAsia="Arial" w:hAnsi="Arial"/>
                <w:sz w:val="18"/>
                <w:szCs w:val="18"/>
                <w:color w:val="auto"/>
              </w:rPr>
              <w:t>$14.7, respectively)</w:t>
            </w:r>
          </w:p>
        </w:tc>
        <w:tc>
          <w:tcPr>
            <w:tcW w:w="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6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-290830</wp:posOffset>
            </wp:positionV>
            <wp:extent cx="7246620" cy="3086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08610"/>
                    </a:xfrm>
                    <a:prstGeom prst="rect">
                      <a:avLst/>
                    </a:prstGeom>
                    <a:noFill/>
                  </pic:spPr>
                </pic:pic>
              </a:graphicData>
            </a:graphic>
          </wp:anchor>
        </w:drawing>
      </w:r>
    </w:p>
    <w:p>
      <w:pPr>
        <w:spacing w:after="0" w:line="20" w:lineRule="exact"/>
        <w:rPr>
          <w:sz w:val="20"/>
          <w:szCs w:val="20"/>
          <w:color w:val="auto"/>
        </w:rPr>
      </w:pPr>
    </w:p>
    <w:p>
      <w:pPr>
        <w:ind w:left="440" w:right="180"/>
        <w:spacing w:after="0" w:line="264" w:lineRule="auto"/>
        <w:rPr>
          <w:sz w:val="20"/>
          <w:szCs w:val="20"/>
          <w:color w:val="auto"/>
        </w:rPr>
      </w:pPr>
      <w:r>
        <w:rPr>
          <w:rFonts w:ascii="Arial" w:cs="Arial" w:eastAsia="Arial" w:hAnsi="Arial"/>
          <w:sz w:val="18"/>
          <w:szCs w:val="18"/>
          <w:color w:val="auto"/>
        </w:rPr>
        <w:t>Cost of products sold (including purchases from related party of $21.4, $35.8, $46.2 and $77.9, respectively) (exclusive of depreciation and amortization shown separately below)</w:t>
      </w:r>
    </w:p>
    <w:p>
      <w:pPr>
        <w:spacing w:after="0" w:line="20" w:lineRule="exact"/>
        <w:rPr>
          <w:sz w:val="20"/>
          <w:szCs w:val="20"/>
          <w:color w:val="auto"/>
        </w:rPr>
      </w:pPr>
      <w:r>
        <w:rPr>
          <w:sz w:val="20"/>
          <w:szCs w:val="20"/>
          <w:color w:val="auto"/>
        </w:rPr>
        <w:br w:type="column"/>
      </w:r>
    </w:p>
    <w:p>
      <w:pPr>
        <w:spacing w:after="0" w:line="34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2460" w:type="dxa"/>
            <w:vAlign w:val="bottom"/>
            <w:gridSpan w:val="4"/>
          </w:tcPr>
          <w:p>
            <w:pPr>
              <w:ind w:left="100"/>
              <w:spacing w:after="0"/>
              <w:rPr>
                <w:sz w:val="20"/>
                <w:szCs w:val="20"/>
                <w:color w:val="auto"/>
              </w:rPr>
            </w:pPr>
            <w:r>
              <w:rPr>
                <w:rFonts w:ascii="Arial" w:cs="Arial" w:eastAsia="Arial" w:hAnsi="Arial"/>
                <w:sz w:val="18"/>
                <w:szCs w:val="18"/>
                <w:b w:val="1"/>
                <w:bCs w:val="1"/>
                <w:color w:val="auto"/>
              </w:rPr>
              <w:t>Three Months Ended</w:t>
            </w:r>
          </w:p>
        </w:tc>
        <w:tc>
          <w:tcPr>
            <w:tcW w:w="320" w:type="dxa"/>
            <w:vAlign w:val="bottom"/>
          </w:tcPr>
          <w:p>
            <w:pPr>
              <w:spacing w:after="0"/>
              <w:rPr>
                <w:sz w:val="18"/>
                <w:szCs w:val="18"/>
                <w:color w:val="auto"/>
              </w:rPr>
            </w:pPr>
          </w:p>
        </w:tc>
        <w:tc>
          <w:tcPr>
            <w:tcW w:w="2520" w:type="dxa"/>
            <w:vAlign w:val="bottom"/>
            <w:gridSpan w:val="4"/>
          </w:tcPr>
          <w:p>
            <w:pPr>
              <w:ind w:left="380"/>
              <w:spacing w:after="0"/>
              <w:rPr>
                <w:sz w:val="20"/>
                <w:szCs w:val="20"/>
                <w:color w:val="auto"/>
              </w:rPr>
            </w:pPr>
            <w:r>
              <w:rPr>
                <w:rFonts w:ascii="Arial" w:cs="Arial" w:eastAsia="Arial" w:hAnsi="Arial"/>
                <w:sz w:val="18"/>
                <w:szCs w:val="18"/>
                <w:b w:val="1"/>
                <w:bCs w:val="1"/>
                <w:color w:val="auto"/>
              </w:rPr>
              <w:t>Six Months Ended</w:t>
            </w:r>
          </w:p>
        </w:tc>
      </w:tr>
      <w:tr>
        <w:trPr>
          <w:trHeight w:val="234"/>
        </w:trPr>
        <w:tc>
          <w:tcPr>
            <w:tcW w:w="138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rPr>
              <w:t>June 30,</w:t>
            </w: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560" w:type="dxa"/>
            <w:vAlign w:val="bottom"/>
            <w:gridSpan w:val="3"/>
          </w:tcPr>
          <w:p>
            <w:pPr>
              <w:ind w:left="820"/>
              <w:spacing w:after="0"/>
              <w:rPr>
                <w:sz w:val="20"/>
                <w:szCs w:val="20"/>
                <w:color w:val="auto"/>
              </w:rPr>
            </w:pPr>
            <w:r>
              <w:rPr>
                <w:rFonts w:ascii="Arial" w:cs="Arial" w:eastAsia="Arial" w:hAnsi="Arial"/>
                <w:sz w:val="18"/>
                <w:szCs w:val="18"/>
                <w:b w:val="1"/>
                <w:bCs w:val="1"/>
                <w:color w:val="auto"/>
                <w:w w:val="99"/>
              </w:rPr>
              <w:t>June 30,</w:t>
            </w:r>
          </w:p>
        </w:tc>
        <w:tc>
          <w:tcPr>
            <w:tcW w:w="960" w:type="dxa"/>
            <w:vAlign w:val="bottom"/>
          </w:tcPr>
          <w:p>
            <w:pPr>
              <w:spacing w:after="0"/>
              <w:rPr>
                <w:sz w:val="20"/>
                <w:szCs w:val="20"/>
                <w:color w:val="auto"/>
              </w:rPr>
            </w:pPr>
          </w:p>
        </w:tc>
      </w:tr>
      <w:tr>
        <w:trPr>
          <w:trHeight w:val="27"/>
        </w:trPr>
        <w:tc>
          <w:tcPr>
            <w:tcW w:w="10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1000" w:type="dxa"/>
            <w:vAlign w:val="bottom"/>
          </w:tcPr>
          <w:p>
            <w:pPr>
              <w:jc w:val="right"/>
              <w:ind w:right="550"/>
              <w:spacing w:after="0"/>
              <w:rPr>
                <w:sz w:val="20"/>
                <w:szCs w:val="20"/>
                <w:color w:val="auto"/>
              </w:rPr>
            </w:pPr>
            <w:r>
              <w:rPr>
                <w:rFonts w:ascii="Arial" w:cs="Arial" w:eastAsia="Arial" w:hAnsi="Arial"/>
                <w:sz w:val="18"/>
                <w:szCs w:val="18"/>
                <w:b w:val="1"/>
                <w:bCs w:val="1"/>
                <w:color w:val="auto"/>
                <w:w w:val="84"/>
              </w:rPr>
              <w:t>2019</w:t>
            </w:r>
          </w:p>
        </w:tc>
        <w:tc>
          <w:tcPr>
            <w:tcW w:w="380" w:type="dxa"/>
            <w:vAlign w:val="bottom"/>
          </w:tcPr>
          <w:p>
            <w:pPr>
              <w:spacing w:after="0"/>
              <w:rPr>
                <w:sz w:val="20"/>
                <w:szCs w:val="20"/>
                <w:color w:val="auto"/>
              </w:rPr>
            </w:pPr>
          </w:p>
        </w:tc>
        <w:tc>
          <w:tcPr>
            <w:tcW w:w="98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r>
      <w:tr>
        <w:trPr>
          <w:trHeight w:val="27"/>
        </w:trPr>
        <w:tc>
          <w:tcPr>
            <w:tcW w:w="10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331"/>
        </w:trPr>
        <w:tc>
          <w:tcPr>
            <w:tcW w:w="1000" w:type="dxa"/>
            <w:vAlign w:val="bottom"/>
          </w:tcPr>
          <w:p>
            <w:pPr>
              <w:jc w:val="right"/>
              <w:ind w:right="130"/>
              <w:spacing w:after="0"/>
              <w:rPr>
                <w:sz w:val="20"/>
                <w:szCs w:val="20"/>
                <w:color w:val="auto"/>
              </w:rPr>
            </w:pPr>
            <w:r>
              <w:rPr>
                <w:rFonts w:ascii="Arial" w:cs="Arial" w:eastAsia="Arial" w:hAnsi="Arial"/>
                <w:sz w:val="18"/>
                <w:szCs w:val="18"/>
                <w:color w:val="auto"/>
              </w:rPr>
              <w:t>1,958.2</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2,171.9</w:t>
            </w:r>
          </w:p>
        </w:tc>
        <w:tc>
          <w:tcPr>
            <w:tcW w:w="100" w:type="dxa"/>
            <w:vAlign w:val="bottom"/>
          </w:tcPr>
          <w:p>
            <w:pPr>
              <w:spacing w:after="0"/>
              <w:rPr>
                <w:sz w:val="24"/>
                <w:szCs w:val="24"/>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Pr>
          <w:p>
            <w:pPr>
              <w:ind w:left="400"/>
              <w:spacing w:after="0"/>
              <w:rPr>
                <w:sz w:val="20"/>
                <w:szCs w:val="20"/>
                <w:color w:val="auto"/>
              </w:rPr>
            </w:pPr>
            <w:r>
              <w:rPr>
                <w:rFonts w:ascii="Arial" w:cs="Arial" w:eastAsia="Arial" w:hAnsi="Arial"/>
                <w:sz w:val="18"/>
                <w:szCs w:val="18"/>
                <w:color w:val="auto"/>
              </w:rPr>
              <w:t>3,899.7</w:t>
            </w:r>
          </w:p>
        </w:tc>
        <w:tc>
          <w:tcPr>
            <w:tcW w:w="120" w:type="dxa"/>
            <w:vAlign w:val="bottom"/>
          </w:tcPr>
          <w:p>
            <w:pPr>
              <w:spacing w:after="0"/>
              <w:rPr>
                <w:sz w:val="24"/>
                <w:szCs w:val="24"/>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4,272.9</w:t>
            </w:r>
          </w:p>
        </w:tc>
      </w:tr>
      <w:tr>
        <w:trPr>
          <w:trHeight w:val="594"/>
        </w:trPr>
        <w:tc>
          <w:tcPr>
            <w:tcW w:w="1000" w:type="dxa"/>
            <w:vAlign w:val="bottom"/>
          </w:tcPr>
          <w:p>
            <w:pPr>
              <w:jc w:val="right"/>
              <w:ind w:right="130"/>
              <w:spacing w:after="0"/>
              <w:rPr>
                <w:sz w:val="20"/>
                <w:szCs w:val="20"/>
                <w:color w:val="auto"/>
              </w:rPr>
            </w:pPr>
            <w:r>
              <w:rPr>
                <w:rFonts w:ascii="Arial" w:cs="Arial" w:eastAsia="Arial" w:hAnsi="Arial"/>
                <w:sz w:val="18"/>
                <w:szCs w:val="18"/>
                <w:color w:val="auto"/>
              </w:rPr>
              <w:t>1,584.3</w:t>
            </w:r>
          </w:p>
        </w:tc>
        <w:tc>
          <w:tcPr>
            <w:tcW w:w="380" w:type="dxa"/>
            <w:vAlign w:val="bottom"/>
          </w:tcPr>
          <w:p>
            <w:pPr>
              <w:spacing w:after="0"/>
              <w:rPr>
                <w:sz w:val="24"/>
                <w:szCs w:val="24"/>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1,788.5</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ind w:left="400"/>
              <w:spacing w:after="0"/>
              <w:rPr>
                <w:sz w:val="20"/>
                <w:szCs w:val="20"/>
                <w:color w:val="auto"/>
              </w:rPr>
            </w:pPr>
            <w:r>
              <w:rPr>
                <w:rFonts w:ascii="Arial" w:cs="Arial" w:eastAsia="Arial" w:hAnsi="Arial"/>
                <w:sz w:val="18"/>
                <w:szCs w:val="18"/>
                <w:color w:val="auto"/>
              </w:rPr>
              <w:t>3,175.7</w:t>
            </w: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3,518.0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-321310</wp:posOffset>
            </wp:positionH>
            <wp:positionV relativeFrom="paragraph">
              <wp:posOffset>-779780</wp:posOffset>
            </wp:positionV>
            <wp:extent cx="181800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18005" cy="8890"/>
                    </a:xfrm>
                    <a:prstGeom prst="rect">
                      <a:avLst/>
                    </a:prstGeom>
                    <a:noFill/>
                  </pic:spPr>
                </pic:pic>
              </a:graphicData>
            </a:graphic>
          </wp:anchor>
        </w:drawing>
      </w:r>
    </w:p>
    <w:p>
      <w:pPr>
        <w:spacing w:after="0" w:line="243" w:lineRule="exact"/>
        <w:rPr>
          <w:sz w:val="20"/>
          <w:szCs w:val="20"/>
          <w:color w:val="auto"/>
        </w:rPr>
      </w:pPr>
    </w:p>
    <w:p>
      <w:pPr>
        <w:sectPr>
          <w:pgSz w:w="11900" w:h="16838" w:orient="portrait"/>
          <w:cols w:equalWidth="0" w:num="2">
            <w:col w:w="5720" w:space="400"/>
            <w:col w:w="5300"/>
          </w:cols>
          <w:pgMar w:left="240" w:top="341" w:right="239" w:bottom="1440" w:gutter="0" w:footer="0" w:header="0"/>
          <w:type w:val="continuous"/>
        </w:sectPr>
      </w:pPr>
    </w:p>
    <w:tbl>
      <w:tblPr>
        <w:tblLayout w:type="fixed"/>
        <w:tblInd w:w="0" w:type="dxa"/>
        <w:tblCellMar>
          <w:top w:w="0" w:type="dxa"/>
          <w:left w:w="0" w:type="dxa"/>
          <w:bottom w:w="0" w:type="dxa"/>
          <w:right w:w="0" w:type="dxa"/>
        </w:tblCellMar>
      </w:tblPr>
      <w:tr>
        <w:trPr>
          <w:trHeight w:val="270"/>
        </w:trPr>
        <w:tc>
          <w:tcPr>
            <w:tcW w:w="56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Distribution expenses</w:t>
            </w:r>
          </w:p>
        </w:tc>
        <w:tc>
          <w:tcPr>
            <w:tcW w:w="50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132.0</w:t>
            </w:r>
          </w:p>
        </w:tc>
        <w:tc>
          <w:tcPr>
            <w:tcW w:w="12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132.0</w:t>
            </w:r>
          </w:p>
        </w:tc>
        <w:tc>
          <w:tcPr>
            <w:tcW w:w="10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262.4</w:t>
            </w:r>
          </w:p>
        </w:tc>
        <w:tc>
          <w:tcPr>
            <w:tcW w:w="12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265.1</w:t>
            </w:r>
          </w:p>
        </w:tc>
      </w:tr>
      <w:tr>
        <w:trPr>
          <w:trHeight w:val="243"/>
        </w:trPr>
        <w:tc>
          <w:tcPr>
            <w:tcW w:w="5620" w:type="dxa"/>
            <w:vAlign w:val="bottom"/>
          </w:tcPr>
          <w:p>
            <w:pPr>
              <w:ind w:left="440"/>
              <w:spacing w:after="0"/>
              <w:rPr>
                <w:sz w:val="20"/>
                <w:szCs w:val="20"/>
                <w:color w:val="auto"/>
              </w:rPr>
            </w:pPr>
            <w:r>
              <w:rPr>
                <w:rFonts w:ascii="Arial" w:cs="Arial" w:eastAsia="Arial" w:hAnsi="Arial"/>
                <w:sz w:val="18"/>
                <w:szCs w:val="18"/>
                <w:color w:val="auto"/>
              </w:rPr>
              <w:t>Selling and administrative expenses</w:t>
            </w:r>
          </w:p>
        </w:tc>
        <w:tc>
          <w:tcPr>
            <w:tcW w:w="50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211.2</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223.6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427.3</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446.3</w:t>
            </w:r>
          </w:p>
        </w:tc>
      </w:tr>
      <w:tr>
        <w:trPr>
          <w:trHeight w:val="27"/>
        </w:trPr>
        <w:tc>
          <w:tcPr>
            <w:tcW w:w="56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rPr>
              <w:t>Depreciation and amortization</w:t>
            </w:r>
          </w:p>
        </w:tc>
        <w:tc>
          <w:tcPr>
            <w:tcW w:w="5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13.4</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26.2</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28.4</w:t>
            </w:r>
          </w:p>
        </w:tc>
      </w:tr>
      <w:tr>
        <w:trPr>
          <w:trHeight w:val="243"/>
        </w:trPr>
        <w:tc>
          <w:tcPr>
            <w:tcW w:w="5620" w:type="dxa"/>
            <w:vAlign w:val="bottom"/>
          </w:tcPr>
          <w:p>
            <w:pPr>
              <w:ind w:left="440"/>
              <w:spacing w:after="0"/>
              <w:rPr>
                <w:sz w:val="20"/>
                <w:szCs w:val="20"/>
                <w:color w:val="auto"/>
              </w:rPr>
            </w:pPr>
            <w:r>
              <w:rPr>
                <w:rFonts w:ascii="Arial" w:cs="Arial" w:eastAsia="Arial" w:hAnsi="Arial"/>
                <w:sz w:val="18"/>
                <w:szCs w:val="18"/>
                <w:color w:val="auto"/>
              </w:rPr>
              <w:t>Integration and acquisition expenses</w:t>
            </w:r>
          </w:p>
        </w:tc>
        <w:tc>
          <w:tcPr>
            <w:tcW w:w="50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4.5</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8.4</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8.8</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16.7</w:t>
            </w:r>
          </w:p>
        </w:tc>
      </w:tr>
      <w:tr>
        <w:trPr>
          <w:trHeight w:val="27"/>
        </w:trPr>
        <w:tc>
          <w:tcPr>
            <w:tcW w:w="56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rPr>
              <w:t>Restructuring charges, net</w:t>
            </w:r>
          </w:p>
        </w:tc>
        <w:tc>
          <w:tcPr>
            <w:tcW w:w="50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w:t>
            </w: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11.4</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w:t>
            </w: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23.3</w:t>
            </w:r>
          </w:p>
        </w:tc>
      </w:tr>
      <w:tr>
        <w:trPr>
          <w:trHeight w:val="237"/>
        </w:trPr>
        <w:tc>
          <w:tcPr>
            <w:tcW w:w="5620" w:type="dxa"/>
            <w:vAlign w:val="bottom"/>
          </w:tcPr>
          <w:p>
            <w:pPr>
              <w:ind w:left="440"/>
              <w:spacing w:after="0"/>
              <w:rPr>
                <w:sz w:val="20"/>
                <w:szCs w:val="20"/>
                <w:color w:val="auto"/>
              </w:rPr>
            </w:pPr>
            <w:r>
              <w:rPr>
                <w:rFonts w:ascii="Arial" w:cs="Arial" w:eastAsia="Arial" w:hAnsi="Arial"/>
                <w:sz w:val="18"/>
                <w:szCs w:val="18"/>
                <w:b w:val="1"/>
                <w:bCs w:val="1"/>
                <w:color w:val="auto"/>
              </w:rPr>
              <w:t>Operating income (loss)</w:t>
            </w:r>
          </w:p>
        </w:tc>
        <w:tc>
          <w:tcPr>
            <w:tcW w:w="50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5.9</w:t>
            </w:r>
          </w:p>
        </w:tc>
        <w:tc>
          <w:tcPr>
            <w:tcW w:w="12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(24.9)</w:t>
            </w:r>
          </w:p>
        </w:tc>
      </w:tr>
      <w:tr>
        <w:trPr>
          <w:trHeight w:val="27"/>
        </w:trPr>
        <w:tc>
          <w:tcPr>
            <w:tcW w:w="56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rPr>
              <w:t>Interest expense, net</w:t>
            </w:r>
          </w:p>
        </w:tc>
        <w:tc>
          <w:tcPr>
            <w:tcW w:w="5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10.2</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w:t>
            </w:r>
          </w:p>
        </w:tc>
      </w:tr>
      <w:tr>
        <w:trPr>
          <w:trHeight w:val="243"/>
        </w:trPr>
        <w:tc>
          <w:tcPr>
            <w:tcW w:w="5620" w:type="dxa"/>
            <w:vAlign w:val="bottom"/>
          </w:tcPr>
          <w:p>
            <w:pPr>
              <w:ind w:left="440"/>
              <w:spacing w:after="0"/>
              <w:rPr>
                <w:sz w:val="20"/>
                <w:szCs w:val="20"/>
                <w:color w:val="auto"/>
              </w:rPr>
            </w:pPr>
            <w:r>
              <w:rPr>
                <w:rFonts w:ascii="Arial" w:cs="Arial" w:eastAsia="Arial" w:hAnsi="Arial"/>
                <w:sz w:val="18"/>
                <w:szCs w:val="18"/>
                <w:color w:val="auto"/>
              </w:rPr>
              <w:t>Other (income) expense, net</w:t>
            </w:r>
          </w:p>
        </w:tc>
        <w:tc>
          <w:tcPr>
            <w:tcW w:w="50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7.6</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13.8</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(13.4)</w:t>
            </w:r>
          </w:p>
        </w:tc>
      </w:tr>
      <w:tr>
        <w:trPr>
          <w:trHeight w:val="27"/>
        </w:trPr>
        <w:tc>
          <w:tcPr>
            <w:tcW w:w="562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b w:val="1"/>
                <w:bCs w:val="1"/>
                <w:color w:val="auto"/>
              </w:rPr>
              <w:t>Loss before income taxes</w:t>
            </w:r>
          </w:p>
        </w:tc>
        <w:tc>
          <w:tcPr>
            <w:tcW w:w="5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(45.4)</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w:t>
            </w:r>
          </w:p>
        </w:tc>
      </w:tr>
      <w:tr>
        <w:trPr>
          <w:trHeight w:val="243"/>
        </w:trPr>
        <w:tc>
          <w:tcPr>
            <w:tcW w:w="5620" w:type="dxa"/>
            <w:vAlign w:val="bottom"/>
          </w:tcPr>
          <w:p>
            <w:pPr>
              <w:ind w:left="440"/>
              <w:spacing w:after="0"/>
              <w:rPr>
                <w:sz w:val="20"/>
                <w:szCs w:val="20"/>
                <w:color w:val="auto"/>
              </w:rPr>
            </w:pPr>
            <w:r>
              <w:rPr>
                <w:rFonts w:ascii="Arial" w:cs="Arial" w:eastAsia="Arial" w:hAnsi="Arial"/>
                <w:sz w:val="18"/>
                <w:szCs w:val="18"/>
                <w:color w:val="auto"/>
              </w:rPr>
              <w:t>Income tax benefit</w:t>
            </w:r>
          </w:p>
        </w:tc>
        <w:tc>
          <w:tcPr>
            <w:tcW w:w="5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(7.4)</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7"/>
        </w:trPr>
        <w:tc>
          <w:tcPr>
            <w:tcW w:w="562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9"/>
        </w:trPr>
        <w:tc>
          <w:tcPr>
            <w:tcW w:w="56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b w:val="1"/>
                <w:bCs w:val="1"/>
                <w:color w:val="auto"/>
              </w:rPr>
              <w:t>Net loss</w:t>
            </w:r>
          </w:p>
        </w:tc>
        <w:tc>
          <w:tcPr>
            <w:tcW w:w="50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12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(38.0)</w:t>
            </w:r>
          </w:p>
        </w:tc>
        <w:tc>
          <w:tcPr>
            <w:tcW w:w="12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(26.4)</w:t>
            </w: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r>
      <w:tr>
        <w:trPr>
          <w:trHeight w:val="251"/>
        </w:trPr>
        <w:tc>
          <w:tcPr>
            <w:tcW w:w="56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spacing w:after="0"/>
              <w:rPr>
                <w:sz w:val="21"/>
                <w:szCs w:val="21"/>
                <w:color w:val="auto"/>
              </w:rPr>
            </w:pPr>
          </w:p>
        </w:tc>
      </w:tr>
      <w:tr>
        <w:trPr>
          <w:trHeight w:val="25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Loss per share:</w:t>
            </w:r>
          </w:p>
        </w:tc>
        <w:tc>
          <w:tcPr>
            <w:tcW w:w="5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340"/>
              <w:spacing w:after="0"/>
              <w:rPr>
                <w:sz w:val="20"/>
                <w:szCs w:val="20"/>
                <w:color w:val="auto"/>
              </w:rPr>
            </w:pPr>
            <w:r>
              <w:rPr>
                <w:rFonts w:ascii="Arial" w:cs="Arial" w:eastAsia="Arial" w:hAnsi="Arial"/>
                <w:sz w:val="18"/>
                <w:szCs w:val="18"/>
                <w:color w:val="auto"/>
              </w:rPr>
              <w:t>Basic and diluted</w:t>
            </w:r>
          </w:p>
        </w:tc>
        <w:tc>
          <w:tcPr>
            <w:tcW w:w="500" w:type="dxa"/>
            <w:vAlign w:val="bottom"/>
          </w:tcPr>
          <w:p>
            <w:pPr>
              <w:jc w:val="right"/>
              <w:ind w:right="31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(0.70)</w:t>
            </w:r>
          </w:p>
        </w:tc>
        <w:tc>
          <w:tcPr>
            <w:tcW w:w="120" w:type="dxa"/>
            <w:vAlign w:val="bottom"/>
          </w:tcPr>
          <w:p>
            <w:pPr>
              <w:spacing w:after="0"/>
              <w:rPr>
                <w:sz w:val="21"/>
                <w:szCs w:val="21"/>
                <w:color w:val="auto"/>
              </w:rPr>
            </w:pP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(0.67)</w:t>
            </w:r>
          </w:p>
        </w:tc>
        <w:tc>
          <w:tcPr>
            <w:tcW w:w="100" w:type="dxa"/>
            <w:vAlign w:val="bottom"/>
          </w:tcPr>
          <w:p>
            <w:pPr>
              <w:spacing w:after="0"/>
              <w:rPr>
                <w:sz w:val="21"/>
                <w:szCs w:val="21"/>
                <w:color w:val="auto"/>
              </w:rPr>
            </w:pPr>
          </w:p>
        </w:tc>
        <w:tc>
          <w:tcPr>
            <w:tcW w:w="480" w:type="dxa"/>
            <w:vAlign w:val="bottom"/>
          </w:tcPr>
          <w:p>
            <w:pPr>
              <w:jc w:val="right"/>
              <w:ind w:right="27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(2.37)</w:t>
            </w:r>
          </w:p>
        </w:tc>
        <w:tc>
          <w:tcPr>
            <w:tcW w:w="120" w:type="dxa"/>
            <w:vAlign w:val="bottom"/>
          </w:tcPr>
          <w:p>
            <w:pPr>
              <w:spacing w:after="0"/>
              <w:rPr>
                <w:sz w:val="21"/>
                <w:szCs w:val="21"/>
                <w:color w:val="auto"/>
              </w:rPr>
            </w:pPr>
          </w:p>
        </w:tc>
        <w:tc>
          <w:tcPr>
            <w:tcW w:w="480" w:type="dxa"/>
            <w:vAlign w:val="bottom"/>
          </w:tcPr>
          <w:p>
            <w:pPr>
              <w:jc w:val="right"/>
              <w:ind w:right="27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27"/>
        </w:trPr>
        <w:tc>
          <w:tcPr>
            <w:tcW w:w="56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324"/>
        </w:trPr>
        <w:tc>
          <w:tcPr>
            <w:tcW w:w="56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r>
      <w:tr>
        <w:trPr>
          <w:trHeight w:val="243"/>
        </w:trPr>
        <w:tc>
          <w:tcPr>
            <w:tcW w:w="5620" w:type="dxa"/>
            <w:vAlign w:val="bottom"/>
          </w:tcPr>
          <w:p>
            <w:pPr>
              <w:ind w:left="180"/>
              <w:spacing w:after="0"/>
              <w:rPr>
                <w:sz w:val="20"/>
                <w:szCs w:val="20"/>
                <w:color w:val="auto"/>
              </w:rPr>
            </w:pPr>
            <w:r>
              <w:rPr>
                <w:rFonts w:ascii="Arial" w:cs="Arial" w:eastAsia="Arial" w:hAnsi="Arial"/>
                <w:sz w:val="18"/>
                <w:szCs w:val="18"/>
                <w:color w:val="auto"/>
              </w:rPr>
              <w:t>Weighted-average shares outstanding:</w:t>
            </w:r>
          </w:p>
        </w:tc>
        <w:tc>
          <w:tcPr>
            <w:tcW w:w="5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spacing w:after="0"/>
              <w:rPr>
                <w:sz w:val="21"/>
                <w:szCs w:val="21"/>
                <w:color w:val="auto"/>
              </w:rPr>
            </w:pPr>
          </w:p>
        </w:tc>
      </w:tr>
      <w:tr>
        <w:trPr>
          <w:trHeight w:val="27"/>
        </w:trPr>
        <w:tc>
          <w:tcPr>
            <w:tcW w:w="56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43"/>
        </w:trPr>
        <w:tc>
          <w:tcPr>
            <w:tcW w:w="56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 and diluted</w:t>
            </w:r>
          </w:p>
        </w:tc>
        <w:tc>
          <w:tcPr>
            <w:tcW w:w="500" w:type="dxa"/>
            <w:vAlign w:val="bottom"/>
            <w:shd w:val="clear" w:color="auto" w:fill="CCEEFF"/>
          </w:tcPr>
          <w:p>
            <w:pPr>
              <w:spacing w:after="0"/>
              <w:rPr>
                <w:sz w:val="21"/>
                <w:szCs w:val="21"/>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16.09</w:t>
            </w:r>
          </w:p>
        </w:tc>
        <w:tc>
          <w:tcPr>
            <w:tcW w:w="12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8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15.84</w:t>
            </w:r>
          </w:p>
        </w:tc>
        <w:tc>
          <w:tcPr>
            <w:tcW w:w="1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16.01</w:t>
            </w:r>
          </w:p>
        </w:tc>
        <w:tc>
          <w:tcPr>
            <w:tcW w:w="12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15.80</w:t>
            </w:r>
          </w:p>
        </w:tc>
      </w:tr>
      <w:tr>
        <w:trPr>
          <w:trHeight w:val="27"/>
        </w:trPr>
        <w:tc>
          <w:tcPr>
            <w:tcW w:w="56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8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8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8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r>
    </w:tbl>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341" w:right="239" w:bottom="1440" w:gutter="0" w:footer="0" w:header="0"/>
          <w:type w:val="continuous"/>
        </w:sectPr>
      </w:pPr>
    </w:p>
    <w:bookmarkStart w:id="4" w:name="page5"/>
    <w:bookmarkEnd w:id="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VERITIV CORPORATION</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CONDENSED CONSOLIDATED STATEMENTS OF COMPREHENSIVE INCOME (LOSS)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millions, unaudited)</w:t>
      </w: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00" w:type="dxa"/>
            <w:vAlign w:val="bottom"/>
          </w:tcPr>
          <w:p>
            <w:pPr>
              <w:spacing w:after="0"/>
              <w:rPr>
                <w:sz w:val="18"/>
                <w:szCs w:val="18"/>
                <w:color w:val="auto"/>
              </w:rPr>
            </w:pPr>
          </w:p>
        </w:tc>
        <w:tc>
          <w:tcPr>
            <w:tcW w:w="2380" w:type="dxa"/>
            <w:vAlign w:val="bottom"/>
            <w:gridSpan w:val="4"/>
          </w:tcPr>
          <w:p>
            <w:pPr>
              <w:jc w:val="right"/>
              <w:ind w:right="50"/>
              <w:spacing w:after="0"/>
              <w:rPr>
                <w:sz w:val="20"/>
                <w:szCs w:val="20"/>
                <w:color w:val="auto"/>
              </w:rPr>
            </w:pPr>
            <w:r>
              <w:rPr>
                <w:rFonts w:ascii="Arial" w:cs="Arial" w:eastAsia="Arial" w:hAnsi="Arial"/>
                <w:sz w:val="18"/>
                <w:szCs w:val="18"/>
                <w:b w:val="1"/>
                <w:bCs w:val="1"/>
                <w:color w:val="auto"/>
              </w:rPr>
              <w:t>Three Months Ended</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40" w:type="dxa"/>
            <w:vAlign w:val="bottom"/>
            <w:gridSpan w:val="4"/>
          </w:tcPr>
          <w:p>
            <w:pPr>
              <w:jc w:val="right"/>
              <w:ind w:right="690"/>
              <w:spacing w:after="0"/>
              <w:rPr>
                <w:sz w:val="20"/>
                <w:szCs w:val="20"/>
                <w:color w:val="auto"/>
              </w:rPr>
            </w:pPr>
            <w:r>
              <w:rPr>
                <w:rFonts w:ascii="Arial" w:cs="Arial" w:eastAsia="Arial" w:hAnsi="Arial"/>
                <w:sz w:val="18"/>
                <w:szCs w:val="18"/>
                <w:b w:val="1"/>
                <w:bCs w:val="1"/>
                <w:color w:val="auto"/>
              </w:rPr>
              <w:t>Six Months Ended</w:t>
            </w:r>
          </w:p>
        </w:tc>
      </w:tr>
      <w:tr>
        <w:trPr>
          <w:trHeight w:val="234"/>
        </w:trPr>
        <w:tc>
          <w:tcPr>
            <w:tcW w:w="55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500" w:type="dxa"/>
            <w:vAlign w:val="bottom"/>
            <w:gridSpan w:val="3"/>
          </w:tcPr>
          <w:p>
            <w:pPr>
              <w:jc w:val="right"/>
              <w:ind w:right="510"/>
              <w:spacing w:after="0"/>
              <w:rPr>
                <w:sz w:val="20"/>
                <w:szCs w:val="20"/>
                <w:color w:val="auto"/>
              </w:rPr>
            </w:pPr>
            <w:r>
              <w:rPr>
                <w:rFonts w:ascii="Arial" w:cs="Arial" w:eastAsia="Arial" w:hAnsi="Arial"/>
                <w:sz w:val="18"/>
                <w:szCs w:val="18"/>
                <w:b w:val="1"/>
                <w:bCs w:val="1"/>
                <w:color w:val="auto"/>
              </w:rPr>
              <w:t>June 30,</w:t>
            </w: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620" w:type="dxa"/>
            <w:vAlign w:val="bottom"/>
            <w:gridSpan w:val="3"/>
          </w:tcPr>
          <w:p>
            <w:pPr>
              <w:jc w:val="right"/>
              <w:ind w:right="10"/>
              <w:spacing w:after="0"/>
              <w:rPr>
                <w:sz w:val="20"/>
                <w:szCs w:val="20"/>
                <w:color w:val="auto"/>
              </w:rPr>
            </w:pPr>
            <w:r>
              <w:rPr>
                <w:rFonts w:ascii="Arial" w:cs="Arial" w:eastAsia="Arial" w:hAnsi="Arial"/>
                <w:sz w:val="18"/>
                <w:szCs w:val="18"/>
                <w:b w:val="1"/>
                <w:bCs w:val="1"/>
                <w:color w:val="auto"/>
              </w:rPr>
              <w:t>June 30,</w:t>
            </w:r>
          </w:p>
        </w:tc>
        <w:tc>
          <w:tcPr>
            <w:tcW w:w="1020" w:type="dxa"/>
            <w:vAlign w:val="bottom"/>
          </w:tcPr>
          <w:p>
            <w:pPr>
              <w:spacing w:after="0"/>
              <w:rPr>
                <w:sz w:val="20"/>
                <w:szCs w:val="20"/>
                <w:color w:val="auto"/>
              </w:rPr>
            </w:pPr>
          </w:p>
        </w:tc>
      </w:tr>
      <w:tr>
        <w:trPr>
          <w:trHeight w:val="27"/>
        </w:trPr>
        <w:tc>
          <w:tcPr>
            <w:tcW w:w="5500" w:type="dxa"/>
            <w:vAlign w:val="bottom"/>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55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2018</w:t>
            </w: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r>
      <w:tr>
        <w:trPr>
          <w:trHeight w:val="27"/>
        </w:trPr>
        <w:tc>
          <w:tcPr>
            <w:tcW w:w="55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loss</w:t>
            </w:r>
          </w:p>
        </w:tc>
        <w:tc>
          <w:tcPr>
            <w:tcW w:w="880" w:type="dxa"/>
            <w:vAlign w:val="bottom"/>
            <w:tcBorders>
              <w:bottom w:val="single" w:sz="8" w:color="CCEEFF"/>
            </w:tcBorders>
            <w:shd w:val="clear" w:color="auto" w:fill="CCEEFF"/>
          </w:tcPr>
          <w:p>
            <w:pPr>
              <w:jc w:val="right"/>
              <w:ind w:right="690"/>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3"/>
              </w:rPr>
              <w:t>(11.3)</w:t>
            </w:r>
          </w:p>
        </w:tc>
        <w:tc>
          <w:tcPr>
            <w:tcW w:w="1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670"/>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9"/>
              </w:rPr>
              <w:t>(10.6)</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(38.0)</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(26.4)</w:t>
            </w:r>
          </w:p>
        </w:tc>
      </w:tr>
      <w:tr>
        <w:trPr>
          <w:trHeight w:val="243"/>
        </w:trPr>
        <w:tc>
          <w:tcPr>
            <w:tcW w:w="5500" w:type="dxa"/>
            <w:vAlign w:val="bottom"/>
          </w:tcPr>
          <w:p>
            <w:pPr>
              <w:ind w:left="200"/>
              <w:spacing w:after="0"/>
              <w:rPr>
                <w:sz w:val="20"/>
                <w:szCs w:val="20"/>
                <w:color w:val="auto"/>
              </w:rPr>
            </w:pPr>
            <w:r>
              <w:rPr>
                <w:rFonts w:ascii="Arial" w:cs="Arial" w:eastAsia="Arial" w:hAnsi="Arial"/>
                <w:sz w:val="18"/>
                <w:szCs w:val="18"/>
                <w:color w:val="auto"/>
              </w:rPr>
              <w:t>Other comprehensive income (loss):</w:t>
            </w:r>
          </w:p>
        </w:tc>
        <w:tc>
          <w:tcPr>
            <w:tcW w:w="8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spacing w:after="0"/>
              <w:rPr>
                <w:sz w:val="21"/>
                <w:szCs w:val="21"/>
                <w:color w:val="auto"/>
              </w:rPr>
            </w:pPr>
          </w:p>
        </w:tc>
      </w:tr>
      <w:tr>
        <w:trPr>
          <w:trHeight w:val="27"/>
        </w:trPr>
        <w:tc>
          <w:tcPr>
            <w:tcW w:w="5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55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Foreign currency translation adjustments</w:t>
            </w:r>
          </w:p>
        </w:tc>
        <w:tc>
          <w:tcPr>
            <w:tcW w:w="88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w:t>
            </w:r>
          </w:p>
        </w:tc>
        <w:tc>
          <w:tcPr>
            <w:tcW w:w="1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w:t>
            </w:r>
          </w:p>
        </w:tc>
      </w:tr>
      <w:tr>
        <w:trPr>
          <w:trHeight w:val="229"/>
        </w:trPr>
        <w:tc>
          <w:tcPr>
            <w:tcW w:w="5500" w:type="dxa"/>
            <w:vAlign w:val="bottom"/>
          </w:tcPr>
          <w:p>
            <w:pPr>
              <w:ind w:left="360"/>
              <w:spacing w:after="0"/>
              <w:rPr>
                <w:sz w:val="20"/>
                <w:szCs w:val="20"/>
                <w:color w:val="auto"/>
              </w:rPr>
            </w:pPr>
            <w:r>
              <w:rPr>
                <w:rFonts w:ascii="Arial" w:cs="Arial" w:eastAsia="Arial" w:hAnsi="Arial"/>
                <w:sz w:val="18"/>
                <w:szCs w:val="18"/>
                <w:color w:val="auto"/>
                <w:w w:val="93"/>
              </w:rPr>
              <w:t>Change in fair value of cash flow hedge, net of $0.0, $0.0, $(0.1) and</w:t>
            </w:r>
          </w:p>
        </w:tc>
        <w:tc>
          <w:tcPr>
            <w:tcW w:w="8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20" w:type="dxa"/>
            <w:vAlign w:val="bottom"/>
          </w:tcPr>
          <w:p>
            <w:pPr>
              <w:spacing w:after="0"/>
              <w:rPr>
                <w:sz w:val="19"/>
                <w:szCs w:val="19"/>
                <w:color w:val="auto"/>
              </w:rPr>
            </w:pPr>
          </w:p>
        </w:tc>
      </w:tr>
      <w:tr>
        <w:trPr>
          <w:trHeight w:val="230"/>
        </w:trPr>
        <w:tc>
          <w:tcPr>
            <w:tcW w:w="5500" w:type="dxa"/>
            <w:vAlign w:val="bottom"/>
          </w:tcPr>
          <w:p>
            <w:pPr>
              <w:ind w:left="520"/>
              <w:spacing w:after="0"/>
              <w:rPr>
                <w:sz w:val="20"/>
                <w:szCs w:val="20"/>
                <w:color w:val="auto"/>
              </w:rPr>
            </w:pPr>
            <w:r>
              <w:rPr>
                <w:rFonts w:ascii="Arial" w:cs="Arial" w:eastAsia="Arial" w:hAnsi="Arial"/>
                <w:sz w:val="18"/>
                <w:szCs w:val="18"/>
                <w:color w:val="auto"/>
              </w:rPr>
              <w:t>$0.2 tax, respectively</w:t>
            </w:r>
          </w:p>
        </w:tc>
        <w:tc>
          <w:tcPr>
            <w:tcW w:w="880" w:type="dxa"/>
            <w:vAlign w:val="bottom"/>
          </w:tcPr>
          <w:p>
            <w:pPr>
              <w:spacing w:after="0"/>
              <w:rPr>
                <w:sz w:val="20"/>
                <w:szCs w:val="20"/>
                <w:color w:val="auto"/>
              </w:rPr>
            </w:pPr>
          </w:p>
        </w:tc>
        <w:tc>
          <w:tcPr>
            <w:tcW w:w="520" w:type="dxa"/>
            <w:vAlign w:val="bottom"/>
          </w:tcPr>
          <w:p>
            <w:pPr>
              <w:jc w:val="right"/>
              <w:ind w:right="30"/>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80" w:type="dxa"/>
            <w:vAlign w:val="bottom"/>
          </w:tcPr>
          <w:p>
            <w:pPr>
              <w:jc w:val="right"/>
              <w:ind w:right="1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0.1</w:t>
            </w:r>
          </w:p>
        </w:tc>
      </w:tr>
      <w:tr>
        <w:trPr>
          <w:trHeight w:val="27"/>
        </w:trPr>
        <w:tc>
          <w:tcPr>
            <w:tcW w:w="5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29"/>
        </w:trPr>
        <w:tc>
          <w:tcPr>
            <w:tcW w:w="550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8"/>
              </w:rPr>
              <w:t>Pension liability adjustments, net of $0.0, $0.0, $0.0 and $0.7 tax,</w:t>
            </w:r>
          </w:p>
        </w:tc>
        <w:tc>
          <w:tcPr>
            <w:tcW w:w="88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r>
      <w:tr>
        <w:trPr>
          <w:trHeight w:val="257"/>
        </w:trPr>
        <w:tc>
          <w:tcPr>
            <w:tcW w:w="550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8"/>
                <w:szCs w:val="18"/>
                <w:color w:val="auto"/>
              </w:rPr>
              <w:t>respectively</w:t>
            </w:r>
          </w:p>
        </w:tc>
        <w:tc>
          <w:tcPr>
            <w:tcW w:w="88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r>
      <w:tr>
        <w:trPr>
          <w:trHeight w:val="237"/>
        </w:trPr>
        <w:tc>
          <w:tcPr>
            <w:tcW w:w="5500" w:type="dxa"/>
            <w:vAlign w:val="bottom"/>
          </w:tcPr>
          <w:p>
            <w:pPr>
              <w:ind w:left="200"/>
              <w:spacing w:after="0"/>
              <w:rPr>
                <w:sz w:val="20"/>
                <w:szCs w:val="20"/>
                <w:color w:val="auto"/>
              </w:rPr>
            </w:pPr>
            <w:r>
              <w:rPr>
                <w:rFonts w:ascii="Arial" w:cs="Arial" w:eastAsia="Arial" w:hAnsi="Arial"/>
                <w:sz w:val="18"/>
                <w:szCs w:val="18"/>
                <w:color w:val="auto"/>
              </w:rPr>
              <w:t>Other comprehensive income (loss)</w:t>
            </w:r>
          </w:p>
        </w:tc>
        <w:tc>
          <w:tcPr>
            <w:tcW w:w="880" w:type="dxa"/>
            <w:vAlign w:val="bottom"/>
            <w:tcBorders>
              <w:top w:val="single" w:sz="8" w:color="auto"/>
            </w:tcBorders>
          </w:tcPr>
          <w:p>
            <w:pPr>
              <w:spacing w:after="0"/>
              <w:rPr>
                <w:sz w:val="20"/>
                <w:szCs w:val="20"/>
                <w:color w:val="auto"/>
              </w:rPr>
            </w:pPr>
          </w:p>
        </w:tc>
        <w:tc>
          <w:tcPr>
            <w:tcW w:w="5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0"/>
                <w:szCs w:val="20"/>
                <w:color w:val="auto"/>
              </w:rPr>
            </w:pPr>
          </w:p>
        </w:tc>
        <w:tc>
          <w:tcPr>
            <w:tcW w:w="88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w:t>
            </w:r>
          </w:p>
        </w:tc>
      </w:tr>
      <w:tr>
        <w:trPr>
          <w:trHeight w:val="27"/>
        </w:trPr>
        <w:tc>
          <w:tcPr>
            <w:tcW w:w="55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57"/>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comprehensive income (loss)</w:t>
            </w:r>
          </w:p>
        </w:tc>
        <w:tc>
          <w:tcPr>
            <w:tcW w:w="880" w:type="dxa"/>
            <w:vAlign w:val="bottom"/>
            <w:tcBorders>
              <w:bottom w:val="single" w:sz="8" w:color="auto"/>
            </w:tcBorders>
            <w:shd w:val="clear" w:color="auto" w:fill="CCEEFF"/>
          </w:tcPr>
          <w:p>
            <w:pPr>
              <w:jc w:val="right"/>
              <w:ind w:right="690"/>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10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670"/>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(14.4)</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(33.9)</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(31.0)</w:t>
            </w:r>
          </w:p>
        </w:tc>
      </w:tr>
      <w:tr>
        <w:trPr>
          <w:trHeight w:val="20"/>
        </w:trPr>
        <w:tc>
          <w:tcPr>
            <w:tcW w:w="55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1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341"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VERITIV CORPORATION</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CONDENSED CONSOLIDATED 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millions, except par value, unaudited)</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0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60" w:type="dxa"/>
            <w:vAlign w:val="bottom"/>
            <w:gridSpan w:val="2"/>
          </w:tcPr>
          <w:p>
            <w:pPr>
              <w:ind w:left="180"/>
              <w:spacing w:after="0"/>
              <w:rPr>
                <w:sz w:val="20"/>
                <w:szCs w:val="20"/>
                <w:color w:val="auto"/>
              </w:rPr>
            </w:pPr>
            <w:r>
              <w:rPr>
                <w:rFonts w:ascii="Arial" w:cs="Arial" w:eastAsia="Arial" w:hAnsi="Arial"/>
                <w:sz w:val="18"/>
                <w:szCs w:val="18"/>
                <w:b w:val="1"/>
                <w:bCs w:val="1"/>
                <w:color w:val="auto"/>
              </w:rPr>
              <w:t>June 30, 2019</w:t>
            </w:r>
          </w:p>
        </w:tc>
        <w:tc>
          <w:tcPr>
            <w:tcW w:w="240" w:type="dxa"/>
            <w:vAlign w:val="bottom"/>
          </w:tcPr>
          <w:p>
            <w:pPr>
              <w:spacing w:after="0"/>
              <w:rPr>
                <w:sz w:val="20"/>
                <w:szCs w:val="20"/>
                <w:color w:val="auto"/>
              </w:rPr>
            </w:pPr>
          </w:p>
        </w:tc>
        <w:tc>
          <w:tcPr>
            <w:tcW w:w="1940" w:type="dxa"/>
            <w:vAlign w:val="bottom"/>
          </w:tcPr>
          <w:p>
            <w:pPr>
              <w:jc w:val="right"/>
              <w:ind w:right="270"/>
              <w:spacing w:after="0"/>
              <w:rPr>
                <w:sz w:val="20"/>
                <w:szCs w:val="20"/>
                <w:color w:val="auto"/>
              </w:rPr>
            </w:pPr>
            <w:r>
              <w:rPr>
                <w:rFonts w:ascii="Arial" w:cs="Arial" w:eastAsia="Arial" w:hAnsi="Arial"/>
                <w:sz w:val="18"/>
                <w:szCs w:val="18"/>
                <w:b w:val="1"/>
                <w:bCs w:val="1"/>
                <w:color w:val="auto"/>
                <w:w w:val="96"/>
              </w:rPr>
              <w:t>December 31, 2018</w:t>
            </w:r>
          </w:p>
        </w:tc>
      </w:tr>
      <w:tr>
        <w:trPr>
          <w:trHeight w:val="27"/>
        </w:trPr>
        <w:tc>
          <w:tcPr>
            <w:tcW w:w="70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44"/>
        </w:trPr>
        <w:tc>
          <w:tcPr>
            <w:tcW w:w="7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34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spacing w:after="0"/>
              <w:rPr>
                <w:sz w:val="21"/>
                <w:szCs w:val="21"/>
                <w:color w:val="auto"/>
              </w:rPr>
            </w:pPr>
          </w:p>
        </w:tc>
      </w:tr>
      <w:tr>
        <w:trPr>
          <w:trHeight w:val="243"/>
        </w:trPr>
        <w:tc>
          <w:tcPr>
            <w:tcW w:w="7040" w:type="dxa"/>
            <w:vAlign w:val="bottom"/>
          </w:tcPr>
          <w:p>
            <w:pPr>
              <w:ind w:left="220"/>
              <w:spacing w:after="0"/>
              <w:rPr>
                <w:sz w:val="20"/>
                <w:szCs w:val="20"/>
                <w:color w:val="auto"/>
              </w:rPr>
            </w:pPr>
            <w:r>
              <w:rPr>
                <w:rFonts w:ascii="Arial" w:cs="Arial" w:eastAsia="Arial" w:hAnsi="Arial"/>
                <w:sz w:val="18"/>
                <w:szCs w:val="18"/>
                <w:color w:val="auto"/>
              </w:rPr>
              <w:t>Current assets:</w:t>
            </w:r>
          </w:p>
        </w:tc>
        <w:tc>
          <w:tcPr>
            <w:tcW w:w="34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spacing w:after="0"/>
              <w:rPr>
                <w:sz w:val="21"/>
                <w:szCs w:val="21"/>
                <w:color w:val="auto"/>
              </w:rPr>
            </w:pP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Cash</w:t>
            </w:r>
          </w:p>
        </w:tc>
        <w:tc>
          <w:tcPr>
            <w:tcW w:w="3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64.3</w:t>
            </w:r>
          </w:p>
        </w:tc>
      </w:tr>
      <w:tr>
        <w:trPr>
          <w:trHeight w:val="243"/>
        </w:trPr>
        <w:tc>
          <w:tcPr>
            <w:tcW w:w="7040" w:type="dxa"/>
            <w:vAlign w:val="bottom"/>
          </w:tcPr>
          <w:p>
            <w:pPr>
              <w:ind w:left="360"/>
              <w:spacing w:after="0"/>
              <w:rPr>
                <w:sz w:val="20"/>
                <w:szCs w:val="20"/>
                <w:color w:val="auto"/>
              </w:rPr>
            </w:pPr>
            <w:r>
              <w:rPr>
                <w:rFonts w:ascii="Arial" w:cs="Arial" w:eastAsia="Arial" w:hAnsi="Arial"/>
                <w:sz w:val="18"/>
                <w:szCs w:val="18"/>
                <w:color w:val="auto"/>
              </w:rPr>
              <w:t>Accounts receivable, less allowances of $53.0 and $62.0, respectively</w:t>
            </w:r>
          </w:p>
        </w:tc>
        <w:tc>
          <w:tcPr>
            <w:tcW w:w="34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1,012.0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1,181.4</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Related party receivable</w:t>
            </w:r>
          </w:p>
        </w:tc>
        <w:tc>
          <w:tcPr>
            <w:tcW w:w="34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w:t>
            </w:r>
          </w:p>
        </w:tc>
      </w:tr>
      <w:tr>
        <w:trPr>
          <w:trHeight w:val="243"/>
        </w:trPr>
        <w:tc>
          <w:tcPr>
            <w:tcW w:w="7040" w:type="dxa"/>
            <w:vAlign w:val="bottom"/>
          </w:tcPr>
          <w:p>
            <w:pPr>
              <w:ind w:left="380"/>
              <w:spacing w:after="0"/>
              <w:rPr>
                <w:sz w:val="20"/>
                <w:szCs w:val="20"/>
                <w:color w:val="auto"/>
              </w:rPr>
            </w:pPr>
            <w:r>
              <w:rPr>
                <w:rFonts w:ascii="Arial" w:cs="Arial" w:eastAsia="Arial" w:hAnsi="Arial"/>
                <w:sz w:val="18"/>
                <w:szCs w:val="18"/>
                <w:color w:val="auto"/>
              </w:rPr>
              <w:t>Inventories</w:t>
            </w:r>
          </w:p>
        </w:tc>
        <w:tc>
          <w:tcPr>
            <w:tcW w:w="34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638.3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688.2</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0"/>
        </w:trPr>
        <w:tc>
          <w:tcPr>
            <w:tcW w:w="7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current assets</w:t>
            </w:r>
          </w:p>
        </w:tc>
        <w:tc>
          <w:tcPr>
            <w:tcW w:w="34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124.6</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147.2</w:t>
            </w:r>
          </w:p>
        </w:tc>
      </w:tr>
      <w:tr>
        <w:trPr>
          <w:trHeight w:val="237"/>
        </w:trPr>
        <w:tc>
          <w:tcPr>
            <w:tcW w:w="7040" w:type="dxa"/>
            <w:vAlign w:val="bottom"/>
          </w:tcPr>
          <w:p>
            <w:pPr>
              <w:ind w:left="220"/>
              <w:spacing w:after="0"/>
              <w:rPr>
                <w:sz w:val="20"/>
                <w:szCs w:val="20"/>
                <w:color w:val="auto"/>
              </w:rPr>
            </w:pPr>
            <w:r>
              <w:rPr>
                <w:rFonts w:ascii="Arial" w:cs="Arial" w:eastAsia="Arial" w:hAnsi="Arial"/>
                <w:sz w:val="18"/>
                <w:szCs w:val="18"/>
                <w:b w:val="1"/>
                <w:bCs w:val="1"/>
                <w:color w:val="auto"/>
              </w:rPr>
              <w:t>Total current assets</w:t>
            </w:r>
          </w:p>
        </w:tc>
        <w:tc>
          <w:tcPr>
            <w:tcW w:w="340" w:type="dxa"/>
            <w:vAlign w:val="bottom"/>
            <w:tcBorders>
              <w:top w:val="single" w:sz="8" w:color="auto"/>
            </w:tcBorders>
          </w:tcPr>
          <w:p>
            <w:pPr>
              <w:spacing w:after="0"/>
              <w:rPr>
                <w:sz w:val="20"/>
                <w:szCs w:val="20"/>
                <w:color w:val="auto"/>
              </w:rPr>
            </w:pPr>
          </w:p>
        </w:tc>
        <w:tc>
          <w:tcPr>
            <w:tcW w:w="17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1,833.4</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2,084.3</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29"/>
        </w:trPr>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5"/>
              </w:rPr>
              <w:t>Property and equipment (net of accumulated depreciation and amortization of $342.5 and</w:t>
            </w:r>
          </w:p>
        </w:tc>
        <w:tc>
          <w:tcPr>
            <w:tcW w:w="340" w:type="dxa"/>
            <w:vAlign w:val="bottom"/>
            <w:shd w:val="clear" w:color="auto" w:fill="CCEEFF"/>
          </w:tcPr>
          <w:p>
            <w:pPr>
              <w:spacing w:after="0"/>
              <w:rPr>
                <w:sz w:val="19"/>
                <w:szCs w:val="19"/>
                <w:color w:val="auto"/>
              </w:rPr>
            </w:pPr>
          </w:p>
        </w:tc>
        <w:tc>
          <w:tcPr>
            <w:tcW w:w="17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940" w:type="dxa"/>
            <w:vAlign w:val="bottom"/>
            <w:shd w:val="clear" w:color="auto" w:fill="CCEEFF"/>
          </w:tcPr>
          <w:p>
            <w:pPr>
              <w:spacing w:after="0"/>
              <w:rPr>
                <w:sz w:val="19"/>
                <w:szCs w:val="19"/>
                <w:color w:val="auto"/>
              </w:rPr>
            </w:pPr>
          </w:p>
        </w:tc>
      </w:tr>
      <w:tr>
        <w:trPr>
          <w:trHeight w:val="237"/>
        </w:trPr>
        <w:tc>
          <w:tcPr>
            <w:tcW w:w="70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$320.7, respectively)</w:t>
            </w:r>
          </w:p>
        </w:tc>
        <w:tc>
          <w:tcPr>
            <w:tcW w:w="34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209.2</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206.7</w:t>
            </w:r>
          </w:p>
        </w:tc>
      </w:tr>
      <w:tr>
        <w:trPr>
          <w:trHeight w:val="243"/>
        </w:trPr>
        <w:tc>
          <w:tcPr>
            <w:tcW w:w="7040" w:type="dxa"/>
            <w:vAlign w:val="bottom"/>
          </w:tcPr>
          <w:p>
            <w:pPr>
              <w:ind w:left="220"/>
              <w:spacing w:after="0"/>
              <w:rPr>
                <w:sz w:val="20"/>
                <w:szCs w:val="20"/>
                <w:color w:val="auto"/>
              </w:rPr>
            </w:pPr>
            <w:r>
              <w:rPr>
                <w:rFonts w:ascii="Arial" w:cs="Arial" w:eastAsia="Arial" w:hAnsi="Arial"/>
                <w:sz w:val="18"/>
                <w:szCs w:val="18"/>
                <w:color w:val="auto"/>
              </w:rPr>
              <w:t>Goodwill</w:t>
            </w:r>
          </w:p>
        </w:tc>
        <w:tc>
          <w:tcPr>
            <w:tcW w:w="34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99.6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99.6</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Other intangibles, net</w:t>
            </w:r>
          </w:p>
        </w:tc>
        <w:tc>
          <w:tcPr>
            <w:tcW w:w="34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57.2</w:t>
            </w:r>
          </w:p>
        </w:tc>
      </w:tr>
      <w:tr>
        <w:trPr>
          <w:trHeight w:val="243"/>
        </w:trPr>
        <w:tc>
          <w:tcPr>
            <w:tcW w:w="7040" w:type="dxa"/>
            <w:vAlign w:val="bottom"/>
          </w:tcPr>
          <w:p>
            <w:pPr>
              <w:ind w:left="220"/>
              <w:spacing w:after="0"/>
              <w:rPr>
                <w:sz w:val="20"/>
                <w:szCs w:val="20"/>
                <w:color w:val="auto"/>
              </w:rPr>
            </w:pPr>
            <w:r>
              <w:rPr>
                <w:rFonts w:ascii="Arial" w:cs="Arial" w:eastAsia="Arial" w:hAnsi="Arial"/>
                <w:sz w:val="18"/>
                <w:szCs w:val="18"/>
                <w:color w:val="auto"/>
              </w:rPr>
              <w:t>Deferred income tax assets</w:t>
            </w:r>
          </w:p>
        </w:tc>
        <w:tc>
          <w:tcPr>
            <w:tcW w:w="34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65.1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56.5</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0"/>
        </w:trPr>
        <w:tc>
          <w:tcPr>
            <w:tcW w:w="7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Other non-current assets</w:t>
            </w:r>
          </w:p>
        </w:tc>
        <w:tc>
          <w:tcPr>
            <w:tcW w:w="34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435.0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25.4</w:t>
            </w:r>
          </w:p>
        </w:tc>
      </w:tr>
      <w:tr>
        <w:trPr>
          <w:trHeight w:val="297"/>
        </w:trPr>
        <w:tc>
          <w:tcPr>
            <w:tcW w:w="7040" w:type="dxa"/>
            <w:vAlign w:val="bottom"/>
            <w:tcBorders>
              <w:bottom w:val="single" w:sz="8" w:color="CCEEFF"/>
            </w:tcBorders>
          </w:tcPr>
          <w:p>
            <w:pPr>
              <w:ind w:left="220"/>
              <w:spacing w:after="0"/>
              <w:rPr>
                <w:sz w:val="20"/>
                <w:szCs w:val="20"/>
                <w:color w:val="auto"/>
              </w:rPr>
            </w:pPr>
            <w:r>
              <w:rPr>
                <w:rFonts w:ascii="Arial" w:cs="Arial" w:eastAsia="Arial" w:hAnsi="Arial"/>
                <w:sz w:val="18"/>
                <w:szCs w:val="18"/>
                <w:b w:val="1"/>
                <w:bCs w:val="1"/>
                <w:color w:val="auto"/>
              </w:rPr>
              <w:t>Total assets</w:t>
            </w:r>
          </w:p>
        </w:tc>
        <w:tc>
          <w:tcPr>
            <w:tcW w:w="34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7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2,696.8</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2,529.7</w:t>
            </w:r>
          </w:p>
        </w:tc>
      </w:tr>
      <w:tr>
        <w:trPr>
          <w:trHeight w:val="237"/>
        </w:trPr>
        <w:tc>
          <w:tcPr>
            <w:tcW w:w="7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 and shareholders' equity</w:t>
            </w:r>
          </w:p>
        </w:tc>
        <w:tc>
          <w:tcPr>
            <w:tcW w:w="34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940" w:type="dxa"/>
            <w:vAlign w:val="bottom"/>
            <w:tcBorders>
              <w:bottom w:val="single" w:sz="8" w:color="CCEEFF"/>
            </w:tcBorders>
            <w:shd w:val="clear" w:color="auto" w:fill="CCEEFF"/>
          </w:tcPr>
          <w:p>
            <w:pPr>
              <w:spacing w:after="0"/>
              <w:rPr>
                <w:sz w:val="20"/>
                <w:szCs w:val="20"/>
                <w:color w:val="auto"/>
              </w:rPr>
            </w:pPr>
          </w:p>
        </w:tc>
      </w:tr>
      <w:tr>
        <w:trPr>
          <w:trHeight w:val="243"/>
        </w:trPr>
        <w:tc>
          <w:tcPr>
            <w:tcW w:w="7040" w:type="dxa"/>
            <w:vAlign w:val="bottom"/>
          </w:tcPr>
          <w:p>
            <w:pPr>
              <w:ind w:left="220"/>
              <w:spacing w:after="0"/>
              <w:rPr>
                <w:sz w:val="20"/>
                <w:szCs w:val="20"/>
                <w:color w:val="auto"/>
              </w:rPr>
            </w:pPr>
            <w:r>
              <w:rPr>
                <w:rFonts w:ascii="Arial" w:cs="Arial" w:eastAsia="Arial" w:hAnsi="Arial"/>
                <w:sz w:val="18"/>
                <w:szCs w:val="18"/>
                <w:color w:val="auto"/>
              </w:rPr>
              <w:t>Current liabilities:</w:t>
            </w:r>
          </w:p>
        </w:tc>
        <w:tc>
          <w:tcPr>
            <w:tcW w:w="34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spacing w:after="0"/>
              <w:rPr>
                <w:sz w:val="21"/>
                <w:szCs w:val="21"/>
                <w:color w:val="auto"/>
              </w:rPr>
            </w:pP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Accounts payable</w:t>
            </w:r>
          </w:p>
        </w:tc>
        <w:tc>
          <w:tcPr>
            <w:tcW w:w="3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603.1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641.9</w:t>
            </w:r>
          </w:p>
        </w:tc>
      </w:tr>
      <w:tr>
        <w:trPr>
          <w:trHeight w:val="270"/>
        </w:trPr>
        <w:tc>
          <w:tcPr>
            <w:tcW w:w="7040" w:type="dxa"/>
            <w:vAlign w:val="bottom"/>
          </w:tcPr>
          <w:p>
            <w:pPr>
              <w:ind w:left="380"/>
              <w:spacing w:after="0"/>
              <w:rPr>
                <w:sz w:val="20"/>
                <w:szCs w:val="20"/>
                <w:color w:val="auto"/>
              </w:rPr>
            </w:pPr>
            <w:r>
              <w:rPr>
                <w:rFonts w:ascii="Arial" w:cs="Arial" w:eastAsia="Arial" w:hAnsi="Arial"/>
                <w:sz w:val="18"/>
                <w:szCs w:val="18"/>
                <w:color w:val="auto"/>
              </w:rPr>
              <w:t>Related party payable</w:t>
            </w:r>
          </w:p>
        </w:tc>
        <w:tc>
          <w:tcPr>
            <w:tcW w:w="340" w:type="dxa"/>
            <w:vAlign w:val="bottom"/>
          </w:tcPr>
          <w:p>
            <w:pPr>
              <w:spacing w:after="0"/>
              <w:rPr>
                <w:sz w:val="23"/>
                <w:szCs w:val="23"/>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6.3</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9.3</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7"/>
        </w:trPr>
        <w:tc>
          <w:tcPr>
            <w:tcW w:w="7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Accrued payroll and benefits</w:t>
            </w:r>
          </w:p>
        </w:tc>
        <w:tc>
          <w:tcPr>
            <w:tcW w:w="340" w:type="dxa"/>
            <w:vAlign w:val="bottom"/>
            <w:tcBorders>
              <w:bottom w:val="single" w:sz="8" w:color="CCEEFF"/>
            </w:tcBorders>
            <w:shd w:val="clear" w:color="auto" w:fill="CCEEFF"/>
          </w:tcPr>
          <w:p>
            <w:pPr>
              <w:spacing w:after="0"/>
              <w:rPr>
                <w:sz w:val="24"/>
                <w:szCs w:val="24"/>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42.1</w:t>
            </w:r>
          </w:p>
        </w:tc>
        <w:tc>
          <w:tcPr>
            <w:tcW w:w="12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56.5</w:t>
            </w:r>
          </w:p>
        </w:tc>
      </w:tr>
      <w:tr>
        <w:trPr>
          <w:trHeight w:val="243"/>
        </w:trPr>
        <w:tc>
          <w:tcPr>
            <w:tcW w:w="7040" w:type="dxa"/>
            <w:vAlign w:val="bottom"/>
          </w:tcPr>
          <w:p>
            <w:pPr>
              <w:ind w:left="380"/>
              <w:spacing w:after="0"/>
              <w:rPr>
                <w:sz w:val="20"/>
                <w:szCs w:val="20"/>
                <w:color w:val="auto"/>
              </w:rPr>
            </w:pPr>
            <w:r>
              <w:rPr>
                <w:rFonts w:ascii="Arial" w:cs="Arial" w:eastAsia="Arial" w:hAnsi="Arial"/>
                <w:sz w:val="18"/>
                <w:szCs w:val="18"/>
                <w:color w:val="auto"/>
              </w:rPr>
              <w:t>Other accrued liabilities</w:t>
            </w:r>
          </w:p>
        </w:tc>
        <w:tc>
          <w:tcPr>
            <w:tcW w:w="34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220.0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134.7</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Current maturities of long-term debt</w:t>
            </w:r>
          </w:p>
        </w:tc>
        <w:tc>
          <w:tcPr>
            <w:tcW w:w="34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w:t>
            </w:r>
          </w:p>
        </w:tc>
      </w:tr>
      <w:tr>
        <w:trPr>
          <w:trHeight w:val="243"/>
        </w:trPr>
        <w:tc>
          <w:tcPr>
            <w:tcW w:w="7040" w:type="dxa"/>
            <w:vAlign w:val="bottom"/>
          </w:tcPr>
          <w:p>
            <w:pPr>
              <w:ind w:left="360"/>
              <w:spacing w:after="0"/>
              <w:rPr>
                <w:sz w:val="20"/>
                <w:szCs w:val="20"/>
                <w:color w:val="auto"/>
              </w:rPr>
            </w:pPr>
            <w:r>
              <w:rPr>
                <w:rFonts w:ascii="Arial" w:cs="Arial" w:eastAsia="Arial" w:hAnsi="Arial"/>
                <w:sz w:val="18"/>
                <w:szCs w:val="18"/>
                <w:color w:val="auto"/>
              </w:rPr>
              <w:t>Financing obligations, current portion</w:t>
            </w:r>
          </w:p>
        </w:tc>
        <w:tc>
          <w:tcPr>
            <w:tcW w:w="340" w:type="dxa"/>
            <w:vAlign w:val="bottom"/>
          </w:tcPr>
          <w:p>
            <w:pPr>
              <w:spacing w:after="0"/>
              <w:rPr>
                <w:sz w:val="21"/>
                <w:szCs w:val="21"/>
                <w:color w:val="auto"/>
              </w:rPr>
            </w:pPr>
          </w:p>
        </w:tc>
        <w:tc>
          <w:tcPr>
            <w:tcW w:w="1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0.6</w:t>
            </w:r>
          </w:p>
        </w:tc>
      </w:tr>
      <w:tr>
        <w:trPr>
          <w:trHeight w:val="27"/>
        </w:trPr>
        <w:tc>
          <w:tcPr>
            <w:tcW w:w="70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44"/>
        </w:trPr>
        <w:tc>
          <w:tcPr>
            <w:tcW w:w="7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b w:val="1"/>
                <w:bCs w:val="1"/>
                <w:color w:val="auto"/>
              </w:rPr>
              <w:t>Total current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880.4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849.7</w:t>
            </w:r>
          </w:p>
        </w:tc>
      </w:tr>
      <w:tr>
        <w:trPr>
          <w:trHeight w:val="243"/>
        </w:trPr>
        <w:tc>
          <w:tcPr>
            <w:tcW w:w="7040" w:type="dxa"/>
            <w:vAlign w:val="bottom"/>
          </w:tcPr>
          <w:p>
            <w:pPr>
              <w:ind w:left="220"/>
              <w:spacing w:after="0"/>
              <w:rPr>
                <w:sz w:val="20"/>
                <w:szCs w:val="20"/>
                <w:color w:val="auto"/>
              </w:rPr>
            </w:pPr>
            <w:r>
              <w:rPr>
                <w:rFonts w:ascii="Arial" w:cs="Arial" w:eastAsia="Arial" w:hAnsi="Arial"/>
                <w:sz w:val="18"/>
                <w:szCs w:val="18"/>
                <w:color w:val="auto"/>
              </w:rPr>
              <w:t>Long-term debt, net of current maturities</w:t>
            </w:r>
          </w:p>
        </w:tc>
        <w:tc>
          <w:tcPr>
            <w:tcW w:w="34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815.1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963.6</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Financing obligations, less current portion</w:t>
            </w:r>
          </w:p>
        </w:tc>
        <w:tc>
          <w:tcPr>
            <w:tcW w:w="34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23.6</w:t>
            </w:r>
          </w:p>
        </w:tc>
      </w:tr>
      <w:tr>
        <w:trPr>
          <w:trHeight w:val="243"/>
        </w:trPr>
        <w:tc>
          <w:tcPr>
            <w:tcW w:w="7040" w:type="dxa"/>
            <w:vAlign w:val="bottom"/>
          </w:tcPr>
          <w:p>
            <w:pPr>
              <w:ind w:left="220"/>
              <w:spacing w:after="0"/>
              <w:rPr>
                <w:sz w:val="20"/>
                <w:szCs w:val="20"/>
                <w:color w:val="auto"/>
              </w:rPr>
            </w:pPr>
            <w:r>
              <w:rPr>
                <w:rFonts w:ascii="Arial" w:cs="Arial" w:eastAsia="Arial" w:hAnsi="Arial"/>
                <w:sz w:val="18"/>
                <w:szCs w:val="18"/>
                <w:color w:val="auto"/>
              </w:rPr>
              <w:t>Defined benefit pension obligations</w:t>
            </w:r>
          </w:p>
        </w:tc>
        <w:tc>
          <w:tcPr>
            <w:tcW w:w="34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21.1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21.1</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0"/>
        </w:trPr>
        <w:tc>
          <w:tcPr>
            <w:tcW w:w="7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Other non-current liabilities</w:t>
            </w:r>
          </w:p>
        </w:tc>
        <w:tc>
          <w:tcPr>
            <w:tcW w:w="34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461.5</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128.6</w:t>
            </w:r>
          </w:p>
        </w:tc>
      </w:tr>
      <w:tr>
        <w:trPr>
          <w:trHeight w:val="237"/>
        </w:trPr>
        <w:tc>
          <w:tcPr>
            <w:tcW w:w="7040" w:type="dxa"/>
            <w:vAlign w:val="bottom"/>
          </w:tcPr>
          <w:p>
            <w:pPr>
              <w:ind w:left="220"/>
              <w:spacing w:after="0"/>
              <w:rPr>
                <w:sz w:val="20"/>
                <w:szCs w:val="20"/>
                <w:color w:val="auto"/>
              </w:rPr>
            </w:pPr>
            <w:r>
              <w:rPr>
                <w:rFonts w:ascii="Arial" w:cs="Arial" w:eastAsia="Arial" w:hAnsi="Arial"/>
                <w:sz w:val="18"/>
                <w:szCs w:val="18"/>
                <w:b w:val="1"/>
                <w:bCs w:val="1"/>
                <w:color w:val="auto"/>
              </w:rPr>
              <w:t>Total liabilities</w:t>
            </w:r>
          </w:p>
        </w:tc>
        <w:tc>
          <w:tcPr>
            <w:tcW w:w="340" w:type="dxa"/>
            <w:vAlign w:val="bottom"/>
            <w:tcBorders>
              <w:top w:val="single" w:sz="8" w:color="auto"/>
            </w:tcBorders>
          </w:tcPr>
          <w:p>
            <w:pPr>
              <w:spacing w:after="0"/>
              <w:rPr>
                <w:sz w:val="20"/>
                <w:szCs w:val="20"/>
                <w:color w:val="auto"/>
              </w:rPr>
            </w:pPr>
          </w:p>
        </w:tc>
        <w:tc>
          <w:tcPr>
            <w:tcW w:w="17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2,178.1</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1,986.6</w:t>
            </w:r>
          </w:p>
        </w:tc>
      </w:tr>
      <w:tr>
        <w:trPr>
          <w:trHeight w:val="27"/>
        </w:trPr>
        <w:tc>
          <w:tcPr>
            <w:tcW w:w="70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71"/>
        </w:trPr>
        <w:tc>
          <w:tcPr>
            <w:tcW w:w="7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Commitments and contingencies (Note 12)</w:t>
            </w:r>
          </w:p>
        </w:tc>
        <w:tc>
          <w:tcPr>
            <w:tcW w:w="34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spacing w:after="0"/>
              <w:rPr>
                <w:sz w:val="23"/>
                <w:szCs w:val="23"/>
                <w:color w:val="auto"/>
              </w:rPr>
            </w:pPr>
          </w:p>
        </w:tc>
      </w:tr>
      <w:tr>
        <w:trPr>
          <w:trHeight w:val="243"/>
        </w:trPr>
        <w:tc>
          <w:tcPr>
            <w:tcW w:w="7040" w:type="dxa"/>
            <w:vAlign w:val="bottom"/>
          </w:tcPr>
          <w:p>
            <w:pPr>
              <w:ind w:left="220"/>
              <w:spacing w:after="0"/>
              <w:rPr>
                <w:sz w:val="20"/>
                <w:szCs w:val="20"/>
                <w:color w:val="auto"/>
              </w:rPr>
            </w:pPr>
            <w:r>
              <w:rPr>
                <w:rFonts w:ascii="Arial" w:cs="Arial" w:eastAsia="Arial" w:hAnsi="Arial"/>
                <w:sz w:val="18"/>
                <w:szCs w:val="18"/>
                <w:color w:val="auto"/>
              </w:rPr>
              <w:t>Shareholders' equity:</w:t>
            </w:r>
          </w:p>
        </w:tc>
        <w:tc>
          <w:tcPr>
            <w:tcW w:w="34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spacing w:after="0"/>
              <w:rPr>
                <w:sz w:val="21"/>
                <w:szCs w:val="21"/>
                <w:color w:val="auto"/>
              </w:rPr>
            </w:pP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Preferred stock, $0.01 par value, 10.0 million shares authorized, none issued</w:t>
            </w:r>
          </w:p>
        </w:tc>
        <w:tc>
          <w:tcPr>
            <w:tcW w:w="34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29"/>
        </w:trPr>
        <w:tc>
          <w:tcPr>
            <w:tcW w:w="7040" w:type="dxa"/>
            <w:vAlign w:val="bottom"/>
          </w:tcPr>
          <w:p>
            <w:pPr>
              <w:ind w:left="360"/>
              <w:spacing w:after="0"/>
              <w:rPr>
                <w:sz w:val="20"/>
                <w:szCs w:val="20"/>
                <w:color w:val="auto"/>
              </w:rPr>
            </w:pPr>
            <w:r>
              <w:rPr>
                <w:rFonts w:ascii="Arial" w:cs="Arial" w:eastAsia="Arial" w:hAnsi="Arial"/>
                <w:sz w:val="18"/>
                <w:szCs w:val="18"/>
                <w:color w:val="auto"/>
                <w:w w:val="97"/>
              </w:rPr>
              <w:t>Common stock, $0.01 par value, 100.0 million shares authorized; shares issued - 16.4</w:t>
            </w:r>
          </w:p>
        </w:tc>
        <w:tc>
          <w:tcPr>
            <w:tcW w:w="34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40" w:type="dxa"/>
            <w:vAlign w:val="bottom"/>
          </w:tcPr>
          <w:p>
            <w:pPr>
              <w:spacing w:after="0"/>
              <w:rPr>
                <w:sz w:val="19"/>
                <w:szCs w:val="19"/>
                <w:color w:val="auto"/>
              </w:rPr>
            </w:pPr>
          </w:p>
        </w:tc>
      </w:tr>
      <w:tr>
        <w:trPr>
          <w:trHeight w:val="216"/>
        </w:trPr>
        <w:tc>
          <w:tcPr>
            <w:tcW w:w="7040" w:type="dxa"/>
            <w:vAlign w:val="bottom"/>
          </w:tcPr>
          <w:p>
            <w:pPr>
              <w:ind w:left="520"/>
              <w:spacing w:after="0"/>
              <w:rPr>
                <w:sz w:val="20"/>
                <w:szCs w:val="20"/>
                <w:color w:val="auto"/>
              </w:rPr>
            </w:pPr>
            <w:r>
              <w:rPr>
                <w:rFonts w:ascii="Arial" w:cs="Arial" w:eastAsia="Arial" w:hAnsi="Arial"/>
                <w:sz w:val="18"/>
                <w:szCs w:val="18"/>
                <w:color w:val="auto"/>
                <w:w w:val="93"/>
              </w:rPr>
              <w:t>million and 16.2 million, respectively; shares outstanding - 16.1 million and 15.9 million,</w:t>
            </w:r>
          </w:p>
        </w:tc>
        <w:tc>
          <w:tcPr>
            <w:tcW w:w="3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940" w:type="dxa"/>
            <w:vAlign w:val="bottom"/>
          </w:tcPr>
          <w:p>
            <w:pPr>
              <w:spacing w:after="0"/>
              <w:rPr>
                <w:sz w:val="18"/>
                <w:szCs w:val="18"/>
                <w:color w:val="auto"/>
              </w:rPr>
            </w:pPr>
          </w:p>
        </w:tc>
      </w:tr>
      <w:tr>
        <w:trPr>
          <w:trHeight w:val="230"/>
        </w:trPr>
        <w:tc>
          <w:tcPr>
            <w:tcW w:w="7040" w:type="dxa"/>
            <w:vAlign w:val="bottom"/>
          </w:tcPr>
          <w:p>
            <w:pPr>
              <w:ind w:left="520"/>
              <w:spacing w:after="0"/>
              <w:rPr>
                <w:sz w:val="20"/>
                <w:szCs w:val="20"/>
                <w:color w:val="auto"/>
              </w:rPr>
            </w:pPr>
            <w:r>
              <w:rPr>
                <w:rFonts w:ascii="Arial" w:cs="Arial" w:eastAsia="Arial" w:hAnsi="Arial"/>
                <w:sz w:val="18"/>
                <w:szCs w:val="18"/>
                <w:color w:val="auto"/>
              </w:rPr>
              <w:t>respectively</w:t>
            </w:r>
          </w:p>
        </w:tc>
        <w:tc>
          <w:tcPr>
            <w:tcW w:w="340" w:type="dxa"/>
            <w:vAlign w:val="bottom"/>
          </w:tcPr>
          <w:p>
            <w:pPr>
              <w:spacing w:after="0"/>
              <w:rPr>
                <w:sz w:val="20"/>
                <w:szCs w:val="20"/>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0.2</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Additional paid-in capital</w:t>
            </w:r>
          </w:p>
        </w:tc>
        <w:tc>
          <w:tcPr>
            <w:tcW w:w="34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612.5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605.7</w:t>
            </w:r>
          </w:p>
        </w:tc>
      </w:tr>
      <w:tr>
        <w:trPr>
          <w:trHeight w:val="243"/>
        </w:trPr>
        <w:tc>
          <w:tcPr>
            <w:tcW w:w="7040" w:type="dxa"/>
            <w:vAlign w:val="bottom"/>
          </w:tcPr>
          <w:p>
            <w:pPr>
              <w:ind w:left="360"/>
              <w:spacing w:after="0"/>
              <w:rPr>
                <w:sz w:val="20"/>
                <w:szCs w:val="20"/>
                <w:color w:val="auto"/>
              </w:rPr>
            </w:pPr>
            <w:r>
              <w:rPr>
                <w:rFonts w:ascii="Arial" w:cs="Arial" w:eastAsia="Arial" w:hAnsi="Arial"/>
                <w:sz w:val="18"/>
                <w:szCs w:val="18"/>
                <w:color w:val="auto"/>
              </w:rPr>
              <w:t>Accumulated (deficit) earnings</w:t>
            </w:r>
          </w:p>
        </w:tc>
        <w:tc>
          <w:tcPr>
            <w:tcW w:w="34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(43.8)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7"/>
        </w:trPr>
        <w:tc>
          <w:tcPr>
            <w:tcW w:w="70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0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Accumulated other comprehensive loss</w:t>
            </w:r>
          </w:p>
        </w:tc>
        <w:tc>
          <w:tcPr>
            <w:tcW w:w="34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w:t>
            </w:r>
          </w:p>
        </w:tc>
      </w:tr>
      <w:tr>
        <w:trPr>
          <w:trHeight w:val="243"/>
        </w:trPr>
        <w:tc>
          <w:tcPr>
            <w:tcW w:w="7040" w:type="dxa"/>
            <w:vAlign w:val="bottom"/>
          </w:tcPr>
          <w:p>
            <w:pPr>
              <w:ind w:left="320"/>
              <w:spacing w:after="0"/>
              <w:rPr>
                <w:sz w:val="20"/>
                <w:szCs w:val="20"/>
                <w:color w:val="auto"/>
              </w:rPr>
            </w:pPr>
            <w:r>
              <w:rPr>
                <w:rFonts w:ascii="Arial" w:cs="Arial" w:eastAsia="Arial" w:hAnsi="Arial"/>
                <w:sz w:val="18"/>
                <w:szCs w:val="18"/>
                <w:color w:val="auto"/>
              </w:rPr>
              <w:t>Treasury stock at cost - 0.3 million shares at June 30, 2019 and December 31, 2018</w:t>
            </w:r>
          </w:p>
        </w:tc>
        <w:tc>
          <w:tcPr>
            <w:tcW w:w="34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(13.6)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(13.6)</w:t>
            </w:r>
          </w:p>
        </w:tc>
      </w:tr>
      <w:tr>
        <w:trPr>
          <w:trHeight w:val="27"/>
        </w:trPr>
        <w:tc>
          <w:tcPr>
            <w:tcW w:w="70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64"/>
        </w:trPr>
        <w:tc>
          <w:tcPr>
            <w:tcW w:w="7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b w:val="1"/>
                <w:bCs w:val="1"/>
                <w:color w:val="auto"/>
              </w:rPr>
              <w:t>Total shareholders' equity</w:t>
            </w:r>
          </w:p>
        </w:tc>
        <w:tc>
          <w:tcPr>
            <w:tcW w:w="34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518.7</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543.1</w:t>
            </w:r>
          </w:p>
        </w:tc>
      </w:tr>
      <w:tr>
        <w:trPr>
          <w:trHeight w:val="257"/>
        </w:trPr>
        <w:tc>
          <w:tcPr>
            <w:tcW w:w="7040" w:type="dxa"/>
            <w:vAlign w:val="bottom"/>
          </w:tcPr>
          <w:p>
            <w:pPr>
              <w:ind w:left="220"/>
              <w:spacing w:after="0"/>
              <w:rPr>
                <w:sz w:val="20"/>
                <w:szCs w:val="20"/>
                <w:color w:val="auto"/>
              </w:rPr>
            </w:pPr>
            <w:r>
              <w:rPr>
                <w:rFonts w:ascii="Arial" w:cs="Arial" w:eastAsia="Arial" w:hAnsi="Arial"/>
                <w:sz w:val="18"/>
                <w:szCs w:val="18"/>
                <w:b w:val="1"/>
                <w:bCs w:val="1"/>
                <w:color w:val="auto"/>
              </w:rPr>
              <w:t>Total liabilities and shareholders' equity</w:t>
            </w:r>
          </w:p>
        </w:tc>
        <w:tc>
          <w:tcPr>
            <w:tcW w:w="34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7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2,696.8</w:t>
            </w:r>
          </w:p>
        </w:tc>
        <w:tc>
          <w:tcPr>
            <w:tcW w:w="12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2,529.7</w:t>
            </w:r>
          </w:p>
        </w:tc>
      </w:tr>
      <w:tr>
        <w:trPr>
          <w:trHeight w:val="20"/>
        </w:trPr>
        <w:tc>
          <w:tcPr>
            <w:tcW w:w="70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r>
    </w:tbl>
    <w:p>
      <w:pPr>
        <w:spacing w:after="0" w:line="1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Condensed Consolidated Financial Statements.</w:t>
      </w:r>
    </w:p>
    <w:p>
      <w:pPr>
        <w:sectPr>
          <w:pgSz w:w="11900" w:h="16838" w:orient="portrait"/>
          <w:cols w:equalWidth="0" w:num="1">
            <w:col w:w="11420"/>
          </w:cols>
          <w:pgMar w:left="240" w:top="341"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420"/>
          </w:cols>
          <w:pgMar w:left="240" w:top="341" w:right="239" w:bottom="1440" w:gutter="0" w:footer="0" w:header="0"/>
          <w:type w:val="continuous"/>
        </w:sectPr>
      </w:pPr>
    </w:p>
    <w:bookmarkStart w:id="6" w:name="page7"/>
    <w:bookmarkEnd w:id="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VERITIV CORPORATION</w:t>
      </w:r>
    </w:p>
    <w:p>
      <w:pPr>
        <w:spacing w:after="0" w:line="22"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CONDENSED CONSOLIDATED STATEMENTS OF CASH FLOWS</w:t>
      </w:r>
    </w:p>
    <w:p>
      <w:pPr>
        <w:spacing w:after="0" w:line="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(in millions, unaudited)</w:t>
      </w:r>
    </w:p>
    <w:p>
      <w:pPr>
        <w:spacing w:after="0" w:line="151" w:lineRule="exact"/>
        <w:rPr>
          <w:sz w:val="20"/>
          <w:szCs w:val="20"/>
          <w:color w:val="auto"/>
        </w:rPr>
      </w:pPr>
    </w:p>
    <w:tbl>
      <w:tblPr>
        <w:tblLayout w:type="fixed"/>
        <w:tblInd w:w="120" w:type="dxa"/>
        <w:tblCellMar>
          <w:top w:w="0" w:type="dxa"/>
          <w:left w:w="0" w:type="dxa"/>
          <w:bottom w:w="0" w:type="dxa"/>
          <w:right w:w="0" w:type="dxa"/>
        </w:tblCellMar>
      </w:tblPr>
      <w:tr>
        <w:trPr>
          <w:trHeight w:val="234"/>
        </w:trPr>
        <w:tc>
          <w:tcPr>
            <w:tcW w:w="77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080" w:type="dxa"/>
            <w:vAlign w:val="bottom"/>
            <w:gridSpan w:val="4"/>
          </w:tcPr>
          <w:p>
            <w:pPr>
              <w:jc w:val="right"/>
              <w:ind w:right="590"/>
              <w:spacing w:after="0"/>
              <w:rPr>
                <w:sz w:val="20"/>
                <w:szCs w:val="20"/>
                <w:color w:val="auto"/>
              </w:rPr>
            </w:pPr>
            <w:r>
              <w:rPr>
                <w:rFonts w:ascii="Arial" w:cs="Arial" w:eastAsia="Arial" w:hAnsi="Arial"/>
                <w:sz w:val="18"/>
                <w:szCs w:val="18"/>
                <w:b w:val="1"/>
                <w:bCs w:val="1"/>
                <w:color w:val="auto"/>
              </w:rPr>
              <w:t>Six Months Ended June 30,</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740" w:type="dxa"/>
            <w:vAlign w:val="bottom"/>
          </w:tcPr>
          <w:p>
            <w:pPr>
              <w:ind w:left="20"/>
              <w:spacing w:after="0"/>
              <w:rPr>
                <w:sz w:val="20"/>
                <w:szCs w:val="20"/>
                <w:color w:val="auto"/>
              </w:rPr>
            </w:pPr>
            <w:r>
              <w:rPr>
                <w:rFonts w:ascii="Arial" w:cs="Arial" w:eastAsia="Arial" w:hAnsi="Arial"/>
                <w:sz w:val="18"/>
                <w:szCs w:val="18"/>
                <w:b w:val="1"/>
                <w:bCs w:val="1"/>
                <w:color w:val="auto"/>
              </w:rPr>
              <w:t>Operating activities</w:t>
            </w:r>
          </w:p>
        </w:tc>
        <w:tc>
          <w:tcPr>
            <w:tcW w:w="380" w:type="dxa"/>
            <w:vAlign w:val="bottom"/>
          </w:tcPr>
          <w:p>
            <w:pPr>
              <w:spacing w:after="0"/>
              <w:rPr>
                <w:sz w:val="20"/>
                <w:szCs w:val="20"/>
                <w:color w:val="auto"/>
              </w:rPr>
            </w:pPr>
          </w:p>
        </w:tc>
        <w:tc>
          <w:tcPr>
            <w:tcW w:w="1300" w:type="dxa"/>
            <w:vAlign w:val="bottom"/>
          </w:tcPr>
          <w:p>
            <w:pPr>
              <w:jc w:val="right"/>
              <w:ind w:right="57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80" w:type="dxa"/>
            <w:vAlign w:val="bottom"/>
          </w:tcPr>
          <w:p>
            <w:pPr>
              <w:jc w:val="right"/>
              <w:ind w:right="57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27"/>
        </w:trPr>
        <w:tc>
          <w:tcPr>
            <w:tcW w:w="7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loss</w:t>
            </w: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(38.0)</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(26.4)</w:t>
            </w:r>
          </w:p>
        </w:tc>
        <w:tc>
          <w:tcPr>
            <w:tcW w:w="0" w:type="dxa"/>
            <w:vAlign w:val="bottom"/>
          </w:tcPr>
          <w:p>
            <w:pPr>
              <w:spacing w:after="0"/>
              <w:rPr>
                <w:sz w:val="1"/>
                <w:szCs w:val="1"/>
                <w:color w:val="auto"/>
              </w:rPr>
            </w:pPr>
          </w:p>
        </w:tc>
      </w:tr>
      <w:tr>
        <w:trPr>
          <w:trHeight w:val="257"/>
        </w:trPr>
        <w:tc>
          <w:tcPr>
            <w:tcW w:w="774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380" w:type="dxa"/>
            <w:vAlign w:val="bottom"/>
          </w:tcPr>
          <w:p>
            <w:pPr>
              <w:spacing w:after="0"/>
              <w:rPr>
                <w:sz w:val="22"/>
                <w:szCs w:val="22"/>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26.2</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28.4</w:t>
            </w:r>
          </w:p>
        </w:tc>
        <w:tc>
          <w:tcPr>
            <w:tcW w:w="0" w:type="dxa"/>
            <w:vAlign w:val="bottom"/>
          </w:tcPr>
          <w:p>
            <w:pPr>
              <w:spacing w:after="0"/>
              <w:rPr>
                <w:sz w:val="1"/>
                <w:szCs w:val="1"/>
                <w:color w:val="auto"/>
              </w:rPr>
            </w:pPr>
          </w:p>
        </w:tc>
      </w:tr>
      <w:tr>
        <w:trPr>
          <w:trHeight w:val="41"/>
        </w:trPr>
        <w:tc>
          <w:tcPr>
            <w:tcW w:w="77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Amortization of deferred financing fees</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57"/>
        </w:trPr>
        <w:tc>
          <w:tcPr>
            <w:tcW w:w="7740" w:type="dxa"/>
            <w:vAlign w:val="bottom"/>
          </w:tcPr>
          <w:p>
            <w:pPr>
              <w:ind w:left="200"/>
              <w:spacing w:after="0"/>
              <w:rPr>
                <w:sz w:val="20"/>
                <w:szCs w:val="20"/>
                <w:color w:val="auto"/>
              </w:rPr>
            </w:pPr>
            <w:r>
              <w:rPr>
                <w:rFonts w:ascii="Arial" w:cs="Arial" w:eastAsia="Arial" w:hAnsi="Arial"/>
                <w:sz w:val="18"/>
                <w:szCs w:val="18"/>
                <w:color w:val="auto"/>
              </w:rPr>
              <w:t>Net losses (gains) on dispositions of property and equipment</w:t>
            </w:r>
          </w:p>
        </w:tc>
        <w:tc>
          <w:tcPr>
            <w:tcW w:w="380" w:type="dxa"/>
            <w:vAlign w:val="bottom"/>
          </w:tcPr>
          <w:p>
            <w:pPr>
              <w:spacing w:after="0"/>
              <w:rPr>
                <w:sz w:val="22"/>
                <w:szCs w:val="22"/>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41"/>
        </w:trPr>
        <w:tc>
          <w:tcPr>
            <w:tcW w:w="77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Provision for allowance for doubtful accounts</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w:t>
            </w: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57"/>
        </w:trPr>
        <w:tc>
          <w:tcPr>
            <w:tcW w:w="7740" w:type="dxa"/>
            <w:vAlign w:val="bottom"/>
          </w:tcPr>
          <w:p>
            <w:pPr>
              <w:ind w:left="200"/>
              <w:spacing w:after="0"/>
              <w:rPr>
                <w:sz w:val="20"/>
                <w:szCs w:val="20"/>
                <w:color w:val="auto"/>
              </w:rPr>
            </w:pPr>
            <w:r>
              <w:rPr>
                <w:rFonts w:ascii="Arial" w:cs="Arial" w:eastAsia="Arial" w:hAnsi="Arial"/>
                <w:sz w:val="18"/>
                <w:szCs w:val="18"/>
                <w:color w:val="auto"/>
              </w:rPr>
              <w:t>Deferred income tax (benefit)</w:t>
            </w:r>
          </w:p>
        </w:tc>
        <w:tc>
          <w:tcPr>
            <w:tcW w:w="380" w:type="dxa"/>
            <w:vAlign w:val="bottom"/>
          </w:tcPr>
          <w:p>
            <w:pPr>
              <w:spacing w:after="0"/>
              <w:rPr>
                <w:sz w:val="22"/>
                <w:szCs w:val="22"/>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(9.6)</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41"/>
        </w:trPr>
        <w:tc>
          <w:tcPr>
            <w:tcW w:w="77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Stock-based compensation</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w:t>
            </w: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57"/>
        </w:trPr>
        <w:tc>
          <w:tcPr>
            <w:tcW w:w="7740" w:type="dxa"/>
            <w:vAlign w:val="bottom"/>
          </w:tcPr>
          <w:p>
            <w:pPr>
              <w:ind w:left="200"/>
              <w:spacing w:after="0"/>
              <w:rPr>
                <w:sz w:val="20"/>
                <w:szCs w:val="20"/>
                <w:color w:val="auto"/>
              </w:rPr>
            </w:pPr>
            <w:r>
              <w:rPr>
                <w:rFonts w:ascii="Arial" w:cs="Arial" w:eastAsia="Arial" w:hAnsi="Arial"/>
                <w:sz w:val="18"/>
                <w:szCs w:val="18"/>
                <w:color w:val="auto"/>
              </w:rPr>
              <w:t>Other non-cash items, net</w:t>
            </w:r>
          </w:p>
        </w:tc>
        <w:tc>
          <w:tcPr>
            <w:tcW w:w="380" w:type="dxa"/>
            <w:vAlign w:val="bottom"/>
          </w:tcPr>
          <w:p>
            <w:pPr>
              <w:spacing w:after="0"/>
              <w:rPr>
                <w:sz w:val="22"/>
                <w:szCs w:val="22"/>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10.2</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41"/>
        </w:trPr>
        <w:tc>
          <w:tcPr>
            <w:tcW w:w="77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Changes in operating assets and liabilities</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7740" w:type="dxa"/>
            <w:vAlign w:val="bottom"/>
          </w:tcPr>
          <w:p>
            <w:pPr>
              <w:ind w:left="360"/>
              <w:spacing w:after="0"/>
              <w:rPr>
                <w:sz w:val="20"/>
                <w:szCs w:val="20"/>
                <w:color w:val="auto"/>
              </w:rPr>
            </w:pPr>
            <w:r>
              <w:rPr>
                <w:rFonts w:ascii="Arial" w:cs="Arial" w:eastAsia="Arial" w:hAnsi="Arial"/>
                <w:sz w:val="18"/>
                <w:szCs w:val="18"/>
                <w:color w:val="auto"/>
              </w:rPr>
              <w:t>Accounts receivable and related party receivable</w:t>
            </w:r>
          </w:p>
        </w:tc>
        <w:tc>
          <w:tcPr>
            <w:tcW w:w="380" w:type="dxa"/>
            <w:vAlign w:val="bottom"/>
          </w:tcPr>
          <w:p>
            <w:pPr>
              <w:spacing w:after="0"/>
              <w:rPr>
                <w:sz w:val="22"/>
                <w:szCs w:val="22"/>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165.3</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(15.9)</w:t>
            </w:r>
          </w:p>
        </w:tc>
        <w:tc>
          <w:tcPr>
            <w:tcW w:w="0" w:type="dxa"/>
            <w:vAlign w:val="bottom"/>
          </w:tcPr>
          <w:p>
            <w:pPr>
              <w:spacing w:after="0"/>
              <w:rPr>
                <w:sz w:val="1"/>
                <w:szCs w:val="1"/>
                <w:color w:val="auto"/>
              </w:rPr>
            </w:pPr>
          </w:p>
        </w:tc>
      </w:tr>
      <w:tr>
        <w:trPr>
          <w:trHeight w:val="41"/>
        </w:trPr>
        <w:tc>
          <w:tcPr>
            <w:tcW w:w="77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77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Inventories</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53.6</w:t>
            </w: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43"/>
        </w:trPr>
        <w:tc>
          <w:tcPr>
            <w:tcW w:w="7740" w:type="dxa"/>
            <w:vAlign w:val="bottom"/>
          </w:tcPr>
          <w:p>
            <w:pPr>
              <w:ind w:left="360"/>
              <w:spacing w:after="0"/>
              <w:rPr>
                <w:sz w:val="20"/>
                <w:szCs w:val="20"/>
                <w:color w:val="auto"/>
              </w:rPr>
            </w:pPr>
            <w:r>
              <w:rPr>
                <w:rFonts w:ascii="Arial" w:cs="Arial" w:eastAsia="Arial" w:hAnsi="Arial"/>
                <w:sz w:val="18"/>
                <w:szCs w:val="18"/>
                <w:color w:val="auto"/>
              </w:rPr>
              <w:t>Other current assets</w:t>
            </w:r>
          </w:p>
        </w:tc>
        <w:tc>
          <w:tcPr>
            <w:tcW w:w="3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23.7</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(13.6)</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7"/>
        </w:trPr>
        <w:tc>
          <w:tcPr>
            <w:tcW w:w="77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Accounts payable and related party payable</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(59.8)</w:t>
            </w: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39.2</w:t>
            </w:r>
          </w:p>
        </w:tc>
        <w:tc>
          <w:tcPr>
            <w:tcW w:w="0" w:type="dxa"/>
            <w:vAlign w:val="bottom"/>
          </w:tcPr>
          <w:p>
            <w:pPr>
              <w:spacing w:after="0"/>
              <w:rPr>
                <w:sz w:val="1"/>
                <w:szCs w:val="1"/>
                <w:color w:val="auto"/>
              </w:rPr>
            </w:pPr>
          </w:p>
        </w:tc>
      </w:tr>
      <w:tr>
        <w:trPr>
          <w:trHeight w:val="257"/>
        </w:trPr>
        <w:tc>
          <w:tcPr>
            <w:tcW w:w="7740" w:type="dxa"/>
            <w:vAlign w:val="bottom"/>
          </w:tcPr>
          <w:p>
            <w:pPr>
              <w:ind w:left="360"/>
              <w:spacing w:after="0"/>
              <w:rPr>
                <w:sz w:val="20"/>
                <w:szCs w:val="20"/>
                <w:color w:val="auto"/>
              </w:rPr>
            </w:pPr>
            <w:r>
              <w:rPr>
                <w:rFonts w:ascii="Arial" w:cs="Arial" w:eastAsia="Arial" w:hAnsi="Arial"/>
                <w:sz w:val="18"/>
                <w:szCs w:val="18"/>
                <w:color w:val="auto"/>
              </w:rPr>
              <w:t>Accrued payroll and benefits</w:t>
            </w:r>
          </w:p>
        </w:tc>
        <w:tc>
          <w:tcPr>
            <w:tcW w:w="380" w:type="dxa"/>
            <w:vAlign w:val="bottom"/>
          </w:tcPr>
          <w:p>
            <w:pPr>
              <w:spacing w:after="0"/>
              <w:rPr>
                <w:sz w:val="22"/>
                <w:szCs w:val="22"/>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(14.6)</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(18.5)</w:t>
            </w:r>
          </w:p>
        </w:tc>
        <w:tc>
          <w:tcPr>
            <w:tcW w:w="0" w:type="dxa"/>
            <w:vAlign w:val="bottom"/>
          </w:tcPr>
          <w:p>
            <w:pPr>
              <w:spacing w:after="0"/>
              <w:rPr>
                <w:sz w:val="1"/>
                <w:szCs w:val="1"/>
                <w:color w:val="auto"/>
              </w:rPr>
            </w:pPr>
          </w:p>
        </w:tc>
      </w:tr>
      <w:tr>
        <w:trPr>
          <w:trHeight w:val="41"/>
        </w:trPr>
        <w:tc>
          <w:tcPr>
            <w:tcW w:w="77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77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accrued liabilities</w:t>
            </w: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243"/>
        </w:trPr>
        <w:tc>
          <w:tcPr>
            <w:tcW w:w="7740" w:type="dxa"/>
            <w:vAlign w:val="bottom"/>
          </w:tcPr>
          <w:p>
            <w:pPr>
              <w:ind w:left="360"/>
              <w:spacing w:after="0"/>
              <w:rPr>
                <w:sz w:val="20"/>
                <w:szCs w:val="20"/>
                <w:color w:val="auto"/>
              </w:rPr>
            </w:pPr>
            <w:r>
              <w:rPr>
                <w:rFonts w:ascii="Arial" w:cs="Arial" w:eastAsia="Arial" w:hAnsi="Arial"/>
                <w:sz w:val="18"/>
                <w:szCs w:val="18"/>
                <w:color w:val="auto"/>
              </w:rPr>
              <w:t>Other</w:t>
            </w:r>
          </w:p>
        </w:tc>
        <w:tc>
          <w:tcPr>
            <w:tcW w:w="3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12.1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7"/>
        </w:trPr>
        <w:tc>
          <w:tcPr>
            <w:tcW w:w="7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7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182.2</w:t>
            </w: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23"/>
        </w:trPr>
        <w:tc>
          <w:tcPr>
            <w:tcW w:w="7740" w:type="dxa"/>
            <w:vAlign w:val="bottom"/>
          </w:tcPr>
          <w:p>
            <w:pPr>
              <w:ind w:left="20"/>
              <w:spacing w:after="0"/>
              <w:rPr>
                <w:sz w:val="20"/>
                <w:szCs w:val="20"/>
                <w:color w:val="auto"/>
              </w:rPr>
            </w:pPr>
            <w:r>
              <w:rPr>
                <w:rFonts w:ascii="Arial" w:cs="Arial" w:eastAsia="Arial" w:hAnsi="Arial"/>
                <w:sz w:val="18"/>
                <w:szCs w:val="18"/>
                <w:b w:val="1"/>
                <w:bCs w:val="1"/>
                <w:color w:val="auto"/>
              </w:rPr>
              <w:t>Investing activities</w:t>
            </w:r>
          </w:p>
        </w:tc>
        <w:tc>
          <w:tcPr>
            <w:tcW w:w="38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77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Property and equipment additions</w:t>
            </w: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w:t>
            </w:r>
          </w:p>
        </w:tc>
        <w:tc>
          <w:tcPr>
            <w:tcW w:w="0" w:type="dxa"/>
            <w:vAlign w:val="bottom"/>
          </w:tcPr>
          <w:p>
            <w:pPr>
              <w:spacing w:after="0"/>
              <w:rPr>
                <w:sz w:val="1"/>
                <w:szCs w:val="1"/>
                <w:color w:val="auto"/>
              </w:rPr>
            </w:pPr>
          </w:p>
        </w:tc>
      </w:tr>
      <w:tr>
        <w:trPr>
          <w:trHeight w:val="257"/>
        </w:trPr>
        <w:tc>
          <w:tcPr>
            <w:tcW w:w="7740" w:type="dxa"/>
            <w:vAlign w:val="bottom"/>
          </w:tcPr>
          <w:p>
            <w:pPr>
              <w:ind w:left="200"/>
              <w:spacing w:after="0"/>
              <w:rPr>
                <w:sz w:val="20"/>
                <w:szCs w:val="20"/>
                <w:color w:val="auto"/>
              </w:rPr>
            </w:pPr>
            <w:r>
              <w:rPr>
                <w:rFonts w:ascii="Arial" w:cs="Arial" w:eastAsia="Arial" w:hAnsi="Arial"/>
                <w:sz w:val="18"/>
                <w:szCs w:val="18"/>
                <w:color w:val="auto"/>
              </w:rPr>
              <w:t>Proceeds from asset sales</w:t>
            </w:r>
          </w:p>
        </w:tc>
        <w:tc>
          <w:tcPr>
            <w:tcW w:w="380" w:type="dxa"/>
            <w:vAlign w:val="bottom"/>
          </w:tcPr>
          <w:p>
            <w:pPr>
              <w:spacing w:after="0"/>
              <w:rPr>
                <w:sz w:val="22"/>
                <w:szCs w:val="22"/>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41"/>
        </w:trPr>
        <w:tc>
          <w:tcPr>
            <w:tcW w:w="7740" w:type="dxa"/>
            <w:vAlign w:val="bottom"/>
            <w:tcBorders>
              <w:bottom w:val="single" w:sz="8" w:color="CCEEFF"/>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120" w:type="dxa"/>
            <w:vAlign w:val="bottom"/>
            <w:tcBorders>
              <w:bottom w:val="single" w:sz="8" w:color="CCEEFF"/>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12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4"/>
        </w:trPr>
        <w:tc>
          <w:tcPr>
            <w:tcW w:w="7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used for investing activities</w:t>
            </w:r>
          </w:p>
        </w:tc>
        <w:tc>
          <w:tcPr>
            <w:tcW w:w="3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12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23"/>
        </w:trPr>
        <w:tc>
          <w:tcPr>
            <w:tcW w:w="7740" w:type="dxa"/>
            <w:vAlign w:val="bottom"/>
          </w:tcPr>
          <w:p>
            <w:pPr>
              <w:ind w:left="20"/>
              <w:spacing w:after="0"/>
              <w:rPr>
                <w:sz w:val="20"/>
                <w:szCs w:val="20"/>
                <w:color w:val="auto"/>
              </w:rPr>
            </w:pPr>
            <w:r>
              <w:rPr>
                <w:rFonts w:ascii="Arial" w:cs="Arial" w:eastAsia="Arial" w:hAnsi="Arial"/>
                <w:sz w:val="18"/>
                <w:szCs w:val="18"/>
                <w:b w:val="1"/>
                <w:bCs w:val="1"/>
                <w:color w:val="auto"/>
              </w:rPr>
              <w:t>Financing activities</w:t>
            </w:r>
          </w:p>
        </w:tc>
        <w:tc>
          <w:tcPr>
            <w:tcW w:w="38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7740" w:type="dxa"/>
            <w:vAlign w:val="bottom"/>
          </w:tcPr>
          <w:p>
            <w:pPr>
              <w:spacing w:after="0"/>
              <w:rPr>
                <w:sz w:val="3"/>
                <w:szCs w:val="3"/>
                <w:color w:val="auto"/>
              </w:rPr>
            </w:pPr>
          </w:p>
        </w:tc>
        <w:tc>
          <w:tcPr>
            <w:tcW w:w="3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Change in book overdrafts</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15.2</w:t>
            </w: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43"/>
        </w:trPr>
        <w:tc>
          <w:tcPr>
            <w:tcW w:w="7740" w:type="dxa"/>
            <w:vAlign w:val="bottom"/>
          </w:tcPr>
          <w:p>
            <w:pPr>
              <w:ind w:left="200"/>
              <w:spacing w:after="0"/>
              <w:rPr>
                <w:sz w:val="20"/>
                <w:szCs w:val="20"/>
                <w:color w:val="auto"/>
              </w:rPr>
            </w:pPr>
            <w:r>
              <w:rPr>
                <w:rFonts w:ascii="Arial" w:cs="Arial" w:eastAsia="Arial" w:hAnsi="Arial"/>
                <w:sz w:val="18"/>
                <w:szCs w:val="18"/>
                <w:color w:val="auto"/>
              </w:rPr>
              <w:t>Borrowings of long-term debt</w:t>
            </w:r>
          </w:p>
        </w:tc>
        <w:tc>
          <w:tcPr>
            <w:tcW w:w="3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3,416.1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2,603.8</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Repayments of long-term debt</w:t>
            </w:r>
          </w:p>
        </w:tc>
        <w:tc>
          <w:tcPr>
            <w:tcW w:w="3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(3,592.5)</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(2,572.5)</w:t>
            </w:r>
          </w:p>
        </w:tc>
        <w:tc>
          <w:tcPr>
            <w:tcW w:w="0" w:type="dxa"/>
            <w:vAlign w:val="bottom"/>
          </w:tcPr>
          <w:p>
            <w:pPr>
              <w:spacing w:after="0"/>
              <w:rPr>
                <w:sz w:val="1"/>
                <w:szCs w:val="1"/>
                <w:color w:val="auto"/>
              </w:rPr>
            </w:pPr>
          </w:p>
        </w:tc>
      </w:tr>
      <w:tr>
        <w:trPr>
          <w:trHeight w:val="243"/>
        </w:trPr>
        <w:tc>
          <w:tcPr>
            <w:tcW w:w="7740" w:type="dxa"/>
            <w:vAlign w:val="bottom"/>
          </w:tcPr>
          <w:p>
            <w:pPr>
              <w:ind w:left="200"/>
              <w:spacing w:after="0"/>
              <w:rPr>
                <w:sz w:val="20"/>
                <w:szCs w:val="20"/>
                <w:color w:val="auto"/>
              </w:rPr>
            </w:pPr>
            <w:r>
              <w:rPr>
                <w:rFonts w:ascii="Arial" w:cs="Arial" w:eastAsia="Arial" w:hAnsi="Arial"/>
                <w:sz w:val="18"/>
                <w:szCs w:val="18"/>
                <w:color w:val="auto"/>
              </w:rPr>
              <w:t>Payments under right-of-use finance leases and capital leases, respectively</w:t>
            </w: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7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5"/>
              </w:rPr>
              <w:t>Payments under financing obligations (including obligations to related party of $8.6 in the prior year</w:t>
            </w:r>
          </w:p>
        </w:tc>
        <w:tc>
          <w:tcPr>
            <w:tcW w:w="380" w:type="dxa"/>
            <w:vAlign w:val="bottom"/>
            <w:shd w:val="clear" w:color="auto" w:fill="CCEEFF"/>
          </w:tcPr>
          <w:p>
            <w:pPr>
              <w:spacing w:after="0"/>
              <w:rPr>
                <w:sz w:val="19"/>
                <w:szCs w:val="19"/>
                <w:color w:val="auto"/>
              </w:rPr>
            </w:pPr>
          </w:p>
        </w:tc>
        <w:tc>
          <w:tcPr>
            <w:tcW w:w="142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9"/>
                <w:szCs w:val="19"/>
                <w:color w:val="auto"/>
              </w:rPr>
            </w:pPr>
          </w:p>
        </w:tc>
        <w:tc>
          <w:tcPr>
            <w:tcW w:w="12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122"/>
        </w:trPr>
        <w:tc>
          <w:tcPr>
            <w:tcW w:w="7740" w:type="dxa"/>
            <w:vAlign w:val="bottom"/>
            <w:vMerge w:val="restart"/>
            <w:shd w:val="clear" w:color="auto" w:fill="CCEEFF"/>
          </w:tcPr>
          <w:p>
            <w:pPr>
              <w:ind w:left="340"/>
              <w:spacing w:after="0"/>
              <w:rPr>
                <w:sz w:val="20"/>
                <w:szCs w:val="20"/>
                <w:color w:val="auto"/>
              </w:rPr>
            </w:pPr>
            <w:r>
              <w:rPr>
                <w:rFonts w:ascii="Arial" w:cs="Arial" w:eastAsia="Arial" w:hAnsi="Arial"/>
                <w:sz w:val="18"/>
                <w:szCs w:val="18"/>
                <w:color w:val="auto"/>
              </w:rPr>
              <w:t>period)</w:t>
            </w:r>
          </w:p>
        </w:tc>
        <w:tc>
          <w:tcPr>
            <w:tcW w:w="380" w:type="dxa"/>
            <w:vAlign w:val="bottom"/>
            <w:shd w:val="clear" w:color="auto" w:fill="CCEEFF"/>
          </w:tcPr>
          <w:p>
            <w:pPr>
              <w:spacing w:after="0"/>
              <w:rPr>
                <w:sz w:val="10"/>
                <w:szCs w:val="10"/>
                <w:color w:val="auto"/>
              </w:rPr>
            </w:pPr>
          </w:p>
        </w:tc>
        <w:tc>
          <w:tcPr>
            <w:tcW w:w="1420" w:type="dxa"/>
            <w:vAlign w:val="bottom"/>
            <w:gridSpan w:val="2"/>
            <w:vMerge w:val="continue"/>
            <w:shd w:val="clear" w:color="auto" w:fill="CCEEFF"/>
          </w:tcPr>
          <w:p>
            <w:pPr>
              <w:spacing w:after="0"/>
              <w:rPr>
                <w:sz w:val="10"/>
                <w:szCs w:val="10"/>
                <w:color w:val="auto"/>
              </w:rPr>
            </w:pPr>
          </w:p>
        </w:tc>
        <w:tc>
          <w:tcPr>
            <w:tcW w:w="380" w:type="dxa"/>
            <w:vAlign w:val="bottom"/>
            <w:shd w:val="clear" w:color="auto" w:fill="CCEEFF"/>
          </w:tcPr>
          <w:p>
            <w:pPr>
              <w:spacing w:after="0"/>
              <w:rPr>
                <w:sz w:val="10"/>
                <w:szCs w:val="10"/>
                <w:color w:val="auto"/>
              </w:rPr>
            </w:pPr>
          </w:p>
        </w:tc>
        <w:tc>
          <w:tcPr>
            <w:tcW w:w="1280" w:type="dxa"/>
            <w:vAlign w:val="bottom"/>
            <w:vMerge w:val="continue"/>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740" w:type="dxa"/>
            <w:vAlign w:val="bottom"/>
            <w:tcBorders>
              <w:bottom w:val="single" w:sz="8" w:color="CCEEFF"/>
            </w:tcBorders>
            <w:vMerge w:val="continue"/>
            <w:shd w:val="clear" w:color="auto" w:fill="CCEEFF"/>
          </w:tcPr>
          <w:p>
            <w:pPr>
              <w:spacing w:after="0"/>
              <w:rPr>
                <w:sz w:val="10"/>
                <w:szCs w:val="10"/>
                <w:color w:val="auto"/>
              </w:rPr>
            </w:pPr>
          </w:p>
        </w:tc>
        <w:tc>
          <w:tcPr>
            <w:tcW w:w="380" w:type="dxa"/>
            <w:vAlign w:val="bottom"/>
            <w:tcBorders>
              <w:bottom w:val="single" w:sz="8" w:color="CCEEFF"/>
            </w:tcBorders>
            <w:shd w:val="clear" w:color="auto" w:fill="CCEEFF"/>
          </w:tcPr>
          <w:p>
            <w:pPr>
              <w:spacing w:after="0"/>
              <w:rPr>
                <w:sz w:val="10"/>
                <w:szCs w:val="10"/>
                <w:color w:val="auto"/>
              </w:rPr>
            </w:pPr>
          </w:p>
        </w:tc>
        <w:tc>
          <w:tcPr>
            <w:tcW w:w="1300" w:type="dxa"/>
            <w:vAlign w:val="bottom"/>
            <w:tcBorders>
              <w:bottom w:val="single" w:sz="8" w:color="CCEEFF"/>
            </w:tcBorders>
            <w:shd w:val="clear" w:color="auto" w:fill="CCEEFF"/>
          </w:tcPr>
          <w:p>
            <w:pPr>
              <w:spacing w:after="0"/>
              <w:rPr>
                <w:sz w:val="10"/>
                <w:szCs w:val="10"/>
                <w:color w:val="auto"/>
              </w:rPr>
            </w:pPr>
          </w:p>
        </w:tc>
        <w:tc>
          <w:tcPr>
            <w:tcW w:w="120" w:type="dxa"/>
            <w:vAlign w:val="bottom"/>
            <w:tcBorders>
              <w:bottom w:val="single" w:sz="8" w:color="CCEEFF"/>
            </w:tcBorders>
            <w:shd w:val="clear" w:color="auto" w:fill="CCEEFF"/>
          </w:tcPr>
          <w:p>
            <w:pPr>
              <w:spacing w:after="0"/>
              <w:rPr>
                <w:sz w:val="10"/>
                <w:szCs w:val="10"/>
                <w:color w:val="auto"/>
              </w:rPr>
            </w:pPr>
          </w:p>
        </w:tc>
        <w:tc>
          <w:tcPr>
            <w:tcW w:w="380" w:type="dxa"/>
            <w:vAlign w:val="bottom"/>
            <w:tcBorders>
              <w:bottom w:val="single" w:sz="8" w:color="CCEEFF"/>
            </w:tcBorders>
            <w:shd w:val="clear" w:color="auto" w:fill="CCEEFF"/>
          </w:tcPr>
          <w:p>
            <w:pPr>
              <w:spacing w:after="0"/>
              <w:rPr>
                <w:sz w:val="10"/>
                <w:szCs w:val="10"/>
                <w:color w:val="auto"/>
              </w:rPr>
            </w:pPr>
          </w:p>
        </w:tc>
        <w:tc>
          <w:tcPr>
            <w:tcW w:w="1280" w:type="dxa"/>
            <w:vAlign w:val="bottom"/>
            <w:tcBorders>
              <w:bottom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7740" w:type="dxa"/>
            <w:vAlign w:val="bottom"/>
          </w:tcPr>
          <w:p>
            <w:pPr>
              <w:ind w:left="200"/>
              <w:spacing w:after="0"/>
              <w:rPr>
                <w:sz w:val="20"/>
                <w:szCs w:val="20"/>
                <w:color w:val="auto"/>
              </w:rPr>
            </w:pPr>
            <w:r>
              <w:rPr>
                <w:rFonts w:ascii="Arial" w:cs="Arial" w:eastAsia="Arial" w:hAnsi="Arial"/>
                <w:sz w:val="18"/>
                <w:szCs w:val="18"/>
                <w:color w:val="auto"/>
              </w:rPr>
              <w:t>Payments under Tax Receivable Agreement</w:t>
            </w:r>
          </w:p>
        </w:tc>
        <w:tc>
          <w:tcPr>
            <w:tcW w:w="3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(7.8)</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(9.9)</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Other</w:t>
            </w:r>
          </w:p>
        </w:tc>
        <w:tc>
          <w:tcPr>
            <w:tcW w:w="3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37"/>
        </w:trPr>
        <w:tc>
          <w:tcPr>
            <w:tcW w:w="7740" w:type="dxa"/>
            <w:vAlign w:val="bottom"/>
          </w:tcPr>
          <w:p>
            <w:pPr>
              <w:ind w:left="20"/>
              <w:spacing w:after="0"/>
              <w:rPr>
                <w:sz w:val="20"/>
                <w:szCs w:val="20"/>
                <w:color w:val="auto"/>
              </w:rPr>
            </w:pPr>
            <w:r>
              <w:rPr>
                <w:rFonts w:ascii="Arial" w:cs="Arial" w:eastAsia="Arial" w:hAnsi="Arial"/>
                <w:sz w:val="18"/>
                <w:szCs w:val="18"/>
                <w:color w:val="auto"/>
              </w:rPr>
              <w:t>Net cash used for financing activities</w:t>
            </w:r>
          </w:p>
        </w:tc>
        <w:tc>
          <w:tcPr>
            <w:tcW w:w="3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(176.0)</w:t>
            </w:r>
          </w:p>
        </w:tc>
        <w:tc>
          <w:tcPr>
            <w:tcW w:w="1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7"/>
        </w:trPr>
        <w:tc>
          <w:tcPr>
            <w:tcW w:w="7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7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Effect of exchange rate changes on cash</w:t>
            </w:r>
          </w:p>
        </w:tc>
        <w:tc>
          <w:tcPr>
            <w:tcW w:w="3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0.2</w:t>
            </w: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37"/>
        </w:trPr>
        <w:tc>
          <w:tcPr>
            <w:tcW w:w="7740" w:type="dxa"/>
            <w:vAlign w:val="bottom"/>
          </w:tcPr>
          <w:p>
            <w:pPr>
              <w:ind w:left="20"/>
              <w:spacing w:after="0"/>
              <w:rPr>
                <w:sz w:val="20"/>
                <w:szCs w:val="20"/>
                <w:color w:val="auto"/>
              </w:rPr>
            </w:pPr>
            <w:r>
              <w:rPr>
                <w:rFonts w:ascii="Arial" w:cs="Arial" w:eastAsia="Arial" w:hAnsi="Arial"/>
                <w:sz w:val="18"/>
                <w:szCs w:val="18"/>
                <w:color w:val="auto"/>
              </w:rPr>
              <w:t>Net change in cash</w:t>
            </w:r>
          </w:p>
        </w:tc>
        <w:tc>
          <w:tcPr>
            <w:tcW w:w="3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(10.8)</w:t>
            </w:r>
          </w:p>
        </w:tc>
        <w:tc>
          <w:tcPr>
            <w:tcW w:w="0" w:type="dxa"/>
            <w:vAlign w:val="bottom"/>
          </w:tcPr>
          <w:p>
            <w:pPr>
              <w:spacing w:after="0"/>
              <w:rPr>
                <w:sz w:val="1"/>
                <w:szCs w:val="1"/>
                <w:color w:val="auto"/>
              </w:rPr>
            </w:pPr>
          </w:p>
        </w:tc>
      </w:tr>
      <w:tr>
        <w:trPr>
          <w:trHeight w:val="27"/>
        </w:trPr>
        <w:tc>
          <w:tcPr>
            <w:tcW w:w="7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at beginning of period</w:t>
            </w:r>
          </w:p>
        </w:tc>
        <w:tc>
          <w:tcPr>
            <w:tcW w:w="3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64.3</w:t>
            </w:r>
          </w:p>
        </w:tc>
        <w:tc>
          <w:tcPr>
            <w:tcW w:w="12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80.3</w:t>
            </w:r>
          </w:p>
        </w:tc>
        <w:tc>
          <w:tcPr>
            <w:tcW w:w="0" w:type="dxa"/>
            <w:vAlign w:val="bottom"/>
          </w:tcPr>
          <w:p>
            <w:pPr>
              <w:spacing w:after="0"/>
              <w:rPr>
                <w:sz w:val="1"/>
                <w:szCs w:val="1"/>
                <w:color w:val="auto"/>
              </w:rPr>
            </w:pPr>
          </w:p>
        </w:tc>
      </w:tr>
      <w:tr>
        <w:trPr>
          <w:trHeight w:val="237"/>
        </w:trPr>
        <w:tc>
          <w:tcPr>
            <w:tcW w:w="7740" w:type="dxa"/>
            <w:vAlign w:val="bottom"/>
          </w:tcPr>
          <w:p>
            <w:pPr>
              <w:ind w:left="20"/>
              <w:spacing w:after="0"/>
              <w:rPr>
                <w:sz w:val="20"/>
                <w:szCs w:val="20"/>
                <w:color w:val="auto"/>
              </w:rPr>
            </w:pPr>
            <w:r>
              <w:rPr>
                <w:rFonts w:ascii="Arial" w:cs="Arial" w:eastAsia="Arial" w:hAnsi="Arial"/>
                <w:sz w:val="18"/>
                <w:szCs w:val="18"/>
                <w:color w:val="auto"/>
              </w:rPr>
              <w:t>Cash at end of period</w:t>
            </w: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3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56.1</w:t>
            </w:r>
          </w:p>
        </w:tc>
        <w:tc>
          <w:tcPr>
            <w:tcW w:w="120" w:type="dxa"/>
            <w:vAlign w:val="bottom"/>
          </w:tcPr>
          <w:p>
            <w:pPr>
              <w:spacing w:after="0"/>
              <w:rPr>
                <w:sz w:val="20"/>
                <w:szCs w:val="20"/>
                <w:color w:val="auto"/>
              </w:rPr>
            </w:pP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69.5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17145</wp:posOffset>
            </wp:positionV>
            <wp:extent cx="7117715" cy="2146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17715" cy="214630"/>
                    </a:xfrm>
                    <a:prstGeom prst="rect">
                      <a:avLst/>
                    </a:prstGeom>
                    <a:noFill/>
                  </pic:spPr>
                </pic:pic>
              </a:graphicData>
            </a:graphic>
          </wp:anchor>
        </w:drawing>
      </w:r>
    </w:p>
    <w:p>
      <w:pPr>
        <w:spacing w:after="0" w:line="56" w:lineRule="exact"/>
        <w:rPr>
          <w:sz w:val="20"/>
          <w:szCs w:val="20"/>
          <w:color w:val="auto"/>
        </w:rPr>
      </w:pPr>
    </w:p>
    <w:p>
      <w:pPr>
        <w:ind w:left="140"/>
        <w:spacing w:after="0"/>
        <w:rPr>
          <w:sz w:val="20"/>
          <w:szCs w:val="20"/>
          <w:color w:val="auto"/>
        </w:rPr>
      </w:pPr>
      <w:r>
        <w:rPr>
          <w:rFonts w:ascii="Arial" w:cs="Arial" w:eastAsia="Arial" w:hAnsi="Arial"/>
          <w:sz w:val="18"/>
          <w:szCs w:val="18"/>
          <w:b w:val="1"/>
          <w:bCs w:val="1"/>
          <w:color w:val="auto"/>
        </w:rPr>
        <w:t>Supplemental cash flow information</w:t>
      </w:r>
    </w:p>
    <w:p>
      <w:pPr>
        <w:sectPr>
          <w:pgSz w:w="11900" w:h="16838" w:orient="portrait"/>
          <w:cols w:equalWidth="0" w:num="1">
            <w:col w:w="11320"/>
          </w:cols>
          <w:pgMar w:left="240" w:top="341" w:right="339" w:bottom="1440" w:gutter="0" w:footer="0" w:header="0"/>
        </w:sectPr>
      </w:pPr>
    </w:p>
    <w:p>
      <w:pPr>
        <w:spacing w:after="0" w:line="94" w:lineRule="exact"/>
        <w:rPr>
          <w:sz w:val="20"/>
          <w:szCs w:val="20"/>
          <w:color w:val="auto"/>
        </w:rPr>
      </w:pPr>
    </w:p>
    <w:tbl>
      <w:tblPr>
        <w:tblLayout w:type="fixed"/>
        <w:tblInd w:w="140" w:type="dxa"/>
        <w:tblCellMar>
          <w:top w:w="0" w:type="dxa"/>
          <w:left w:w="0" w:type="dxa"/>
          <w:bottom w:w="0" w:type="dxa"/>
          <w:right w:w="0" w:type="dxa"/>
        </w:tblCellMar>
      </w:tblPr>
      <w:tr>
        <w:trPr>
          <w:trHeight w:val="230"/>
        </w:trPr>
        <w:tc>
          <w:tcPr>
            <w:tcW w:w="7400" w:type="dxa"/>
            <w:vAlign w:val="bottom"/>
          </w:tcPr>
          <w:p>
            <w:pPr>
              <w:ind w:left="160"/>
              <w:spacing w:after="0"/>
              <w:rPr>
                <w:sz w:val="20"/>
                <w:szCs w:val="20"/>
                <w:color w:val="auto"/>
              </w:rPr>
            </w:pPr>
            <w:r>
              <w:rPr>
                <w:rFonts w:ascii="Arial" w:cs="Arial" w:eastAsia="Arial" w:hAnsi="Arial"/>
                <w:sz w:val="18"/>
                <w:szCs w:val="18"/>
                <w:color w:val="auto"/>
              </w:rPr>
              <w:t>Cash paid for income taxes, net of refunds</w:t>
            </w: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7400" w:type="dxa"/>
            <w:vAlign w:val="bottom"/>
          </w:tcPr>
          <w:p>
            <w:pPr>
              <w:ind w:left="160"/>
              <w:spacing w:after="0"/>
              <w:rPr>
                <w:sz w:val="20"/>
                <w:szCs w:val="20"/>
                <w:color w:val="auto"/>
              </w:rPr>
            </w:pPr>
            <w:r>
              <w:rPr>
                <w:rFonts w:ascii="Arial" w:cs="Arial" w:eastAsia="Arial" w:hAnsi="Arial"/>
                <w:sz w:val="18"/>
                <w:szCs w:val="18"/>
                <w:color w:val="auto"/>
              </w:rPr>
              <w:t>Cash paid for interest</w:t>
            </w:r>
          </w:p>
        </w:tc>
        <w:tc>
          <w:tcPr>
            <w:tcW w:w="4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4"/>
        </w:trPr>
        <w:tc>
          <w:tcPr>
            <w:tcW w:w="7400" w:type="dxa"/>
            <w:vAlign w:val="bottom"/>
          </w:tcPr>
          <w:p>
            <w:pPr>
              <w:spacing w:after="0"/>
              <w:rPr>
                <w:sz w:val="20"/>
                <w:szCs w:val="20"/>
                <w:color w:val="auto"/>
              </w:rPr>
            </w:pPr>
            <w:r>
              <w:rPr>
                <w:rFonts w:ascii="Arial" w:cs="Arial" w:eastAsia="Arial" w:hAnsi="Arial"/>
                <w:sz w:val="18"/>
                <w:szCs w:val="18"/>
                <w:b w:val="1"/>
                <w:bCs w:val="1"/>
                <w:color w:val="auto"/>
              </w:rPr>
              <w:t>Non-cash investing and financing activities</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7400" w:type="dxa"/>
            <w:vAlign w:val="bottom"/>
          </w:tcPr>
          <w:p>
            <w:pPr>
              <w:ind w:left="160"/>
              <w:spacing w:after="0"/>
              <w:rPr>
                <w:sz w:val="20"/>
                <w:szCs w:val="20"/>
                <w:color w:val="auto"/>
              </w:rPr>
            </w:pPr>
            <w:r>
              <w:rPr>
                <w:rFonts w:ascii="Arial" w:cs="Arial" w:eastAsia="Arial" w:hAnsi="Arial"/>
                <w:sz w:val="18"/>
                <w:szCs w:val="18"/>
                <w:color w:val="auto"/>
                <w:w w:val="94"/>
              </w:rPr>
              <w:t>Non-cash additions to property and equipment for right-of-use finance leases and capital leases,</w:t>
            </w:r>
          </w:p>
        </w:tc>
        <w:tc>
          <w:tcPr>
            <w:tcW w:w="42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22"/>
        </w:trPr>
        <w:tc>
          <w:tcPr>
            <w:tcW w:w="7400" w:type="dxa"/>
            <w:vAlign w:val="bottom"/>
            <w:vMerge w:val="restart"/>
          </w:tcPr>
          <w:p>
            <w:pPr>
              <w:ind w:left="320"/>
              <w:spacing w:after="0"/>
              <w:rPr>
                <w:sz w:val="20"/>
                <w:szCs w:val="20"/>
                <w:color w:val="auto"/>
              </w:rPr>
            </w:pPr>
            <w:r>
              <w:rPr>
                <w:rFonts w:ascii="Arial" w:cs="Arial" w:eastAsia="Arial" w:hAnsi="Arial"/>
                <w:sz w:val="18"/>
                <w:szCs w:val="18"/>
                <w:color w:val="auto"/>
              </w:rPr>
              <w:t>respectively</w:t>
            </w:r>
          </w:p>
        </w:tc>
        <w:tc>
          <w:tcPr>
            <w:tcW w:w="4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7400" w:type="dxa"/>
            <w:vAlign w:val="bottom"/>
            <w:vMerge w:val="continue"/>
          </w:tcPr>
          <w:p>
            <w:pPr>
              <w:spacing w:after="0"/>
              <w:rPr>
                <w:sz w:val="9"/>
                <w:szCs w:val="9"/>
                <w:color w:val="auto"/>
              </w:rPr>
            </w:pPr>
          </w:p>
        </w:tc>
        <w:tc>
          <w:tcPr>
            <w:tcW w:w="4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-650875</wp:posOffset>
            </wp:positionV>
            <wp:extent cx="7117715"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17715" cy="17145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-290830</wp:posOffset>
            </wp:positionV>
            <wp:extent cx="7117715" cy="3086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17715" cy="308610"/>
                    </a:xfrm>
                    <a:prstGeom prst="rect">
                      <a:avLst/>
                    </a:prstGeom>
                    <a:noFill/>
                  </pic:spPr>
                </pic:pic>
              </a:graphicData>
            </a:graphic>
          </wp:anchor>
        </w:drawing>
      </w:r>
    </w:p>
    <w:p>
      <w:pPr>
        <w:spacing w:after="0" w:line="20" w:lineRule="exact"/>
        <w:rPr>
          <w:sz w:val="20"/>
          <w:szCs w:val="20"/>
          <w:color w:val="auto"/>
        </w:rPr>
      </w:pPr>
    </w:p>
    <w:p>
      <w:pPr>
        <w:ind w:left="300"/>
        <w:spacing w:after="0"/>
        <w:rPr>
          <w:sz w:val="20"/>
          <w:szCs w:val="20"/>
          <w:color w:val="auto"/>
        </w:rPr>
      </w:pPr>
      <w:r>
        <w:rPr>
          <w:rFonts w:ascii="Arial" w:cs="Arial" w:eastAsia="Arial" w:hAnsi="Arial"/>
          <w:sz w:val="18"/>
          <w:szCs w:val="18"/>
          <w:color w:val="auto"/>
        </w:rPr>
        <w:t>Non-cash additions to other non-current assets for right-of-use operating leases</w:t>
      </w:r>
    </w:p>
    <w:p>
      <w:pPr>
        <w:spacing w:after="0" w:line="252" w:lineRule="exact"/>
        <w:rPr>
          <w:sz w:val="20"/>
          <w:szCs w:val="20"/>
          <w:color w:val="auto"/>
        </w:rPr>
      </w:pPr>
    </w:p>
    <w:p>
      <w:pPr>
        <w:jc w:val="center"/>
        <w:ind w:left="3000"/>
        <w:spacing w:after="0"/>
        <w:rPr>
          <w:sz w:val="20"/>
          <w:szCs w:val="20"/>
          <w:color w:val="auto"/>
        </w:rPr>
      </w:pPr>
      <w:r>
        <w:rPr>
          <w:rFonts w:ascii="Arial" w:cs="Arial" w:eastAsia="Arial" w:hAnsi="Arial"/>
          <w:sz w:val="16"/>
          <w:szCs w:val="16"/>
          <w:color w:val="auto"/>
        </w:rPr>
        <w:t>See accompanying Notes to Condensed Consolidated Financial Statements.</w:t>
      </w:r>
    </w:p>
    <w:p>
      <w:pPr>
        <w:spacing w:after="0" w:line="27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ind w:left="80"/>
        <w:spacing w:after="0"/>
        <w:tabs>
          <w:tab w:leader="none" w:pos="540" w:val="left"/>
          <w:tab w:leader="none" w:pos="1840" w:val="left"/>
        </w:tabs>
        <w:rPr>
          <w:sz w:val="20"/>
          <w:szCs w:val="20"/>
          <w:color w:val="auto"/>
        </w:rPr>
      </w:pPr>
      <w:r>
        <w:rPr>
          <w:rFonts w:ascii="Arial" w:cs="Arial" w:eastAsia="Arial" w:hAnsi="Arial"/>
          <w:sz w:val="18"/>
          <w:szCs w:val="18"/>
          <w:color w:val="auto"/>
        </w:rPr>
        <w:t>2.1</w:t>
        <w:tab/>
        <w:t>$</w:t>
      </w:r>
      <w:r>
        <w:rPr>
          <w:sz w:val="20"/>
          <w:szCs w:val="20"/>
          <w:color w:val="auto"/>
        </w:rPr>
        <w:tab/>
      </w:r>
      <w:r>
        <w:rPr>
          <w:rFonts w:ascii="Arial" w:cs="Arial" w:eastAsia="Arial" w:hAnsi="Arial"/>
          <w:sz w:val="17"/>
          <w:szCs w:val="17"/>
          <w:color w:val="auto"/>
        </w:rPr>
        <w:t>0.1</w:t>
      </w:r>
    </w:p>
    <w:p>
      <w:pPr>
        <w:spacing w:after="0" w:line="63" w:lineRule="exact"/>
        <w:rPr>
          <w:sz w:val="20"/>
          <w:szCs w:val="20"/>
          <w:color w:val="auto"/>
        </w:rPr>
      </w:pPr>
    </w:p>
    <w:p>
      <w:pPr>
        <w:spacing w:after="0"/>
        <w:tabs>
          <w:tab w:leader="none" w:pos="1760" w:val="left"/>
        </w:tabs>
        <w:rPr>
          <w:sz w:val="20"/>
          <w:szCs w:val="20"/>
          <w:color w:val="auto"/>
        </w:rPr>
      </w:pPr>
      <w:r>
        <w:rPr>
          <w:rFonts w:ascii="Arial" w:cs="Arial" w:eastAsia="Arial" w:hAnsi="Arial"/>
          <w:sz w:val="18"/>
          <w:szCs w:val="18"/>
          <w:color w:val="auto"/>
        </w:rPr>
        <w:t>19.9</w:t>
      </w:r>
      <w:r>
        <w:rPr>
          <w:sz w:val="20"/>
          <w:szCs w:val="20"/>
          <w:color w:val="auto"/>
        </w:rPr>
        <w:tab/>
      </w:r>
      <w:r>
        <w:rPr>
          <w:rFonts w:ascii="Arial" w:cs="Arial" w:eastAsia="Arial" w:hAnsi="Arial"/>
          <w:sz w:val="16"/>
          <w:szCs w:val="16"/>
          <w:color w:val="auto"/>
        </w:rPr>
        <w:t>17.9</w:t>
      </w:r>
    </w:p>
    <w:p>
      <w:pPr>
        <w:spacing w:after="0" w:line="200" w:lineRule="exact"/>
        <w:rPr>
          <w:sz w:val="20"/>
          <w:szCs w:val="20"/>
          <w:color w:val="auto"/>
        </w:rPr>
      </w:pPr>
    </w:p>
    <w:p>
      <w:pPr>
        <w:spacing w:after="0" w:line="268" w:lineRule="exact"/>
        <w:rPr>
          <w:sz w:val="20"/>
          <w:szCs w:val="20"/>
          <w:color w:val="auto"/>
        </w:rPr>
      </w:pPr>
    </w:p>
    <w:p>
      <w:pPr>
        <w:ind w:left="80"/>
        <w:spacing w:after="0"/>
        <w:tabs>
          <w:tab w:leader="none" w:pos="540" w:val="left"/>
          <w:tab w:leader="none" w:pos="1760" w:val="left"/>
        </w:tabs>
        <w:rPr>
          <w:sz w:val="20"/>
          <w:szCs w:val="20"/>
          <w:color w:val="auto"/>
        </w:rPr>
      </w:pPr>
      <w:r>
        <w:rPr>
          <w:rFonts w:ascii="Arial" w:cs="Arial" w:eastAsia="Arial" w:hAnsi="Arial"/>
          <w:sz w:val="18"/>
          <w:szCs w:val="18"/>
          <w:color w:val="auto"/>
        </w:rPr>
        <w:t>3.4</w:t>
        <w:tab/>
        <w:t>$</w:t>
      </w:r>
      <w:r>
        <w:rPr>
          <w:sz w:val="20"/>
          <w:szCs w:val="20"/>
          <w:color w:val="auto"/>
        </w:rPr>
        <w:tab/>
      </w:r>
      <w:r>
        <w:rPr>
          <w:rFonts w:ascii="Arial" w:cs="Arial" w:eastAsia="Arial" w:hAnsi="Arial"/>
          <w:sz w:val="16"/>
          <w:szCs w:val="16"/>
          <w:color w:val="auto"/>
        </w:rPr>
        <w:t>26.2</w:t>
      </w:r>
    </w:p>
    <w:p>
      <w:pPr>
        <w:spacing w:after="0" w:line="171" w:lineRule="exact"/>
        <w:rPr>
          <w:sz w:val="20"/>
          <w:szCs w:val="20"/>
          <w:color w:val="auto"/>
        </w:rPr>
      </w:pPr>
    </w:p>
    <w:p>
      <w:pPr>
        <w:spacing w:after="0"/>
        <w:tabs>
          <w:tab w:leader="none" w:pos="1900" w:val="left"/>
        </w:tabs>
        <w:rPr>
          <w:sz w:val="20"/>
          <w:szCs w:val="20"/>
          <w:color w:val="auto"/>
        </w:rPr>
      </w:pPr>
      <w:r>
        <w:rPr>
          <w:rFonts w:ascii="Arial" w:cs="Arial" w:eastAsia="Arial" w:hAnsi="Arial"/>
          <w:sz w:val="18"/>
          <w:szCs w:val="18"/>
          <w:color w:val="auto"/>
        </w:rPr>
        <w:t>62.1</w:t>
      </w:r>
      <w:r>
        <w:rPr>
          <w:sz w:val="20"/>
          <w:szCs w:val="20"/>
          <w:color w:val="auto"/>
        </w:rPr>
        <w:tab/>
      </w:r>
      <w:r>
        <w:rPr>
          <w:rFonts w:ascii="Arial" w:cs="Arial" w:eastAsia="Arial" w:hAnsi="Arial"/>
          <w:sz w:val="18"/>
          <w:szCs w:val="18"/>
          <w:color w:val="auto"/>
        </w:rPr>
        <w:t>—</w:t>
      </w:r>
    </w:p>
    <w:p>
      <w:pPr>
        <w:sectPr>
          <w:pgSz w:w="11900" w:h="16838" w:orient="portrait"/>
          <w:cols w:equalWidth="0" w:num="2">
            <w:col w:w="8440" w:space="680"/>
            <w:col w:w="2200"/>
          </w:cols>
          <w:pgMar w:left="240" w:top="341" w:right="339" w:bottom="1440" w:gutter="0" w:footer="0" w:header="0"/>
          <w:type w:val="continuous"/>
        </w:sectPr>
      </w:pPr>
    </w:p>
    <w:bookmarkStart w:id="7" w:name="page8"/>
    <w:bookmarkEnd w:id="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auto"/>
        </w:rPr>
        <w:t>VERITIV CORPORATION</w:t>
      </w:r>
    </w:p>
    <w:p>
      <w:pPr>
        <w:spacing w:after="0" w:line="22"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auto"/>
        </w:rPr>
        <w:t>CONDENSED CONSOLIDATED STATEMENTS OF SHAREHOLDERS' EQUITY</w:t>
      </w:r>
    </w:p>
    <w:p>
      <w:pPr>
        <w:spacing w:after="0" w:line="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(in millions, unaudited)</w:t>
      </w:r>
    </w:p>
    <w:p>
      <w:pPr>
        <w:spacing w:after="0" w:line="367" w:lineRule="exact"/>
        <w:rPr>
          <w:sz w:val="20"/>
          <w:szCs w:val="20"/>
          <w:color w:val="auto"/>
        </w:rPr>
      </w:pPr>
    </w:p>
    <w:p>
      <w:pPr>
        <w:ind w:left="5420"/>
        <w:spacing w:after="0"/>
        <w:rPr>
          <w:sz w:val="20"/>
          <w:szCs w:val="20"/>
          <w:color w:val="auto"/>
        </w:rPr>
      </w:pPr>
      <w:r>
        <w:rPr>
          <w:rFonts w:ascii="Arial" w:cs="Arial" w:eastAsia="Arial" w:hAnsi="Arial"/>
          <w:sz w:val="18"/>
          <w:szCs w:val="18"/>
          <w:b w:val="1"/>
          <w:bCs w:val="1"/>
          <w:color w:val="auto"/>
        </w:rPr>
        <w:t>Three and Six Months Ended June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1771650</wp:posOffset>
            </wp:positionH>
            <wp:positionV relativeFrom="paragraph">
              <wp:posOffset>34290</wp:posOffset>
            </wp:positionV>
            <wp:extent cx="545401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454015" cy="8890"/>
                    </a:xfrm>
                    <a:prstGeom prst="rect">
                      <a:avLst/>
                    </a:prstGeom>
                    <a:noFill/>
                  </pic:spPr>
                </pic:pic>
              </a:graphicData>
            </a:graphic>
          </wp:anchor>
        </w:drawing>
      </w:r>
    </w:p>
    <w:p>
      <w:pPr>
        <w:spacing w:after="0" w:line="57" w:lineRule="exact"/>
        <w:rPr>
          <w:sz w:val="20"/>
          <w:szCs w:val="20"/>
          <w:color w:val="auto"/>
        </w:rPr>
      </w:pPr>
    </w:p>
    <w:tbl>
      <w:tblPr>
        <w:tblLayout w:type="fixed"/>
        <w:tblInd w:w="2800" w:type="dxa"/>
        <w:tblCellMar>
          <w:top w:w="0" w:type="dxa"/>
          <w:left w:w="0" w:type="dxa"/>
          <w:bottom w:w="0" w:type="dxa"/>
          <w:right w:w="0" w:type="dxa"/>
        </w:tblCellMar>
      </w:tblPr>
      <w:tr>
        <w:trPr>
          <w:trHeight w:val="216"/>
        </w:trPr>
        <w:tc>
          <w:tcPr>
            <w:tcW w:w="1840" w:type="dxa"/>
            <w:vAlign w:val="bottom"/>
            <w:gridSpan w:val="2"/>
            <w:vMerge w:val="restart"/>
          </w:tcPr>
          <w:p>
            <w:pPr>
              <w:ind w:left="60"/>
              <w:spacing w:after="0"/>
              <w:rPr>
                <w:sz w:val="20"/>
                <w:szCs w:val="20"/>
                <w:color w:val="auto"/>
              </w:rPr>
            </w:pPr>
            <w:r>
              <w:rPr>
                <w:rFonts w:ascii="Arial" w:cs="Arial" w:eastAsia="Arial" w:hAnsi="Arial"/>
                <w:sz w:val="18"/>
                <w:szCs w:val="18"/>
                <w:b w:val="1"/>
                <w:bCs w:val="1"/>
                <w:color w:val="auto"/>
                <w:w w:val="90"/>
              </w:rPr>
              <w:t>Common Stock Issued</w:t>
            </w:r>
          </w:p>
        </w:tc>
        <w:tc>
          <w:tcPr>
            <w:tcW w:w="1300" w:type="dxa"/>
            <w:vAlign w:val="bottom"/>
          </w:tcPr>
          <w:p>
            <w:pPr>
              <w:jc w:val="center"/>
              <w:spacing w:after="0"/>
              <w:rPr>
                <w:sz w:val="20"/>
                <w:szCs w:val="20"/>
                <w:color w:val="auto"/>
              </w:rPr>
            </w:pPr>
            <w:r>
              <w:rPr>
                <w:rFonts w:ascii="Arial" w:cs="Arial" w:eastAsia="Arial" w:hAnsi="Arial"/>
                <w:sz w:val="18"/>
                <w:szCs w:val="18"/>
                <w:b w:val="1"/>
                <w:bCs w:val="1"/>
                <w:color w:val="auto"/>
                <w:w w:val="93"/>
              </w:rPr>
              <w:t>Additional</w:t>
            </w:r>
          </w:p>
        </w:tc>
        <w:tc>
          <w:tcPr>
            <w:tcW w:w="1440" w:type="dxa"/>
            <w:vAlign w:val="bottom"/>
          </w:tcPr>
          <w:p>
            <w:pPr>
              <w:jc w:val="center"/>
              <w:spacing w:after="0"/>
              <w:rPr>
                <w:sz w:val="20"/>
                <w:szCs w:val="20"/>
                <w:color w:val="auto"/>
              </w:rPr>
            </w:pPr>
            <w:r>
              <w:rPr>
                <w:rFonts w:ascii="Arial" w:cs="Arial" w:eastAsia="Arial" w:hAnsi="Arial"/>
                <w:sz w:val="18"/>
                <w:szCs w:val="18"/>
                <w:b w:val="1"/>
                <w:bCs w:val="1"/>
                <w:color w:val="auto"/>
                <w:w w:val="90"/>
              </w:rPr>
              <w:t>Accumulated</w:t>
            </w:r>
          </w:p>
        </w:tc>
        <w:tc>
          <w:tcPr>
            <w:tcW w:w="1200" w:type="dxa"/>
            <w:vAlign w:val="bottom"/>
          </w:tcPr>
          <w:p>
            <w:pPr>
              <w:spacing w:after="0"/>
              <w:rPr>
                <w:sz w:val="18"/>
                <w:szCs w:val="18"/>
                <w:color w:val="auto"/>
              </w:rPr>
            </w:pPr>
          </w:p>
        </w:tc>
        <w:tc>
          <w:tcPr>
            <w:tcW w:w="1780" w:type="dxa"/>
            <w:vAlign w:val="bottom"/>
            <w:gridSpan w:val="2"/>
            <w:vMerge w:val="restart"/>
          </w:tcPr>
          <w:p>
            <w:pPr>
              <w:ind w:left="320"/>
              <w:spacing w:after="0"/>
              <w:rPr>
                <w:sz w:val="20"/>
                <w:szCs w:val="20"/>
                <w:color w:val="auto"/>
              </w:rPr>
            </w:pPr>
            <w:r>
              <w:rPr>
                <w:rFonts w:ascii="Arial" w:cs="Arial" w:eastAsia="Arial" w:hAnsi="Arial"/>
                <w:sz w:val="18"/>
                <w:szCs w:val="18"/>
                <w:b w:val="1"/>
                <w:bCs w:val="1"/>
                <w:color w:val="auto"/>
              </w:rPr>
              <w:t>Treasury Stock</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6"/>
        </w:trPr>
        <w:tc>
          <w:tcPr>
            <w:tcW w:w="1840" w:type="dxa"/>
            <w:vAlign w:val="bottom"/>
            <w:gridSpan w:val="2"/>
            <w:vMerge w:val="continue"/>
          </w:tcPr>
          <w:p>
            <w:pPr>
              <w:spacing w:after="0"/>
              <w:rPr>
                <w:sz w:val="7"/>
                <w:szCs w:val="7"/>
                <w:color w:val="auto"/>
              </w:rPr>
            </w:pPr>
          </w:p>
        </w:tc>
        <w:tc>
          <w:tcPr>
            <w:tcW w:w="13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3"/>
              </w:rPr>
              <w:t>Paid-in</w:t>
            </w:r>
          </w:p>
        </w:tc>
        <w:tc>
          <w:tcPr>
            <w:tcW w:w="144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5"/>
              </w:rPr>
              <w:t>(Deficit)</w:t>
            </w:r>
          </w:p>
        </w:tc>
        <w:tc>
          <w:tcPr>
            <w:tcW w:w="1200" w:type="dxa"/>
            <w:vAlign w:val="bottom"/>
          </w:tcPr>
          <w:p>
            <w:pPr>
              <w:spacing w:after="0"/>
              <w:rPr>
                <w:sz w:val="7"/>
                <w:szCs w:val="7"/>
                <w:color w:val="auto"/>
              </w:rPr>
            </w:pPr>
          </w:p>
        </w:tc>
        <w:tc>
          <w:tcPr>
            <w:tcW w:w="178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7"/>
        </w:trPr>
        <w:tc>
          <w:tcPr>
            <w:tcW w:w="8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300" w:type="dxa"/>
            <w:vAlign w:val="bottom"/>
            <w:vMerge w:val="continue"/>
          </w:tcPr>
          <w:p>
            <w:pPr>
              <w:spacing w:after="0"/>
              <w:rPr>
                <w:sz w:val="2"/>
                <w:szCs w:val="2"/>
                <w:color w:val="auto"/>
              </w:rPr>
            </w:pPr>
          </w:p>
        </w:tc>
        <w:tc>
          <w:tcPr>
            <w:tcW w:w="1440" w:type="dxa"/>
            <w:vAlign w:val="bottom"/>
            <w:vMerge w:val="continue"/>
          </w:tcPr>
          <w:p>
            <w:pPr>
              <w:spacing w:after="0"/>
              <w:rPr>
                <w:sz w:val="2"/>
                <w:szCs w:val="2"/>
                <w:color w:val="auto"/>
              </w:rPr>
            </w:pPr>
          </w:p>
        </w:tc>
        <w:tc>
          <w:tcPr>
            <w:tcW w:w="12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83"/>
        </w:trPr>
        <w:tc>
          <w:tcPr>
            <w:tcW w:w="860" w:type="dxa"/>
            <w:vAlign w:val="bottom"/>
          </w:tcPr>
          <w:p>
            <w:pPr>
              <w:spacing w:after="0"/>
              <w:rPr>
                <w:sz w:val="7"/>
                <w:szCs w:val="7"/>
                <w:color w:val="auto"/>
              </w:rPr>
            </w:pPr>
          </w:p>
        </w:tc>
        <w:tc>
          <w:tcPr>
            <w:tcW w:w="980" w:type="dxa"/>
            <w:vAlign w:val="bottom"/>
          </w:tcPr>
          <w:p>
            <w:pPr>
              <w:spacing w:after="0"/>
              <w:rPr>
                <w:sz w:val="7"/>
                <w:szCs w:val="7"/>
                <w:color w:val="auto"/>
              </w:rPr>
            </w:pPr>
          </w:p>
        </w:tc>
        <w:tc>
          <w:tcPr>
            <w:tcW w:w="1300" w:type="dxa"/>
            <w:vAlign w:val="bottom"/>
            <w:vMerge w:val="continue"/>
          </w:tcPr>
          <w:p>
            <w:pPr>
              <w:spacing w:after="0"/>
              <w:rPr>
                <w:sz w:val="7"/>
                <w:szCs w:val="7"/>
                <w:color w:val="auto"/>
              </w:rPr>
            </w:pPr>
          </w:p>
        </w:tc>
        <w:tc>
          <w:tcPr>
            <w:tcW w:w="144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20" w:type="dxa"/>
            <w:vAlign w:val="bottom"/>
          </w:tcPr>
          <w:p>
            <w:pPr>
              <w:spacing w:after="0"/>
              <w:rPr>
                <w:sz w:val="7"/>
                <w:szCs w:val="7"/>
                <w:color w:val="auto"/>
              </w:rPr>
            </w:pPr>
          </w:p>
        </w:tc>
        <w:tc>
          <w:tcPr>
            <w:tcW w:w="960" w:type="dxa"/>
            <w:vAlign w:val="bottom"/>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04"/>
        </w:trPr>
        <w:tc>
          <w:tcPr>
            <w:tcW w:w="860" w:type="dxa"/>
            <w:vAlign w:val="bottom"/>
          </w:tcPr>
          <w:p>
            <w:pPr>
              <w:ind w:left="140"/>
              <w:spacing w:after="0"/>
              <w:rPr>
                <w:sz w:val="20"/>
                <w:szCs w:val="20"/>
                <w:color w:val="auto"/>
              </w:rPr>
            </w:pPr>
            <w:r>
              <w:rPr>
                <w:rFonts w:ascii="Arial" w:cs="Arial" w:eastAsia="Arial" w:hAnsi="Arial"/>
                <w:sz w:val="18"/>
                <w:szCs w:val="18"/>
                <w:b w:val="1"/>
                <w:bCs w:val="1"/>
                <w:color w:val="auto"/>
              </w:rPr>
              <w:t>Shares</w:t>
            </w:r>
          </w:p>
        </w:tc>
        <w:tc>
          <w:tcPr>
            <w:tcW w:w="980" w:type="dxa"/>
            <w:vAlign w:val="bottom"/>
          </w:tcPr>
          <w:p>
            <w:pPr>
              <w:ind w:left="200"/>
              <w:spacing w:after="0"/>
              <w:rPr>
                <w:sz w:val="20"/>
                <w:szCs w:val="20"/>
                <w:color w:val="auto"/>
              </w:rPr>
            </w:pPr>
            <w:r>
              <w:rPr>
                <w:rFonts w:ascii="Arial" w:cs="Arial" w:eastAsia="Arial" w:hAnsi="Arial"/>
                <w:sz w:val="18"/>
                <w:szCs w:val="18"/>
                <w:b w:val="1"/>
                <w:bCs w:val="1"/>
                <w:color w:val="auto"/>
              </w:rPr>
              <w:t>Amount</w:t>
            </w:r>
          </w:p>
        </w:tc>
        <w:tc>
          <w:tcPr>
            <w:tcW w:w="1300" w:type="dxa"/>
            <w:vAlign w:val="bottom"/>
          </w:tcPr>
          <w:p>
            <w:pPr>
              <w:jc w:val="center"/>
              <w:spacing w:after="0"/>
              <w:rPr>
                <w:sz w:val="20"/>
                <w:szCs w:val="20"/>
                <w:color w:val="auto"/>
              </w:rPr>
            </w:pPr>
            <w:r>
              <w:rPr>
                <w:rFonts w:ascii="Arial" w:cs="Arial" w:eastAsia="Arial" w:hAnsi="Arial"/>
                <w:sz w:val="18"/>
                <w:szCs w:val="18"/>
                <w:b w:val="1"/>
                <w:bCs w:val="1"/>
                <w:color w:val="auto"/>
                <w:w w:val="96"/>
              </w:rPr>
              <w:t>Capital</w:t>
            </w:r>
          </w:p>
        </w:tc>
        <w:tc>
          <w:tcPr>
            <w:tcW w:w="1440" w:type="dxa"/>
            <w:vAlign w:val="bottom"/>
          </w:tcPr>
          <w:p>
            <w:pPr>
              <w:jc w:val="center"/>
              <w:spacing w:after="0"/>
              <w:rPr>
                <w:sz w:val="20"/>
                <w:szCs w:val="20"/>
                <w:color w:val="auto"/>
              </w:rPr>
            </w:pPr>
            <w:r>
              <w:rPr>
                <w:rFonts w:ascii="Arial" w:cs="Arial" w:eastAsia="Arial" w:hAnsi="Arial"/>
                <w:sz w:val="18"/>
                <w:szCs w:val="18"/>
                <w:b w:val="1"/>
                <w:bCs w:val="1"/>
                <w:color w:val="auto"/>
                <w:w w:val="90"/>
              </w:rPr>
              <w:t>Earnings</w:t>
            </w:r>
          </w:p>
        </w:tc>
        <w:tc>
          <w:tcPr>
            <w:tcW w:w="1200" w:type="dxa"/>
            <w:vAlign w:val="bottom"/>
          </w:tcPr>
          <w:p>
            <w:pPr>
              <w:ind w:left="220"/>
              <w:spacing w:after="0"/>
              <w:rPr>
                <w:sz w:val="20"/>
                <w:szCs w:val="20"/>
                <w:color w:val="auto"/>
              </w:rPr>
            </w:pPr>
            <w:r>
              <w:rPr>
                <w:rFonts w:ascii="Arial" w:cs="Arial" w:eastAsia="Arial" w:hAnsi="Arial"/>
                <w:sz w:val="18"/>
                <w:szCs w:val="18"/>
                <w:b w:val="1"/>
                <w:bCs w:val="1"/>
                <w:color w:val="auto"/>
              </w:rPr>
              <w:t xml:space="preserve">AOCL </w:t>
            </w:r>
            <w:r>
              <w:rPr>
                <w:rFonts w:ascii="Arial" w:cs="Arial" w:eastAsia="Arial" w:hAnsi="Arial"/>
                <w:sz w:val="25"/>
                <w:szCs w:val="25"/>
                <w:b w:val="1"/>
                <w:bCs w:val="1"/>
                <w:color w:val="auto"/>
                <w:vertAlign w:val="superscript"/>
              </w:rPr>
              <w:t>(1)</w:t>
            </w:r>
          </w:p>
        </w:tc>
        <w:tc>
          <w:tcPr>
            <w:tcW w:w="820" w:type="dxa"/>
            <w:vAlign w:val="bottom"/>
          </w:tcPr>
          <w:p>
            <w:pPr>
              <w:ind w:left="120"/>
              <w:spacing w:after="0"/>
              <w:rPr>
                <w:sz w:val="20"/>
                <w:szCs w:val="20"/>
                <w:color w:val="auto"/>
              </w:rPr>
            </w:pPr>
            <w:r>
              <w:rPr>
                <w:rFonts w:ascii="Arial" w:cs="Arial" w:eastAsia="Arial" w:hAnsi="Arial"/>
                <w:sz w:val="18"/>
                <w:szCs w:val="18"/>
                <w:b w:val="1"/>
                <w:bCs w:val="1"/>
                <w:color w:val="auto"/>
              </w:rPr>
              <w:t>Shares</w:t>
            </w:r>
          </w:p>
        </w:tc>
        <w:tc>
          <w:tcPr>
            <w:tcW w:w="960" w:type="dxa"/>
            <w:vAlign w:val="bottom"/>
          </w:tcPr>
          <w:p>
            <w:pPr>
              <w:ind w:left="200"/>
              <w:spacing w:after="0"/>
              <w:rPr>
                <w:sz w:val="20"/>
                <w:szCs w:val="20"/>
                <w:color w:val="auto"/>
              </w:rPr>
            </w:pPr>
            <w:r>
              <w:rPr>
                <w:rFonts w:ascii="Arial" w:cs="Arial" w:eastAsia="Arial" w:hAnsi="Arial"/>
                <w:sz w:val="18"/>
                <w:szCs w:val="18"/>
                <w:b w:val="1"/>
                <w:bCs w:val="1"/>
                <w:color w:val="auto"/>
              </w:rPr>
              <w:t>Amount</w:t>
            </w:r>
          </w:p>
        </w:tc>
        <w:tc>
          <w:tcPr>
            <w:tcW w:w="760" w:type="dxa"/>
            <w:vAlign w:val="bottom"/>
          </w:tcPr>
          <w:p>
            <w:pPr>
              <w:ind w:left="360"/>
              <w:spacing w:after="0"/>
              <w:rPr>
                <w:sz w:val="20"/>
                <w:szCs w:val="20"/>
                <w:color w:val="auto"/>
              </w:rPr>
            </w:pPr>
            <w:r>
              <w:rPr>
                <w:rFonts w:ascii="Arial" w:cs="Arial" w:eastAsia="Arial" w:hAnsi="Arial"/>
                <w:sz w:val="18"/>
                <w:szCs w:val="18"/>
                <w:b w:val="1"/>
                <w:bCs w:val="1"/>
                <w:color w:val="auto"/>
                <w:w w:val="88"/>
              </w:rPr>
              <w:t>Total</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wp:posOffset>
            </wp:positionH>
            <wp:positionV relativeFrom="paragraph">
              <wp:posOffset>-26035</wp:posOffset>
            </wp:positionV>
            <wp:extent cx="7186295" cy="1803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86295" cy="18034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tbl>
      <w:tblPr>
        <w:tblLayout w:type="fixed"/>
        <w:tblInd w:w="80" w:type="dxa"/>
        <w:tblCellMar>
          <w:top w:w="0" w:type="dxa"/>
          <w:left w:w="0" w:type="dxa"/>
          <w:bottom w:w="0" w:type="dxa"/>
          <w:right w:w="0" w:type="dxa"/>
        </w:tblCellMar>
      </w:tblPr>
      <w:tr>
        <w:trPr>
          <w:trHeight w:val="230"/>
        </w:trPr>
        <w:tc>
          <w:tcPr>
            <w:tcW w:w="2720" w:type="dxa"/>
            <w:vAlign w:val="bottom"/>
          </w:tcPr>
          <w:p>
            <w:pPr>
              <w:spacing w:after="0"/>
              <w:rPr>
                <w:sz w:val="20"/>
                <w:szCs w:val="20"/>
                <w:color w:val="auto"/>
              </w:rPr>
            </w:pPr>
            <w:r>
              <w:rPr>
                <w:rFonts w:ascii="Arial" w:cs="Arial" w:eastAsia="Arial" w:hAnsi="Arial"/>
                <w:sz w:val="18"/>
                <w:szCs w:val="18"/>
                <w:color w:val="auto"/>
              </w:rPr>
              <w:t>Balance at December 31, 2018</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16.2</w:t>
            </w:r>
          </w:p>
        </w:tc>
        <w:tc>
          <w:tcPr>
            <w:tcW w:w="120" w:type="dxa"/>
            <w:vAlign w:val="bottom"/>
          </w:tcPr>
          <w:p>
            <w:pPr>
              <w:spacing w:after="0"/>
              <w:rPr>
                <w:sz w:val="20"/>
                <w:szCs w:val="20"/>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0.2</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54"/>
        </w:trPr>
        <w:tc>
          <w:tcPr>
            <w:tcW w:w="2720" w:type="dxa"/>
            <w:vAlign w:val="bottom"/>
          </w:tcPr>
          <w:p>
            <w:pPr>
              <w:spacing w:after="0"/>
              <w:rPr>
                <w:sz w:val="20"/>
                <w:szCs w:val="20"/>
                <w:color w:val="auto"/>
              </w:rPr>
            </w:pPr>
            <w:r>
              <w:rPr>
                <w:rFonts w:ascii="Arial" w:cs="Arial" w:eastAsia="Arial" w:hAnsi="Arial"/>
                <w:sz w:val="18"/>
                <w:szCs w:val="18"/>
                <w:color w:val="auto"/>
              </w:rPr>
              <w:t>Net loss</w:t>
            </w: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20" w:type="dxa"/>
            <w:vAlign w:val="bottom"/>
          </w:tcPr>
          <w:p>
            <w:pPr>
              <w:spacing w:after="0"/>
              <w:rPr>
                <w:sz w:val="22"/>
                <w:szCs w:val="22"/>
                <w:color w:val="auto"/>
              </w:rPr>
            </w:pPr>
          </w:p>
        </w:tc>
      </w:tr>
      <w:tr>
        <w:trPr>
          <w:trHeight w:val="270"/>
        </w:trPr>
        <w:tc>
          <w:tcPr>
            <w:tcW w:w="2720" w:type="dxa"/>
            <w:vAlign w:val="bottom"/>
          </w:tcPr>
          <w:p>
            <w:pPr>
              <w:spacing w:after="0"/>
              <w:rPr>
                <w:sz w:val="20"/>
                <w:szCs w:val="20"/>
                <w:color w:val="auto"/>
              </w:rPr>
            </w:pPr>
            <w:r>
              <w:rPr>
                <w:rFonts w:ascii="Arial" w:cs="Arial" w:eastAsia="Arial" w:hAnsi="Arial"/>
                <w:sz w:val="18"/>
                <w:szCs w:val="18"/>
                <w:color w:val="auto"/>
                <w:w w:val="95"/>
              </w:rPr>
              <w:t>Other comprehensive income (loss)</w:t>
            </w: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20" w:type="dxa"/>
            <w:vAlign w:val="bottom"/>
          </w:tcPr>
          <w:p>
            <w:pPr>
              <w:spacing w:after="0"/>
              <w:rPr>
                <w:sz w:val="23"/>
                <w:szCs w:val="23"/>
                <w:color w:val="auto"/>
              </w:rPr>
            </w:pPr>
          </w:p>
        </w:tc>
      </w:tr>
      <w:tr>
        <w:trPr>
          <w:trHeight w:val="270"/>
        </w:trPr>
        <w:tc>
          <w:tcPr>
            <w:tcW w:w="2720" w:type="dxa"/>
            <w:vAlign w:val="bottom"/>
          </w:tcPr>
          <w:p>
            <w:pPr>
              <w:spacing w:after="0"/>
              <w:rPr>
                <w:sz w:val="20"/>
                <w:szCs w:val="20"/>
                <w:color w:val="auto"/>
              </w:rPr>
            </w:pPr>
            <w:r>
              <w:rPr>
                <w:rFonts w:ascii="Arial" w:cs="Arial" w:eastAsia="Arial" w:hAnsi="Arial"/>
                <w:sz w:val="18"/>
                <w:szCs w:val="18"/>
                <w:color w:val="auto"/>
              </w:rPr>
              <w:t>Stock-based compensation</w:t>
            </w: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20" w:type="dxa"/>
            <w:vAlign w:val="bottom"/>
          </w:tcPr>
          <w:p>
            <w:pPr>
              <w:spacing w:after="0"/>
              <w:rPr>
                <w:sz w:val="23"/>
                <w:szCs w:val="23"/>
                <w:color w:val="auto"/>
              </w:rPr>
            </w:pPr>
          </w:p>
        </w:tc>
      </w:tr>
      <w:tr>
        <w:trPr>
          <w:trHeight w:val="256"/>
        </w:trPr>
        <w:tc>
          <w:tcPr>
            <w:tcW w:w="2720" w:type="dxa"/>
            <w:vAlign w:val="bottom"/>
          </w:tcPr>
          <w:p>
            <w:pPr>
              <w:spacing w:after="0"/>
              <w:rPr>
                <w:sz w:val="20"/>
                <w:szCs w:val="20"/>
                <w:color w:val="auto"/>
              </w:rPr>
            </w:pPr>
            <w:r>
              <w:rPr>
                <w:rFonts w:ascii="Arial" w:cs="Arial" w:eastAsia="Arial" w:hAnsi="Arial"/>
                <w:sz w:val="18"/>
                <w:szCs w:val="18"/>
                <w:color w:val="auto"/>
              </w:rPr>
              <w:t>Issuance of common stock, net of</w:t>
            </w: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20" w:type="dxa"/>
            <w:vAlign w:val="bottom"/>
          </w:tcPr>
          <w:p>
            <w:pPr>
              <w:spacing w:after="0"/>
              <w:rPr>
                <w:sz w:val="22"/>
                <w:szCs w:val="22"/>
                <w:color w:val="auto"/>
              </w:rPr>
            </w:pPr>
          </w:p>
        </w:tc>
      </w:tr>
      <w:tr>
        <w:trPr>
          <w:trHeight w:val="216"/>
        </w:trPr>
        <w:tc>
          <w:tcPr>
            <w:tcW w:w="2720" w:type="dxa"/>
            <w:vAlign w:val="bottom"/>
          </w:tcPr>
          <w:p>
            <w:pPr>
              <w:ind w:left="160"/>
              <w:spacing w:after="0"/>
              <w:rPr>
                <w:sz w:val="20"/>
                <w:szCs w:val="20"/>
                <w:color w:val="auto"/>
              </w:rPr>
            </w:pPr>
            <w:r>
              <w:rPr>
                <w:rFonts w:ascii="Arial" w:cs="Arial" w:eastAsia="Arial" w:hAnsi="Arial"/>
                <w:sz w:val="18"/>
                <w:szCs w:val="18"/>
                <w:color w:val="auto"/>
              </w:rPr>
              <w:t>stock received for minimum tax</w:t>
            </w: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30"/>
        </w:trPr>
        <w:tc>
          <w:tcPr>
            <w:tcW w:w="2720" w:type="dxa"/>
            <w:vAlign w:val="bottom"/>
          </w:tcPr>
          <w:p>
            <w:pPr>
              <w:ind w:left="160"/>
              <w:spacing w:after="0"/>
              <w:rPr>
                <w:sz w:val="20"/>
                <w:szCs w:val="20"/>
                <w:color w:val="auto"/>
              </w:rPr>
            </w:pPr>
            <w:r>
              <w:rPr>
                <w:rFonts w:ascii="Arial" w:cs="Arial" w:eastAsia="Arial" w:hAnsi="Arial"/>
                <w:sz w:val="18"/>
                <w:szCs w:val="18"/>
                <w:color w:val="auto"/>
              </w:rPr>
              <w:t>withholdings</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0.0</w:t>
            </w:r>
          </w:p>
        </w:tc>
        <w:tc>
          <w:tcPr>
            <w:tcW w:w="220" w:type="dxa"/>
            <w:vAlign w:val="bottom"/>
          </w:tcPr>
          <w:p>
            <w:pPr>
              <w:spacing w:after="0"/>
              <w:rPr>
                <w:sz w:val="20"/>
                <w:szCs w:val="20"/>
                <w:color w:val="auto"/>
              </w:rPr>
            </w:pPr>
          </w:p>
        </w:tc>
      </w:tr>
      <w:tr>
        <w:trPr>
          <w:trHeight w:val="256"/>
        </w:trPr>
        <w:tc>
          <w:tcPr>
            <w:tcW w:w="2720" w:type="dxa"/>
            <w:vAlign w:val="bottom"/>
          </w:tcPr>
          <w:p>
            <w:pPr>
              <w:spacing w:after="0"/>
              <w:rPr>
                <w:sz w:val="20"/>
                <w:szCs w:val="20"/>
                <w:color w:val="auto"/>
              </w:rPr>
            </w:pPr>
            <w:r>
              <w:rPr>
                <w:rFonts w:ascii="Arial" w:cs="Arial" w:eastAsia="Arial" w:hAnsi="Arial"/>
                <w:sz w:val="18"/>
                <w:szCs w:val="18"/>
                <w:color w:val="auto"/>
              </w:rPr>
              <w:t>Adoption impact - Accounting</w:t>
            </w: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20" w:type="dxa"/>
            <w:vAlign w:val="bottom"/>
          </w:tcPr>
          <w:p>
            <w:pPr>
              <w:spacing w:after="0"/>
              <w:rPr>
                <w:sz w:val="22"/>
                <w:szCs w:val="22"/>
                <w:color w:val="auto"/>
              </w:rPr>
            </w:pPr>
          </w:p>
        </w:tc>
      </w:tr>
      <w:tr>
        <w:trPr>
          <w:trHeight w:val="230"/>
        </w:trPr>
        <w:tc>
          <w:tcPr>
            <w:tcW w:w="2720" w:type="dxa"/>
            <w:vAlign w:val="bottom"/>
          </w:tcPr>
          <w:p>
            <w:pPr>
              <w:ind w:left="160"/>
              <w:spacing w:after="0"/>
              <w:rPr>
                <w:sz w:val="20"/>
                <w:szCs w:val="20"/>
                <w:color w:val="auto"/>
              </w:rPr>
            </w:pPr>
            <w:r>
              <w:rPr>
                <w:rFonts w:ascii="Arial" w:cs="Arial" w:eastAsia="Arial" w:hAnsi="Arial"/>
                <w:sz w:val="18"/>
                <w:szCs w:val="18"/>
                <w:color w:val="auto"/>
              </w:rPr>
              <w:t>Standards Update 2016-02</w:t>
            </w: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27"/>
        </w:trPr>
        <w:tc>
          <w:tcPr>
            <w:tcW w:w="272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37"/>
        </w:trPr>
        <w:tc>
          <w:tcPr>
            <w:tcW w:w="2720" w:type="dxa"/>
            <w:vAlign w:val="bottom"/>
          </w:tcPr>
          <w:p>
            <w:pPr>
              <w:spacing w:after="0"/>
              <w:rPr>
                <w:sz w:val="20"/>
                <w:szCs w:val="20"/>
                <w:color w:val="auto"/>
              </w:rPr>
            </w:pPr>
            <w:r>
              <w:rPr>
                <w:rFonts w:ascii="Arial" w:cs="Arial" w:eastAsia="Arial" w:hAnsi="Arial"/>
                <w:sz w:val="18"/>
                <w:szCs w:val="18"/>
                <w:color w:val="auto"/>
              </w:rPr>
              <w:t>Balance at March 31, 2019</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16.4</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0.2</w:t>
            </w:r>
          </w:p>
        </w:tc>
        <w:tc>
          <w:tcPr>
            <w:tcW w:w="220" w:type="dxa"/>
            <w:vAlign w:val="bottom"/>
          </w:tcPr>
          <w:p>
            <w:pPr>
              <w:spacing w:after="0"/>
              <w:rPr>
                <w:sz w:val="20"/>
                <w:szCs w:val="20"/>
                <w:color w:val="auto"/>
              </w:rPr>
            </w:pPr>
          </w:p>
        </w:tc>
      </w:tr>
      <w:tr>
        <w:trPr>
          <w:trHeight w:val="270"/>
        </w:trPr>
        <w:tc>
          <w:tcPr>
            <w:tcW w:w="2720" w:type="dxa"/>
            <w:vAlign w:val="bottom"/>
          </w:tcPr>
          <w:p>
            <w:pPr>
              <w:spacing w:after="0"/>
              <w:rPr>
                <w:sz w:val="20"/>
                <w:szCs w:val="20"/>
                <w:color w:val="auto"/>
              </w:rPr>
            </w:pPr>
            <w:r>
              <w:rPr>
                <w:rFonts w:ascii="Arial" w:cs="Arial" w:eastAsia="Arial" w:hAnsi="Arial"/>
                <w:sz w:val="18"/>
                <w:szCs w:val="18"/>
                <w:color w:val="auto"/>
              </w:rPr>
              <w:t>Net loss</w:t>
            </w: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20" w:type="dxa"/>
            <w:vAlign w:val="bottom"/>
          </w:tcPr>
          <w:p>
            <w:pPr>
              <w:spacing w:after="0"/>
              <w:rPr>
                <w:sz w:val="23"/>
                <w:szCs w:val="23"/>
                <w:color w:val="auto"/>
              </w:rPr>
            </w:pPr>
          </w:p>
        </w:tc>
      </w:tr>
      <w:tr>
        <w:trPr>
          <w:trHeight w:val="270"/>
        </w:trPr>
        <w:tc>
          <w:tcPr>
            <w:tcW w:w="2720" w:type="dxa"/>
            <w:vAlign w:val="bottom"/>
          </w:tcPr>
          <w:p>
            <w:pPr>
              <w:spacing w:after="0"/>
              <w:rPr>
                <w:sz w:val="20"/>
                <w:szCs w:val="20"/>
                <w:color w:val="auto"/>
              </w:rPr>
            </w:pPr>
            <w:r>
              <w:rPr>
                <w:rFonts w:ascii="Arial" w:cs="Arial" w:eastAsia="Arial" w:hAnsi="Arial"/>
                <w:sz w:val="18"/>
                <w:szCs w:val="18"/>
                <w:color w:val="auto"/>
                <w:w w:val="95"/>
              </w:rPr>
              <w:t>Other comprehensive income (loss)</w:t>
            </w: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20" w:type="dxa"/>
            <w:vAlign w:val="bottom"/>
          </w:tcPr>
          <w:p>
            <w:pPr>
              <w:spacing w:after="0"/>
              <w:rPr>
                <w:sz w:val="23"/>
                <w:szCs w:val="23"/>
                <w:color w:val="auto"/>
              </w:rPr>
            </w:pPr>
          </w:p>
        </w:tc>
      </w:tr>
      <w:tr>
        <w:trPr>
          <w:trHeight w:val="270"/>
        </w:trPr>
        <w:tc>
          <w:tcPr>
            <w:tcW w:w="2720" w:type="dxa"/>
            <w:vAlign w:val="bottom"/>
          </w:tcPr>
          <w:p>
            <w:pPr>
              <w:spacing w:after="0"/>
              <w:rPr>
                <w:sz w:val="20"/>
                <w:szCs w:val="20"/>
                <w:color w:val="auto"/>
              </w:rPr>
            </w:pPr>
            <w:r>
              <w:rPr>
                <w:rFonts w:ascii="Arial" w:cs="Arial" w:eastAsia="Arial" w:hAnsi="Arial"/>
                <w:sz w:val="18"/>
                <w:szCs w:val="18"/>
                <w:color w:val="auto"/>
              </w:rPr>
              <w:t>Stock-based compensation</w:t>
            </w: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20" w:type="dxa"/>
            <w:vAlign w:val="bottom"/>
          </w:tcPr>
          <w:p>
            <w:pPr>
              <w:spacing w:after="0"/>
              <w:rPr>
                <w:sz w:val="23"/>
                <w:szCs w:val="23"/>
                <w:color w:val="auto"/>
              </w:rPr>
            </w:pPr>
          </w:p>
        </w:tc>
      </w:tr>
      <w:tr>
        <w:trPr>
          <w:trHeight w:val="256"/>
        </w:trPr>
        <w:tc>
          <w:tcPr>
            <w:tcW w:w="2720" w:type="dxa"/>
            <w:vAlign w:val="bottom"/>
          </w:tcPr>
          <w:p>
            <w:pPr>
              <w:spacing w:after="0"/>
              <w:rPr>
                <w:sz w:val="20"/>
                <w:szCs w:val="20"/>
                <w:color w:val="auto"/>
              </w:rPr>
            </w:pPr>
            <w:r>
              <w:rPr>
                <w:rFonts w:ascii="Arial" w:cs="Arial" w:eastAsia="Arial" w:hAnsi="Arial"/>
                <w:sz w:val="18"/>
                <w:szCs w:val="18"/>
                <w:color w:val="auto"/>
              </w:rPr>
              <w:t>Issuance of common stock, net of</w:t>
            </w: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20" w:type="dxa"/>
            <w:vAlign w:val="bottom"/>
          </w:tcPr>
          <w:p>
            <w:pPr>
              <w:spacing w:after="0"/>
              <w:rPr>
                <w:sz w:val="22"/>
                <w:szCs w:val="22"/>
                <w:color w:val="auto"/>
              </w:rPr>
            </w:pPr>
          </w:p>
        </w:tc>
      </w:tr>
      <w:tr>
        <w:trPr>
          <w:trHeight w:val="216"/>
        </w:trPr>
        <w:tc>
          <w:tcPr>
            <w:tcW w:w="2720" w:type="dxa"/>
            <w:vAlign w:val="bottom"/>
          </w:tcPr>
          <w:p>
            <w:pPr>
              <w:ind w:left="160"/>
              <w:spacing w:after="0"/>
              <w:rPr>
                <w:sz w:val="20"/>
                <w:szCs w:val="20"/>
                <w:color w:val="auto"/>
              </w:rPr>
            </w:pPr>
            <w:r>
              <w:rPr>
                <w:rFonts w:ascii="Arial" w:cs="Arial" w:eastAsia="Arial" w:hAnsi="Arial"/>
                <w:sz w:val="18"/>
                <w:szCs w:val="18"/>
                <w:color w:val="auto"/>
              </w:rPr>
              <w:t>stock received for minimum tax</w:t>
            </w: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30"/>
        </w:trPr>
        <w:tc>
          <w:tcPr>
            <w:tcW w:w="2720" w:type="dxa"/>
            <w:vAlign w:val="bottom"/>
          </w:tcPr>
          <w:p>
            <w:pPr>
              <w:ind w:left="160"/>
              <w:spacing w:after="0"/>
              <w:rPr>
                <w:sz w:val="20"/>
                <w:szCs w:val="20"/>
                <w:color w:val="auto"/>
              </w:rPr>
            </w:pPr>
            <w:r>
              <w:rPr>
                <w:rFonts w:ascii="Arial" w:cs="Arial" w:eastAsia="Arial" w:hAnsi="Arial"/>
                <w:sz w:val="18"/>
                <w:szCs w:val="18"/>
                <w:color w:val="auto"/>
              </w:rPr>
              <w:t>withholdings</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0.0</w:t>
            </w:r>
          </w:p>
        </w:tc>
        <w:tc>
          <w:tcPr>
            <w:tcW w:w="220" w:type="dxa"/>
            <w:vAlign w:val="bottom"/>
          </w:tcPr>
          <w:p>
            <w:pPr>
              <w:spacing w:after="0"/>
              <w:rPr>
                <w:sz w:val="20"/>
                <w:szCs w:val="20"/>
                <w:color w:val="auto"/>
              </w:rPr>
            </w:pPr>
          </w:p>
        </w:tc>
      </w:tr>
      <w:tr>
        <w:trPr>
          <w:trHeight w:val="27"/>
        </w:trPr>
        <w:tc>
          <w:tcPr>
            <w:tcW w:w="272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r>
      <w:tr>
        <w:trPr>
          <w:trHeight w:val="250"/>
        </w:trPr>
        <w:tc>
          <w:tcPr>
            <w:tcW w:w="2720" w:type="dxa"/>
            <w:vAlign w:val="bottom"/>
          </w:tcPr>
          <w:p>
            <w:pPr>
              <w:spacing w:after="0"/>
              <w:rPr>
                <w:sz w:val="20"/>
                <w:szCs w:val="20"/>
                <w:color w:val="auto"/>
              </w:rPr>
            </w:pPr>
            <w:r>
              <w:rPr>
                <w:rFonts w:ascii="Arial" w:cs="Arial" w:eastAsia="Arial" w:hAnsi="Arial"/>
                <w:sz w:val="18"/>
                <w:szCs w:val="18"/>
                <w:color w:val="auto"/>
              </w:rPr>
              <w:t>Balance at June 30, 2019</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16.4</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580" w:type="dxa"/>
            <w:vAlign w:val="bottom"/>
          </w:tcPr>
          <w:p>
            <w:pPr>
              <w:jc w:val="right"/>
              <w:ind w:right="30"/>
              <w:spacing w:after="0"/>
              <w:rPr>
                <w:sz w:val="20"/>
                <w:szCs w:val="20"/>
                <w:color w:val="auto"/>
              </w:rPr>
            </w:pPr>
            <w:r>
              <w:rPr>
                <w:rFonts w:ascii="Arial" w:cs="Arial" w:eastAsia="Arial" w:hAnsi="Arial"/>
                <w:sz w:val="18"/>
                <w:szCs w:val="18"/>
                <w:color w:val="auto"/>
              </w:rPr>
              <w:t>0.2</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1771650</wp:posOffset>
            </wp:positionH>
            <wp:positionV relativeFrom="paragraph">
              <wp:posOffset>8890</wp:posOffset>
            </wp:positionV>
            <wp:extent cx="11747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ind w:left="200" w:hanging="192"/>
        <w:spacing w:after="0" w:line="234" w:lineRule="auto"/>
        <w:tabs>
          <w:tab w:leader="none" w:pos="200" w:val="left"/>
        </w:tabs>
        <w:numPr>
          <w:ilvl w:val="0"/>
          <w:numId w:val="3"/>
        </w:numPr>
        <w:rPr>
          <w:rFonts w:ascii="Arial" w:cs="Arial" w:eastAsia="Arial" w:hAnsi="Arial"/>
          <w:sz w:val="23"/>
          <w:szCs w:val="23"/>
          <w:color w:val="auto"/>
          <w:vertAlign w:val="superscript"/>
        </w:rPr>
      </w:pPr>
      <w:r>
        <w:rPr>
          <w:rFonts w:ascii="Arial" w:cs="Arial" w:eastAsia="Arial" w:hAnsi="Arial"/>
          <w:sz w:val="13"/>
          <w:szCs w:val="13"/>
          <w:color w:val="auto"/>
        </w:rPr>
        <w:t>Accumulated other comprehensive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1771650</wp:posOffset>
            </wp:positionH>
            <wp:positionV relativeFrom="paragraph">
              <wp:posOffset>-137160</wp:posOffset>
            </wp:positionV>
            <wp:extent cx="11747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640" w:type="dxa"/>
            <w:vAlign w:val="bottom"/>
          </w:tcPr>
          <w:p>
            <w:pPr>
              <w:jc w:val="right"/>
              <w:ind w:right="150"/>
              <w:spacing w:after="0"/>
              <w:rPr>
                <w:sz w:val="20"/>
                <w:szCs w:val="20"/>
                <w:color w:val="auto"/>
              </w:rPr>
            </w:pPr>
            <w:r>
              <w:rPr>
                <w:rFonts w:ascii="Arial" w:cs="Arial" w:eastAsia="Arial" w:hAnsi="Arial"/>
                <w:sz w:val="18"/>
                <w:szCs w:val="18"/>
                <w:color w:val="auto"/>
                <w:w w:val="84"/>
              </w:rPr>
              <w:t>605.7</w:t>
            </w: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(8.5)</w:t>
            </w:r>
          </w:p>
        </w:tc>
        <w:tc>
          <w:tcPr>
            <w:tcW w:w="100" w:type="dxa"/>
            <w:vAlign w:val="bottom"/>
          </w:tcPr>
          <w:p>
            <w:pPr>
              <w:spacing w:after="0"/>
              <w:rPr>
                <w:sz w:val="20"/>
                <w:szCs w:val="20"/>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(40.7)</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0"/>
                <w:szCs w:val="20"/>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(13.6)</w:t>
            </w:r>
          </w:p>
        </w:tc>
        <w:tc>
          <w:tcPr>
            <w:tcW w:w="12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543.1</w:t>
            </w:r>
          </w:p>
        </w:tc>
      </w:tr>
      <w:tr>
        <w:trPr>
          <w:trHeight w:val="254"/>
        </w:trPr>
        <w:tc>
          <w:tcPr>
            <w:tcW w:w="6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(26.7)</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(26.7)</w:t>
            </w:r>
          </w:p>
        </w:tc>
      </w:tr>
      <w:tr>
        <w:trPr>
          <w:trHeight w:val="270"/>
        </w:trPr>
        <w:tc>
          <w:tcPr>
            <w:tcW w:w="6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2.5</w:t>
            </w:r>
          </w:p>
        </w:tc>
      </w:tr>
      <w:tr>
        <w:trPr>
          <w:trHeight w:val="270"/>
        </w:trPr>
        <w:tc>
          <w:tcPr>
            <w:tcW w:w="640" w:type="dxa"/>
            <w:vAlign w:val="bottom"/>
          </w:tcPr>
          <w:p>
            <w:pPr>
              <w:jc w:val="right"/>
              <w:ind w:right="150"/>
              <w:spacing w:after="0"/>
              <w:rPr>
                <w:sz w:val="20"/>
                <w:szCs w:val="20"/>
                <w:color w:val="auto"/>
              </w:rPr>
            </w:pPr>
            <w:r>
              <w:rPr>
                <w:rFonts w:ascii="Arial" w:cs="Arial" w:eastAsia="Arial" w:hAnsi="Arial"/>
                <w:sz w:val="18"/>
                <w:szCs w:val="18"/>
                <w:color w:val="auto"/>
              </w:rPr>
              <w:t>4.7</w:t>
            </w:r>
          </w:p>
        </w:tc>
        <w:tc>
          <w:tcPr>
            <w:tcW w:w="4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4.7</w:t>
            </w:r>
          </w:p>
        </w:tc>
      </w:tr>
      <w:tr>
        <w:trPr>
          <w:trHeight w:val="702"/>
        </w:trPr>
        <w:tc>
          <w:tcPr>
            <w:tcW w:w="640" w:type="dxa"/>
            <w:vAlign w:val="bottom"/>
          </w:tcPr>
          <w:p>
            <w:pPr>
              <w:jc w:val="right"/>
              <w:ind w:right="90"/>
              <w:spacing w:after="0"/>
              <w:rPr>
                <w:sz w:val="20"/>
                <w:szCs w:val="20"/>
                <w:color w:val="auto"/>
              </w:rPr>
            </w:pPr>
            <w:r>
              <w:rPr>
                <w:rFonts w:ascii="Arial" w:cs="Arial" w:eastAsia="Arial" w:hAnsi="Arial"/>
                <w:sz w:val="18"/>
                <w:szCs w:val="18"/>
                <w:color w:val="auto"/>
              </w:rPr>
              <w:t>(2.7)</w:t>
            </w:r>
          </w:p>
        </w:tc>
        <w:tc>
          <w:tcPr>
            <w:tcW w:w="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486"/>
        </w:trPr>
        <w:tc>
          <w:tcPr>
            <w:tcW w:w="6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2.7</w:t>
            </w:r>
          </w:p>
        </w:tc>
      </w:tr>
      <w:tr>
        <w:trPr>
          <w:trHeight w:val="27"/>
        </w:trPr>
        <w:tc>
          <w:tcPr>
            <w:tcW w:w="64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37"/>
        </w:trPr>
        <w:tc>
          <w:tcPr>
            <w:tcW w:w="640" w:type="dxa"/>
            <w:vAlign w:val="bottom"/>
          </w:tcPr>
          <w:p>
            <w:pPr>
              <w:jc w:val="right"/>
              <w:ind w:right="150"/>
              <w:spacing w:after="0"/>
              <w:rPr>
                <w:sz w:val="20"/>
                <w:szCs w:val="20"/>
                <w:color w:val="auto"/>
              </w:rPr>
            </w:pPr>
            <w:r>
              <w:rPr>
                <w:rFonts w:ascii="Arial" w:cs="Arial" w:eastAsia="Arial" w:hAnsi="Arial"/>
                <w:sz w:val="18"/>
                <w:szCs w:val="18"/>
                <w:color w:val="auto"/>
                <w:w w:val="84"/>
              </w:rPr>
              <w:t>607.7</w:t>
            </w:r>
          </w:p>
        </w:tc>
        <w:tc>
          <w:tcPr>
            <w:tcW w:w="4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(32.5)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(38.2)</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(13.6)</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523.6</w:t>
            </w:r>
          </w:p>
        </w:tc>
      </w:tr>
      <w:tr>
        <w:trPr>
          <w:trHeight w:val="270"/>
        </w:trPr>
        <w:tc>
          <w:tcPr>
            <w:tcW w:w="6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(11.3)</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(11.3)</w:t>
            </w:r>
          </w:p>
        </w:tc>
      </w:tr>
      <w:tr>
        <w:trPr>
          <w:trHeight w:val="270"/>
        </w:trPr>
        <w:tc>
          <w:tcPr>
            <w:tcW w:w="6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1.6</w:t>
            </w:r>
          </w:p>
        </w:tc>
      </w:tr>
      <w:tr>
        <w:trPr>
          <w:trHeight w:val="270"/>
        </w:trPr>
        <w:tc>
          <w:tcPr>
            <w:tcW w:w="640" w:type="dxa"/>
            <w:vAlign w:val="bottom"/>
          </w:tcPr>
          <w:p>
            <w:pPr>
              <w:jc w:val="right"/>
              <w:ind w:right="150"/>
              <w:spacing w:after="0"/>
              <w:rPr>
                <w:sz w:val="20"/>
                <w:szCs w:val="20"/>
                <w:color w:val="auto"/>
              </w:rPr>
            </w:pPr>
            <w:r>
              <w:rPr>
                <w:rFonts w:ascii="Arial" w:cs="Arial" w:eastAsia="Arial" w:hAnsi="Arial"/>
                <w:sz w:val="18"/>
                <w:szCs w:val="18"/>
                <w:color w:val="auto"/>
              </w:rPr>
              <w:t>4.3</w:t>
            </w:r>
          </w:p>
        </w:tc>
        <w:tc>
          <w:tcPr>
            <w:tcW w:w="4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4.3</w:t>
            </w:r>
          </w:p>
        </w:tc>
      </w:tr>
      <w:tr>
        <w:trPr>
          <w:trHeight w:val="702"/>
        </w:trPr>
        <w:tc>
          <w:tcPr>
            <w:tcW w:w="640" w:type="dxa"/>
            <w:vAlign w:val="bottom"/>
          </w:tcPr>
          <w:p>
            <w:pPr>
              <w:jc w:val="right"/>
              <w:ind w:right="150"/>
              <w:spacing w:after="0"/>
              <w:rPr>
                <w:sz w:val="20"/>
                <w:szCs w:val="20"/>
                <w:color w:val="auto"/>
              </w:rPr>
            </w:pPr>
            <w:r>
              <w:rPr>
                <w:rFonts w:ascii="Arial" w:cs="Arial" w:eastAsia="Arial" w:hAnsi="Arial"/>
                <w:sz w:val="18"/>
                <w:szCs w:val="18"/>
                <w:color w:val="auto"/>
              </w:rPr>
              <w:t>0.5</w:t>
            </w:r>
          </w:p>
        </w:tc>
        <w:tc>
          <w:tcPr>
            <w:tcW w:w="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0.5</w:t>
            </w:r>
          </w:p>
        </w:tc>
      </w:tr>
      <w:tr>
        <w:trPr>
          <w:trHeight w:val="27"/>
        </w:trPr>
        <w:tc>
          <w:tcPr>
            <w:tcW w:w="64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37"/>
        </w:trPr>
        <w:tc>
          <w:tcPr>
            <w:tcW w:w="640" w:type="dxa"/>
            <w:vAlign w:val="bottom"/>
          </w:tcPr>
          <w:p>
            <w:pPr>
              <w:jc w:val="right"/>
              <w:ind w:right="150"/>
              <w:spacing w:after="0"/>
              <w:rPr>
                <w:sz w:val="20"/>
                <w:szCs w:val="20"/>
                <w:color w:val="auto"/>
              </w:rPr>
            </w:pPr>
            <w:r>
              <w:rPr>
                <w:rFonts w:ascii="Arial" w:cs="Arial" w:eastAsia="Arial" w:hAnsi="Arial"/>
                <w:sz w:val="18"/>
                <w:szCs w:val="18"/>
                <w:color w:val="auto"/>
                <w:w w:val="84"/>
              </w:rPr>
              <w:t>612.5</w:t>
            </w: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(43.8)</w:t>
            </w:r>
          </w:p>
        </w:tc>
        <w:tc>
          <w:tcPr>
            <w:tcW w:w="100" w:type="dxa"/>
            <w:vAlign w:val="bottom"/>
          </w:tcPr>
          <w:p>
            <w:pPr>
              <w:spacing w:after="0"/>
              <w:rPr>
                <w:sz w:val="20"/>
                <w:szCs w:val="20"/>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(36.6)</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0"/>
                <w:szCs w:val="20"/>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(13.6)</w:t>
            </w:r>
          </w:p>
        </w:tc>
        <w:tc>
          <w:tcPr>
            <w:tcW w:w="12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ind w:right="30"/>
              <w:spacing w:after="0"/>
              <w:rPr>
                <w:sz w:val="20"/>
                <w:szCs w:val="20"/>
                <w:color w:val="auto"/>
              </w:rPr>
            </w:pPr>
            <w:r>
              <w:rPr>
                <w:rFonts w:ascii="Arial" w:cs="Arial" w:eastAsia="Arial" w:hAnsi="Arial"/>
                <w:sz w:val="18"/>
                <w:szCs w:val="18"/>
                <w:color w:val="auto"/>
              </w:rPr>
              <w:t>518.7</w:t>
            </w:r>
          </w:p>
        </w:tc>
      </w:tr>
      <w:tr>
        <w:trPr>
          <w:trHeight w:val="27"/>
        </w:trPr>
        <w:tc>
          <w:tcPr>
            <w:tcW w:w="64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0"/>
        </w:trPr>
        <w:tc>
          <w:tcPr>
            <w:tcW w:w="6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-3363595</wp:posOffset>
            </wp:positionH>
            <wp:positionV relativeFrom="paragraph">
              <wp:posOffset>-2443480</wp:posOffset>
            </wp:positionV>
            <wp:extent cx="7186295"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86295" cy="171450"/>
                    </a:xfrm>
                    <a:prstGeom prst="rect">
                      <a:avLst/>
                    </a:prstGeom>
                    <a:noFill/>
                  </pic:spPr>
                </pic:pic>
              </a:graphicData>
            </a:graphic>
          </wp:anchor>
        </w:drawing>
        <w:drawing>
          <wp:anchor simplePos="0" relativeHeight="251657728" behindDoc="1" locked="0" layoutInCell="0" allowOverlap="1">
            <wp:simplePos x="0" y="0"/>
            <wp:positionH relativeFrom="column">
              <wp:posOffset>-3363595</wp:posOffset>
            </wp:positionH>
            <wp:positionV relativeFrom="paragraph">
              <wp:posOffset>-2100580</wp:posOffset>
            </wp:positionV>
            <wp:extent cx="7186295" cy="445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86295" cy="445770"/>
                    </a:xfrm>
                    <a:prstGeom prst="rect">
                      <a:avLst/>
                    </a:prstGeom>
                    <a:noFill/>
                  </pic:spPr>
                </pic:pic>
              </a:graphicData>
            </a:graphic>
          </wp:anchor>
        </w:drawing>
        <w:drawing>
          <wp:anchor simplePos="0" relativeHeight="251657728" behindDoc="1" locked="0" layoutInCell="0" allowOverlap="1">
            <wp:simplePos x="0" y="0"/>
            <wp:positionH relativeFrom="column">
              <wp:posOffset>-3363595</wp:posOffset>
            </wp:positionH>
            <wp:positionV relativeFrom="paragraph">
              <wp:posOffset>-994410</wp:posOffset>
            </wp:positionV>
            <wp:extent cx="7186295"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86295" cy="171450"/>
                    </a:xfrm>
                    <a:prstGeom prst="rect">
                      <a:avLst/>
                    </a:prstGeom>
                    <a:noFill/>
                  </pic:spPr>
                </pic:pic>
              </a:graphicData>
            </a:graphic>
          </wp:anchor>
        </w:drawing>
        <w:drawing>
          <wp:anchor simplePos="0" relativeHeight="251657728" behindDoc="1" locked="0" layoutInCell="0" allowOverlap="1">
            <wp:simplePos x="0" y="0"/>
            <wp:positionH relativeFrom="column">
              <wp:posOffset>-3363595</wp:posOffset>
            </wp:positionH>
            <wp:positionV relativeFrom="paragraph">
              <wp:posOffset>-650875</wp:posOffset>
            </wp:positionV>
            <wp:extent cx="7186295" cy="6515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86295" cy="651510"/>
                    </a:xfrm>
                    <a:prstGeom prst="rect">
                      <a:avLst/>
                    </a:prstGeom>
                    <a:noFill/>
                  </pic:spPr>
                </pic:pic>
              </a:graphicData>
            </a:graphic>
          </wp:anchor>
        </w:drawing>
        <w:drawing>
          <wp:anchor simplePos="0" relativeHeight="251657728" behindDoc="1" locked="0" layoutInCell="0" allowOverlap="1">
            <wp:simplePos x="0" y="0"/>
            <wp:positionH relativeFrom="column">
              <wp:posOffset>-3363595</wp:posOffset>
            </wp:positionH>
            <wp:positionV relativeFrom="paragraph">
              <wp:posOffset>-1345565</wp:posOffset>
            </wp:positionV>
            <wp:extent cx="7186295" cy="1803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86295" cy="180340"/>
                    </a:xfrm>
                    <a:prstGeom prst="rect">
                      <a:avLst/>
                    </a:prstGeom>
                    <a:noFill/>
                  </pic:spPr>
                </pic:pic>
              </a:graphicData>
            </a:graphic>
          </wp:anchor>
        </w:drawing>
      </w:r>
    </w:p>
    <w:p>
      <w:pPr>
        <w:spacing w:after="0" w:line="403" w:lineRule="exact"/>
        <w:rPr>
          <w:sz w:val="20"/>
          <w:szCs w:val="20"/>
          <w:color w:val="auto"/>
        </w:rPr>
      </w:pPr>
    </w:p>
    <w:p>
      <w:pPr>
        <w:sectPr>
          <w:pgSz w:w="11900" w:h="16838" w:orient="portrait"/>
          <w:cols w:equalWidth="0" w:num="2">
            <w:col w:w="4860" w:space="500"/>
            <w:col w:w="6020"/>
          </w:cols>
          <w:pgMar w:left="240" w:top="341" w:right="279" w:bottom="1440" w:gutter="0" w:footer="0" w:header="0"/>
          <w:type w:val="continuous"/>
        </w:sectPr>
      </w:pPr>
    </w:p>
    <w:p>
      <w:pPr>
        <w:spacing w:after="0" w:line="200" w:lineRule="exact"/>
        <w:rPr>
          <w:sz w:val="20"/>
          <w:szCs w:val="20"/>
          <w:color w:val="auto"/>
        </w:rPr>
      </w:pPr>
    </w:p>
    <w:p>
      <w:pPr>
        <w:spacing w:after="0" w:line="28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11380"/>
          </w:cols>
          <w:pgMar w:left="240" w:top="341" w:right="279" w:bottom="1440" w:gutter="0" w:footer="0" w:header="0"/>
          <w:type w:val="continuous"/>
        </w:sectPr>
      </w:pPr>
    </w:p>
    <w:bookmarkStart w:id="8" w:name="page9"/>
    <w:bookmarkEnd w:id="8"/>
    <w:tbl>
      <w:tblPr>
        <w:tblLayout w:type="fixed"/>
        <w:tblInd w:w="0" w:type="dxa"/>
        <w:tblCellMar>
          <w:top w:w="0" w:type="dxa"/>
          <w:left w:w="0" w:type="dxa"/>
          <w:bottom w:w="0" w:type="dxa"/>
          <w:right w:w="0" w:type="dxa"/>
        </w:tblCellMar>
      </w:tblPr>
      <w:tr>
        <w:trPr>
          <w:trHeight w:val="207"/>
        </w:trPr>
        <w:tc>
          <w:tcPr>
            <w:tcW w:w="2800" w:type="dxa"/>
            <w:vAlign w:val="bottom"/>
            <w:gridSpan w:val="3"/>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42"/>
        </w:trPr>
        <w:tc>
          <w:tcPr>
            <w:tcW w:w="80" w:type="dxa"/>
            <w:vAlign w:val="bottom"/>
            <w:tcBorders>
              <w:top w:val="single" w:sz="8" w:color="0000EE"/>
            </w:tcBorders>
          </w:tcPr>
          <w:p>
            <w:pPr>
              <w:spacing w:after="0"/>
              <w:rPr>
                <w:sz w:val="24"/>
                <w:szCs w:val="24"/>
                <w:color w:val="auto"/>
              </w:rPr>
            </w:pPr>
          </w:p>
        </w:tc>
        <w:tc>
          <w:tcPr>
            <w:tcW w:w="1200" w:type="dxa"/>
            <w:vAlign w:val="bottom"/>
            <w:tcBorders>
              <w:top w:val="single" w:sz="8" w:color="0000EE"/>
            </w:tcBorders>
          </w:tcPr>
          <w:p>
            <w:pPr>
              <w:spacing w:after="0"/>
              <w:rPr>
                <w:sz w:val="24"/>
                <w:szCs w:val="24"/>
                <w:color w:val="auto"/>
              </w:rPr>
            </w:pPr>
          </w:p>
        </w:tc>
        <w:tc>
          <w:tcPr>
            <w:tcW w:w="15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580" w:type="dxa"/>
            <w:vAlign w:val="bottom"/>
            <w:gridSpan w:val="10"/>
          </w:tcPr>
          <w:p>
            <w:pPr>
              <w:ind w:left="560"/>
              <w:spacing w:after="0"/>
              <w:rPr>
                <w:sz w:val="20"/>
                <w:szCs w:val="20"/>
                <w:color w:val="auto"/>
              </w:rPr>
            </w:pPr>
            <w:r>
              <w:rPr>
                <w:rFonts w:ascii="Arial" w:cs="Arial" w:eastAsia="Arial" w:hAnsi="Arial"/>
                <w:sz w:val="18"/>
                <w:szCs w:val="18"/>
                <w:b w:val="1"/>
                <w:bCs w:val="1"/>
                <w:color w:val="auto"/>
              </w:rPr>
              <w:t>Three and Six Months Ended June 30, 2018</w:t>
            </w: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940" w:type="dxa"/>
            <w:vAlign w:val="bottom"/>
            <w:gridSpan w:val="5"/>
            <w:vMerge w:val="restart"/>
          </w:tcPr>
          <w:p>
            <w:pPr>
              <w:ind w:left="60"/>
              <w:spacing w:after="0"/>
              <w:rPr>
                <w:sz w:val="20"/>
                <w:szCs w:val="20"/>
                <w:color w:val="auto"/>
              </w:rPr>
            </w:pPr>
            <w:r>
              <w:rPr>
                <w:rFonts w:ascii="Arial" w:cs="Arial" w:eastAsia="Arial" w:hAnsi="Arial"/>
                <w:sz w:val="18"/>
                <w:szCs w:val="18"/>
                <w:b w:val="1"/>
                <w:bCs w:val="1"/>
                <w:color w:val="auto"/>
                <w:w w:val="95"/>
              </w:rPr>
              <w:t>Common Stock Issued</w:t>
            </w:r>
          </w:p>
        </w:tc>
        <w:tc>
          <w:tcPr>
            <w:tcW w:w="120" w:type="dxa"/>
            <w:vAlign w:val="bottom"/>
          </w:tcPr>
          <w:p>
            <w:pPr>
              <w:spacing w:after="0"/>
              <w:rPr>
                <w:sz w:val="18"/>
                <w:szCs w:val="18"/>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3"/>
              </w:rPr>
              <w:t>Additional</w:t>
            </w:r>
          </w:p>
        </w:tc>
        <w:tc>
          <w:tcPr>
            <w:tcW w:w="14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Accumulated</w:t>
            </w: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00" w:type="dxa"/>
            <w:vAlign w:val="bottom"/>
            <w:gridSpan w:val="5"/>
            <w:vMerge w:val="restart"/>
          </w:tcPr>
          <w:p>
            <w:pPr>
              <w:ind w:left="340"/>
              <w:spacing w:after="0"/>
              <w:rPr>
                <w:sz w:val="20"/>
                <w:szCs w:val="20"/>
                <w:color w:val="auto"/>
              </w:rPr>
            </w:pPr>
            <w:r>
              <w:rPr>
                <w:rFonts w:ascii="Arial" w:cs="Arial" w:eastAsia="Arial" w:hAnsi="Arial"/>
                <w:sz w:val="18"/>
                <w:szCs w:val="18"/>
                <w:b w:val="1"/>
                <w:bCs w:val="1"/>
                <w:color w:val="auto"/>
              </w:rPr>
              <w:t>Treasury Stock</w:t>
            </w: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6"/>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520" w:type="dxa"/>
            <w:vAlign w:val="bottom"/>
          </w:tcPr>
          <w:p>
            <w:pPr>
              <w:spacing w:after="0"/>
              <w:rPr>
                <w:sz w:val="7"/>
                <w:szCs w:val="7"/>
                <w:color w:val="auto"/>
              </w:rPr>
            </w:pPr>
          </w:p>
        </w:tc>
        <w:tc>
          <w:tcPr>
            <w:tcW w:w="1940" w:type="dxa"/>
            <w:vAlign w:val="bottom"/>
            <w:gridSpan w:val="5"/>
            <w:vMerge w:val="continue"/>
          </w:tcPr>
          <w:p>
            <w:pPr>
              <w:spacing w:after="0"/>
              <w:rPr>
                <w:sz w:val="7"/>
                <w:szCs w:val="7"/>
                <w:color w:val="auto"/>
              </w:rPr>
            </w:pPr>
          </w:p>
        </w:tc>
        <w:tc>
          <w:tcPr>
            <w:tcW w:w="120" w:type="dxa"/>
            <w:vAlign w:val="bottom"/>
          </w:tcPr>
          <w:p>
            <w:pPr>
              <w:spacing w:after="0"/>
              <w:rPr>
                <w:sz w:val="7"/>
                <w:szCs w:val="7"/>
                <w:color w:val="auto"/>
              </w:rPr>
            </w:pPr>
          </w:p>
        </w:tc>
        <w:tc>
          <w:tcPr>
            <w:tcW w:w="1100" w:type="dxa"/>
            <w:vAlign w:val="bottom"/>
            <w:gridSpan w:val="2"/>
            <w:vMerge w:val="restart"/>
          </w:tcPr>
          <w:p>
            <w:pPr>
              <w:jc w:val="center"/>
              <w:ind w:right="220"/>
              <w:spacing w:after="0"/>
              <w:rPr>
                <w:sz w:val="20"/>
                <w:szCs w:val="20"/>
                <w:color w:val="auto"/>
              </w:rPr>
            </w:pPr>
            <w:r>
              <w:rPr>
                <w:rFonts w:ascii="Arial" w:cs="Arial" w:eastAsia="Arial" w:hAnsi="Arial"/>
                <w:sz w:val="18"/>
                <w:szCs w:val="18"/>
                <w:b w:val="1"/>
                <w:bCs w:val="1"/>
                <w:color w:val="auto"/>
                <w:w w:val="93"/>
              </w:rPr>
              <w:t>Paid-in</w:t>
            </w:r>
          </w:p>
        </w:tc>
        <w:tc>
          <w:tcPr>
            <w:tcW w:w="140" w:type="dxa"/>
            <w:vAlign w:val="bottom"/>
          </w:tcPr>
          <w:p>
            <w:pPr>
              <w:spacing w:after="0"/>
              <w:rPr>
                <w:sz w:val="7"/>
                <w:szCs w:val="7"/>
                <w:color w:val="auto"/>
              </w:rPr>
            </w:pPr>
          </w:p>
        </w:tc>
        <w:tc>
          <w:tcPr>
            <w:tcW w:w="1320" w:type="dxa"/>
            <w:vAlign w:val="bottom"/>
            <w:gridSpan w:val="2"/>
            <w:vMerge w:val="restart"/>
          </w:tcPr>
          <w:p>
            <w:pPr>
              <w:jc w:val="center"/>
              <w:ind w:right="240"/>
              <w:spacing w:after="0"/>
              <w:rPr>
                <w:sz w:val="20"/>
                <w:szCs w:val="20"/>
                <w:color w:val="auto"/>
              </w:rPr>
            </w:pPr>
            <w:r>
              <w:rPr>
                <w:rFonts w:ascii="Arial" w:cs="Arial" w:eastAsia="Arial" w:hAnsi="Arial"/>
                <w:sz w:val="18"/>
                <w:szCs w:val="18"/>
                <w:b w:val="1"/>
                <w:bCs w:val="1"/>
                <w:color w:val="auto"/>
                <w:w w:val="95"/>
              </w:rPr>
              <w:t>(Deficit)</w:t>
            </w:r>
          </w:p>
        </w:tc>
        <w:tc>
          <w:tcPr>
            <w:tcW w:w="1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900" w:type="dxa"/>
            <w:vAlign w:val="bottom"/>
            <w:gridSpan w:val="5"/>
            <w:vMerge w:val="continue"/>
          </w:tcPr>
          <w:p>
            <w:pPr>
              <w:spacing w:after="0"/>
              <w:rPr>
                <w:sz w:val="7"/>
                <w:szCs w:val="7"/>
                <w:color w:val="auto"/>
              </w:rPr>
            </w:pPr>
          </w:p>
        </w:tc>
        <w:tc>
          <w:tcPr>
            <w:tcW w:w="200" w:type="dxa"/>
            <w:vAlign w:val="bottom"/>
          </w:tcPr>
          <w:p>
            <w:pPr>
              <w:spacing w:after="0"/>
              <w:rPr>
                <w:sz w:val="7"/>
                <w:szCs w:val="7"/>
                <w:color w:val="auto"/>
              </w:rPr>
            </w:pPr>
          </w:p>
        </w:tc>
        <w:tc>
          <w:tcPr>
            <w:tcW w:w="7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gridSpan w:val="2"/>
            <w:vMerge w:val="continue"/>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gridSpan w:val="2"/>
            <w:vMerge w:val="continue"/>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83"/>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5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0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32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7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61"/>
        </w:trPr>
        <w:tc>
          <w:tcPr>
            <w:tcW w:w="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920" w:type="dxa"/>
            <w:vAlign w:val="bottom"/>
            <w:gridSpan w:val="2"/>
          </w:tcPr>
          <w:p>
            <w:pPr>
              <w:ind w:left="140"/>
              <w:spacing w:after="0"/>
              <w:rPr>
                <w:sz w:val="20"/>
                <w:szCs w:val="20"/>
                <w:color w:val="auto"/>
              </w:rPr>
            </w:pPr>
            <w:r>
              <w:rPr>
                <w:rFonts w:ascii="Arial" w:cs="Arial" w:eastAsia="Arial" w:hAnsi="Arial"/>
                <w:sz w:val="18"/>
                <w:szCs w:val="18"/>
                <w:b w:val="1"/>
                <w:bCs w:val="1"/>
                <w:color w:val="auto"/>
              </w:rPr>
              <w:t>Shares</w:t>
            </w:r>
          </w:p>
        </w:tc>
        <w:tc>
          <w:tcPr>
            <w:tcW w:w="120" w:type="dxa"/>
            <w:vAlign w:val="bottom"/>
          </w:tcPr>
          <w:p>
            <w:pPr>
              <w:spacing w:after="0"/>
              <w:rPr>
                <w:sz w:val="22"/>
                <w:szCs w:val="22"/>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b w:val="1"/>
                <w:bCs w:val="1"/>
                <w:color w:val="auto"/>
              </w:rPr>
              <w:t>Amount</w:t>
            </w:r>
          </w:p>
        </w:tc>
        <w:tc>
          <w:tcPr>
            <w:tcW w:w="120" w:type="dxa"/>
            <w:vAlign w:val="bottom"/>
          </w:tcPr>
          <w:p>
            <w:pPr>
              <w:spacing w:after="0"/>
              <w:rPr>
                <w:sz w:val="22"/>
                <w:szCs w:val="22"/>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Capital</w:t>
            </w:r>
          </w:p>
        </w:tc>
        <w:tc>
          <w:tcPr>
            <w:tcW w:w="140" w:type="dxa"/>
            <w:vAlign w:val="bottom"/>
          </w:tcPr>
          <w:p>
            <w:pPr>
              <w:spacing w:after="0"/>
              <w:rPr>
                <w:sz w:val="22"/>
                <w:szCs w:val="22"/>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Earnings</w:t>
            </w:r>
          </w:p>
        </w:tc>
        <w:tc>
          <w:tcPr>
            <w:tcW w:w="140" w:type="dxa"/>
            <w:vAlign w:val="bottom"/>
          </w:tcPr>
          <w:p>
            <w:pPr>
              <w:spacing w:after="0"/>
              <w:rPr>
                <w:sz w:val="22"/>
                <w:szCs w:val="22"/>
                <w:color w:val="auto"/>
              </w:rPr>
            </w:pPr>
          </w:p>
        </w:tc>
        <w:tc>
          <w:tcPr>
            <w:tcW w:w="980" w:type="dxa"/>
            <w:vAlign w:val="bottom"/>
            <w:gridSpan w:val="2"/>
          </w:tcPr>
          <w:p>
            <w:pPr>
              <w:ind w:left="20"/>
              <w:spacing w:after="0" w:line="262" w:lineRule="exact"/>
              <w:rPr>
                <w:sz w:val="20"/>
                <w:szCs w:val="20"/>
                <w:color w:val="auto"/>
              </w:rPr>
            </w:pPr>
            <w:r>
              <w:rPr>
                <w:rFonts w:ascii="Arial" w:cs="Arial" w:eastAsia="Arial" w:hAnsi="Arial"/>
                <w:sz w:val="18"/>
                <w:szCs w:val="18"/>
                <w:b w:val="1"/>
                <w:bCs w:val="1"/>
                <w:color w:val="auto"/>
              </w:rPr>
              <w:t xml:space="preserve">AOCL </w:t>
            </w:r>
            <w:r>
              <w:rPr>
                <w:rFonts w:ascii="Arial" w:cs="Arial" w:eastAsia="Arial" w:hAnsi="Arial"/>
                <w:sz w:val="25"/>
                <w:szCs w:val="25"/>
                <w:b w:val="1"/>
                <w:bCs w:val="1"/>
                <w:color w:val="auto"/>
                <w:vertAlign w:val="superscript"/>
              </w:rPr>
              <w:t>(1)</w:t>
            </w:r>
          </w:p>
        </w:tc>
        <w:tc>
          <w:tcPr>
            <w:tcW w:w="900" w:type="dxa"/>
            <w:vAlign w:val="bottom"/>
            <w:gridSpan w:val="2"/>
          </w:tcPr>
          <w:p>
            <w:pPr>
              <w:ind w:left="140"/>
              <w:spacing w:after="0"/>
              <w:rPr>
                <w:sz w:val="20"/>
                <w:szCs w:val="20"/>
                <w:color w:val="auto"/>
              </w:rPr>
            </w:pPr>
            <w:r>
              <w:rPr>
                <w:rFonts w:ascii="Arial" w:cs="Arial" w:eastAsia="Arial" w:hAnsi="Arial"/>
                <w:sz w:val="18"/>
                <w:szCs w:val="18"/>
                <w:b w:val="1"/>
                <w:bCs w:val="1"/>
                <w:color w:val="auto"/>
              </w:rPr>
              <w:t>Shares</w:t>
            </w:r>
          </w:p>
        </w:tc>
        <w:tc>
          <w:tcPr>
            <w:tcW w:w="120" w:type="dxa"/>
            <w:vAlign w:val="bottom"/>
          </w:tcPr>
          <w:p>
            <w:pPr>
              <w:spacing w:after="0"/>
              <w:rPr>
                <w:sz w:val="22"/>
                <w:szCs w:val="22"/>
                <w:color w:val="auto"/>
              </w:rPr>
            </w:pPr>
          </w:p>
        </w:tc>
        <w:tc>
          <w:tcPr>
            <w:tcW w:w="880" w:type="dxa"/>
            <w:vAlign w:val="bottom"/>
            <w:gridSpan w:val="2"/>
          </w:tcPr>
          <w:p>
            <w:pPr>
              <w:ind w:left="20"/>
              <w:spacing w:after="0"/>
              <w:rPr>
                <w:sz w:val="20"/>
                <w:szCs w:val="20"/>
                <w:color w:val="auto"/>
              </w:rPr>
            </w:pPr>
            <w:r>
              <w:rPr>
                <w:rFonts w:ascii="Arial" w:cs="Arial" w:eastAsia="Arial" w:hAnsi="Arial"/>
                <w:sz w:val="18"/>
                <w:szCs w:val="18"/>
                <w:b w:val="1"/>
                <w:bCs w:val="1"/>
                <w:color w:val="auto"/>
              </w:rPr>
              <w:t>Amount</w:t>
            </w:r>
          </w:p>
        </w:tc>
        <w:tc>
          <w:tcPr>
            <w:tcW w:w="200" w:type="dxa"/>
            <w:vAlign w:val="bottom"/>
          </w:tcPr>
          <w:p>
            <w:pPr>
              <w:spacing w:after="0"/>
              <w:rPr>
                <w:sz w:val="22"/>
                <w:szCs w:val="22"/>
                <w:color w:val="auto"/>
              </w:rPr>
            </w:pPr>
          </w:p>
        </w:tc>
        <w:tc>
          <w:tcPr>
            <w:tcW w:w="720" w:type="dxa"/>
            <w:vAlign w:val="bottom"/>
          </w:tcPr>
          <w:p>
            <w:pPr>
              <w:jc w:val="right"/>
              <w:ind w:right="17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44"/>
        </w:trPr>
        <w:tc>
          <w:tcPr>
            <w:tcW w:w="80" w:type="dxa"/>
            <w:vAlign w:val="bottom"/>
          </w:tcPr>
          <w:p>
            <w:pPr>
              <w:spacing w:after="0"/>
              <w:rPr>
                <w:sz w:val="21"/>
                <w:szCs w:val="21"/>
                <w:color w:val="auto"/>
              </w:rPr>
            </w:pPr>
          </w:p>
        </w:tc>
        <w:tc>
          <w:tcPr>
            <w:tcW w:w="272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Balance at December 31, 2017</w:t>
            </w:r>
          </w:p>
        </w:tc>
        <w:tc>
          <w:tcPr>
            <w:tcW w:w="80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590.2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7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549.7</w:t>
            </w:r>
          </w:p>
        </w:tc>
        <w:tc>
          <w:tcPr>
            <w:tcW w:w="0" w:type="dxa"/>
            <w:vAlign w:val="bottom"/>
          </w:tcPr>
          <w:p>
            <w:pPr>
              <w:spacing w:after="0"/>
              <w:rPr>
                <w:sz w:val="1"/>
                <w:szCs w:val="1"/>
                <w:color w:val="auto"/>
              </w:rPr>
            </w:pPr>
          </w:p>
        </w:tc>
      </w:tr>
      <w:tr>
        <w:trPr>
          <w:trHeight w:val="243"/>
        </w:trPr>
        <w:tc>
          <w:tcPr>
            <w:tcW w:w="80" w:type="dxa"/>
            <w:vAlign w:val="bottom"/>
          </w:tcPr>
          <w:p>
            <w:pPr>
              <w:spacing w:after="0"/>
              <w:rPr>
                <w:sz w:val="21"/>
                <w:szCs w:val="21"/>
                <w:color w:val="auto"/>
              </w:rPr>
            </w:pPr>
          </w:p>
        </w:tc>
        <w:tc>
          <w:tcPr>
            <w:tcW w:w="2720" w:type="dxa"/>
            <w:vAlign w:val="bottom"/>
            <w:gridSpan w:val="2"/>
          </w:tcPr>
          <w:p>
            <w:pPr>
              <w:ind w:left="20"/>
              <w:spacing w:after="0"/>
              <w:rPr>
                <w:sz w:val="20"/>
                <w:szCs w:val="20"/>
                <w:color w:val="auto"/>
              </w:rPr>
            </w:pPr>
            <w:r>
              <w:rPr>
                <w:rFonts w:ascii="Arial" w:cs="Arial" w:eastAsia="Arial" w:hAnsi="Arial"/>
                <w:sz w:val="18"/>
                <w:szCs w:val="18"/>
                <w:color w:val="auto"/>
              </w:rPr>
              <w:t>Net loss</w:t>
            </w: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(15.8)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(15.8)</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0" w:type="dxa"/>
            <w:vAlign w:val="bottom"/>
          </w:tcPr>
          <w:p>
            <w:pPr>
              <w:spacing w:after="0"/>
              <w:rPr>
                <w:sz w:val="21"/>
                <w:szCs w:val="21"/>
                <w:color w:val="auto"/>
              </w:rPr>
            </w:pPr>
          </w:p>
        </w:tc>
        <w:tc>
          <w:tcPr>
            <w:tcW w:w="27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w w:val="94"/>
              </w:rPr>
              <w:t>Other comprehensive income (loss)</w:t>
            </w: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0.0</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43"/>
        </w:trPr>
        <w:tc>
          <w:tcPr>
            <w:tcW w:w="80" w:type="dxa"/>
            <w:vAlign w:val="bottom"/>
          </w:tcPr>
          <w:p>
            <w:pPr>
              <w:spacing w:after="0"/>
              <w:rPr>
                <w:sz w:val="21"/>
                <w:szCs w:val="21"/>
                <w:color w:val="auto"/>
              </w:rPr>
            </w:pPr>
          </w:p>
        </w:tc>
        <w:tc>
          <w:tcPr>
            <w:tcW w:w="2720" w:type="dxa"/>
            <w:vAlign w:val="bottom"/>
            <w:gridSpan w:val="2"/>
          </w:tcPr>
          <w:p>
            <w:pPr>
              <w:ind w:left="20"/>
              <w:spacing w:after="0"/>
              <w:rPr>
                <w:sz w:val="20"/>
                <w:szCs w:val="20"/>
                <w:color w:val="auto"/>
              </w:rPr>
            </w:pPr>
            <w:r>
              <w:rPr>
                <w:rFonts w:ascii="Arial" w:cs="Arial" w:eastAsia="Arial" w:hAnsi="Arial"/>
                <w:sz w:val="18"/>
                <w:szCs w:val="18"/>
                <w:color w:val="auto"/>
              </w:rPr>
              <w:t>Stock-based compensation</w:t>
            </w: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5.6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0" w:type="dxa"/>
            <w:vAlign w:val="bottom"/>
          </w:tcPr>
          <w:p>
            <w:pPr>
              <w:spacing w:after="0"/>
              <w:rPr>
                <w:sz w:val="19"/>
                <w:szCs w:val="19"/>
                <w:color w:val="auto"/>
              </w:rPr>
            </w:pPr>
          </w:p>
        </w:tc>
        <w:tc>
          <w:tcPr>
            <w:tcW w:w="27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9"/>
              </w:rPr>
              <w:t>Issuance of common stock, net of</w:t>
            </w: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0" w:type="dxa"/>
            <w:vAlign w:val="bottom"/>
          </w:tcPr>
          <w:p>
            <w:pPr>
              <w:spacing w:after="0"/>
              <w:rPr>
                <w:sz w:val="18"/>
                <w:szCs w:val="18"/>
                <w:color w:val="auto"/>
              </w:rPr>
            </w:pPr>
          </w:p>
        </w:tc>
        <w:tc>
          <w:tcPr>
            <w:tcW w:w="27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stock received for minimum tax</w:t>
            </w: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80" w:type="dxa"/>
            <w:vAlign w:val="bottom"/>
          </w:tcPr>
          <w:p>
            <w:pPr>
              <w:spacing w:after="0"/>
              <w:rPr>
                <w:sz w:val="20"/>
                <w:szCs w:val="20"/>
                <w:color w:val="auto"/>
              </w:rPr>
            </w:pPr>
          </w:p>
        </w:tc>
        <w:tc>
          <w:tcPr>
            <w:tcW w:w="27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withholdings</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29"/>
        </w:trPr>
        <w:tc>
          <w:tcPr>
            <w:tcW w:w="80" w:type="dxa"/>
            <w:vAlign w:val="bottom"/>
          </w:tcPr>
          <w:p>
            <w:pPr>
              <w:spacing w:after="0"/>
              <w:rPr>
                <w:sz w:val="19"/>
                <w:szCs w:val="19"/>
                <w:color w:val="auto"/>
              </w:rPr>
            </w:pPr>
          </w:p>
        </w:tc>
        <w:tc>
          <w:tcPr>
            <w:tcW w:w="2720" w:type="dxa"/>
            <w:vAlign w:val="bottom"/>
            <w:gridSpan w:val="2"/>
          </w:tcPr>
          <w:p>
            <w:pPr>
              <w:ind w:left="20"/>
              <w:spacing w:after="0"/>
              <w:rPr>
                <w:sz w:val="20"/>
                <w:szCs w:val="20"/>
                <w:color w:val="auto"/>
              </w:rPr>
            </w:pPr>
            <w:r>
              <w:rPr>
                <w:rFonts w:ascii="Arial" w:cs="Arial" w:eastAsia="Arial" w:hAnsi="Arial"/>
                <w:sz w:val="18"/>
                <w:szCs w:val="18"/>
                <w:color w:val="auto"/>
              </w:rPr>
              <w:t>Adoption impact - Accounting</w:t>
            </w: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0" w:type="dxa"/>
            <w:vAlign w:val="bottom"/>
          </w:tcPr>
          <w:p>
            <w:pPr>
              <w:spacing w:after="0"/>
              <w:rPr>
                <w:sz w:val="20"/>
                <w:szCs w:val="20"/>
                <w:color w:val="auto"/>
              </w:rPr>
            </w:pPr>
          </w:p>
        </w:tc>
        <w:tc>
          <w:tcPr>
            <w:tcW w:w="2720" w:type="dxa"/>
            <w:vAlign w:val="bottom"/>
            <w:gridSpan w:val="2"/>
          </w:tcPr>
          <w:p>
            <w:pPr>
              <w:ind w:left="180"/>
              <w:spacing w:after="0"/>
              <w:rPr>
                <w:sz w:val="20"/>
                <w:szCs w:val="20"/>
                <w:color w:val="auto"/>
              </w:rPr>
            </w:pPr>
            <w:r>
              <w:rPr>
                <w:rFonts w:ascii="Arial" w:cs="Arial" w:eastAsia="Arial" w:hAnsi="Arial"/>
                <w:sz w:val="18"/>
                <w:szCs w:val="18"/>
                <w:color w:val="auto"/>
              </w:rPr>
              <w:t>Standards Update 2018-02</w:t>
            </w: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30"/>
              <w:spacing w:after="0"/>
              <w:rPr>
                <w:sz w:val="20"/>
                <w:szCs w:val="20"/>
                <w:color w:val="auto"/>
              </w:rPr>
            </w:pPr>
            <w:r>
              <w:rPr>
                <w:rFonts w:ascii="Arial" w:cs="Arial" w:eastAsia="Arial" w:hAnsi="Arial"/>
                <w:sz w:val="18"/>
                <w:szCs w:val="18"/>
                <w:color w:val="auto"/>
              </w:rPr>
              <w:t>0.8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(0.8)</w:t>
            </w: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0" w:type="dxa"/>
            <w:vAlign w:val="bottom"/>
            <w:tcBorders>
              <w:bottom w:val="single" w:sz="8" w:color="CCEEFF"/>
            </w:tcBorders>
          </w:tcPr>
          <w:p>
            <w:pPr>
              <w:spacing w:after="0"/>
              <w:rPr>
                <w:sz w:val="2"/>
                <w:szCs w:val="2"/>
                <w:color w:val="auto"/>
              </w:rPr>
            </w:pPr>
          </w:p>
        </w:tc>
        <w:tc>
          <w:tcPr>
            <w:tcW w:w="1520" w:type="dxa"/>
            <w:vAlign w:val="bottom"/>
            <w:tcBorders>
              <w:bottom w:val="single" w:sz="8" w:color="CCEEFF"/>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0" w:type="dxa"/>
            <w:vAlign w:val="bottom"/>
          </w:tcPr>
          <w:p>
            <w:pPr>
              <w:spacing w:after="0"/>
              <w:rPr>
                <w:sz w:val="21"/>
                <w:szCs w:val="21"/>
                <w:color w:val="auto"/>
              </w:rPr>
            </w:pPr>
          </w:p>
        </w:tc>
        <w:tc>
          <w:tcPr>
            <w:tcW w:w="27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Balance at March 31, 2018</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594.0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537.7</w:t>
            </w:r>
          </w:p>
        </w:tc>
        <w:tc>
          <w:tcPr>
            <w:tcW w:w="0" w:type="dxa"/>
            <w:vAlign w:val="bottom"/>
          </w:tcPr>
          <w:p>
            <w:pPr>
              <w:spacing w:after="0"/>
              <w:rPr>
                <w:sz w:val="1"/>
                <w:szCs w:val="1"/>
                <w:color w:val="auto"/>
              </w:rPr>
            </w:pPr>
          </w:p>
        </w:tc>
      </w:tr>
      <w:tr>
        <w:trPr>
          <w:trHeight w:val="243"/>
        </w:trPr>
        <w:tc>
          <w:tcPr>
            <w:tcW w:w="80" w:type="dxa"/>
            <w:vAlign w:val="bottom"/>
          </w:tcPr>
          <w:p>
            <w:pPr>
              <w:spacing w:after="0"/>
              <w:rPr>
                <w:sz w:val="21"/>
                <w:szCs w:val="21"/>
                <w:color w:val="auto"/>
              </w:rPr>
            </w:pPr>
          </w:p>
        </w:tc>
        <w:tc>
          <w:tcPr>
            <w:tcW w:w="2720" w:type="dxa"/>
            <w:vAlign w:val="bottom"/>
            <w:gridSpan w:val="2"/>
          </w:tcPr>
          <w:p>
            <w:pPr>
              <w:ind w:left="20"/>
              <w:spacing w:after="0"/>
              <w:rPr>
                <w:sz w:val="20"/>
                <w:szCs w:val="20"/>
                <w:color w:val="auto"/>
              </w:rPr>
            </w:pPr>
            <w:r>
              <w:rPr>
                <w:rFonts w:ascii="Arial" w:cs="Arial" w:eastAsia="Arial" w:hAnsi="Arial"/>
                <w:sz w:val="18"/>
                <w:szCs w:val="18"/>
                <w:color w:val="auto"/>
              </w:rPr>
              <w:t>Net loss</w:t>
            </w: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0" w:type="dxa"/>
            <w:vAlign w:val="bottom"/>
          </w:tcPr>
          <w:p>
            <w:pPr>
              <w:spacing w:after="0"/>
              <w:rPr>
                <w:sz w:val="21"/>
                <w:szCs w:val="21"/>
                <w:color w:val="auto"/>
              </w:rPr>
            </w:pPr>
          </w:p>
        </w:tc>
        <w:tc>
          <w:tcPr>
            <w:tcW w:w="27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w w:val="94"/>
              </w:rPr>
              <w:t>Other comprehensive income (loss)</w:t>
            </w: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43"/>
        </w:trPr>
        <w:tc>
          <w:tcPr>
            <w:tcW w:w="80" w:type="dxa"/>
            <w:vAlign w:val="bottom"/>
          </w:tcPr>
          <w:p>
            <w:pPr>
              <w:spacing w:after="0"/>
              <w:rPr>
                <w:sz w:val="21"/>
                <w:szCs w:val="21"/>
                <w:color w:val="auto"/>
              </w:rPr>
            </w:pPr>
          </w:p>
        </w:tc>
        <w:tc>
          <w:tcPr>
            <w:tcW w:w="2720" w:type="dxa"/>
            <w:vAlign w:val="bottom"/>
            <w:gridSpan w:val="2"/>
          </w:tcPr>
          <w:p>
            <w:pPr>
              <w:ind w:left="20"/>
              <w:spacing w:after="0"/>
              <w:rPr>
                <w:sz w:val="20"/>
                <w:szCs w:val="20"/>
                <w:color w:val="auto"/>
              </w:rPr>
            </w:pPr>
            <w:r>
              <w:rPr>
                <w:rFonts w:ascii="Arial" w:cs="Arial" w:eastAsia="Arial" w:hAnsi="Arial"/>
                <w:sz w:val="18"/>
                <w:szCs w:val="18"/>
                <w:color w:val="auto"/>
              </w:rPr>
              <w:t>Stock-based compensation</w:t>
            </w: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5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0" w:type="dxa"/>
            <w:vAlign w:val="bottom"/>
          </w:tcPr>
          <w:p>
            <w:pPr>
              <w:spacing w:after="0"/>
              <w:rPr>
                <w:sz w:val="19"/>
                <w:szCs w:val="19"/>
                <w:color w:val="auto"/>
              </w:rPr>
            </w:pPr>
          </w:p>
        </w:tc>
        <w:tc>
          <w:tcPr>
            <w:tcW w:w="27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9"/>
              </w:rPr>
              <w:t>Issuance of common stock, net of</w:t>
            </w: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0" w:type="dxa"/>
            <w:vAlign w:val="bottom"/>
          </w:tcPr>
          <w:p>
            <w:pPr>
              <w:spacing w:after="0"/>
              <w:rPr>
                <w:sz w:val="18"/>
                <w:szCs w:val="18"/>
                <w:color w:val="auto"/>
              </w:rPr>
            </w:pPr>
          </w:p>
        </w:tc>
        <w:tc>
          <w:tcPr>
            <w:tcW w:w="27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stock received for minimum tax</w:t>
            </w: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80" w:type="dxa"/>
            <w:vAlign w:val="bottom"/>
          </w:tcPr>
          <w:p>
            <w:pPr>
              <w:spacing w:after="0"/>
              <w:rPr>
                <w:sz w:val="22"/>
                <w:szCs w:val="22"/>
                <w:color w:val="auto"/>
              </w:rPr>
            </w:pPr>
          </w:p>
        </w:tc>
        <w:tc>
          <w:tcPr>
            <w:tcW w:w="27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withholdings</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50"/>
        </w:trPr>
        <w:tc>
          <w:tcPr>
            <w:tcW w:w="80" w:type="dxa"/>
            <w:vAlign w:val="bottom"/>
          </w:tcPr>
          <w:p>
            <w:pPr>
              <w:spacing w:after="0"/>
              <w:rPr>
                <w:sz w:val="21"/>
                <w:szCs w:val="21"/>
                <w:color w:val="auto"/>
              </w:rPr>
            </w:pPr>
          </w:p>
        </w:tc>
        <w:tc>
          <w:tcPr>
            <w:tcW w:w="2720" w:type="dxa"/>
            <w:vAlign w:val="bottom"/>
            <w:gridSpan w:val="2"/>
          </w:tcPr>
          <w:p>
            <w:pPr>
              <w:ind w:left="20"/>
              <w:spacing w:after="0"/>
              <w:rPr>
                <w:sz w:val="20"/>
                <w:szCs w:val="20"/>
                <w:color w:val="auto"/>
              </w:rPr>
            </w:pPr>
            <w:r>
              <w:rPr>
                <w:rFonts w:ascii="Arial" w:cs="Arial" w:eastAsia="Arial" w:hAnsi="Arial"/>
                <w:sz w:val="18"/>
                <w:szCs w:val="18"/>
                <w:color w:val="auto"/>
              </w:rPr>
              <w:t>Balance at June 30, 2018</w:t>
            </w: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16.2</w:t>
            </w:r>
          </w:p>
        </w:tc>
        <w:tc>
          <w:tcPr>
            <w:tcW w:w="120" w:type="dxa"/>
            <w:vAlign w:val="bottom"/>
          </w:tcPr>
          <w:p>
            <w:pPr>
              <w:spacing w:after="0"/>
              <w:rPr>
                <w:sz w:val="21"/>
                <w:szCs w:val="21"/>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1"/>
                <w:szCs w:val="21"/>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598.9</w:t>
            </w:r>
          </w:p>
        </w:tc>
        <w:tc>
          <w:tcPr>
            <w:tcW w:w="100" w:type="dxa"/>
            <w:vAlign w:val="bottom"/>
          </w:tcPr>
          <w:p>
            <w:pPr>
              <w:spacing w:after="0"/>
              <w:rPr>
                <w:sz w:val="21"/>
                <w:szCs w:val="21"/>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(19.2)</w:t>
            </w:r>
          </w:p>
        </w:tc>
        <w:tc>
          <w:tcPr>
            <w:tcW w:w="100" w:type="dxa"/>
            <w:vAlign w:val="bottom"/>
          </w:tcPr>
          <w:p>
            <w:pPr>
              <w:spacing w:after="0"/>
              <w:rPr>
                <w:sz w:val="21"/>
                <w:szCs w:val="21"/>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(38.1)</w:t>
            </w:r>
          </w:p>
        </w:tc>
        <w:tc>
          <w:tcPr>
            <w:tcW w:w="100" w:type="dxa"/>
            <w:vAlign w:val="bottom"/>
          </w:tcPr>
          <w:p>
            <w:pPr>
              <w:spacing w:after="0"/>
              <w:rPr>
                <w:sz w:val="21"/>
                <w:szCs w:val="21"/>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21"/>
                <w:szCs w:val="21"/>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(13.6)</w:t>
            </w:r>
          </w:p>
        </w:tc>
        <w:tc>
          <w:tcPr>
            <w:tcW w:w="100" w:type="dxa"/>
            <w:vAlign w:val="bottom"/>
          </w:tcPr>
          <w:p>
            <w:pPr>
              <w:spacing w:after="0"/>
              <w:rPr>
                <w:sz w:val="21"/>
                <w:szCs w:val="21"/>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528.2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1771650</wp:posOffset>
            </wp:positionH>
            <wp:positionV relativeFrom="paragraph">
              <wp:posOffset>8890</wp:posOffset>
            </wp:positionV>
            <wp:extent cx="543687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436870" cy="8890"/>
                    </a:xfrm>
                    <a:prstGeom prst="rect">
                      <a:avLst/>
                    </a:prstGeom>
                    <a:noFill/>
                  </pic:spPr>
                </pic:pic>
              </a:graphicData>
            </a:graphic>
          </wp:anchor>
        </w:drawing>
      </w:r>
    </w:p>
    <w:p>
      <w:pPr>
        <w:ind w:left="200" w:hanging="192"/>
        <w:spacing w:after="0" w:line="234" w:lineRule="auto"/>
        <w:tabs>
          <w:tab w:leader="none" w:pos="200" w:val="left"/>
        </w:tabs>
        <w:numPr>
          <w:ilvl w:val="0"/>
          <w:numId w:val="4"/>
        </w:numPr>
        <w:rPr>
          <w:rFonts w:ascii="Arial" w:cs="Arial" w:eastAsia="Arial" w:hAnsi="Arial"/>
          <w:sz w:val="23"/>
          <w:szCs w:val="23"/>
          <w:color w:val="auto"/>
          <w:vertAlign w:val="superscript"/>
        </w:rPr>
      </w:pPr>
      <w:r>
        <w:rPr>
          <w:rFonts w:ascii="Arial" w:cs="Arial" w:eastAsia="Arial" w:hAnsi="Arial"/>
          <w:sz w:val="13"/>
          <w:szCs w:val="13"/>
          <w:color w:val="auto"/>
        </w:rPr>
        <w:t>Accumulated other comprehensive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1771650</wp:posOffset>
            </wp:positionH>
            <wp:positionV relativeFrom="paragraph">
              <wp:posOffset>-137160</wp:posOffset>
            </wp:positionV>
            <wp:extent cx="543687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436870" cy="8890"/>
                    </a:xfrm>
                    <a:prstGeom prst="rect">
                      <a:avLst/>
                    </a:prstGeom>
                    <a:noFill/>
                  </pic:spPr>
                </pic:pic>
              </a:graphicData>
            </a:graphic>
          </wp:anchor>
        </w:drawing>
      </w: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See accompanying Notes to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60"/>
          </w:cols>
          <w:pgMar w:left="240" w:top="324" w:right="29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VERITIV CORPORATION</w:t>
      </w:r>
    </w:p>
    <w:p>
      <w:pPr>
        <w:jc w:val="center"/>
        <w:spacing w:after="0"/>
        <w:rPr>
          <w:sz w:val="20"/>
          <w:szCs w:val="20"/>
          <w:color w:val="auto"/>
        </w:rPr>
      </w:pPr>
      <w:r>
        <w:rPr>
          <w:rFonts w:ascii="Arial" w:cs="Arial" w:eastAsia="Arial" w:hAnsi="Arial"/>
          <w:sz w:val="20"/>
          <w:szCs w:val="20"/>
          <w:b w:val="1"/>
          <w:bCs w:val="1"/>
          <w:color w:val="auto"/>
        </w:rPr>
        <w:t>NOTES TO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 BUSINESS AND SUMMARY OF SIGNIFICANT ACCOUNTING POLICIES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Business</w:t>
      </w:r>
    </w:p>
    <w:p>
      <w:pPr>
        <w:spacing w:after="0" w:line="229"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Veritiv Corporation ("Veritiv" or the "Company") is a North American business-to-business distributor of packaging, facility solutions, print and publishing products and services. Additionally, Veritiv provides logistics and supply chain management solutions to its customers. Veritiv was established in 2014, following the merger (the "Merger") of International Paper Company's xpedx distribution solutions business ("xpedx") and UWW Holdings, Inc. ("UWWH"), the parent company of Unisource Worldwide, Inc. ("Unisource"). Veritiv operates from approximately 160 distribution centers primarily throughout the United States ("U.S."), Canada and Mexico.</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29" w:lineRule="exact"/>
        <w:rPr>
          <w:sz w:val="20"/>
          <w:szCs w:val="20"/>
          <w:color w:val="auto"/>
        </w:rPr>
      </w:pPr>
    </w:p>
    <w:p>
      <w:pPr>
        <w:ind w:right="100" w:firstLine="648"/>
        <w:spacing w:after="0" w:line="312" w:lineRule="auto"/>
        <w:rPr>
          <w:sz w:val="20"/>
          <w:szCs w:val="20"/>
          <w:color w:val="auto"/>
        </w:rPr>
      </w:pPr>
      <w:r>
        <w:rPr>
          <w:rFonts w:ascii="Arial" w:cs="Arial" w:eastAsia="Arial" w:hAnsi="Arial"/>
          <w:sz w:val="16"/>
          <w:szCs w:val="16"/>
          <w:color w:val="auto"/>
        </w:rPr>
        <w:t>The accompanying unaudited Condensed Consolidated Financial Statements have been prepared in accordance with accounting principles generally accepted in the United States of America ("U.S. GAAP") for interim financial information and with the instructions to Article 10 of Regulation S-X. Accordingly, they do not include all of the information and footnotes required by U.S. GAAP for a complete set of annual audited financial statements.</w:t>
      </w:r>
    </w:p>
    <w:p>
      <w:pPr>
        <w:spacing w:after="0" w:line="147"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The accompanying unaudited financial information should be read in conjunction with the Consolidated Financial Statements and Notes contained in the Company's Annual Report on Form 10-K filed with the Securities and Exchange Commission ("SEC") for the year ended December 31, 2018. In the opinion of management, all adjustments, including normal recurring accruals and other adjustments, considered necessary for a fair presentation of the interim financial information have been included. The operating results for the interim periods are not necessarily indicative of results for the full year. These financial statements include all of the Company's subsidiaries. All significant intercompany transactions between Veritiv's businesses have been eliminated.</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29"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The preparation of unaudited financial statements in conformity with U.S. GAAP requires management to make estimates and assumptions that affect the reported amounts of assets and liabilities, revenue and expenses and certain financial statement disclosures. Estimates and assumptions are used for, but not limited to, revenue recognition, right-of-use ("ROU") asset and liability valuations, accounts receivable valuation, inventory valuation, employee benefit plans, income tax contingency accruals and valuation allowances, recognition of the Tax Cuts and Jobs Act (the "Tax Act"), multi-employer pension plan withdrawal liabilities, contingency accruals and goodwill and other intangible asset valuations. Although these estimates are based on management's knowledge of current events and actions it may undertake in the future, actual results may ultimately differ from these estimates and assumptions. Estimates are revised as additional information becomes available.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Accounting Pronouncements</w:t>
      </w:r>
    </w:p>
    <w:p>
      <w:pPr>
        <w:spacing w:after="0" w:line="229"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 xml:space="preserve">Effective January 1, 2019, the Company adopted Accounting Standards Update ("ASU") 2016-02, </w:t>
      </w:r>
      <w:r>
        <w:rPr>
          <w:rFonts w:ascii="Arial" w:cs="Arial" w:eastAsia="Arial" w:hAnsi="Arial"/>
          <w:sz w:val="18"/>
          <w:szCs w:val="18"/>
          <w:i w:val="1"/>
          <w:iCs w:val="1"/>
          <w:color w:val="auto"/>
        </w:rPr>
        <w:t>Leases (Topic 842)</w:t>
      </w:r>
      <w:r>
        <w:rPr>
          <w:rFonts w:ascii="Arial" w:cs="Arial" w:eastAsia="Arial" w:hAnsi="Arial"/>
          <w:sz w:val="18"/>
          <w:szCs w:val="18"/>
          <w:color w:val="auto"/>
        </w:rPr>
        <w:t xml:space="preserve"> ("Topic 842") and its related interpretations</w:t>
      </w:r>
      <w:r>
        <w:rPr>
          <w:rFonts w:ascii="Arial" w:cs="Arial" w:eastAsia="Arial" w:hAnsi="Arial"/>
          <w:sz w:val="18"/>
          <w:szCs w:val="18"/>
          <w:i w:val="1"/>
          <w:iCs w:val="1"/>
          <w:color w:val="auto"/>
        </w:rPr>
        <w:t>.</w:t>
      </w:r>
      <w:r>
        <w:rPr>
          <w:rFonts w:ascii="Arial" w:cs="Arial" w:eastAsia="Arial" w:hAnsi="Arial"/>
          <w:sz w:val="18"/>
          <w:szCs w:val="18"/>
          <w:color w:val="auto"/>
        </w:rPr>
        <w:t xml:space="preserve"> The standard requires lessees to recognize ROU assets and liabilities for leases with a lease term greater than twelve months on their balance sheet. The pattern and classification of expense recognition in a lessee's statement of operations remains similar to prior accounting guidance. The new standard also eliminates the prior guidance related to real estate specific provisions. Upon adoption, the Company recorded (i) operating lease obligations and related ROU assets of approximately $428 million and (ii) an increase to retained earnings of $2.7 million, primarily driven by the derecognition of the unamortized deferred gain from the 2017 sale of the Austin, Texas property. The Company's debt covenants and bank capital requirements were not impacted by the adoption of this ASU.</w:t>
      </w:r>
    </w:p>
    <w:p>
      <w:pPr>
        <w:spacing w:after="0" w:line="189" w:lineRule="exact"/>
        <w:rPr>
          <w:sz w:val="20"/>
          <w:szCs w:val="20"/>
          <w:color w:val="auto"/>
        </w:rPr>
      </w:pPr>
    </w:p>
    <w:p>
      <w:pPr>
        <w:ind w:right="60" w:firstLine="648"/>
        <w:spacing w:after="0" w:line="302" w:lineRule="auto"/>
        <w:rPr>
          <w:sz w:val="20"/>
          <w:szCs w:val="20"/>
          <w:color w:val="auto"/>
        </w:rPr>
      </w:pPr>
      <w:r>
        <w:rPr>
          <w:rFonts w:ascii="Arial" w:cs="Arial" w:eastAsia="Arial" w:hAnsi="Arial"/>
          <w:sz w:val="16"/>
          <w:szCs w:val="16"/>
          <w:color w:val="auto"/>
        </w:rPr>
        <w:t>The guidance allows an entity to make an election to adopt the standard using either a modified retrospective approach, applying the standard to leases that existed at the beginning of the earliest period presented and those entered into thereafter with restated comparative period financial statements, or an additional transition approach (under ASU 2018-11), which allows an entity to initially apply the new lease standard at the adoption date (January 1, 2019, for the Company) and recognize a cumulative-effect adjustment to the opening balance of retained earnings in the period of adoption.</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34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 xml:space="preserve">Consequently, an entity’s reporting for the comparative periods presented in the financial statements, in the period in which it adopts the new lease standard, will not be restated and will continue to be in accordance with prior U.S. GAAP (Topic 840, </w:t>
      </w:r>
      <w:r>
        <w:rPr>
          <w:rFonts w:ascii="Arial" w:cs="Arial" w:eastAsia="Arial" w:hAnsi="Arial"/>
          <w:sz w:val="18"/>
          <w:szCs w:val="18"/>
          <w:i w:val="1"/>
          <w:iCs w:val="1"/>
          <w:color w:val="auto"/>
        </w:rPr>
        <w:t>Leases</w:t>
      </w:r>
      <w:r>
        <w:rPr>
          <w:rFonts w:ascii="Arial" w:cs="Arial" w:eastAsia="Arial" w:hAnsi="Arial"/>
          <w:sz w:val="18"/>
          <w:szCs w:val="18"/>
          <w:color w:val="auto"/>
        </w:rPr>
        <w:t>). The Company adopted this ASU applying the additional transition approach.</w:t>
      </w:r>
    </w:p>
    <w:p>
      <w:pPr>
        <w:spacing w:after="0" w:line="181" w:lineRule="exact"/>
        <w:rPr>
          <w:sz w:val="20"/>
          <w:szCs w:val="20"/>
          <w:color w:val="auto"/>
        </w:rPr>
      </w:pPr>
    </w:p>
    <w:p>
      <w:pPr>
        <w:ind w:right="20" w:firstLine="648"/>
        <w:spacing w:after="0" w:line="270" w:lineRule="auto"/>
        <w:rPr>
          <w:rFonts w:ascii="Arial" w:cs="Arial" w:eastAsia="Arial" w:hAnsi="Arial"/>
          <w:sz w:val="17"/>
          <w:szCs w:val="17"/>
          <w:color w:val="auto"/>
        </w:rPr>
      </w:pPr>
      <w:r>
        <w:rPr>
          <w:rFonts w:ascii="Arial" w:cs="Arial" w:eastAsia="Arial" w:hAnsi="Arial"/>
          <w:sz w:val="17"/>
          <w:szCs w:val="17"/>
          <w:color w:val="auto"/>
        </w:rPr>
        <w:t xml:space="preserve">The standard permits entities to elect a package of practical expedients which must be applied consistently to all leases that commenced prior to the effective date. If the package of practical expedients is elected, entities do not need to reassess: (i) whether expired or existing contracts contain leases; (ii) lease classification for any expired or existing leases; and (iii) initial direct costs for any existing leases. The Company elected to apply the package of practical expedients to all leases that commenced prior to the date of adoption. The guidance also allows entities to make certain policy elections under the new standard, including: (i) the use of hindsight to determine lease term and when assessing existing ROU assets for impairment; (ii) a policy to not record short-term leases on the balance sheet; and (iii) a policy to not separate lease and non-lease components. The Company made a policy election to exclude short-term leases from the balance sheet and to separate lease and non-lease components for most lease categories. The Company also made a policy election to not use hindsight to determine lease term and when assessing existing ROU assets for impairment. See </w:t>
      </w:r>
      <w:hyperlink w:anchor="page15">
        <w:r>
          <w:rPr>
            <w:rFonts w:ascii="Arial" w:cs="Arial" w:eastAsia="Arial" w:hAnsi="Arial"/>
            <w:sz w:val="17"/>
            <w:szCs w:val="17"/>
            <w:u w:val="single" w:color="auto"/>
            <w:color w:val="0000EE"/>
          </w:rPr>
          <w:t>Note 3, Leases</w:t>
        </w:r>
      </w:hyperlink>
      <w:r>
        <w:rPr>
          <w:rFonts w:ascii="Arial" w:cs="Arial" w:eastAsia="Arial" w:hAnsi="Arial"/>
          <w:sz w:val="17"/>
          <w:szCs w:val="17"/>
          <w:color w:val="auto"/>
        </w:rPr>
        <w:t>, for additional information regarding the Company's leases.</w:t>
      </w:r>
    </w:p>
    <w:p>
      <w:pPr>
        <w:spacing w:after="0" w:line="362" w:lineRule="exact"/>
        <w:rPr>
          <w:sz w:val="20"/>
          <w:szCs w:val="20"/>
          <w:color w:val="auto"/>
        </w:rPr>
      </w:pPr>
    </w:p>
    <w:p>
      <w:pPr>
        <w:ind w:left="40"/>
        <w:spacing w:after="0"/>
        <w:rPr>
          <w:sz w:val="20"/>
          <w:szCs w:val="20"/>
          <w:color w:val="auto"/>
        </w:rPr>
      </w:pPr>
      <w:r>
        <w:rPr>
          <w:rFonts w:ascii="Arial" w:cs="Arial" w:eastAsia="Arial" w:hAnsi="Arial"/>
          <w:sz w:val="16"/>
          <w:szCs w:val="16"/>
          <w:b w:val="1"/>
          <w:bCs w:val="1"/>
          <w:i w:val="1"/>
          <w:iCs w:val="1"/>
          <w:color w:val="auto"/>
        </w:rPr>
        <w:t>Recently Issued Accounting Standards Not Yet Adopted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34925</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p>
      <w:pPr>
        <w:spacing w:after="0" w:line="285" w:lineRule="exact"/>
        <w:rPr>
          <w:sz w:val="20"/>
          <w:szCs w:val="20"/>
          <w:color w:val="auto"/>
        </w:rPr>
      </w:pPr>
    </w:p>
    <w:p>
      <w:pPr>
        <w:ind w:left="840"/>
        <w:spacing w:after="0"/>
        <w:rPr>
          <w:sz w:val="20"/>
          <w:szCs w:val="20"/>
          <w:color w:val="auto"/>
        </w:rPr>
      </w:pPr>
      <w:r>
        <w:rPr>
          <w:rFonts w:ascii="Arial" w:cs="Arial" w:eastAsia="Arial" w:hAnsi="Arial"/>
          <w:sz w:val="16"/>
          <w:szCs w:val="16"/>
          <w:b w:val="1"/>
          <w:bCs w:val="1"/>
          <w:color w:val="auto"/>
        </w:rPr>
        <w:t>Standard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145796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457960" cy="8890"/>
                    </a:xfrm>
                    <a:prstGeom prst="rect">
                      <a:avLst/>
                    </a:prstGeom>
                    <a:noFill/>
                  </pic:spPr>
                </pic:pic>
              </a:graphicData>
            </a:graphic>
          </wp:anchor>
        </w:drawing>
      </w:r>
    </w:p>
    <w:p>
      <w:pPr>
        <w:spacing w:after="0" w:line="70" w:lineRule="exact"/>
        <w:rPr>
          <w:sz w:val="20"/>
          <w:szCs w:val="20"/>
          <w:color w:val="auto"/>
        </w:rPr>
      </w:pPr>
    </w:p>
    <w:p>
      <w:pPr>
        <w:ind w:left="40"/>
        <w:spacing w:after="0" w:line="278" w:lineRule="auto"/>
        <w:rPr>
          <w:sz w:val="20"/>
          <w:szCs w:val="20"/>
          <w:color w:val="auto"/>
        </w:rPr>
      </w:pPr>
      <w:r>
        <w:rPr>
          <w:rFonts w:ascii="Arial" w:cs="Arial" w:eastAsia="Arial" w:hAnsi="Arial"/>
          <w:sz w:val="16"/>
          <w:szCs w:val="16"/>
          <w:color w:val="auto"/>
        </w:rPr>
        <w:t xml:space="preserve">ASU 2016-13, </w:t>
      </w:r>
      <w:r>
        <w:rPr>
          <w:rFonts w:ascii="Arial" w:cs="Arial" w:eastAsia="Arial" w:hAnsi="Arial"/>
          <w:sz w:val="16"/>
          <w:szCs w:val="16"/>
          <w:i w:val="1"/>
          <w:iCs w:val="1"/>
          <w:color w:val="auto"/>
        </w:rPr>
        <w:t>Financial</w:t>
      </w:r>
      <w:r>
        <w:rPr>
          <w:rFonts w:ascii="Arial" w:cs="Arial" w:eastAsia="Arial" w:hAnsi="Arial"/>
          <w:sz w:val="16"/>
          <w:szCs w:val="16"/>
          <w:color w:val="auto"/>
        </w:rPr>
        <w:t xml:space="preserve"> </w:t>
      </w:r>
      <w:r>
        <w:rPr>
          <w:rFonts w:ascii="Arial" w:cs="Arial" w:eastAsia="Arial" w:hAnsi="Arial"/>
          <w:sz w:val="16"/>
          <w:szCs w:val="16"/>
          <w:i w:val="1"/>
          <w:iCs w:val="1"/>
          <w:color w:val="auto"/>
        </w:rPr>
        <w:t>Instruments-Credit Losses (Topic 326)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775335</wp:posOffset>
            </wp:positionV>
            <wp:extent cx="145796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45796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40"/>
        <w:spacing w:after="0"/>
        <w:rPr>
          <w:sz w:val="20"/>
          <w:szCs w:val="20"/>
          <w:color w:val="auto"/>
        </w:rPr>
      </w:pPr>
      <w:r>
        <w:rPr>
          <w:rFonts w:ascii="Arial" w:cs="Arial" w:eastAsia="Arial" w:hAnsi="Arial"/>
          <w:sz w:val="16"/>
          <w:szCs w:val="16"/>
          <w:color w:val="auto"/>
        </w:rPr>
        <w:t xml:space="preserve">ASU 2018-13, </w:t>
      </w:r>
      <w:r>
        <w:rPr>
          <w:rFonts w:ascii="Arial" w:cs="Arial" w:eastAsia="Arial" w:hAnsi="Arial"/>
          <w:sz w:val="16"/>
          <w:szCs w:val="16"/>
          <w:i w:val="1"/>
          <w:iCs w:val="1"/>
          <w:color w:val="auto"/>
        </w:rPr>
        <w:t>Fair Value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6"/>
          <w:szCs w:val="16"/>
          <w:i w:val="1"/>
          <w:iCs w:val="1"/>
          <w:color w:val="auto"/>
        </w:rPr>
        <w:t>Measurement (Topic 820)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2091055</wp:posOffset>
            </wp:positionV>
            <wp:extent cx="145796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45796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3"/>
        </w:trPr>
        <w:tc>
          <w:tcPr>
            <w:tcW w:w="3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ind w:left="300"/>
              <w:spacing w:after="0"/>
              <w:rPr>
                <w:sz w:val="20"/>
                <w:szCs w:val="20"/>
                <w:color w:val="auto"/>
              </w:rPr>
            </w:pPr>
            <w:r>
              <w:rPr>
                <w:rFonts w:ascii="Arial" w:cs="Arial" w:eastAsia="Arial" w:hAnsi="Arial"/>
                <w:sz w:val="16"/>
                <w:szCs w:val="16"/>
                <w:b w:val="1"/>
                <w:bCs w:val="1"/>
                <w:color w:val="auto"/>
              </w:rPr>
              <w:t>Effect on the Financial Statements or Other</w:t>
            </w:r>
          </w:p>
        </w:tc>
      </w:tr>
      <w:tr>
        <w:trPr>
          <w:trHeight w:val="210"/>
        </w:trPr>
        <w:tc>
          <w:tcPr>
            <w:tcW w:w="3880" w:type="dxa"/>
            <w:vAlign w:val="bottom"/>
            <w:gridSpan w:val="2"/>
          </w:tcPr>
          <w:p>
            <w:pPr>
              <w:ind w:left="1480"/>
              <w:spacing w:after="0"/>
              <w:rPr>
                <w:sz w:val="20"/>
                <w:szCs w:val="20"/>
                <w:color w:val="auto"/>
              </w:rPr>
            </w:pPr>
            <w:r>
              <w:rPr>
                <w:rFonts w:ascii="Arial" w:cs="Arial" w:eastAsia="Arial" w:hAnsi="Arial"/>
                <w:sz w:val="16"/>
                <w:szCs w:val="16"/>
                <w:b w:val="1"/>
                <w:bCs w:val="1"/>
                <w:color w:val="auto"/>
              </w:rPr>
              <w:t>Description</w:t>
            </w:r>
          </w:p>
        </w:tc>
        <w:tc>
          <w:tcPr>
            <w:tcW w:w="1480" w:type="dxa"/>
            <w:vAlign w:val="bottom"/>
            <w:gridSpan w:val="2"/>
          </w:tcPr>
          <w:p>
            <w:pPr>
              <w:ind w:left="200"/>
              <w:spacing w:after="0"/>
              <w:rPr>
                <w:sz w:val="20"/>
                <w:szCs w:val="20"/>
                <w:color w:val="auto"/>
              </w:rPr>
            </w:pPr>
            <w:r>
              <w:rPr>
                <w:rFonts w:ascii="Arial" w:cs="Arial" w:eastAsia="Arial" w:hAnsi="Arial"/>
                <w:sz w:val="16"/>
                <w:szCs w:val="16"/>
                <w:b w:val="1"/>
                <w:bCs w:val="1"/>
                <w:color w:val="auto"/>
              </w:rPr>
              <w:t>Effective Date</w:t>
            </w:r>
          </w:p>
        </w:tc>
        <w:tc>
          <w:tcPr>
            <w:tcW w:w="3640" w:type="dxa"/>
            <w:vAlign w:val="bottom"/>
          </w:tcPr>
          <w:p>
            <w:pPr>
              <w:ind w:left="1140"/>
              <w:spacing w:after="0"/>
              <w:rPr>
                <w:sz w:val="20"/>
                <w:szCs w:val="20"/>
                <w:color w:val="auto"/>
              </w:rPr>
            </w:pPr>
            <w:r>
              <w:rPr>
                <w:rFonts w:ascii="Arial" w:cs="Arial" w:eastAsia="Arial" w:hAnsi="Arial"/>
                <w:sz w:val="16"/>
                <w:szCs w:val="16"/>
                <w:b w:val="1"/>
                <w:bCs w:val="1"/>
                <w:color w:val="auto"/>
              </w:rPr>
              <w:t>Significant Matters</w:t>
            </w:r>
          </w:p>
        </w:tc>
      </w:tr>
      <w:tr>
        <w:trPr>
          <w:trHeight w:val="33"/>
        </w:trPr>
        <w:tc>
          <w:tcPr>
            <w:tcW w:w="3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40" w:type="dxa"/>
            <w:vAlign w:val="bottom"/>
            <w:tcBorders>
              <w:bottom w:val="single" w:sz="8" w:color="auto"/>
            </w:tcBorders>
          </w:tcPr>
          <w:p>
            <w:pPr>
              <w:spacing w:after="0"/>
              <w:rPr>
                <w:sz w:val="2"/>
                <w:szCs w:val="2"/>
                <w:color w:val="auto"/>
              </w:rPr>
            </w:pPr>
          </w:p>
        </w:tc>
      </w:tr>
      <w:tr>
        <w:trPr>
          <w:trHeight w:val="21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6"/>
              </w:rPr>
              <w:t>The standard will replace the currently required incurred</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January 1, 2020;</w:t>
            </w:r>
          </w:p>
        </w:tc>
        <w:tc>
          <w:tcPr>
            <w:tcW w:w="3640" w:type="dxa"/>
            <w:vAlign w:val="bottom"/>
          </w:tcPr>
          <w:p>
            <w:pPr>
              <w:ind w:left="20"/>
              <w:spacing w:after="0"/>
              <w:rPr>
                <w:sz w:val="20"/>
                <w:szCs w:val="20"/>
                <w:color w:val="auto"/>
              </w:rPr>
            </w:pPr>
            <w:r>
              <w:rPr>
                <w:rFonts w:ascii="Arial" w:cs="Arial" w:eastAsia="Arial" w:hAnsi="Arial"/>
                <w:sz w:val="16"/>
                <w:szCs w:val="16"/>
                <w:color w:val="auto"/>
                <w:w w:val="98"/>
              </w:rPr>
              <w:t>The Company is currently evaluating the impact this</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6"/>
              </w:rPr>
              <w:t>loss impairment methodology with guidance that reflects</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early adoption is</w:t>
            </w:r>
          </w:p>
        </w:tc>
        <w:tc>
          <w:tcPr>
            <w:tcW w:w="3640" w:type="dxa"/>
            <w:vAlign w:val="bottom"/>
          </w:tcPr>
          <w:p>
            <w:pPr>
              <w:ind w:left="20"/>
              <w:spacing w:after="0"/>
              <w:rPr>
                <w:sz w:val="20"/>
                <w:szCs w:val="20"/>
                <w:color w:val="auto"/>
              </w:rPr>
            </w:pPr>
            <w:r>
              <w:rPr>
                <w:rFonts w:ascii="Arial" w:cs="Arial" w:eastAsia="Arial" w:hAnsi="Arial"/>
                <w:sz w:val="16"/>
                <w:szCs w:val="16"/>
                <w:color w:val="auto"/>
              </w:rPr>
              <w:t>ASU will have on its Consolidated Financial</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9"/>
              </w:rPr>
              <w:t>expected credit losses and requires consideration of a</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permitted for fiscal</w:t>
            </w:r>
          </w:p>
        </w:tc>
        <w:tc>
          <w:tcPr>
            <w:tcW w:w="3640" w:type="dxa"/>
            <w:vAlign w:val="bottom"/>
          </w:tcPr>
          <w:p>
            <w:pPr>
              <w:ind w:left="20"/>
              <w:spacing w:after="0"/>
              <w:rPr>
                <w:sz w:val="20"/>
                <w:szCs w:val="20"/>
                <w:color w:val="auto"/>
              </w:rPr>
            </w:pPr>
            <w:r>
              <w:rPr>
                <w:rFonts w:ascii="Arial" w:cs="Arial" w:eastAsia="Arial" w:hAnsi="Arial"/>
                <w:sz w:val="16"/>
                <w:szCs w:val="16"/>
                <w:color w:val="auto"/>
              </w:rPr>
              <w:t>Statements and related disclosures. The Company</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4"/>
              </w:rPr>
              <w:t>broader range of reasonable and supportable information</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years beginning</w:t>
            </w:r>
          </w:p>
        </w:tc>
        <w:tc>
          <w:tcPr>
            <w:tcW w:w="3640" w:type="dxa"/>
            <w:vAlign w:val="bottom"/>
          </w:tcPr>
          <w:p>
            <w:pPr>
              <w:ind w:left="20"/>
              <w:spacing w:after="0"/>
              <w:rPr>
                <w:sz w:val="20"/>
                <w:szCs w:val="20"/>
                <w:color w:val="auto"/>
              </w:rPr>
            </w:pPr>
            <w:r>
              <w:rPr>
                <w:rFonts w:ascii="Arial" w:cs="Arial" w:eastAsia="Arial" w:hAnsi="Arial"/>
                <w:sz w:val="16"/>
                <w:szCs w:val="16"/>
                <w:color w:val="auto"/>
                <w:w w:val="95"/>
              </w:rPr>
              <w:t>currently plans to adopt this ASU on January 1, 2020.</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to be considered in making credit loss estimates. The</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after December 15,</w:t>
            </w: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guidance requires application on a modified</w:t>
            </w:r>
          </w:p>
        </w:tc>
        <w:tc>
          <w:tcPr>
            <w:tcW w:w="1360" w:type="dxa"/>
            <w:vAlign w:val="bottom"/>
          </w:tcPr>
          <w:p>
            <w:pPr>
              <w:ind w:left="20"/>
              <w:spacing w:after="0"/>
              <w:rPr>
                <w:sz w:val="20"/>
                <w:szCs w:val="20"/>
                <w:color w:val="auto"/>
              </w:rPr>
            </w:pPr>
            <w:r>
              <w:rPr>
                <w:rFonts w:ascii="Arial" w:cs="Arial" w:eastAsia="Arial" w:hAnsi="Arial"/>
                <w:sz w:val="16"/>
                <w:szCs w:val="16"/>
                <w:color w:val="auto"/>
              </w:rPr>
              <w:t>2018</w:t>
            </w: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5"/>
              </w:rPr>
              <w:t>retrospective basis. Other application requirements exist</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6"/>
              </w:rPr>
              <w:t>for specific assets impacted by a more-than-insignificant</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6"/>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credit deterioration since origination.</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33"/>
        </w:trPr>
        <w:tc>
          <w:tcPr>
            <w:tcW w:w="3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40" w:type="dxa"/>
            <w:vAlign w:val="bottom"/>
            <w:tcBorders>
              <w:bottom w:val="single" w:sz="8" w:color="auto"/>
            </w:tcBorders>
          </w:tcPr>
          <w:p>
            <w:pPr>
              <w:spacing w:after="0"/>
              <w:rPr>
                <w:sz w:val="2"/>
                <w:szCs w:val="2"/>
                <w:color w:val="auto"/>
              </w:rPr>
            </w:pPr>
          </w:p>
        </w:tc>
      </w:tr>
      <w:tr>
        <w:trPr>
          <w:trHeight w:val="21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The standard modifies the disclosure requirements on</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January 1, 2020;</w:t>
            </w:r>
          </w:p>
        </w:tc>
        <w:tc>
          <w:tcPr>
            <w:tcW w:w="3640" w:type="dxa"/>
            <w:vAlign w:val="bottom"/>
          </w:tcPr>
          <w:p>
            <w:pPr>
              <w:ind w:left="20"/>
              <w:spacing w:after="0"/>
              <w:rPr>
                <w:sz w:val="20"/>
                <w:szCs w:val="20"/>
                <w:color w:val="auto"/>
              </w:rPr>
            </w:pPr>
            <w:r>
              <w:rPr>
                <w:rFonts w:ascii="Arial" w:cs="Arial" w:eastAsia="Arial" w:hAnsi="Arial"/>
                <w:sz w:val="16"/>
                <w:szCs w:val="16"/>
                <w:color w:val="auto"/>
                <w:w w:val="98"/>
              </w:rPr>
              <w:t>The Company is currently evaluating the impact this</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6"/>
              </w:rPr>
              <w:t>fair value measurements by removing certain disclosure</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early adoption is</w:t>
            </w:r>
          </w:p>
        </w:tc>
        <w:tc>
          <w:tcPr>
            <w:tcW w:w="3640" w:type="dxa"/>
            <w:vAlign w:val="bottom"/>
          </w:tcPr>
          <w:p>
            <w:pPr>
              <w:ind w:left="20"/>
              <w:spacing w:after="0"/>
              <w:rPr>
                <w:sz w:val="20"/>
                <w:szCs w:val="20"/>
                <w:color w:val="auto"/>
              </w:rPr>
            </w:pPr>
            <w:r>
              <w:rPr>
                <w:rFonts w:ascii="Arial" w:cs="Arial" w:eastAsia="Arial" w:hAnsi="Arial"/>
                <w:sz w:val="16"/>
                <w:szCs w:val="16"/>
                <w:color w:val="auto"/>
              </w:rPr>
              <w:t>ASU will have on its disclosures. The Company</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requirements related to the fair value hierarchy,</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permitted</w:t>
            </w:r>
          </w:p>
        </w:tc>
        <w:tc>
          <w:tcPr>
            <w:tcW w:w="3640" w:type="dxa"/>
            <w:vAlign w:val="bottom"/>
          </w:tcPr>
          <w:p>
            <w:pPr>
              <w:ind w:left="20"/>
              <w:spacing w:after="0"/>
              <w:rPr>
                <w:sz w:val="20"/>
                <w:szCs w:val="20"/>
                <w:color w:val="auto"/>
              </w:rPr>
            </w:pPr>
            <w:r>
              <w:rPr>
                <w:rFonts w:ascii="Arial" w:cs="Arial" w:eastAsia="Arial" w:hAnsi="Arial"/>
                <w:sz w:val="16"/>
                <w:szCs w:val="16"/>
                <w:color w:val="auto"/>
                <w:w w:val="95"/>
              </w:rPr>
              <w:t>currently plans to adopt this ASU on January 1, 2020.</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modifying existing disclosure requirements related to</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measurement uncertainty and adding new disclosure</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requirements. The amendments in this update are</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effective for fiscal years, and interim periods within</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8"/>
              </w:rPr>
              <w:t>those fiscal years, beginning after December 15, 2019.</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The amendments on changes in unrealized gains and</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losses, the range and weighted-average of significant</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8"/>
              </w:rPr>
              <w:t>unobservable inputs used to develop Level 3 fair value</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measurements, and the narrative description of</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measurement uncertainty should be applied</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8"/>
              </w:rPr>
              <w:t>prospectively for only the most recent interim or annual</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7"/>
              </w:rPr>
              <w:t>period presented in the initial fiscal year of adoption. All</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8"/>
              </w:rPr>
              <w:t>other amendments should be applied retrospectively to</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6"/>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all periods presented upon their effective date.</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36"/>
        </w:trPr>
        <w:tc>
          <w:tcPr>
            <w:tcW w:w="37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640" w:type="dxa"/>
            <w:vAlign w:val="bottom"/>
            <w:tcBorders>
              <w:bottom w:val="single" w:sz="8" w:color="auto"/>
            </w:tcBorders>
          </w:tcPr>
          <w:p>
            <w:pPr>
              <w:spacing w:after="0"/>
              <w:rPr>
                <w:sz w:val="20"/>
                <w:szCs w:val="20"/>
                <w:color w:val="auto"/>
              </w:rPr>
            </w:pPr>
          </w:p>
        </w:tc>
      </w:tr>
    </w:tbl>
    <w:p>
      <w:pPr>
        <w:spacing w:after="0" w:line="200" w:lineRule="exact"/>
        <w:rPr>
          <w:sz w:val="20"/>
          <w:szCs w:val="20"/>
          <w:color w:val="auto"/>
        </w:rPr>
      </w:pPr>
    </w:p>
    <w:p>
      <w:pPr>
        <w:sectPr>
          <w:pgSz w:w="11900" w:h="16838" w:orient="portrait"/>
          <w:cols w:equalWidth="0" w:num="2">
            <w:col w:w="2180" w:space="240"/>
            <w:col w:w="9000"/>
          </w:cols>
          <w:pgMar w:left="240" w:top="341"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20"/>
          </w:cols>
          <w:pgMar w:left="240" w:top="341" w:right="239" w:bottom="1440" w:gutter="0" w:footer="0" w:header="0"/>
          <w:type w:val="continuous"/>
        </w:sectPr>
      </w:pPr>
    </w:p>
    <w:bookmarkStart w:id="11" w:name="page12"/>
    <w:bookmarkEnd w:id="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2" w:lineRule="exact"/>
        <w:rPr>
          <w:sz w:val="20"/>
          <w:szCs w:val="20"/>
          <w:color w:val="auto"/>
        </w:rPr>
      </w:pPr>
    </w:p>
    <w:p>
      <w:pPr>
        <w:ind w:left="40"/>
        <w:spacing w:after="0"/>
        <w:rPr>
          <w:sz w:val="20"/>
          <w:szCs w:val="20"/>
          <w:color w:val="auto"/>
        </w:rPr>
      </w:pPr>
      <w:r>
        <w:rPr>
          <w:rFonts w:ascii="Arial" w:cs="Arial" w:eastAsia="Arial" w:hAnsi="Arial"/>
          <w:sz w:val="13"/>
          <w:szCs w:val="13"/>
          <w:b w:val="1"/>
          <w:bCs w:val="1"/>
          <w:i w:val="1"/>
          <w:iCs w:val="1"/>
          <w:color w:val="auto"/>
        </w:rPr>
        <w:t>Recently Issued Accounting Standards Not Yet Adopted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57150</wp:posOffset>
            </wp:positionV>
            <wp:extent cx="72466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p>
      <w:pPr>
        <w:spacing w:after="0" w:line="319" w:lineRule="exact"/>
        <w:rPr>
          <w:sz w:val="20"/>
          <w:szCs w:val="20"/>
          <w:color w:val="auto"/>
        </w:rPr>
      </w:pPr>
    </w:p>
    <w:p>
      <w:pPr>
        <w:ind w:left="840"/>
        <w:spacing w:after="0"/>
        <w:rPr>
          <w:sz w:val="20"/>
          <w:szCs w:val="20"/>
          <w:color w:val="auto"/>
        </w:rPr>
      </w:pPr>
      <w:r>
        <w:rPr>
          <w:rFonts w:ascii="Arial" w:cs="Arial" w:eastAsia="Arial" w:hAnsi="Arial"/>
          <w:sz w:val="16"/>
          <w:szCs w:val="16"/>
          <w:b w:val="1"/>
          <w:bCs w:val="1"/>
          <w:color w:val="auto"/>
        </w:rPr>
        <w:t>Standard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145796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457960" cy="8890"/>
                    </a:xfrm>
                    <a:prstGeom prst="rect">
                      <a:avLst/>
                    </a:prstGeom>
                    <a:noFill/>
                  </pic:spPr>
                </pic:pic>
              </a:graphicData>
            </a:graphic>
          </wp:anchor>
        </w:drawing>
      </w:r>
    </w:p>
    <w:p>
      <w:pPr>
        <w:spacing w:after="0" w:line="70" w:lineRule="exact"/>
        <w:rPr>
          <w:sz w:val="20"/>
          <w:szCs w:val="20"/>
          <w:color w:val="auto"/>
        </w:rPr>
      </w:pPr>
    </w:p>
    <w:p>
      <w:pPr>
        <w:ind w:left="40"/>
        <w:spacing w:after="0" w:line="297" w:lineRule="auto"/>
        <w:rPr>
          <w:sz w:val="20"/>
          <w:szCs w:val="20"/>
          <w:color w:val="auto"/>
        </w:rPr>
      </w:pPr>
      <w:r>
        <w:rPr>
          <w:rFonts w:ascii="Arial" w:cs="Arial" w:eastAsia="Arial" w:hAnsi="Arial"/>
          <w:sz w:val="15"/>
          <w:szCs w:val="15"/>
          <w:color w:val="auto"/>
        </w:rPr>
        <w:t xml:space="preserve">ASU 2018-14, </w:t>
      </w:r>
      <w:r>
        <w:rPr>
          <w:rFonts w:ascii="Arial" w:cs="Arial" w:eastAsia="Arial" w:hAnsi="Arial"/>
          <w:sz w:val="15"/>
          <w:szCs w:val="15"/>
          <w:i w:val="1"/>
          <w:iCs w:val="1"/>
          <w:color w:val="auto"/>
        </w:rPr>
        <w:t>Compensation-Retirement Benefits-Defined Benefit Plans-General (Subtopic 715-20)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1153795</wp:posOffset>
            </wp:positionV>
            <wp:extent cx="145796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45796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9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3"/>
        </w:trPr>
        <w:tc>
          <w:tcPr>
            <w:tcW w:w="3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ind w:left="300"/>
              <w:spacing w:after="0"/>
              <w:rPr>
                <w:sz w:val="20"/>
                <w:szCs w:val="20"/>
                <w:color w:val="auto"/>
              </w:rPr>
            </w:pPr>
            <w:r>
              <w:rPr>
                <w:rFonts w:ascii="Arial" w:cs="Arial" w:eastAsia="Arial" w:hAnsi="Arial"/>
                <w:sz w:val="16"/>
                <w:szCs w:val="16"/>
                <w:b w:val="1"/>
                <w:bCs w:val="1"/>
                <w:color w:val="auto"/>
              </w:rPr>
              <w:t>Effect on the Financial Statements or Other</w:t>
            </w:r>
          </w:p>
        </w:tc>
      </w:tr>
      <w:tr>
        <w:trPr>
          <w:trHeight w:val="210"/>
        </w:trPr>
        <w:tc>
          <w:tcPr>
            <w:tcW w:w="3880" w:type="dxa"/>
            <w:vAlign w:val="bottom"/>
            <w:gridSpan w:val="2"/>
          </w:tcPr>
          <w:p>
            <w:pPr>
              <w:ind w:left="1480"/>
              <w:spacing w:after="0"/>
              <w:rPr>
                <w:sz w:val="20"/>
                <w:szCs w:val="20"/>
                <w:color w:val="auto"/>
              </w:rPr>
            </w:pPr>
            <w:r>
              <w:rPr>
                <w:rFonts w:ascii="Arial" w:cs="Arial" w:eastAsia="Arial" w:hAnsi="Arial"/>
                <w:sz w:val="16"/>
                <w:szCs w:val="16"/>
                <w:b w:val="1"/>
                <w:bCs w:val="1"/>
                <w:color w:val="auto"/>
              </w:rPr>
              <w:t>Description</w:t>
            </w:r>
          </w:p>
        </w:tc>
        <w:tc>
          <w:tcPr>
            <w:tcW w:w="1480" w:type="dxa"/>
            <w:vAlign w:val="bottom"/>
            <w:gridSpan w:val="2"/>
          </w:tcPr>
          <w:p>
            <w:pPr>
              <w:ind w:left="200"/>
              <w:spacing w:after="0"/>
              <w:rPr>
                <w:sz w:val="20"/>
                <w:szCs w:val="20"/>
                <w:color w:val="auto"/>
              </w:rPr>
            </w:pPr>
            <w:r>
              <w:rPr>
                <w:rFonts w:ascii="Arial" w:cs="Arial" w:eastAsia="Arial" w:hAnsi="Arial"/>
                <w:sz w:val="16"/>
                <w:szCs w:val="16"/>
                <w:b w:val="1"/>
                <w:bCs w:val="1"/>
                <w:color w:val="auto"/>
              </w:rPr>
              <w:t>Effective Date</w:t>
            </w:r>
          </w:p>
        </w:tc>
        <w:tc>
          <w:tcPr>
            <w:tcW w:w="3640" w:type="dxa"/>
            <w:vAlign w:val="bottom"/>
          </w:tcPr>
          <w:p>
            <w:pPr>
              <w:ind w:left="1140"/>
              <w:spacing w:after="0"/>
              <w:rPr>
                <w:sz w:val="20"/>
                <w:szCs w:val="20"/>
                <w:color w:val="auto"/>
              </w:rPr>
            </w:pPr>
            <w:r>
              <w:rPr>
                <w:rFonts w:ascii="Arial" w:cs="Arial" w:eastAsia="Arial" w:hAnsi="Arial"/>
                <w:sz w:val="16"/>
                <w:szCs w:val="16"/>
                <w:b w:val="1"/>
                <w:bCs w:val="1"/>
                <w:color w:val="auto"/>
              </w:rPr>
              <w:t>Significant Matters</w:t>
            </w:r>
          </w:p>
        </w:tc>
      </w:tr>
      <w:tr>
        <w:trPr>
          <w:trHeight w:val="33"/>
        </w:trPr>
        <w:tc>
          <w:tcPr>
            <w:tcW w:w="3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40" w:type="dxa"/>
            <w:vAlign w:val="bottom"/>
            <w:tcBorders>
              <w:bottom w:val="single" w:sz="8" w:color="auto"/>
            </w:tcBorders>
          </w:tcPr>
          <w:p>
            <w:pPr>
              <w:spacing w:after="0"/>
              <w:rPr>
                <w:sz w:val="2"/>
                <w:szCs w:val="2"/>
                <w:color w:val="auto"/>
              </w:rPr>
            </w:pPr>
          </w:p>
        </w:tc>
      </w:tr>
      <w:tr>
        <w:trPr>
          <w:trHeight w:val="21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9"/>
              </w:rPr>
              <w:t>The standard modifies the disclosure requirements for</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December 31,</w:t>
            </w:r>
          </w:p>
        </w:tc>
        <w:tc>
          <w:tcPr>
            <w:tcW w:w="3640" w:type="dxa"/>
            <w:vAlign w:val="bottom"/>
          </w:tcPr>
          <w:p>
            <w:pPr>
              <w:ind w:left="20"/>
              <w:spacing w:after="0"/>
              <w:rPr>
                <w:sz w:val="20"/>
                <w:szCs w:val="20"/>
                <w:color w:val="auto"/>
              </w:rPr>
            </w:pPr>
            <w:r>
              <w:rPr>
                <w:rFonts w:ascii="Arial" w:cs="Arial" w:eastAsia="Arial" w:hAnsi="Arial"/>
                <w:sz w:val="16"/>
                <w:szCs w:val="16"/>
                <w:color w:val="auto"/>
              </w:rPr>
              <w:t>The Company does not expect the adoption of this</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6"/>
              </w:rPr>
              <w:t>employers that sponsor defined benefit pension or other</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2020; early</w:t>
            </w:r>
          </w:p>
        </w:tc>
        <w:tc>
          <w:tcPr>
            <w:tcW w:w="3640" w:type="dxa"/>
            <w:vAlign w:val="bottom"/>
          </w:tcPr>
          <w:p>
            <w:pPr>
              <w:ind w:left="20"/>
              <w:spacing w:after="0"/>
              <w:rPr>
                <w:sz w:val="20"/>
                <w:szCs w:val="20"/>
                <w:color w:val="auto"/>
              </w:rPr>
            </w:pPr>
            <w:r>
              <w:rPr>
                <w:rFonts w:ascii="Arial" w:cs="Arial" w:eastAsia="Arial" w:hAnsi="Arial"/>
                <w:sz w:val="16"/>
                <w:szCs w:val="16"/>
                <w:color w:val="auto"/>
                <w:w w:val="95"/>
              </w:rPr>
              <w:t>standard to have a material impact on its disclosures.</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postretirement benefit plans. The guidance removes</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adoption is</w:t>
            </w:r>
          </w:p>
        </w:tc>
        <w:tc>
          <w:tcPr>
            <w:tcW w:w="3640" w:type="dxa"/>
            <w:vAlign w:val="bottom"/>
          </w:tcPr>
          <w:p>
            <w:pPr>
              <w:ind w:left="20"/>
              <w:spacing w:after="0"/>
              <w:rPr>
                <w:sz w:val="20"/>
                <w:szCs w:val="20"/>
                <w:color w:val="auto"/>
              </w:rPr>
            </w:pPr>
            <w:r>
              <w:rPr>
                <w:rFonts w:ascii="Arial" w:cs="Arial" w:eastAsia="Arial" w:hAnsi="Arial"/>
                <w:sz w:val="16"/>
                <w:szCs w:val="16"/>
                <w:color w:val="auto"/>
                <w:w w:val="99"/>
              </w:rPr>
              <w:t>The Company currently plans to adopt this ASU on</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4"/>
              </w:rPr>
              <w:t>disclosures that are no longer considered cost beneficial.</w:t>
            </w:r>
          </w:p>
        </w:tc>
        <w:tc>
          <w:tcPr>
            <w:tcW w:w="1480" w:type="dxa"/>
            <w:vAlign w:val="bottom"/>
            <w:gridSpan w:val="2"/>
          </w:tcPr>
          <w:p>
            <w:pPr>
              <w:ind w:left="20"/>
              <w:spacing w:after="0"/>
              <w:rPr>
                <w:sz w:val="20"/>
                <w:szCs w:val="20"/>
                <w:color w:val="auto"/>
              </w:rPr>
            </w:pPr>
            <w:r>
              <w:rPr>
                <w:rFonts w:ascii="Arial" w:cs="Arial" w:eastAsia="Arial" w:hAnsi="Arial"/>
                <w:sz w:val="16"/>
                <w:szCs w:val="16"/>
                <w:color w:val="auto"/>
              </w:rPr>
              <w:t>permitted</w:t>
            </w:r>
          </w:p>
        </w:tc>
        <w:tc>
          <w:tcPr>
            <w:tcW w:w="3640" w:type="dxa"/>
            <w:vAlign w:val="bottom"/>
          </w:tcPr>
          <w:p>
            <w:pPr>
              <w:ind w:left="20"/>
              <w:spacing w:after="0"/>
              <w:rPr>
                <w:sz w:val="20"/>
                <w:szCs w:val="20"/>
                <w:color w:val="auto"/>
              </w:rPr>
            </w:pPr>
            <w:r>
              <w:rPr>
                <w:rFonts w:ascii="Arial" w:cs="Arial" w:eastAsia="Arial" w:hAnsi="Arial"/>
                <w:sz w:val="16"/>
                <w:szCs w:val="16"/>
                <w:color w:val="auto"/>
              </w:rPr>
              <w:t>December 31, 2020.</w:t>
            </w: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5"/>
              </w:rPr>
              <w:t>This standard requires new disclosures for the weighted-</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9"/>
              </w:rPr>
              <w:t>average interest crediting rates for cash balance plans</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and other plans with promised interest crediting rates</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9"/>
              </w:rPr>
              <w:t>and an explanation of the reasons for significant gains</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4"/>
              </w:rPr>
              <w:t>and losses related to changes in the benefit obligation for</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w w:val="96"/>
              </w:rPr>
              <w:t>the period. The amendments in this update are effective</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for fiscal years ending after December 15, 2020. The</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3"/>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amendments in this update should be applied on a</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r>
        <w:trPr>
          <w:trHeight w:val="206"/>
        </w:trPr>
        <w:tc>
          <w:tcPr>
            <w:tcW w:w="3880" w:type="dxa"/>
            <w:vAlign w:val="bottom"/>
            <w:gridSpan w:val="2"/>
          </w:tcPr>
          <w:p>
            <w:pPr>
              <w:ind w:left="40"/>
              <w:spacing w:after="0"/>
              <w:rPr>
                <w:sz w:val="20"/>
                <w:szCs w:val="20"/>
                <w:color w:val="auto"/>
              </w:rPr>
            </w:pPr>
            <w:r>
              <w:rPr>
                <w:rFonts w:ascii="Arial" w:cs="Arial" w:eastAsia="Arial" w:hAnsi="Arial"/>
                <w:sz w:val="16"/>
                <w:szCs w:val="16"/>
                <w:color w:val="auto"/>
              </w:rPr>
              <w:t>retrospective basis to all periods presented.</w:t>
            </w: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40" w:type="dxa"/>
            <w:vAlign w:val="bottom"/>
          </w:tcPr>
          <w:p>
            <w:pPr>
              <w:spacing w:after="0"/>
              <w:rPr>
                <w:sz w:val="17"/>
                <w:szCs w:val="1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wp:posOffset>
            </wp:positionV>
            <wp:extent cx="571119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11190" cy="8890"/>
                    </a:xfrm>
                    <a:prstGeom prst="rect">
                      <a:avLst/>
                    </a:prstGeom>
                    <a:noFill/>
                  </pic:spPr>
                </pic:pic>
              </a:graphicData>
            </a:graphic>
          </wp:anchor>
        </w:drawing>
      </w:r>
    </w:p>
    <w:p>
      <w:pPr>
        <w:spacing w:after="0" w:line="64" w:lineRule="exact"/>
        <w:rPr>
          <w:sz w:val="20"/>
          <w:szCs w:val="20"/>
          <w:color w:val="auto"/>
        </w:rPr>
      </w:pPr>
    </w:p>
    <w:p>
      <w:pPr>
        <w:sectPr>
          <w:pgSz w:w="11900" w:h="16838" w:orient="portrait"/>
          <w:cols w:equalWidth="0" w:num="2">
            <w:col w:w="2160" w:space="260"/>
            <w:col w:w="9000"/>
          </w:cols>
          <w:pgMar w:left="240" w:top="341" w:right="239" w:bottom="1440" w:gutter="0" w:footer="0" w:header="0"/>
          <w:type w:val="continuous"/>
        </w:sectPr>
      </w:pPr>
    </w:p>
    <w:tbl>
      <w:tblPr>
        <w:tblLayout w:type="fixed"/>
        <w:tblInd w:w="40" w:type="dxa"/>
        <w:tblCellMar>
          <w:top w:w="0" w:type="dxa"/>
          <w:left w:w="0" w:type="dxa"/>
          <w:bottom w:w="0" w:type="dxa"/>
          <w:right w:w="0" w:type="dxa"/>
        </w:tblCellMar>
      </w:tblPr>
      <w:tr>
        <w:trPr>
          <w:trHeight w:val="203"/>
        </w:trPr>
        <w:tc>
          <w:tcPr>
            <w:tcW w:w="2300" w:type="dxa"/>
            <w:vAlign w:val="bottom"/>
          </w:tcPr>
          <w:p>
            <w:pPr>
              <w:spacing w:after="0"/>
              <w:rPr>
                <w:sz w:val="20"/>
                <w:szCs w:val="20"/>
                <w:color w:val="auto"/>
              </w:rPr>
            </w:pPr>
            <w:r>
              <w:rPr>
                <w:rFonts w:ascii="Arial" w:cs="Arial" w:eastAsia="Arial" w:hAnsi="Arial"/>
                <w:sz w:val="16"/>
                <w:szCs w:val="16"/>
                <w:color w:val="auto"/>
              </w:rPr>
              <w:t xml:space="preserve">ASU 2018-15, </w:t>
            </w:r>
            <w:r>
              <w:rPr>
                <w:rFonts w:ascii="Arial" w:cs="Arial" w:eastAsia="Arial" w:hAnsi="Arial"/>
                <w:sz w:val="16"/>
                <w:szCs w:val="16"/>
                <w:i w:val="1"/>
                <w:iCs w:val="1"/>
                <w:color w:val="auto"/>
              </w:rPr>
              <w:t>Intangibles-</w:t>
            </w:r>
          </w:p>
        </w:tc>
        <w:tc>
          <w:tcPr>
            <w:tcW w:w="3880" w:type="dxa"/>
            <w:vAlign w:val="bottom"/>
          </w:tcPr>
          <w:p>
            <w:pPr>
              <w:ind w:left="120"/>
              <w:spacing w:after="0"/>
              <w:rPr>
                <w:sz w:val="20"/>
                <w:szCs w:val="20"/>
                <w:color w:val="auto"/>
              </w:rPr>
            </w:pPr>
            <w:r>
              <w:rPr>
                <w:rFonts w:ascii="Arial" w:cs="Arial" w:eastAsia="Arial" w:hAnsi="Arial"/>
                <w:sz w:val="16"/>
                <w:szCs w:val="16"/>
                <w:color w:val="auto"/>
              </w:rPr>
              <w:t>The standard aligns the requirements for capitalizing</w:t>
            </w:r>
          </w:p>
        </w:tc>
        <w:tc>
          <w:tcPr>
            <w:tcW w:w="1380" w:type="dxa"/>
            <w:vAlign w:val="bottom"/>
          </w:tcPr>
          <w:p>
            <w:pPr>
              <w:ind w:left="100"/>
              <w:spacing w:after="0"/>
              <w:rPr>
                <w:sz w:val="20"/>
                <w:szCs w:val="20"/>
                <w:color w:val="auto"/>
              </w:rPr>
            </w:pPr>
            <w:r>
              <w:rPr>
                <w:rFonts w:ascii="Arial" w:cs="Arial" w:eastAsia="Arial" w:hAnsi="Arial"/>
                <w:sz w:val="16"/>
                <w:szCs w:val="16"/>
                <w:color w:val="auto"/>
              </w:rPr>
              <w:t>January 1, 2020;</w:t>
            </w:r>
          </w:p>
        </w:tc>
        <w:tc>
          <w:tcPr>
            <w:tcW w:w="3800" w:type="dxa"/>
            <w:vAlign w:val="bottom"/>
          </w:tcPr>
          <w:p>
            <w:pPr>
              <w:ind w:left="200"/>
              <w:spacing w:after="0"/>
              <w:rPr>
                <w:sz w:val="20"/>
                <w:szCs w:val="20"/>
                <w:color w:val="auto"/>
              </w:rPr>
            </w:pPr>
            <w:r>
              <w:rPr>
                <w:rFonts w:ascii="Arial" w:cs="Arial" w:eastAsia="Arial" w:hAnsi="Arial"/>
                <w:sz w:val="16"/>
                <w:szCs w:val="16"/>
                <w:color w:val="auto"/>
              </w:rPr>
              <w:t>The Company does not expect the adoption of this</w:t>
            </w:r>
          </w:p>
        </w:tc>
      </w:tr>
      <w:tr>
        <w:trPr>
          <w:trHeight w:val="203"/>
        </w:trPr>
        <w:tc>
          <w:tcPr>
            <w:tcW w:w="2300" w:type="dxa"/>
            <w:vAlign w:val="bottom"/>
          </w:tcPr>
          <w:p>
            <w:pPr>
              <w:spacing w:after="0"/>
              <w:rPr>
                <w:sz w:val="20"/>
                <w:szCs w:val="20"/>
                <w:color w:val="auto"/>
              </w:rPr>
            </w:pPr>
            <w:r>
              <w:rPr>
                <w:rFonts w:ascii="Arial" w:cs="Arial" w:eastAsia="Arial" w:hAnsi="Arial"/>
                <w:sz w:val="16"/>
                <w:szCs w:val="16"/>
                <w:i w:val="1"/>
                <w:iCs w:val="1"/>
                <w:color w:val="auto"/>
                <w:w w:val="99"/>
              </w:rPr>
              <w:t>Goodwill and Other-Internal-Use</w:t>
            </w:r>
          </w:p>
        </w:tc>
        <w:tc>
          <w:tcPr>
            <w:tcW w:w="3880" w:type="dxa"/>
            <w:vAlign w:val="bottom"/>
          </w:tcPr>
          <w:p>
            <w:pPr>
              <w:ind w:left="120"/>
              <w:spacing w:after="0"/>
              <w:rPr>
                <w:sz w:val="20"/>
                <w:szCs w:val="20"/>
                <w:color w:val="auto"/>
              </w:rPr>
            </w:pPr>
            <w:r>
              <w:rPr>
                <w:rFonts w:ascii="Arial" w:cs="Arial" w:eastAsia="Arial" w:hAnsi="Arial"/>
                <w:sz w:val="16"/>
                <w:szCs w:val="16"/>
                <w:color w:val="auto"/>
                <w:w w:val="94"/>
              </w:rPr>
              <w:t>implementation costs incurred in a hosting arrangement</w:t>
            </w:r>
          </w:p>
        </w:tc>
        <w:tc>
          <w:tcPr>
            <w:tcW w:w="1380" w:type="dxa"/>
            <w:vAlign w:val="bottom"/>
          </w:tcPr>
          <w:p>
            <w:pPr>
              <w:ind w:left="100"/>
              <w:spacing w:after="0"/>
              <w:rPr>
                <w:sz w:val="20"/>
                <w:szCs w:val="20"/>
                <w:color w:val="auto"/>
              </w:rPr>
            </w:pPr>
            <w:r>
              <w:rPr>
                <w:rFonts w:ascii="Arial" w:cs="Arial" w:eastAsia="Arial" w:hAnsi="Arial"/>
                <w:sz w:val="16"/>
                <w:szCs w:val="16"/>
                <w:color w:val="auto"/>
              </w:rPr>
              <w:t>early adoption is</w:t>
            </w:r>
          </w:p>
        </w:tc>
        <w:tc>
          <w:tcPr>
            <w:tcW w:w="3800" w:type="dxa"/>
            <w:vAlign w:val="bottom"/>
          </w:tcPr>
          <w:p>
            <w:pPr>
              <w:ind w:left="200"/>
              <w:spacing w:after="0"/>
              <w:rPr>
                <w:sz w:val="20"/>
                <w:szCs w:val="20"/>
                <w:color w:val="auto"/>
              </w:rPr>
            </w:pPr>
            <w:r>
              <w:rPr>
                <w:rFonts w:ascii="Arial" w:cs="Arial" w:eastAsia="Arial" w:hAnsi="Arial"/>
                <w:sz w:val="16"/>
                <w:szCs w:val="16"/>
                <w:color w:val="auto"/>
                <w:w w:val="92"/>
              </w:rPr>
              <w:t>standard to have a material impact on its Consolidated</w:t>
            </w:r>
          </w:p>
        </w:tc>
      </w:tr>
      <w:tr>
        <w:trPr>
          <w:trHeight w:val="203"/>
        </w:trPr>
        <w:tc>
          <w:tcPr>
            <w:tcW w:w="2300" w:type="dxa"/>
            <w:vAlign w:val="bottom"/>
          </w:tcPr>
          <w:p>
            <w:pPr>
              <w:spacing w:after="0"/>
              <w:rPr>
                <w:sz w:val="20"/>
                <w:szCs w:val="20"/>
                <w:color w:val="auto"/>
              </w:rPr>
            </w:pPr>
            <w:r>
              <w:rPr>
                <w:rFonts w:ascii="Arial" w:cs="Arial" w:eastAsia="Arial" w:hAnsi="Arial"/>
                <w:sz w:val="16"/>
                <w:szCs w:val="16"/>
                <w:i w:val="1"/>
                <w:iCs w:val="1"/>
                <w:color w:val="auto"/>
              </w:rPr>
              <w:t>Software (Subtopic 350-40)</w:t>
            </w:r>
          </w:p>
        </w:tc>
        <w:tc>
          <w:tcPr>
            <w:tcW w:w="3880" w:type="dxa"/>
            <w:vAlign w:val="bottom"/>
          </w:tcPr>
          <w:p>
            <w:pPr>
              <w:ind w:left="120"/>
              <w:spacing w:after="0"/>
              <w:rPr>
                <w:sz w:val="20"/>
                <w:szCs w:val="20"/>
                <w:color w:val="auto"/>
              </w:rPr>
            </w:pPr>
            <w:r>
              <w:rPr>
                <w:rFonts w:ascii="Arial" w:cs="Arial" w:eastAsia="Arial" w:hAnsi="Arial"/>
                <w:sz w:val="16"/>
                <w:szCs w:val="16"/>
                <w:color w:val="auto"/>
              </w:rPr>
              <w:t>that is a service contract with the requirements for</w:t>
            </w:r>
          </w:p>
        </w:tc>
        <w:tc>
          <w:tcPr>
            <w:tcW w:w="1380" w:type="dxa"/>
            <w:vAlign w:val="bottom"/>
          </w:tcPr>
          <w:p>
            <w:pPr>
              <w:ind w:left="100"/>
              <w:spacing w:after="0"/>
              <w:rPr>
                <w:sz w:val="20"/>
                <w:szCs w:val="20"/>
                <w:color w:val="auto"/>
              </w:rPr>
            </w:pPr>
            <w:r>
              <w:rPr>
                <w:rFonts w:ascii="Arial" w:cs="Arial" w:eastAsia="Arial" w:hAnsi="Arial"/>
                <w:sz w:val="16"/>
                <w:szCs w:val="16"/>
                <w:color w:val="auto"/>
              </w:rPr>
              <w:t>permitted</w:t>
            </w:r>
          </w:p>
        </w:tc>
        <w:tc>
          <w:tcPr>
            <w:tcW w:w="3800" w:type="dxa"/>
            <w:vAlign w:val="bottom"/>
          </w:tcPr>
          <w:p>
            <w:pPr>
              <w:ind w:left="200"/>
              <w:spacing w:after="0"/>
              <w:rPr>
                <w:sz w:val="20"/>
                <w:szCs w:val="20"/>
                <w:color w:val="auto"/>
              </w:rPr>
            </w:pPr>
            <w:r>
              <w:rPr>
                <w:rFonts w:ascii="Arial" w:cs="Arial" w:eastAsia="Arial" w:hAnsi="Arial"/>
                <w:sz w:val="16"/>
                <w:szCs w:val="16"/>
                <w:color w:val="auto"/>
              </w:rPr>
              <w:t>Financial Statements and related disclosures. The</w:t>
            </w: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w w:val="95"/>
              </w:rPr>
              <w:t>capitalizing implementation costs incurred to develop or</w:t>
            </w:r>
          </w:p>
        </w:tc>
        <w:tc>
          <w:tcPr>
            <w:tcW w:w="1380" w:type="dxa"/>
            <w:vAlign w:val="bottom"/>
          </w:tcPr>
          <w:p>
            <w:pPr>
              <w:spacing w:after="0"/>
              <w:rPr>
                <w:sz w:val="17"/>
                <w:szCs w:val="17"/>
                <w:color w:val="auto"/>
              </w:rPr>
            </w:pPr>
          </w:p>
        </w:tc>
        <w:tc>
          <w:tcPr>
            <w:tcW w:w="3800" w:type="dxa"/>
            <w:vAlign w:val="bottom"/>
          </w:tcPr>
          <w:p>
            <w:pPr>
              <w:ind w:left="200"/>
              <w:spacing w:after="0"/>
              <w:rPr>
                <w:sz w:val="20"/>
                <w:szCs w:val="20"/>
                <w:color w:val="auto"/>
              </w:rPr>
            </w:pPr>
            <w:r>
              <w:rPr>
                <w:rFonts w:ascii="Arial" w:cs="Arial" w:eastAsia="Arial" w:hAnsi="Arial"/>
                <w:sz w:val="16"/>
                <w:szCs w:val="16"/>
                <w:color w:val="auto"/>
                <w:w w:val="91"/>
              </w:rPr>
              <w:t>Company currently plans to adopt this ASU on January</w:t>
            </w: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w w:val="99"/>
              </w:rPr>
              <w:t>obtain internal-use software. The amendments in this</w:t>
            </w:r>
          </w:p>
        </w:tc>
        <w:tc>
          <w:tcPr>
            <w:tcW w:w="1380" w:type="dxa"/>
            <w:vAlign w:val="bottom"/>
          </w:tcPr>
          <w:p>
            <w:pPr>
              <w:spacing w:after="0"/>
              <w:rPr>
                <w:sz w:val="17"/>
                <w:szCs w:val="17"/>
                <w:color w:val="auto"/>
              </w:rPr>
            </w:pPr>
          </w:p>
        </w:tc>
        <w:tc>
          <w:tcPr>
            <w:tcW w:w="3800" w:type="dxa"/>
            <w:vAlign w:val="bottom"/>
          </w:tcPr>
          <w:p>
            <w:pPr>
              <w:ind w:left="200"/>
              <w:spacing w:after="0"/>
              <w:rPr>
                <w:sz w:val="20"/>
                <w:szCs w:val="20"/>
                <w:color w:val="auto"/>
              </w:rPr>
            </w:pPr>
            <w:r>
              <w:rPr>
                <w:rFonts w:ascii="Arial" w:cs="Arial" w:eastAsia="Arial" w:hAnsi="Arial"/>
                <w:sz w:val="16"/>
                <w:szCs w:val="16"/>
                <w:color w:val="auto"/>
              </w:rPr>
              <w:t>1, 2020.</w:t>
            </w: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w w:val="98"/>
              </w:rPr>
              <w:t>update also require companies to expense capitalized</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rPr>
              <w:t>implementation costs over the term of the hosting</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rPr>
              <w:t>arrangement, including periods covered by renewal</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w w:val="94"/>
              </w:rPr>
              <w:t>options that are reasonably certain to be exercised. The</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w w:val="92"/>
              </w:rPr>
              <w:t>amendments also stipulate presentation requirements for</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rPr>
              <w:t>the Statement of Operations, Balance Sheet and</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rPr>
              <w:t>Statement of Cash Flows. The amendments in this</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rPr>
              <w:t>update are effective for fiscal years beginning after</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w w:val="99"/>
              </w:rPr>
              <w:t>December 15, 2019, and interim periods within those</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w w:val="96"/>
              </w:rPr>
              <w:t>fiscal years. The amendments in this update should be</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3"/>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rPr>
              <w:t>applied either retrospectively or prospectively to all</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r>
        <w:trPr>
          <w:trHeight w:val="206"/>
        </w:trPr>
        <w:tc>
          <w:tcPr>
            <w:tcW w:w="2300" w:type="dxa"/>
            <w:vAlign w:val="bottom"/>
          </w:tcPr>
          <w:p>
            <w:pPr>
              <w:spacing w:after="0"/>
              <w:rPr>
                <w:sz w:val="17"/>
                <w:szCs w:val="17"/>
                <w:color w:val="auto"/>
              </w:rPr>
            </w:pPr>
          </w:p>
        </w:tc>
        <w:tc>
          <w:tcPr>
            <w:tcW w:w="3880" w:type="dxa"/>
            <w:vAlign w:val="bottom"/>
          </w:tcPr>
          <w:p>
            <w:pPr>
              <w:ind w:left="120"/>
              <w:spacing w:after="0"/>
              <w:rPr>
                <w:sz w:val="20"/>
                <w:szCs w:val="20"/>
                <w:color w:val="auto"/>
              </w:rPr>
            </w:pPr>
            <w:r>
              <w:rPr>
                <w:rFonts w:ascii="Arial" w:cs="Arial" w:eastAsia="Arial" w:hAnsi="Arial"/>
                <w:sz w:val="16"/>
                <w:szCs w:val="16"/>
                <w:color w:val="auto"/>
                <w:w w:val="93"/>
              </w:rPr>
              <w:t>implementation costs incurred after the date of adoption.</w:t>
            </w:r>
          </w:p>
        </w:tc>
        <w:tc>
          <w:tcPr>
            <w:tcW w:w="1380" w:type="dxa"/>
            <w:vAlign w:val="bottom"/>
          </w:tcPr>
          <w:p>
            <w:pPr>
              <w:spacing w:after="0"/>
              <w:rPr>
                <w:sz w:val="17"/>
                <w:szCs w:val="17"/>
                <w:color w:val="auto"/>
              </w:rPr>
            </w:pPr>
          </w:p>
        </w:tc>
        <w:tc>
          <w:tcPr>
            <w:tcW w:w="3800" w:type="dxa"/>
            <w:vAlign w:val="bottom"/>
          </w:tcPr>
          <w:p>
            <w:pPr>
              <w:spacing w:after="0"/>
              <w:rPr>
                <w:sz w:val="17"/>
                <w:szCs w:val="1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 REVENUE RECOGNITION</w:t>
      </w:r>
    </w:p>
    <w:p>
      <w:pPr>
        <w:spacing w:after="0" w:line="224" w:lineRule="exact"/>
        <w:rPr>
          <w:sz w:val="20"/>
          <w:szCs w:val="20"/>
          <w:color w:val="auto"/>
        </w:rPr>
      </w:pPr>
    </w:p>
    <w:p>
      <w:pPr>
        <w:ind w:right="100" w:firstLine="648"/>
        <w:spacing w:after="0" w:line="272" w:lineRule="auto"/>
        <w:rPr>
          <w:sz w:val="20"/>
          <w:szCs w:val="20"/>
          <w:color w:val="auto"/>
        </w:rPr>
      </w:pPr>
      <w:r>
        <w:rPr>
          <w:rFonts w:ascii="Arial" w:cs="Arial" w:eastAsia="Arial" w:hAnsi="Arial"/>
          <w:sz w:val="17"/>
          <w:szCs w:val="17"/>
          <w:color w:val="auto"/>
        </w:rPr>
        <w:t xml:space="preserve">The Company adopted ASU 2014-09, </w:t>
      </w:r>
      <w:r>
        <w:rPr>
          <w:rFonts w:ascii="Arial" w:cs="Arial" w:eastAsia="Arial" w:hAnsi="Arial"/>
          <w:sz w:val="17"/>
          <w:szCs w:val="17"/>
          <w:i w:val="1"/>
          <w:iCs w:val="1"/>
          <w:color w:val="auto"/>
        </w:rPr>
        <w:t>Revenue from Contracts with Customers (Topic 606)</w:t>
      </w:r>
      <w:r>
        <w:rPr>
          <w:rFonts w:ascii="Arial" w:cs="Arial" w:eastAsia="Arial" w:hAnsi="Arial"/>
          <w:sz w:val="17"/>
          <w:szCs w:val="17"/>
          <w:color w:val="auto"/>
        </w:rPr>
        <w:t xml:space="preserve"> ("Topic 606") on January 1, 2018 using the modified retrospective method for all contracts not completed as of the date of adoption, with no impact to the opening retained earnings. The Company elected to adopt certain practical expedients outlined in Topic 606. As such, Veritiv does not include sales tax in the transaction price and does recognize revenue in the amount to which it has a right to invoice the customer as it believes that amount corresponds directly with the value provided to the customer. Additionally, Veritiv utilized certain exceptions allowed under Topic 606, including: (i) not assessing whether promised goods or services are performance obligations if they are immaterial in the context of the contract with the customer and (ii) not disclosing the value of unsatisfied performance obligations for contracts with an original estimated length of time to convert of one year or less.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22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Veritiv applies the five step model to assess its contracts with customers. The Company's revenue is reported as net sales and is measured as the determinable transaction price, net of any variable consideration (e.g., sales incentives and rights to return product) and any taxes collected from customers and remitted to governmental authorities.</w:t>
      </w:r>
    </w:p>
    <w:p>
      <w:pPr>
        <w:spacing w:after="0" w:line="181"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When the Company enters into a sales arrangement with a customer, it believes it is probable that it will collect substantially all of the consideration to which it will be entitled in exchange for the goods or services that will be transferred</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341" w:right="239" w:bottom="1440" w:gutter="0" w:footer="0" w:header="0"/>
          <w:type w:val="continuous"/>
        </w:sectPr>
      </w:pPr>
    </w:p>
    <w:bookmarkStart w:id="12" w:name="page13"/>
    <w:bookmarkEnd w:id="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to the customer. When management cannot conclude collectability is probable for shipments to a particular customer, revenue associated with that customer is not recognized until cash is collected or management is otherwise able to establish that collectability is probable. The Company has established credit and collection processes whereby collection assessments are performed and allowances for bad debt are recognized. As a normal business practice, Veritiv does not enter into contracts that require more than one year to complete or that contain significant financing components.</w:t>
      </w:r>
    </w:p>
    <w:p>
      <w:pPr>
        <w:spacing w:after="0" w:line="171" w:lineRule="exact"/>
        <w:rPr>
          <w:sz w:val="20"/>
          <w:szCs w:val="20"/>
          <w:color w:val="auto"/>
        </w:rPr>
      </w:pPr>
    </w:p>
    <w:p>
      <w:pPr>
        <w:ind w:firstLine="648"/>
        <w:spacing w:after="0" w:line="312" w:lineRule="auto"/>
        <w:rPr>
          <w:sz w:val="20"/>
          <w:szCs w:val="20"/>
          <w:color w:val="auto"/>
        </w:rPr>
      </w:pPr>
      <w:r>
        <w:rPr>
          <w:rFonts w:ascii="Arial" w:cs="Arial" w:eastAsia="Arial" w:hAnsi="Arial"/>
          <w:sz w:val="16"/>
          <w:szCs w:val="16"/>
          <w:color w:val="auto"/>
        </w:rPr>
        <w:t>Additionally, Veritiv enters into incentive programs with certain of its customers, which are generally based on sales to those same customers. Veritiv follows the expected value method when estimating its retrospective incentives and records the estimated amount as a reduction to gross sales when revenue is recognized. Estimates of the variable consideration are based primarily on contract terms, current customer forecasts as well as historical experience.</w:t>
      </w:r>
    </w:p>
    <w:p>
      <w:pPr>
        <w:spacing w:after="0" w:line="147" w:lineRule="exact"/>
        <w:rPr>
          <w:sz w:val="20"/>
          <w:szCs w:val="20"/>
          <w:color w:val="auto"/>
        </w:rPr>
      </w:pPr>
    </w:p>
    <w:p>
      <w:pPr>
        <w:ind w:right="40" w:firstLine="648"/>
        <w:spacing w:after="0" w:line="312" w:lineRule="auto"/>
        <w:rPr>
          <w:sz w:val="20"/>
          <w:szCs w:val="20"/>
          <w:color w:val="auto"/>
        </w:rPr>
      </w:pPr>
      <w:r>
        <w:rPr>
          <w:rFonts w:ascii="Arial" w:cs="Arial" w:eastAsia="Arial" w:hAnsi="Arial"/>
          <w:sz w:val="16"/>
          <w:szCs w:val="16"/>
          <w:color w:val="auto"/>
        </w:rPr>
        <w:t>Customer product returns are estimated based on historical experience and the identification of specific events necessitating an adjustment. The estimated return value is recognized as a reduction of gross sales and related cost of products sold. The estimated inventory returns value is recognized as part of inventories, while the estimated customer refund liability is recognized as part of other accrued liabilities on the Condensed Consolidated Balance Sheets.</w:t>
      </w:r>
    </w:p>
    <w:p>
      <w:pPr>
        <w:spacing w:after="0" w:line="147"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A customer contract liability will arise when Veritiv has received payment for goods and services, but has not yet transferred the items to a customer and satisfied its performance obligations. Veritiv records a customer contract liability for performance obligations outstanding related to payments received in advance for customer deposits on equipment sales and its bill-and-hold arrangements. Veritiv expects to satisfy these remaining performance obligations and recognize the related revenues upon delivery of the goods and services to the customer's designated location within 12 months following receipt of the payment. Most equipment sales deposits are held for approximately 90 days and most bill-and-hold arrangements initially cover a 90 day period, but can be renewed by the customer.</w:t>
      </w:r>
    </w:p>
    <w:p>
      <w:pPr>
        <w:spacing w:after="0" w:line="193"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As of June 30, 2019 and December 31, 2018, the Company recognized estimated inventory returns of approximately $2.1 million and $2.5 million, respectively, which are included in inventories on the Condensed Consolidated Balance Sheets. Additionally, the Company recognized customer contract liabilities related to its customer deposits for equipment sales and payments received for bill-and-hold arrangements, which are included in accounts payable on the Condensed Consolidated Balance Sheets. See the table below for a summary of the changes to the customer contract liabilities for the six months ended June 30, 2019 and 2018:</w:t>
      </w:r>
    </w:p>
    <w:p>
      <w:pPr>
        <w:spacing w:after="0" w:line="346" w:lineRule="exact"/>
        <w:rPr>
          <w:sz w:val="20"/>
          <w:szCs w:val="20"/>
          <w:color w:val="auto"/>
        </w:rPr>
      </w:pPr>
    </w:p>
    <w:tbl>
      <w:tblPr>
        <w:tblLayout w:type="fixed"/>
        <w:tblInd w:w="1300" w:type="dxa"/>
        <w:tblCellMar>
          <w:top w:w="0" w:type="dxa"/>
          <w:left w:w="0" w:type="dxa"/>
          <w:bottom w:w="0" w:type="dxa"/>
          <w:right w:w="0" w:type="dxa"/>
        </w:tblCellMar>
      </w:tblPr>
      <w:tr>
        <w:trPr>
          <w:trHeight w:val="234"/>
        </w:trPr>
        <w:tc>
          <w:tcPr>
            <w:tcW w:w="56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80" w:type="dxa"/>
            <w:vAlign w:val="bottom"/>
            <w:gridSpan w:val="4"/>
          </w:tcPr>
          <w:p>
            <w:pPr>
              <w:jc w:val="right"/>
              <w:ind w:right="310"/>
              <w:spacing w:after="0"/>
              <w:rPr>
                <w:sz w:val="20"/>
                <w:szCs w:val="20"/>
                <w:color w:val="auto"/>
              </w:rPr>
            </w:pPr>
            <w:r>
              <w:rPr>
                <w:rFonts w:ascii="Arial" w:cs="Arial" w:eastAsia="Arial" w:hAnsi="Arial"/>
                <w:sz w:val="18"/>
                <w:szCs w:val="18"/>
                <w:b w:val="1"/>
                <w:bCs w:val="1"/>
                <w:color w:val="auto"/>
                <w:w w:val="97"/>
              </w:rPr>
              <w:t>Customer Contract Liabilities</w:t>
            </w:r>
          </w:p>
        </w:tc>
      </w:tr>
      <w:tr>
        <w:trPr>
          <w:trHeight w:val="27"/>
        </w:trPr>
        <w:tc>
          <w:tcPr>
            <w:tcW w:w="56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566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80" w:type="dxa"/>
            <w:vAlign w:val="bottom"/>
          </w:tcPr>
          <w:p>
            <w:pPr>
              <w:spacing w:after="0"/>
              <w:rPr>
                <w:sz w:val="20"/>
                <w:szCs w:val="20"/>
                <w:color w:val="auto"/>
              </w:rPr>
            </w:pPr>
          </w:p>
        </w:tc>
        <w:tc>
          <w:tcPr>
            <w:tcW w:w="1240" w:type="dxa"/>
            <w:vAlign w:val="bottom"/>
          </w:tcPr>
          <w:p>
            <w:pPr>
              <w:jc w:val="right"/>
              <w:ind w:right="49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r>
      <w:tr>
        <w:trPr>
          <w:trHeight w:val="27"/>
        </w:trPr>
        <w:tc>
          <w:tcPr>
            <w:tcW w:w="56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44"/>
        </w:trPr>
        <w:tc>
          <w:tcPr>
            <w:tcW w:w="5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January 1</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20.5</w:t>
            </w:r>
          </w:p>
        </w:tc>
      </w:tr>
      <w:tr>
        <w:trPr>
          <w:trHeight w:val="243"/>
        </w:trPr>
        <w:tc>
          <w:tcPr>
            <w:tcW w:w="5660" w:type="dxa"/>
            <w:vAlign w:val="bottom"/>
          </w:tcPr>
          <w:p>
            <w:pPr>
              <w:ind w:left="220"/>
              <w:spacing w:after="0"/>
              <w:rPr>
                <w:sz w:val="20"/>
                <w:szCs w:val="20"/>
                <w:color w:val="auto"/>
              </w:rPr>
            </w:pPr>
            <w:r>
              <w:rPr>
                <w:rFonts w:ascii="Arial" w:cs="Arial" w:eastAsia="Arial" w:hAnsi="Arial"/>
                <w:sz w:val="18"/>
                <w:szCs w:val="18"/>
                <w:color w:val="auto"/>
              </w:rPr>
              <w:t>Payments received</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24.4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24.2</w:t>
            </w:r>
          </w:p>
        </w:tc>
      </w:tr>
      <w:tr>
        <w:trPr>
          <w:trHeight w:val="27"/>
        </w:trPr>
        <w:tc>
          <w:tcPr>
            <w:tcW w:w="5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Revenue recognized from beginning balance</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w:t>
            </w:r>
          </w:p>
        </w:tc>
      </w:tr>
      <w:tr>
        <w:trPr>
          <w:trHeight w:val="243"/>
        </w:trPr>
        <w:tc>
          <w:tcPr>
            <w:tcW w:w="5660" w:type="dxa"/>
            <w:vAlign w:val="bottom"/>
          </w:tcPr>
          <w:p>
            <w:pPr>
              <w:ind w:left="220"/>
              <w:spacing w:after="0"/>
              <w:rPr>
                <w:sz w:val="20"/>
                <w:szCs w:val="20"/>
                <w:color w:val="auto"/>
              </w:rPr>
            </w:pPr>
            <w:r>
              <w:rPr>
                <w:rFonts w:ascii="Arial" w:cs="Arial" w:eastAsia="Arial" w:hAnsi="Arial"/>
                <w:sz w:val="18"/>
                <w:szCs w:val="18"/>
                <w:color w:val="auto"/>
              </w:rPr>
              <w:t>Revenue recognized from current year receipts</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(11.7)</w:t>
            </w:r>
          </w:p>
        </w:tc>
      </w:tr>
      <w:tr>
        <w:trPr>
          <w:trHeight w:val="27"/>
        </w:trPr>
        <w:tc>
          <w:tcPr>
            <w:tcW w:w="56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57"/>
        </w:trPr>
        <w:tc>
          <w:tcPr>
            <w:tcW w:w="5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June 30</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19.2</w:t>
            </w:r>
          </w:p>
        </w:tc>
      </w:tr>
      <w:tr>
        <w:trPr>
          <w:trHeight w:val="20"/>
        </w:trPr>
        <w:tc>
          <w:tcPr>
            <w:tcW w:w="56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Composition</w:t>
      </w:r>
    </w:p>
    <w:p>
      <w:pPr>
        <w:spacing w:after="0" w:line="229" w:lineRule="exact"/>
        <w:rPr>
          <w:sz w:val="20"/>
          <w:szCs w:val="20"/>
          <w:color w:val="auto"/>
        </w:rPr>
      </w:pPr>
    </w:p>
    <w:p>
      <w:pPr>
        <w:ind w:right="100" w:firstLine="648"/>
        <w:spacing w:after="0" w:line="289" w:lineRule="auto"/>
        <w:rPr>
          <w:sz w:val="20"/>
          <w:szCs w:val="20"/>
          <w:color w:val="auto"/>
        </w:rPr>
      </w:pPr>
      <w:r>
        <w:rPr>
          <w:rFonts w:ascii="Arial" w:cs="Arial" w:eastAsia="Arial" w:hAnsi="Arial"/>
          <w:sz w:val="16"/>
          <w:szCs w:val="16"/>
          <w:color w:val="auto"/>
        </w:rPr>
        <w:t>Veritiv’s revenues are primarily derived from purchase orders and rate agreements associated with (i) the delivery of standard listed products with observable standalone sale prices or (ii) transportation and warehousing services. Revenue generally consists of a single performance obligation to transfer a promised good or service and is short-term in nature. Revenues are recognized when control of the promised goods or services is transferred to Veritiv’s customers and in an amount that reflects the consideration the Company expects to be entitled to in exchange for those goods and services. Sales transactions with customers are designated free on board destination and revenue is recorded at the point in time when the product is delivered to the customer’s designated location or when the customer has otherwise obtained the benefit of the goods, when title and risk of loss are transferred. Revenues from Veritiv's transportation services are recognized upon completion of the related delivery services and revenues from warehousing services are recognized over time as the storage services are provided. The Company considers handling and delivery as activities to fulfill its performance obligations. Billings for third-party freight are accounted for as net sales and handling and delivery costs are accounted for as distribution expenses.</w:t>
      </w: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34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Certain revenues are derived from shipments which are made directly from a manufacturer to a Veritiv customer. The Company is considered to be a principal to these transactions because, among other factors, it maintains control of the goods after they leave the supplier and before they are received at the customer's location, in most cases it selects the supplier and sets the price to the customer, and it bears the risk of the customer defaulting on payment or rejecting the goods. Revenues from these sales are reported on a gross basis in the Condensed Consolidated Statements of Operations and have historically represented approximately one-third of Veritiv's total net sales.</w:t>
      </w:r>
    </w:p>
    <w:p>
      <w:pPr>
        <w:spacing w:after="0" w:line="188" w:lineRule="exact"/>
        <w:rPr>
          <w:sz w:val="20"/>
          <w:szCs w:val="20"/>
          <w:color w:val="auto"/>
        </w:rPr>
      </w:pPr>
    </w:p>
    <w:p>
      <w:pPr>
        <w:ind w:firstLine="648"/>
        <w:spacing w:after="0" w:line="312" w:lineRule="auto"/>
        <w:rPr>
          <w:sz w:val="20"/>
          <w:szCs w:val="20"/>
          <w:color w:val="auto"/>
        </w:rPr>
      </w:pPr>
      <w:r>
        <w:rPr>
          <w:rFonts w:ascii="Arial" w:cs="Arial" w:eastAsia="Arial" w:hAnsi="Arial"/>
          <w:sz w:val="16"/>
          <w:szCs w:val="16"/>
          <w:color w:val="auto"/>
        </w:rPr>
        <w:t>The Company has determined that certain services provided to customers represent activities necessary to obtain or fulfill the contract and deliver the end product to the customer's designated location. These costs have been evaluated and do not meet the criteria for recognition as capitalizable costs. Taxes collected from customers relating to product sales and remitted to governmental authorities are excluded from both net sales and expenses.</w:t>
      </w:r>
    </w:p>
    <w:p>
      <w:pPr>
        <w:spacing w:after="0" w:line="147" w:lineRule="exact"/>
        <w:rPr>
          <w:sz w:val="20"/>
          <w:szCs w:val="20"/>
          <w:color w:val="auto"/>
        </w:rPr>
      </w:pPr>
    </w:p>
    <w:p>
      <w:pPr>
        <w:ind w:right="180" w:firstLine="648"/>
        <w:spacing w:after="0" w:line="297" w:lineRule="auto"/>
        <w:rPr>
          <w:sz w:val="20"/>
          <w:szCs w:val="20"/>
          <w:color w:val="auto"/>
        </w:rPr>
      </w:pPr>
      <w:r>
        <w:rPr>
          <w:rFonts w:ascii="Arial" w:cs="Arial" w:eastAsia="Arial" w:hAnsi="Arial"/>
          <w:sz w:val="16"/>
          <w:szCs w:val="16"/>
          <w:color w:val="auto"/>
        </w:rPr>
        <w:t>Veritiv evaluated the nature of the products and services provided to its customers as well as the nature of the customer and the geographical distribution of its customer base and determined that the best representative level of disaggregated revenue is the product category basis as shown in the segment results. The Company is able to serve a wide variety of customers, from large national companies to small local customers, through its distribution network. Historically, the Company's ten largest customers have generated less than 10% of its consolidated annual net sales. Veritiv’s principal markets are concentrated primarily across North America with net sales in the U.S., Canada and Mexico of approximately 90%, 8% and 1%, respectively.</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brief description of the Company's four reportable segments, organized by major product category:</w:t>
      </w:r>
    </w:p>
    <w:p>
      <w:pPr>
        <w:spacing w:after="0" w:line="225" w:lineRule="exact"/>
        <w:rPr>
          <w:sz w:val="20"/>
          <w:szCs w:val="20"/>
          <w:color w:val="auto"/>
        </w:rPr>
      </w:pPr>
    </w:p>
    <w:p>
      <w:pPr>
        <w:ind w:left="660" w:right="400" w:hanging="328"/>
        <w:spacing w:after="0" w:line="257" w:lineRule="auto"/>
        <w:tabs>
          <w:tab w:leader="none" w:pos="66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 xml:space="preserve">Packaging </w:t>
      </w:r>
      <w:r>
        <w:rPr>
          <w:rFonts w:ascii="Arial" w:cs="Arial" w:eastAsia="Arial" w:hAnsi="Arial"/>
          <w:sz w:val="18"/>
          <w:szCs w:val="18"/>
          <w:color w:val="auto"/>
        </w:rPr>
        <w:t>– The Packaging segment provides standard as well as custom and comprehensive packaging solutions for customers based in North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America and in key global markets. The business is strategically focused on higher growth industries including light industrial/general manufacturing, food processing, fulfillment and internet retail, as well as niche verticals based on geographical and functional expertise. This segment also provides supply chain solutions, structural and graphic packaging design and engineering, automation, workflow and equipment services and kitting and fulfillment.</w:t>
      </w:r>
    </w:p>
    <w:p>
      <w:pPr>
        <w:spacing w:after="0" w:line="188" w:lineRule="exact"/>
        <w:rPr>
          <w:rFonts w:ascii="Arial" w:cs="Arial" w:eastAsia="Arial" w:hAnsi="Arial"/>
          <w:sz w:val="18"/>
          <w:szCs w:val="18"/>
          <w:b w:val="1"/>
          <w:bCs w:val="1"/>
          <w:i w:val="1"/>
          <w:iCs w:val="1"/>
          <w:color w:val="auto"/>
        </w:rPr>
      </w:pPr>
    </w:p>
    <w:p>
      <w:pPr>
        <w:ind w:left="660" w:right="80" w:hanging="328"/>
        <w:spacing w:after="0" w:line="279" w:lineRule="auto"/>
        <w:tabs>
          <w:tab w:leader="none" w:pos="660" w:val="left"/>
        </w:tabs>
        <w:numPr>
          <w:ilvl w:val="0"/>
          <w:numId w:val="5"/>
        </w:numPr>
        <w:rPr>
          <w:rFonts w:ascii="Arial" w:cs="Arial" w:eastAsia="Arial" w:hAnsi="Arial"/>
          <w:sz w:val="17"/>
          <w:szCs w:val="17"/>
          <w:b w:val="1"/>
          <w:bCs w:val="1"/>
          <w:i w:val="1"/>
          <w:iCs w:val="1"/>
          <w:color w:val="auto"/>
        </w:rPr>
      </w:pPr>
      <w:r>
        <w:rPr>
          <w:rFonts w:ascii="Arial" w:cs="Arial" w:eastAsia="Arial" w:hAnsi="Arial"/>
          <w:sz w:val="17"/>
          <w:szCs w:val="17"/>
          <w:b w:val="1"/>
          <w:bCs w:val="1"/>
          <w:i w:val="1"/>
          <w:iCs w:val="1"/>
          <w:color w:val="auto"/>
        </w:rPr>
        <w:t xml:space="preserve">Facility Solutions </w:t>
      </w:r>
      <w:r>
        <w:rPr>
          <w:rFonts w:ascii="Arial" w:cs="Arial" w:eastAsia="Arial" w:hAnsi="Arial"/>
          <w:sz w:val="17"/>
          <w:szCs w:val="17"/>
          <w:color w:val="auto"/>
        </w:rPr>
        <w:t>– The Facility Solutions segment sources and sells cleaning, break-room and other supplies such as towels, tissues, wipers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dispensers, can liners, commercial cleaning chemicals, soaps and sanitizers, sanitary maintenance supplies and equipment, safety and hazard supplies, and shampoos and amenities primarily in the U.S., Canada and Mexico. Additionally, the Company offers total cost of ownership solutions with re-merchandising, budgeting and compliance reporting, and inventory management.</w:t>
      </w:r>
    </w:p>
    <w:p>
      <w:pPr>
        <w:spacing w:after="0" w:line="171" w:lineRule="exact"/>
        <w:rPr>
          <w:rFonts w:ascii="Arial" w:cs="Arial" w:eastAsia="Arial" w:hAnsi="Arial"/>
          <w:sz w:val="17"/>
          <w:szCs w:val="17"/>
          <w:b w:val="1"/>
          <w:bCs w:val="1"/>
          <w:i w:val="1"/>
          <w:iCs w:val="1"/>
          <w:color w:val="auto"/>
        </w:rPr>
      </w:pPr>
    </w:p>
    <w:p>
      <w:pPr>
        <w:ind w:left="660" w:right="180" w:hanging="328"/>
        <w:spacing w:after="0" w:line="257" w:lineRule="auto"/>
        <w:tabs>
          <w:tab w:leader="none" w:pos="66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 xml:space="preserve">Print </w:t>
      </w:r>
      <w:r>
        <w:rPr>
          <w:rFonts w:ascii="Arial" w:cs="Arial" w:eastAsia="Arial" w:hAnsi="Arial"/>
          <w:sz w:val="18"/>
          <w:szCs w:val="18"/>
          <w:color w:val="auto"/>
        </w:rPr>
        <w:t>– The Print segment sells and distributes commercial printing, writing, copying, digital, paper-based wide format and specialty products,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graphics consumables and graphics equipment primarily in the U.S., Canada and Mexico. This segment also includes customized paper conversion services of commercial printing paper for distribution to document centers and form printers. Veritiv's broad geographic platform of operations coupled with the breadth of paper and graphics products, including exclusive private brand offerings, provides a foundation to service national, regional and local customers across North America.</w:t>
      </w:r>
    </w:p>
    <w:p>
      <w:pPr>
        <w:spacing w:after="0" w:line="188" w:lineRule="exact"/>
        <w:rPr>
          <w:rFonts w:ascii="Arial" w:cs="Arial" w:eastAsia="Arial" w:hAnsi="Arial"/>
          <w:sz w:val="18"/>
          <w:szCs w:val="18"/>
          <w:b w:val="1"/>
          <w:bCs w:val="1"/>
          <w:i w:val="1"/>
          <w:iCs w:val="1"/>
          <w:color w:val="auto"/>
        </w:rPr>
      </w:pPr>
    </w:p>
    <w:p>
      <w:pPr>
        <w:ind w:left="660" w:right="200" w:hanging="328"/>
        <w:spacing w:after="0" w:line="259"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Publishing </w:t>
      </w:r>
      <w:r>
        <w:rPr>
          <w:rFonts w:ascii="Arial" w:cs="Arial" w:eastAsia="Arial" w:hAnsi="Arial"/>
          <w:sz w:val="18"/>
          <w:szCs w:val="18"/>
          <w:color w:val="auto"/>
        </w:rPr>
        <w:t>– The Publishing segment sells and distributes coated and uncoated commercial printing papers to publishers, retailers, converters,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printers and specialty businesses for use in magazines, catalogs, books, directories, gaming, couponing, retail inserts and direct mail. This segment also provides print management, procurement and supply chain management solutions to simplify paper and print procurement processes for its customers.</w:t>
      </w:r>
    </w:p>
    <w:p>
      <w:pPr>
        <w:spacing w:after="0" w:line="187" w:lineRule="exact"/>
        <w:rPr>
          <w:sz w:val="20"/>
          <w:szCs w:val="20"/>
          <w:color w:val="auto"/>
        </w:rPr>
      </w:pPr>
    </w:p>
    <w:p>
      <w:pPr>
        <w:jc w:val="both"/>
        <w:ind w:right="400" w:firstLine="648"/>
        <w:spacing w:after="0" w:line="264" w:lineRule="auto"/>
        <w:rPr>
          <w:sz w:val="20"/>
          <w:szCs w:val="20"/>
          <w:color w:val="auto"/>
        </w:rPr>
      </w:pPr>
      <w:r>
        <w:rPr>
          <w:rFonts w:ascii="Arial" w:cs="Arial" w:eastAsia="Arial" w:hAnsi="Arial"/>
          <w:sz w:val="18"/>
          <w:szCs w:val="18"/>
          <w:color w:val="auto"/>
        </w:rPr>
        <w:t>The Company’s consolidated financial results also include a "Corporate &amp; Other" category which includes certain assets and costs not primarily attributable to any of the reportable segments. Corporate &amp; Other also includes the Veritiv logistics solutions business which provides transportation and warehousing solutions.</w:t>
      </w:r>
    </w:p>
    <w:p>
      <w:pPr>
        <w:spacing w:after="0" w:line="181" w:lineRule="exact"/>
        <w:rPr>
          <w:sz w:val="20"/>
          <w:szCs w:val="20"/>
          <w:color w:val="auto"/>
        </w:rPr>
      </w:pPr>
    </w:p>
    <w:p>
      <w:pPr>
        <w:ind w:right="520" w:firstLine="648"/>
        <w:spacing w:after="0" w:line="277" w:lineRule="auto"/>
        <w:rPr>
          <w:rFonts w:ascii="Arial" w:cs="Arial" w:eastAsia="Arial" w:hAnsi="Arial"/>
          <w:sz w:val="18"/>
          <w:szCs w:val="18"/>
          <w:color w:val="auto"/>
        </w:rPr>
      </w:pPr>
      <w:r>
        <w:rPr>
          <w:rFonts w:ascii="Arial" w:cs="Arial" w:eastAsia="Arial" w:hAnsi="Arial"/>
          <w:sz w:val="18"/>
          <w:szCs w:val="18"/>
          <w:color w:val="auto"/>
        </w:rPr>
        <w:t xml:space="preserve">See </w:t>
      </w:r>
      <w:hyperlink w:anchor="page28">
        <w:r>
          <w:rPr>
            <w:rFonts w:ascii="Arial" w:cs="Arial" w:eastAsia="Arial" w:hAnsi="Arial"/>
            <w:sz w:val="18"/>
            <w:szCs w:val="18"/>
            <w:u w:val="single" w:color="auto"/>
            <w:color w:val="0000EE"/>
          </w:rPr>
          <w:t>Note 13, Segment Information</w:t>
        </w:r>
      </w:hyperlink>
      <w:r>
        <w:rPr>
          <w:rFonts w:ascii="Arial" w:cs="Arial" w:eastAsia="Arial" w:hAnsi="Arial"/>
          <w:sz w:val="18"/>
          <w:szCs w:val="18"/>
          <w:color w:val="auto"/>
        </w:rPr>
        <w:t>, for the disaggregation of revenue and other information related to the Company’s reportable segments and Corporate &amp; Other.</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341"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3. LEASES</w:t>
      </w:r>
    </w:p>
    <w:p>
      <w:pPr>
        <w:spacing w:after="0" w:line="224" w:lineRule="exact"/>
        <w:rPr>
          <w:sz w:val="20"/>
          <w:szCs w:val="20"/>
          <w:color w:val="auto"/>
        </w:rPr>
      </w:pPr>
    </w:p>
    <w:p>
      <w:pPr>
        <w:ind w:right="20" w:firstLine="648"/>
        <w:spacing w:after="0" w:line="285" w:lineRule="auto"/>
        <w:rPr>
          <w:sz w:val="20"/>
          <w:szCs w:val="20"/>
          <w:color w:val="auto"/>
        </w:rPr>
      </w:pPr>
      <w:r>
        <w:rPr>
          <w:rFonts w:ascii="Arial" w:cs="Arial" w:eastAsia="Arial" w:hAnsi="Arial"/>
          <w:sz w:val="16"/>
          <w:szCs w:val="16"/>
          <w:color w:val="auto"/>
        </w:rPr>
        <w:t>The Company adopted Topic 842</w:t>
      </w:r>
      <w:r>
        <w:rPr>
          <w:rFonts w:ascii="Arial" w:cs="Arial" w:eastAsia="Arial" w:hAnsi="Arial"/>
          <w:sz w:val="16"/>
          <w:szCs w:val="16"/>
          <w:i w:val="1"/>
          <w:iCs w:val="1"/>
          <w:color w:val="auto"/>
        </w:rPr>
        <w:t>,</w:t>
      </w:r>
      <w:r>
        <w:rPr>
          <w:rFonts w:ascii="Arial" w:cs="Arial" w:eastAsia="Arial" w:hAnsi="Arial"/>
          <w:sz w:val="16"/>
          <w:szCs w:val="16"/>
          <w:color w:val="auto"/>
        </w:rPr>
        <w:t xml:space="preserve"> and its related interpretations on January 1, 2019, applying the additional transition approach, available under ASU 2018-11, </w:t>
      </w:r>
      <w:r>
        <w:rPr>
          <w:rFonts w:ascii="Arial" w:cs="Arial" w:eastAsia="Arial" w:hAnsi="Arial"/>
          <w:sz w:val="16"/>
          <w:szCs w:val="16"/>
          <w:i w:val="1"/>
          <w:iCs w:val="1"/>
          <w:color w:val="auto"/>
        </w:rPr>
        <w:t>Leases</w:t>
      </w:r>
      <w:r>
        <w:rPr>
          <w:rFonts w:ascii="Arial" w:cs="Arial" w:eastAsia="Arial" w:hAnsi="Arial"/>
          <w:sz w:val="16"/>
          <w:szCs w:val="16"/>
          <w:color w:val="auto"/>
        </w:rPr>
        <w:t xml:space="preserve">, whereby the new lease standard is applied at the adoption date recognizing a cumulative-effect adjustment to the opening balance of retained earnings in the period of adoption. Consequently, the reporting for the comparative periods presented in the financial statements in which the new lease standard is adopted will continue to be reported in accordance with Topic 840, </w:t>
      </w:r>
      <w:r>
        <w:rPr>
          <w:rFonts w:ascii="Arial" w:cs="Arial" w:eastAsia="Arial" w:hAnsi="Arial"/>
          <w:sz w:val="16"/>
          <w:szCs w:val="16"/>
          <w:i w:val="1"/>
          <w:iCs w:val="1"/>
          <w:color w:val="auto"/>
        </w:rPr>
        <w:t>Leases</w:t>
      </w:r>
      <w:r>
        <w:rPr>
          <w:rFonts w:ascii="Arial" w:cs="Arial" w:eastAsia="Arial" w:hAnsi="Arial"/>
          <w:sz w:val="16"/>
          <w:szCs w:val="16"/>
          <w:color w:val="auto"/>
        </w:rPr>
        <w:t>. The Company elected the package of practical expedients permitted under the transition guidance within the new standard, which, among other things, allowed for the carry-forward of historical lease classification. The Company did not elect the hindsight practical expedient in determining lease terms for existing leases and when assessing existing ROU assets for impairment. The Company does not expect the new accounting standard to have a material effect on future financial results as the adoption did not change the lease classifications of its historical operating leases. The Company’s accounting for finance leases, previously reported as capital leases and financing obligations, remained unchanged except for the Company's one non-related party failed sale-leaseback. The Company determined that upon transition to Topic 842, the previously reported failed sale-leaseback financing obligation would be reported as a financing lease, and its land operating lease would now be combined with its building finance lease and reported together as one finance lease. Finance leases are reported as part of property and equipment, net and debt obligations on the Condensed Consolidated Balance Sheets. The Company elected the practical expedients permitted under Topic 842 and made accounting policy elections to (i) not include short-term leases on the balance sheets and (ii) not separate lease and non-lease components for its delivery equipment leases. The Company determines if an arrangement is a lease at lease inception and reviews lease arrangements for finance or operating lease classification at their commencement date. The Company leases certain property and equipment used for operations to limit exposure to risks related to ownership. The major leased asset categories include: real estate, delivery equipment, material handling equipment and computer and office equipment.</w:t>
      </w:r>
    </w:p>
    <w:p>
      <w:pPr>
        <w:spacing w:after="0" w:line="178" w:lineRule="exact"/>
        <w:rPr>
          <w:sz w:val="20"/>
          <w:szCs w:val="20"/>
          <w:color w:val="auto"/>
        </w:rPr>
      </w:pPr>
    </w:p>
    <w:p>
      <w:pPr>
        <w:ind w:firstLine="648"/>
        <w:spacing w:after="0" w:line="286" w:lineRule="auto"/>
        <w:rPr>
          <w:sz w:val="20"/>
          <w:szCs w:val="20"/>
          <w:color w:val="auto"/>
        </w:rPr>
      </w:pPr>
      <w:r>
        <w:rPr>
          <w:rFonts w:ascii="Arial" w:cs="Arial" w:eastAsia="Arial" w:hAnsi="Arial"/>
          <w:sz w:val="16"/>
          <w:szCs w:val="16"/>
          <w:color w:val="auto"/>
        </w:rPr>
        <w:t>As of June 30, 2019, the Company had a distribution network operating from approximately 160 distribution centers of which approximately 150 were leased. These facilities are strategically located throughout the U.S., Canada and Mexico in order to efficiently serve the customer base in the surrounding areas while also facilitating expedited delivery services for special orders. The Company also leases various office spaces for corporate and sales functions. Real estate leases generally carry lease terms of three to seven years. Delivery equipment leases generally carry lease terms of three to eight years and other non-real estate leases generally carry lease terms of three to five years. In order to value the ROU assets and related liabilities, the Company makes certain estimates and assumptions related to establishing the lease term, discount rates and variable lease payments (e.g., rent escalations tied to changes in the Consumer Price Index). The exercise of any lease renewal or asset purchase option is at the Company’s sole discretion. The lease term for all of the Company's leases includes the noncancelable period of the lease and any periods covered by renewal options that the Company is reasonably certain to exercise. Certain leases include rent escalations pre-set in the agreements, which are factored into the lease payment stream. Similar to a variable lease payment, certain delivery equipment leases include a provision for an amount the Company may have to pay at the end of the lease for any residual value deficiency incurred by the lessor upon resale of the underlying asset. The Company uses the implicit rate of interest when it is available; however, as most of the Company’s leases do not provide an implicit rate of interest, the Company uses its incremental borrowing rate based on information available at the lease commencement date in determining the discounted value of the lease payments. Lease expense and depreciation expense are recognized on a straight-line basis over the lease term, or for a finance lease, over the shorter of the life of the underlying asset or the lease term.</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341"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lease expense were as follows: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330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3680" w:type="dxa"/>
            <w:vAlign w:val="bottom"/>
          </w:tcPr>
          <w:p>
            <w:pPr>
              <w:spacing w:after="0"/>
              <w:rPr>
                <w:sz w:val="23"/>
                <w:szCs w:val="23"/>
                <w:color w:val="auto"/>
              </w:rPr>
            </w:pPr>
          </w:p>
        </w:tc>
        <w:tc>
          <w:tcPr>
            <w:tcW w:w="2280" w:type="dxa"/>
            <w:vAlign w:val="bottom"/>
            <w:gridSpan w:val="3"/>
          </w:tcPr>
          <w:p>
            <w:pPr>
              <w:ind w:left="60"/>
              <w:spacing w:after="0"/>
              <w:rPr>
                <w:sz w:val="20"/>
                <w:szCs w:val="20"/>
                <w:color w:val="auto"/>
              </w:rPr>
            </w:pPr>
            <w:r>
              <w:rPr>
                <w:rFonts w:ascii="Arial" w:cs="Arial" w:eastAsia="Arial" w:hAnsi="Arial"/>
                <w:sz w:val="18"/>
                <w:szCs w:val="18"/>
                <w:b w:val="1"/>
                <w:bCs w:val="1"/>
                <w:color w:val="auto"/>
                <w:w w:val="97"/>
              </w:rPr>
              <w:t>Three Months Ended June</w:t>
            </w:r>
          </w:p>
        </w:tc>
        <w:tc>
          <w:tcPr>
            <w:tcW w:w="2160" w:type="dxa"/>
            <w:vAlign w:val="bottom"/>
            <w:gridSpan w:val="2"/>
          </w:tcPr>
          <w:p>
            <w:pPr>
              <w:ind w:left="20"/>
              <w:spacing w:after="0"/>
              <w:rPr>
                <w:sz w:val="20"/>
                <w:szCs w:val="20"/>
                <w:color w:val="auto"/>
              </w:rPr>
            </w:pPr>
            <w:r>
              <w:rPr>
                <w:rFonts w:ascii="Arial" w:cs="Arial" w:eastAsia="Arial" w:hAnsi="Arial"/>
                <w:sz w:val="18"/>
                <w:szCs w:val="18"/>
                <w:b w:val="1"/>
                <w:bCs w:val="1"/>
                <w:color w:val="auto"/>
                <w:w w:val="90"/>
              </w:rPr>
              <w:t>Six Months Ended June 30,</w:t>
            </w:r>
          </w:p>
        </w:tc>
      </w:tr>
      <w:tr>
        <w:trPr>
          <w:trHeight w:val="234"/>
        </w:trPr>
        <w:tc>
          <w:tcPr>
            <w:tcW w:w="3300" w:type="dxa"/>
            <w:vAlign w:val="bottom"/>
          </w:tcPr>
          <w:p>
            <w:pPr>
              <w:ind w:left="40"/>
              <w:spacing w:after="0"/>
              <w:rPr>
                <w:sz w:val="20"/>
                <w:szCs w:val="20"/>
                <w:color w:val="auto"/>
              </w:rPr>
            </w:pPr>
            <w:r>
              <w:rPr>
                <w:rFonts w:ascii="Arial" w:cs="Arial" w:eastAsia="Arial" w:hAnsi="Arial"/>
                <w:sz w:val="18"/>
                <w:szCs w:val="18"/>
                <w:b w:val="1"/>
                <w:bCs w:val="1"/>
                <w:color w:val="auto"/>
              </w:rPr>
              <w:t>Lease Classification</w:t>
            </w:r>
          </w:p>
        </w:tc>
        <w:tc>
          <w:tcPr>
            <w:tcW w:w="3680" w:type="dxa"/>
            <w:vAlign w:val="bottom"/>
          </w:tcPr>
          <w:p>
            <w:pPr>
              <w:ind w:left="280"/>
              <w:spacing w:after="0"/>
              <w:rPr>
                <w:sz w:val="20"/>
                <w:szCs w:val="20"/>
                <w:color w:val="auto"/>
              </w:rPr>
            </w:pPr>
            <w:r>
              <w:rPr>
                <w:rFonts w:ascii="Arial" w:cs="Arial" w:eastAsia="Arial" w:hAnsi="Arial"/>
                <w:sz w:val="18"/>
                <w:szCs w:val="18"/>
                <w:b w:val="1"/>
                <w:bCs w:val="1"/>
                <w:color w:val="auto"/>
              </w:rPr>
              <w:t>Financial Statement Classification</w:t>
            </w:r>
          </w:p>
        </w:tc>
        <w:tc>
          <w:tcPr>
            <w:tcW w:w="440" w:type="dxa"/>
            <w:vAlign w:val="bottom"/>
          </w:tcPr>
          <w:p>
            <w:pPr>
              <w:spacing w:after="0"/>
              <w:rPr>
                <w:sz w:val="20"/>
                <w:szCs w:val="20"/>
                <w:color w:val="auto"/>
              </w:rPr>
            </w:pPr>
          </w:p>
        </w:tc>
        <w:tc>
          <w:tcPr>
            <w:tcW w:w="1740" w:type="dxa"/>
            <w:vAlign w:val="bottom"/>
          </w:tcPr>
          <w:p>
            <w:pPr>
              <w:jc w:val="right"/>
              <w:ind w:right="690"/>
              <w:spacing w:after="0"/>
              <w:rPr>
                <w:sz w:val="20"/>
                <w:szCs w:val="20"/>
                <w:color w:val="auto"/>
              </w:rPr>
            </w:pPr>
            <w:r>
              <w:rPr>
                <w:rFonts w:ascii="Arial" w:cs="Arial" w:eastAsia="Arial" w:hAnsi="Arial"/>
                <w:sz w:val="18"/>
                <w:szCs w:val="18"/>
                <w:b w:val="1"/>
                <w:bCs w:val="1"/>
                <w:color w:val="auto"/>
              </w:rPr>
              <w:t>30, 2019</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660" w:type="dxa"/>
            <w:vAlign w:val="bottom"/>
          </w:tcPr>
          <w:p>
            <w:pPr>
              <w:jc w:val="right"/>
              <w:ind w:right="810"/>
              <w:spacing w:after="0"/>
              <w:rPr>
                <w:sz w:val="20"/>
                <w:szCs w:val="20"/>
                <w:color w:val="auto"/>
              </w:rPr>
            </w:pPr>
            <w:r>
              <w:rPr>
                <w:rFonts w:ascii="Arial" w:cs="Arial" w:eastAsia="Arial" w:hAnsi="Arial"/>
                <w:sz w:val="18"/>
                <w:szCs w:val="18"/>
                <w:b w:val="1"/>
                <w:bCs w:val="1"/>
                <w:color w:val="auto"/>
              </w:rPr>
              <w:t>2019</w:t>
            </w:r>
          </w:p>
        </w:tc>
      </w:tr>
      <w:tr>
        <w:trPr>
          <w:trHeight w:val="27"/>
        </w:trPr>
        <w:tc>
          <w:tcPr>
            <w:tcW w:w="3300" w:type="dxa"/>
            <w:vAlign w:val="bottom"/>
            <w:tcBorders>
              <w:bottom w:val="single" w:sz="8" w:color="auto"/>
            </w:tcBorders>
          </w:tcPr>
          <w:p>
            <w:pPr>
              <w:spacing w:after="0"/>
              <w:rPr>
                <w:sz w:val="2"/>
                <w:szCs w:val="2"/>
                <w:color w:val="auto"/>
              </w:rPr>
            </w:pPr>
          </w:p>
        </w:tc>
        <w:tc>
          <w:tcPr>
            <w:tcW w:w="36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64"/>
        </w:trPr>
        <w:tc>
          <w:tcPr>
            <w:tcW w:w="3300" w:type="dxa"/>
            <w:vAlign w:val="bottom"/>
            <w:shd w:val="clear" w:color="auto" w:fill="CCEEFF"/>
          </w:tcPr>
          <w:p>
            <w:pPr>
              <w:ind w:left="40"/>
              <w:spacing w:after="0" w:line="264" w:lineRule="exact"/>
              <w:rPr>
                <w:sz w:val="20"/>
                <w:szCs w:val="20"/>
                <w:color w:val="auto"/>
              </w:rPr>
            </w:pPr>
            <w:r>
              <w:rPr>
                <w:rFonts w:ascii="Arial" w:cs="Arial" w:eastAsia="Arial" w:hAnsi="Arial"/>
                <w:sz w:val="18"/>
                <w:szCs w:val="18"/>
                <w:b w:val="1"/>
                <w:bCs w:val="1"/>
                <w:color w:val="auto"/>
              </w:rPr>
              <w:t>Short-term lease expense</w:t>
            </w:r>
            <w:r>
              <w:rPr>
                <w:rFonts w:ascii="Arial" w:cs="Arial" w:eastAsia="Arial" w:hAnsi="Arial"/>
                <w:sz w:val="25"/>
                <w:szCs w:val="25"/>
                <w:color w:val="auto"/>
                <w:vertAlign w:val="superscript"/>
              </w:rPr>
              <w:t>(1)</w:t>
            </w:r>
          </w:p>
        </w:tc>
        <w:tc>
          <w:tcPr>
            <w:tcW w:w="36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Operating expenses</w:t>
            </w:r>
          </w:p>
        </w:tc>
        <w:tc>
          <w:tcPr>
            <w:tcW w:w="44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4.1</w:t>
            </w:r>
          </w:p>
        </w:tc>
      </w:tr>
      <w:tr>
        <w:trPr>
          <w:trHeight w:val="291"/>
        </w:trPr>
        <w:tc>
          <w:tcPr>
            <w:tcW w:w="33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70"/>
        </w:trPr>
        <w:tc>
          <w:tcPr>
            <w:tcW w:w="33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b w:val="1"/>
                <w:bCs w:val="1"/>
                <w:color w:val="auto"/>
              </w:rPr>
              <w:t>Operating lease expense</w:t>
            </w:r>
            <w:r>
              <w:rPr>
                <w:rFonts w:ascii="Arial" w:cs="Arial" w:eastAsia="Arial" w:hAnsi="Arial"/>
                <w:sz w:val="25"/>
                <w:szCs w:val="25"/>
                <w:color w:val="auto"/>
                <w:vertAlign w:val="superscript"/>
              </w:rPr>
              <w:t>(2)</w:t>
            </w:r>
          </w:p>
        </w:tc>
        <w:tc>
          <w:tcPr>
            <w:tcW w:w="36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Operating expenses</w:t>
            </w:r>
          </w:p>
        </w:tc>
        <w:tc>
          <w:tcPr>
            <w:tcW w:w="44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27.4</w:t>
            </w:r>
          </w:p>
        </w:tc>
        <w:tc>
          <w:tcPr>
            <w:tcW w:w="100" w:type="dxa"/>
            <w:vAlign w:val="bottom"/>
            <w:shd w:val="clear" w:color="auto" w:fill="CCEEFF"/>
          </w:tcPr>
          <w:p>
            <w:pPr>
              <w:spacing w:after="0"/>
              <w:rPr>
                <w:sz w:val="23"/>
                <w:szCs w:val="23"/>
                <w:color w:val="auto"/>
              </w:rPr>
            </w:pPr>
          </w:p>
        </w:tc>
        <w:tc>
          <w:tcPr>
            <w:tcW w:w="5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54.7</w:t>
            </w:r>
          </w:p>
        </w:tc>
      </w:tr>
      <w:tr>
        <w:trPr>
          <w:trHeight w:val="318"/>
        </w:trPr>
        <w:tc>
          <w:tcPr>
            <w:tcW w:w="33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50"/>
        </w:trPr>
        <w:tc>
          <w:tcPr>
            <w:tcW w:w="3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Finance lease expense:</w:t>
            </w:r>
          </w:p>
        </w:tc>
        <w:tc>
          <w:tcPr>
            <w:tcW w:w="368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spacing w:after="0"/>
              <w:rPr>
                <w:sz w:val="21"/>
                <w:szCs w:val="21"/>
                <w:color w:val="auto"/>
              </w:rPr>
            </w:pPr>
          </w:p>
        </w:tc>
      </w:tr>
      <w:tr>
        <w:trPr>
          <w:trHeight w:val="243"/>
        </w:trPr>
        <w:tc>
          <w:tcPr>
            <w:tcW w:w="3300" w:type="dxa"/>
            <w:vAlign w:val="bottom"/>
          </w:tcPr>
          <w:p>
            <w:pPr>
              <w:ind w:left="520"/>
              <w:spacing w:after="0"/>
              <w:rPr>
                <w:sz w:val="20"/>
                <w:szCs w:val="20"/>
                <w:color w:val="auto"/>
              </w:rPr>
            </w:pPr>
            <w:r>
              <w:rPr>
                <w:rFonts w:ascii="Arial" w:cs="Arial" w:eastAsia="Arial" w:hAnsi="Arial"/>
                <w:sz w:val="18"/>
                <w:szCs w:val="18"/>
                <w:color w:val="auto"/>
              </w:rPr>
              <w:t>Amortization of right-of-use assets</w:t>
            </w:r>
          </w:p>
        </w:tc>
        <w:tc>
          <w:tcPr>
            <w:tcW w:w="368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1740" w:type="dxa"/>
            <w:vAlign w:val="bottom"/>
          </w:tcPr>
          <w:p>
            <w:pPr>
              <w:jc w:val="right"/>
              <w:ind w:right="30"/>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500" w:type="dxa"/>
            <w:vAlign w:val="bottom"/>
          </w:tcPr>
          <w:p>
            <w:pPr>
              <w:ind w:left="2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4.9</w:t>
            </w:r>
          </w:p>
        </w:tc>
      </w:tr>
      <w:tr>
        <w:trPr>
          <w:trHeight w:val="27"/>
        </w:trPr>
        <w:tc>
          <w:tcPr>
            <w:tcW w:w="3300" w:type="dxa"/>
            <w:vAlign w:val="bottom"/>
          </w:tcPr>
          <w:p>
            <w:pPr>
              <w:spacing w:after="0"/>
              <w:rPr>
                <w:sz w:val="2"/>
                <w:szCs w:val="2"/>
                <w:color w:val="auto"/>
              </w:rPr>
            </w:pPr>
          </w:p>
        </w:tc>
        <w:tc>
          <w:tcPr>
            <w:tcW w:w="36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70"/>
        </w:trPr>
        <w:tc>
          <w:tcPr>
            <w:tcW w:w="330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8"/>
                <w:szCs w:val="18"/>
                <w:color w:val="auto"/>
              </w:rPr>
              <w:t>Interest expense</w:t>
            </w:r>
          </w:p>
        </w:tc>
        <w:tc>
          <w:tcPr>
            <w:tcW w:w="36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expense, net</w:t>
            </w:r>
          </w:p>
        </w:tc>
        <w:tc>
          <w:tcPr>
            <w:tcW w:w="44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0.5</w:t>
            </w:r>
          </w:p>
        </w:tc>
        <w:tc>
          <w:tcPr>
            <w:tcW w:w="10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w:t>
            </w:r>
          </w:p>
        </w:tc>
      </w:tr>
      <w:tr>
        <w:trPr>
          <w:trHeight w:val="237"/>
        </w:trPr>
        <w:tc>
          <w:tcPr>
            <w:tcW w:w="3300" w:type="dxa"/>
            <w:vAlign w:val="bottom"/>
          </w:tcPr>
          <w:p>
            <w:pPr>
              <w:ind w:left="440"/>
              <w:spacing w:after="0"/>
              <w:rPr>
                <w:sz w:val="20"/>
                <w:szCs w:val="20"/>
                <w:color w:val="auto"/>
              </w:rPr>
            </w:pPr>
            <w:r>
              <w:rPr>
                <w:rFonts w:ascii="Arial" w:cs="Arial" w:eastAsia="Arial" w:hAnsi="Arial"/>
                <w:sz w:val="18"/>
                <w:szCs w:val="18"/>
                <w:color w:val="auto"/>
              </w:rPr>
              <w:t>Total finance lease expense</w:t>
            </w:r>
          </w:p>
        </w:tc>
        <w:tc>
          <w:tcPr>
            <w:tcW w:w="3680" w:type="dxa"/>
            <w:vAlign w:val="bottom"/>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7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0"/>
                <w:szCs w:val="20"/>
                <w:color w:val="auto"/>
              </w:rPr>
            </w:pPr>
          </w:p>
        </w:tc>
        <w:tc>
          <w:tcPr>
            <w:tcW w:w="50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5.9</w:t>
            </w:r>
          </w:p>
        </w:tc>
      </w:tr>
      <w:tr>
        <w:trPr>
          <w:trHeight w:val="27"/>
        </w:trPr>
        <w:tc>
          <w:tcPr>
            <w:tcW w:w="3300" w:type="dxa"/>
            <w:vAlign w:val="bottom"/>
            <w:tcBorders>
              <w:bottom w:val="single" w:sz="8" w:color="CCEEFF"/>
            </w:tcBorders>
          </w:tcPr>
          <w:p>
            <w:pPr>
              <w:spacing w:after="0"/>
              <w:rPr>
                <w:sz w:val="2"/>
                <w:szCs w:val="2"/>
                <w:color w:val="auto"/>
              </w:rPr>
            </w:pPr>
          </w:p>
        </w:tc>
        <w:tc>
          <w:tcPr>
            <w:tcW w:w="368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318"/>
        </w:trPr>
        <w:tc>
          <w:tcPr>
            <w:tcW w:w="3300" w:type="dxa"/>
            <w:vAlign w:val="bottom"/>
            <w:shd w:val="clear" w:color="auto" w:fill="CCEEFF"/>
          </w:tcPr>
          <w:p>
            <w:pPr>
              <w:spacing w:after="0"/>
              <w:rPr>
                <w:sz w:val="24"/>
                <w:szCs w:val="24"/>
                <w:color w:val="auto"/>
              </w:rPr>
            </w:pPr>
          </w:p>
        </w:tc>
        <w:tc>
          <w:tcPr>
            <w:tcW w:w="3680" w:type="dxa"/>
            <w:vAlign w:val="bottom"/>
            <w:shd w:val="clear" w:color="auto" w:fill="CCEEFF"/>
          </w:tcPr>
          <w:p>
            <w:pPr>
              <w:spacing w:after="0"/>
              <w:rPr>
                <w:sz w:val="24"/>
                <w:szCs w:val="24"/>
                <w:color w:val="auto"/>
              </w:rPr>
            </w:pPr>
          </w:p>
        </w:tc>
        <w:tc>
          <w:tcPr>
            <w:tcW w:w="440" w:type="dxa"/>
            <w:vAlign w:val="bottom"/>
            <w:tcBorders>
              <w:bottom w:val="single" w:sz="8" w:color="auto"/>
            </w:tcBorders>
            <w:shd w:val="clear" w:color="auto" w:fill="CCEEFF"/>
          </w:tcPr>
          <w:p>
            <w:pPr>
              <w:spacing w:after="0"/>
              <w:rPr>
                <w:sz w:val="24"/>
                <w:szCs w:val="24"/>
                <w:color w:val="auto"/>
              </w:rPr>
            </w:pPr>
          </w:p>
        </w:tc>
        <w:tc>
          <w:tcPr>
            <w:tcW w:w="174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00" w:type="dxa"/>
            <w:vAlign w:val="bottom"/>
            <w:tcBorders>
              <w:bottom w:val="single" w:sz="8" w:color="auto"/>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spacing w:after="0"/>
              <w:rPr>
                <w:sz w:val="24"/>
                <w:szCs w:val="24"/>
                <w:color w:val="auto"/>
              </w:rPr>
            </w:pPr>
          </w:p>
        </w:tc>
      </w:tr>
      <w:tr>
        <w:trPr>
          <w:trHeight w:val="250"/>
        </w:trPr>
        <w:tc>
          <w:tcPr>
            <w:tcW w:w="3300" w:type="dxa"/>
            <w:vAlign w:val="bottom"/>
          </w:tcPr>
          <w:p>
            <w:pPr>
              <w:ind w:left="440"/>
              <w:spacing w:after="0"/>
              <w:rPr>
                <w:sz w:val="20"/>
                <w:szCs w:val="20"/>
                <w:color w:val="auto"/>
              </w:rPr>
            </w:pPr>
            <w:r>
              <w:rPr>
                <w:rFonts w:ascii="Arial" w:cs="Arial" w:eastAsia="Arial" w:hAnsi="Arial"/>
                <w:sz w:val="18"/>
                <w:szCs w:val="18"/>
                <w:b w:val="1"/>
                <w:bCs w:val="1"/>
                <w:color w:val="auto"/>
              </w:rPr>
              <w:t>Total Lease Cost</w:t>
            </w:r>
          </w:p>
        </w:tc>
        <w:tc>
          <w:tcPr>
            <w:tcW w:w="3680" w:type="dxa"/>
            <w:vAlign w:val="bottom"/>
          </w:tcPr>
          <w:p>
            <w:pPr>
              <w:spacing w:after="0"/>
              <w:rPr>
                <w:sz w:val="21"/>
                <w:szCs w:val="21"/>
                <w:color w:val="auto"/>
              </w:rPr>
            </w:pP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1740" w:type="dxa"/>
            <w:vAlign w:val="bottom"/>
          </w:tcPr>
          <w:p>
            <w:pPr>
              <w:jc w:val="right"/>
              <w:ind w:right="30"/>
              <w:spacing w:after="0"/>
              <w:rPr>
                <w:sz w:val="20"/>
                <w:szCs w:val="20"/>
                <w:color w:val="auto"/>
              </w:rPr>
            </w:pPr>
            <w:r>
              <w:rPr>
                <w:rFonts w:ascii="Arial" w:cs="Arial" w:eastAsia="Arial" w:hAnsi="Arial"/>
                <w:sz w:val="18"/>
                <w:szCs w:val="18"/>
                <w:color w:val="auto"/>
              </w:rPr>
              <w:t>32.7</w:t>
            </w:r>
          </w:p>
        </w:tc>
        <w:tc>
          <w:tcPr>
            <w:tcW w:w="100" w:type="dxa"/>
            <w:vAlign w:val="bottom"/>
          </w:tcPr>
          <w:p>
            <w:pPr>
              <w:spacing w:after="0"/>
              <w:rPr>
                <w:sz w:val="21"/>
                <w:szCs w:val="21"/>
                <w:color w:val="auto"/>
              </w:rPr>
            </w:pPr>
          </w:p>
        </w:tc>
        <w:tc>
          <w:tcPr>
            <w:tcW w:w="500" w:type="dxa"/>
            <w:vAlign w:val="bottom"/>
          </w:tcPr>
          <w:p>
            <w:pPr>
              <w:ind w:left="2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64.7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4430395</wp:posOffset>
            </wp:positionH>
            <wp:positionV relativeFrom="paragraph">
              <wp:posOffset>8890</wp:posOffset>
            </wp:positionV>
            <wp:extent cx="282130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821305" cy="8890"/>
                    </a:xfrm>
                    <a:prstGeom prst="rect">
                      <a:avLst/>
                    </a:prstGeom>
                    <a:noFill/>
                  </pic:spPr>
                </pic:pic>
              </a:graphicData>
            </a:graphic>
          </wp:anchor>
        </w:drawing>
      </w:r>
    </w:p>
    <w:p>
      <w:pPr>
        <w:spacing w:after="0" w:line="15" w:lineRule="exact"/>
        <w:rPr>
          <w:sz w:val="20"/>
          <w:szCs w:val="20"/>
          <w:color w:val="auto"/>
        </w:rPr>
      </w:pPr>
    </w:p>
    <w:p>
      <w:pPr>
        <w:ind w:left="140" w:hanging="132"/>
        <w:spacing w:after="0"/>
        <w:tabs>
          <w:tab w:leader="none" w:pos="140" w:val="left"/>
        </w:tabs>
        <w:numPr>
          <w:ilvl w:val="0"/>
          <w:numId w:val="6"/>
        </w:numPr>
        <w:rPr>
          <w:rFonts w:ascii="Arial" w:cs="Arial" w:eastAsia="Arial" w:hAnsi="Arial"/>
          <w:sz w:val="9"/>
          <w:szCs w:val="9"/>
          <w:color w:val="auto"/>
        </w:rPr>
      </w:pPr>
      <w:r>
        <w:rPr>
          <w:rFonts w:ascii="Arial" w:cs="Arial" w:eastAsia="Arial" w:hAnsi="Arial"/>
          <w:sz w:val="14"/>
          <w:szCs w:val="14"/>
          <w:color w:val="auto"/>
        </w:rPr>
        <w:t>Short-term lease expense includes expenses related to leases with a term of one month or less.</w:t>
      </w:r>
    </w:p>
    <w:p>
      <w:pPr>
        <w:spacing w:after="0" w:line="13" w:lineRule="exact"/>
        <w:rPr>
          <w:rFonts w:ascii="Arial" w:cs="Arial" w:eastAsia="Arial" w:hAnsi="Arial"/>
          <w:sz w:val="9"/>
          <w:szCs w:val="9"/>
          <w:color w:val="auto"/>
        </w:rPr>
      </w:pPr>
    </w:p>
    <w:p>
      <w:pPr>
        <w:ind w:left="140" w:hanging="132"/>
        <w:spacing w:after="0"/>
        <w:tabs>
          <w:tab w:leader="none" w:pos="140" w:val="left"/>
        </w:tabs>
        <w:numPr>
          <w:ilvl w:val="0"/>
          <w:numId w:val="6"/>
        </w:numPr>
        <w:rPr>
          <w:rFonts w:ascii="Arial" w:cs="Arial" w:eastAsia="Arial" w:hAnsi="Arial"/>
          <w:sz w:val="9"/>
          <w:szCs w:val="9"/>
          <w:color w:val="auto"/>
        </w:rPr>
      </w:pPr>
      <w:r>
        <w:rPr>
          <w:rFonts w:ascii="Arial" w:cs="Arial" w:eastAsia="Arial" w:hAnsi="Arial"/>
          <w:sz w:val="14"/>
          <w:szCs w:val="14"/>
          <w:color w:val="auto"/>
        </w:rPr>
        <w:t>Sublease income and variable lease expense are not included in the above table as the amounts were immaterial for the three and six months ended June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4430395</wp:posOffset>
            </wp:positionH>
            <wp:positionV relativeFrom="paragraph">
              <wp:posOffset>-208915</wp:posOffset>
            </wp:positionV>
            <wp:extent cx="282130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821305" cy="8890"/>
                    </a:xfrm>
                    <a:prstGeom prst="rect">
                      <a:avLst/>
                    </a:prstGeom>
                    <a:noFill/>
                  </pic:spPr>
                </pic:pic>
              </a:graphicData>
            </a:graphic>
          </wp:anchor>
        </w:drawing>
      </w:r>
    </w:p>
    <w:p>
      <w:pPr>
        <w:spacing w:after="0" w:line="19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Supplemental balance sheet and other information were as follows: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440" w:type="dxa"/>
            <w:vAlign w:val="bottom"/>
          </w:tcPr>
          <w:p>
            <w:pPr>
              <w:ind w:left="40"/>
              <w:spacing w:after="0"/>
              <w:rPr>
                <w:sz w:val="20"/>
                <w:szCs w:val="20"/>
                <w:color w:val="auto"/>
              </w:rPr>
            </w:pPr>
            <w:r>
              <w:rPr>
                <w:rFonts w:ascii="Arial" w:cs="Arial" w:eastAsia="Arial" w:hAnsi="Arial"/>
                <w:sz w:val="18"/>
                <w:szCs w:val="18"/>
                <w:i w:val="1"/>
                <w:iCs w:val="1"/>
                <w:color w:val="auto"/>
              </w:rPr>
              <w:t>(in millions, except weighted-average data)</w:t>
            </w:r>
          </w:p>
        </w:tc>
        <w:tc>
          <w:tcPr>
            <w:tcW w:w="49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720" w:type="dxa"/>
            <w:vAlign w:val="bottom"/>
          </w:tcPr>
          <w:p>
            <w:pPr>
              <w:spacing w:after="0"/>
              <w:rPr>
                <w:sz w:val="20"/>
                <w:szCs w:val="20"/>
                <w:color w:val="auto"/>
              </w:rPr>
            </w:pPr>
          </w:p>
        </w:tc>
      </w:tr>
      <w:tr>
        <w:trPr>
          <w:trHeight w:val="270"/>
        </w:trPr>
        <w:tc>
          <w:tcPr>
            <w:tcW w:w="4440" w:type="dxa"/>
            <w:vAlign w:val="bottom"/>
          </w:tcPr>
          <w:p>
            <w:pPr>
              <w:ind w:left="40"/>
              <w:spacing w:after="0"/>
              <w:rPr>
                <w:sz w:val="20"/>
                <w:szCs w:val="20"/>
                <w:color w:val="auto"/>
              </w:rPr>
            </w:pPr>
            <w:r>
              <w:rPr>
                <w:rFonts w:ascii="Arial" w:cs="Arial" w:eastAsia="Arial" w:hAnsi="Arial"/>
                <w:sz w:val="18"/>
                <w:szCs w:val="18"/>
                <w:b w:val="1"/>
                <w:bCs w:val="1"/>
                <w:color w:val="auto"/>
              </w:rPr>
              <w:t>Lease Classification</w:t>
            </w:r>
          </w:p>
        </w:tc>
        <w:tc>
          <w:tcPr>
            <w:tcW w:w="4960" w:type="dxa"/>
            <w:vAlign w:val="bottom"/>
          </w:tcPr>
          <w:p>
            <w:pPr>
              <w:ind w:left="920"/>
              <w:spacing w:after="0"/>
              <w:rPr>
                <w:sz w:val="20"/>
                <w:szCs w:val="20"/>
                <w:color w:val="auto"/>
              </w:rPr>
            </w:pPr>
            <w:r>
              <w:rPr>
                <w:rFonts w:ascii="Arial" w:cs="Arial" w:eastAsia="Arial" w:hAnsi="Arial"/>
                <w:sz w:val="18"/>
                <w:szCs w:val="18"/>
                <w:b w:val="1"/>
                <w:bCs w:val="1"/>
                <w:color w:val="auto"/>
              </w:rPr>
              <w:t>Financial Statement Classification</w:t>
            </w:r>
          </w:p>
        </w:tc>
        <w:tc>
          <w:tcPr>
            <w:tcW w:w="300" w:type="dxa"/>
            <w:vAlign w:val="bottom"/>
          </w:tcPr>
          <w:p>
            <w:pPr>
              <w:spacing w:after="0"/>
              <w:rPr>
                <w:sz w:val="23"/>
                <w:szCs w:val="23"/>
                <w:color w:val="auto"/>
              </w:rPr>
            </w:pPr>
          </w:p>
        </w:tc>
        <w:tc>
          <w:tcPr>
            <w:tcW w:w="1720" w:type="dxa"/>
            <w:vAlign w:val="bottom"/>
          </w:tcPr>
          <w:p>
            <w:pPr>
              <w:jc w:val="right"/>
              <w:ind w:right="390"/>
              <w:spacing w:after="0"/>
              <w:rPr>
                <w:sz w:val="20"/>
                <w:szCs w:val="20"/>
                <w:color w:val="auto"/>
              </w:rPr>
            </w:pPr>
            <w:r>
              <w:rPr>
                <w:rFonts w:ascii="Arial" w:cs="Arial" w:eastAsia="Arial" w:hAnsi="Arial"/>
                <w:sz w:val="18"/>
                <w:szCs w:val="18"/>
                <w:b w:val="1"/>
                <w:bCs w:val="1"/>
                <w:color w:val="auto"/>
              </w:rPr>
              <w:t>June 30, 2019</w:t>
            </w:r>
          </w:p>
        </w:tc>
      </w:tr>
      <w:tr>
        <w:trPr>
          <w:trHeight w:val="27"/>
        </w:trPr>
        <w:tc>
          <w:tcPr>
            <w:tcW w:w="4440" w:type="dxa"/>
            <w:vAlign w:val="bottom"/>
            <w:tcBorders>
              <w:bottom w:val="single" w:sz="8" w:color="auto"/>
            </w:tcBorders>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44"/>
        </w:trPr>
        <w:tc>
          <w:tcPr>
            <w:tcW w:w="4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Operating Leases:</w:t>
            </w:r>
          </w:p>
        </w:tc>
        <w:tc>
          <w:tcPr>
            <w:tcW w:w="49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r>
      <w:tr>
        <w:trPr>
          <w:trHeight w:val="243"/>
        </w:trPr>
        <w:tc>
          <w:tcPr>
            <w:tcW w:w="4440" w:type="dxa"/>
            <w:vAlign w:val="bottom"/>
          </w:tcPr>
          <w:p>
            <w:pPr>
              <w:ind w:left="40"/>
              <w:spacing w:after="0"/>
              <w:rPr>
                <w:sz w:val="20"/>
                <w:szCs w:val="20"/>
                <w:color w:val="auto"/>
              </w:rPr>
            </w:pPr>
            <w:r>
              <w:rPr>
                <w:rFonts w:ascii="Arial" w:cs="Arial" w:eastAsia="Arial" w:hAnsi="Arial"/>
                <w:sz w:val="18"/>
                <w:szCs w:val="18"/>
                <w:color w:val="auto"/>
              </w:rPr>
              <w:t>Operating lease right-of-use assets</w:t>
            </w:r>
          </w:p>
        </w:tc>
        <w:tc>
          <w:tcPr>
            <w:tcW w:w="4960" w:type="dxa"/>
            <w:vAlign w:val="bottom"/>
          </w:tcPr>
          <w:p>
            <w:pPr>
              <w:ind w:left="920"/>
              <w:spacing w:after="0"/>
              <w:rPr>
                <w:sz w:val="20"/>
                <w:szCs w:val="20"/>
                <w:color w:val="auto"/>
              </w:rPr>
            </w:pPr>
            <w:r>
              <w:rPr>
                <w:rFonts w:ascii="Arial" w:cs="Arial" w:eastAsia="Arial" w:hAnsi="Arial"/>
                <w:sz w:val="18"/>
                <w:szCs w:val="18"/>
                <w:color w:val="auto"/>
              </w:rPr>
              <w:t>Other non-current assets</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90"/>
              <w:spacing w:after="0"/>
              <w:rPr>
                <w:sz w:val="20"/>
                <w:szCs w:val="20"/>
                <w:color w:val="auto"/>
              </w:rPr>
            </w:pPr>
            <w:r>
              <w:rPr>
                <w:rFonts w:ascii="Arial" w:cs="Arial" w:eastAsia="Arial" w:hAnsi="Arial"/>
                <w:sz w:val="18"/>
                <w:szCs w:val="18"/>
                <w:color w:val="auto"/>
              </w:rPr>
              <w:t>412.3</w:t>
            </w:r>
          </w:p>
        </w:tc>
      </w:tr>
      <w:tr>
        <w:trPr>
          <w:trHeight w:val="27"/>
        </w:trPr>
        <w:tc>
          <w:tcPr>
            <w:tcW w:w="4440" w:type="dxa"/>
            <w:vAlign w:val="bottom"/>
          </w:tcPr>
          <w:p>
            <w:pPr>
              <w:spacing w:after="0"/>
              <w:rPr>
                <w:sz w:val="2"/>
                <w:szCs w:val="2"/>
                <w:color w:val="auto"/>
              </w:rPr>
            </w:pPr>
          </w:p>
        </w:tc>
        <w:tc>
          <w:tcPr>
            <w:tcW w:w="4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324"/>
        </w:trPr>
        <w:tc>
          <w:tcPr>
            <w:tcW w:w="4440" w:type="dxa"/>
            <w:vAlign w:val="bottom"/>
            <w:shd w:val="clear" w:color="auto" w:fill="CCEEFF"/>
          </w:tcPr>
          <w:p>
            <w:pPr>
              <w:spacing w:after="0"/>
              <w:rPr>
                <w:sz w:val="24"/>
                <w:szCs w:val="24"/>
                <w:color w:val="auto"/>
              </w:rPr>
            </w:pPr>
          </w:p>
        </w:tc>
        <w:tc>
          <w:tcPr>
            <w:tcW w:w="496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43"/>
        </w:trPr>
        <w:tc>
          <w:tcPr>
            <w:tcW w:w="4440" w:type="dxa"/>
            <w:vAlign w:val="bottom"/>
          </w:tcPr>
          <w:p>
            <w:pPr>
              <w:ind w:left="40"/>
              <w:spacing w:after="0"/>
              <w:rPr>
                <w:sz w:val="20"/>
                <w:szCs w:val="20"/>
                <w:color w:val="auto"/>
              </w:rPr>
            </w:pPr>
            <w:r>
              <w:rPr>
                <w:rFonts w:ascii="Arial" w:cs="Arial" w:eastAsia="Arial" w:hAnsi="Arial"/>
                <w:sz w:val="18"/>
                <w:szCs w:val="18"/>
                <w:color w:val="auto"/>
              </w:rPr>
              <w:t>Operating lease obligations - current</w:t>
            </w:r>
          </w:p>
        </w:tc>
        <w:tc>
          <w:tcPr>
            <w:tcW w:w="4960" w:type="dxa"/>
            <w:vAlign w:val="bottom"/>
          </w:tcPr>
          <w:p>
            <w:pPr>
              <w:ind w:left="920"/>
              <w:spacing w:after="0"/>
              <w:rPr>
                <w:sz w:val="20"/>
                <w:szCs w:val="20"/>
                <w:color w:val="auto"/>
              </w:rPr>
            </w:pPr>
            <w:r>
              <w:rPr>
                <w:rFonts w:ascii="Arial" w:cs="Arial" w:eastAsia="Arial" w:hAnsi="Arial"/>
                <w:sz w:val="18"/>
                <w:szCs w:val="18"/>
                <w:color w:val="auto"/>
              </w:rPr>
              <w:t>Other accrued liabilities</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90"/>
              <w:spacing w:after="0"/>
              <w:rPr>
                <w:sz w:val="20"/>
                <w:szCs w:val="20"/>
                <w:color w:val="auto"/>
              </w:rPr>
            </w:pPr>
            <w:r>
              <w:rPr>
                <w:rFonts w:ascii="Arial" w:cs="Arial" w:eastAsia="Arial" w:hAnsi="Arial"/>
                <w:sz w:val="18"/>
                <w:szCs w:val="18"/>
                <w:color w:val="auto"/>
              </w:rPr>
              <w:t>87.4</w:t>
            </w:r>
          </w:p>
        </w:tc>
      </w:tr>
      <w:tr>
        <w:trPr>
          <w:trHeight w:val="27"/>
        </w:trPr>
        <w:tc>
          <w:tcPr>
            <w:tcW w:w="4440" w:type="dxa"/>
            <w:vAlign w:val="bottom"/>
          </w:tcPr>
          <w:p>
            <w:pPr>
              <w:spacing w:after="0"/>
              <w:rPr>
                <w:sz w:val="2"/>
                <w:szCs w:val="2"/>
                <w:color w:val="auto"/>
              </w:rPr>
            </w:pPr>
          </w:p>
        </w:tc>
        <w:tc>
          <w:tcPr>
            <w:tcW w:w="4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70"/>
        </w:trPr>
        <w:tc>
          <w:tcPr>
            <w:tcW w:w="4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lease obligations - non-current</w:t>
            </w:r>
          </w:p>
        </w:tc>
        <w:tc>
          <w:tcPr>
            <w:tcW w:w="496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8"/>
                <w:szCs w:val="18"/>
                <w:color w:val="auto"/>
              </w:rPr>
              <w:t>Other non-current liabilities</w:t>
            </w:r>
          </w:p>
        </w:tc>
        <w:tc>
          <w:tcPr>
            <w:tcW w:w="30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358.3</w:t>
            </w:r>
          </w:p>
        </w:tc>
      </w:tr>
      <w:tr>
        <w:trPr>
          <w:trHeight w:val="237"/>
        </w:trPr>
        <w:tc>
          <w:tcPr>
            <w:tcW w:w="4440" w:type="dxa"/>
            <w:vAlign w:val="bottom"/>
          </w:tcPr>
          <w:p>
            <w:pPr>
              <w:ind w:left="440"/>
              <w:spacing w:after="0"/>
              <w:rPr>
                <w:sz w:val="20"/>
                <w:szCs w:val="20"/>
                <w:color w:val="auto"/>
              </w:rPr>
            </w:pPr>
            <w:r>
              <w:rPr>
                <w:rFonts w:ascii="Arial" w:cs="Arial" w:eastAsia="Arial" w:hAnsi="Arial"/>
                <w:sz w:val="18"/>
                <w:szCs w:val="18"/>
                <w:color w:val="auto"/>
              </w:rPr>
              <w:t>Total operating lease obligations</w:t>
            </w:r>
          </w:p>
        </w:tc>
        <w:tc>
          <w:tcPr>
            <w:tcW w:w="496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445.7</w:t>
            </w:r>
          </w:p>
        </w:tc>
      </w:tr>
      <w:tr>
        <w:trPr>
          <w:trHeight w:val="67"/>
        </w:trPr>
        <w:tc>
          <w:tcPr>
            <w:tcW w:w="4440" w:type="dxa"/>
            <w:vAlign w:val="bottom"/>
            <w:tcBorders>
              <w:bottom w:val="single" w:sz="8" w:color="CCEEFF"/>
            </w:tcBorders>
          </w:tcPr>
          <w:p>
            <w:pPr>
              <w:spacing w:after="0"/>
              <w:rPr>
                <w:sz w:val="5"/>
                <w:szCs w:val="5"/>
                <w:color w:val="auto"/>
              </w:rPr>
            </w:pPr>
          </w:p>
        </w:tc>
        <w:tc>
          <w:tcPr>
            <w:tcW w:w="496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720" w:type="dxa"/>
            <w:vAlign w:val="bottom"/>
            <w:tcBorders>
              <w:bottom w:val="single" w:sz="8" w:color="auto"/>
            </w:tcBorders>
          </w:tcPr>
          <w:p>
            <w:pPr>
              <w:spacing w:after="0"/>
              <w:rPr>
                <w:sz w:val="5"/>
                <w:szCs w:val="5"/>
                <w:color w:val="auto"/>
              </w:rPr>
            </w:pPr>
          </w:p>
        </w:tc>
      </w:tr>
      <w:tr>
        <w:trPr>
          <w:trHeight w:val="305"/>
        </w:trPr>
        <w:tc>
          <w:tcPr>
            <w:tcW w:w="4440" w:type="dxa"/>
            <w:vAlign w:val="bottom"/>
            <w:shd w:val="clear" w:color="auto" w:fill="CCEEFF"/>
          </w:tcPr>
          <w:p>
            <w:pPr>
              <w:spacing w:after="0"/>
              <w:rPr>
                <w:sz w:val="24"/>
                <w:szCs w:val="24"/>
                <w:color w:val="auto"/>
              </w:rPr>
            </w:pPr>
          </w:p>
        </w:tc>
        <w:tc>
          <w:tcPr>
            <w:tcW w:w="496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43"/>
        </w:trPr>
        <w:tc>
          <w:tcPr>
            <w:tcW w:w="4440" w:type="dxa"/>
            <w:vAlign w:val="bottom"/>
          </w:tcPr>
          <w:p>
            <w:pPr>
              <w:ind w:left="40"/>
              <w:spacing w:after="0"/>
              <w:rPr>
                <w:sz w:val="20"/>
                <w:szCs w:val="20"/>
                <w:color w:val="auto"/>
              </w:rPr>
            </w:pPr>
            <w:r>
              <w:rPr>
                <w:rFonts w:ascii="Arial" w:cs="Arial" w:eastAsia="Arial" w:hAnsi="Arial"/>
                <w:sz w:val="18"/>
                <w:szCs w:val="18"/>
                <w:color w:val="auto"/>
              </w:rPr>
              <w:t>Weighted-average remaining lease term in years</w:t>
            </w:r>
          </w:p>
        </w:tc>
        <w:tc>
          <w:tcPr>
            <w:tcW w:w="49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20" w:type="dxa"/>
            <w:vAlign w:val="bottom"/>
          </w:tcPr>
          <w:p>
            <w:pPr>
              <w:jc w:val="right"/>
              <w:ind w:right="90"/>
              <w:spacing w:after="0"/>
              <w:rPr>
                <w:sz w:val="20"/>
                <w:szCs w:val="20"/>
                <w:color w:val="auto"/>
              </w:rPr>
            </w:pPr>
            <w:r>
              <w:rPr>
                <w:rFonts w:ascii="Arial" w:cs="Arial" w:eastAsia="Arial" w:hAnsi="Arial"/>
                <w:sz w:val="18"/>
                <w:szCs w:val="18"/>
                <w:color w:val="auto"/>
              </w:rPr>
              <w:t>6.5</w:t>
            </w:r>
          </w:p>
        </w:tc>
      </w:tr>
      <w:tr>
        <w:trPr>
          <w:trHeight w:val="27"/>
        </w:trPr>
        <w:tc>
          <w:tcPr>
            <w:tcW w:w="4440" w:type="dxa"/>
            <w:vAlign w:val="bottom"/>
          </w:tcPr>
          <w:p>
            <w:pPr>
              <w:spacing w:after="0"/>
              <w:rPr>
                <w:sz w:val="2"/>
                <w:szCs w:val="2"/>
                <w:color w:val="auto"/>
              </w:rPr>
            </w:pPr>
          </w:p>
        </w:tc>
        <w:tc>
          <w:tcPr>
            <w:tcW w:w="4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4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Weighted-average discount rate</w:t>
            </w:r>
          </w:p>
        </w:tc>
        <w:tc>
          <w:tcPr>
            <w:tcW w:w="49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w:t>
            </w:r>
          </w:p>
        </w:tc>
      </w:tr>
      <w:tr>
        <w:trPr>
          <w:trHeight w:val="324"/>
        </w:trPr>
        <w:tc>
          <w:tcPr>
            <w:tcW w:w="4440" w:type="dxa"/>
            <w:vAlign w:val="bottom"/>
          </w:tcPr>
          <w:p>
            <w:pPr>
              <w:spacing w:after="0"/>
              <w:rPr>
                <w:sz w:val="24"/>
                <w:szCs w:val="24"/>
                <w:color w:val="auto"/>
              </w:rPr>
            </w:pPr>
          </w:p>
        </w:tc>
        <w:tc>
          <w:tcPr>
            <w:tcW w:w="4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250"/>
        </w:trPr>
        <w:tc>
          <w:tcPr>
            <w:tcW w:w="4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Finance Leases:</w:t>
            </w:r>
          </w:p>
        </w:tc>
        <w:tc>
          <w:tcPr>
            <w:tcW w:w="49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r>
      <w:tr>
        <w:trPr>
          <w:trHeight w:val="243"/>
        </w:trPr>
        <w:tc>
          <w:tcPr>
            <w:tcW w:w="4440" w:type="dxa"/>
            <w:vAlign w:val="bottom"/>
          </w:tcPr>
          <w:p>
            <w:pPr>
              <w:ind w:left="40"/>
              <w:spacing w:after="0"/>
              <w:rPr>
                <w:sz w:val="20"/>
                <w:szCs w:val="20"/>
                <w:color w:val="auto"/>
              </w:rPr>
            </w:pPr>
            <w:r>
              <w:rPr>
                <w:rFonts w:ascii="Arial" w:cs="Arial" w:eastAsia="Arial" w:hAnsi="Arial"/>
                <w:sz w:val="18"/>
                <w:szCs w:val="18"/>
                <w:color w:val="auto"/>
              </w:rPr>
              <w:t>Finance lease right-of-use assets</w:t>
            </w:r>
          </w:p>
        </w:tc>
        <w:tc>
          <w:tcPr>
            <w:tcW w:w="4960" w:type="dxa"/>
            <w:vAlign w:val="bottom"/>
          </w:tcPr>
          <w:p>
            <w:pPr>
              <w:ind w:left="920"/>
              <w:spacing w:after="0"/>
              <w:rPr>
                <w:sz w:val="20"/>
                <w:szCs w:val="20"/>
                <w:color w:val="auto"/>
              </w:rPr>
            </w:pPr>
            <w:r>
              <w:rPr>
                <w:rFonts w:ascii="Arial" w:cs="Arial" w:eastAsia="Arial" w:hAnsi="Arial"/>
                <w:sz w:val="18"/>
                <w:szCs w:val="18"/>
                <w:color w:val="auto"/>
              </w:rPr>
              <w:t>Property and equipment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90"/>
              <w:spacing w:after="0"/>
              <w:rPr>
                <w:sz w:val="20"/>
                <w:szCs w:val="20"/>
                <w:color w:val="auto"/>
              </w:rPr>
            </w:pPr>
            <w:r>
              <w:rPr>
                <w:rFonts w:ascii="Arial" w:cs="Arial" w:eastAsia="Arial" w:hAnsi="Arial"/>
                <w:sz w:val="18"/>
                <w:szCs w:val="18"/>
                <w:color w:val="auto"/>
              </w:rPr>
              <w:t>63.8</w:t>
            </w:r>
          </w:p>
        </w:tc>
      </w:tr>
      <w:tr>
        <w:trPr>
          <w:trHeight w:val="27"/>
        </w:trPr>
        <w:tc>
          <w:tcPr>
            <w:tcW w:w="4440" w:type="dxa"/>
            <w:vAlign w:val="bottom"/>
          </w:tcPr>
          <w:p>
            <w:pPr>
              <w:spacing w:after="0"/>
              <w:rPr>
                <w:sz w:val="2"/>
                <w:szCs w:val="2"/>
                <w:color w:val="auto"/>
              </w:rPr>
            </w:pPr>
          </w:p>
        </w:tc>
        <w:tc>
          <w:tcPr>
            <w:tcW w:w="4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324"/>
        </w:trPr>
        <w:tc>
          <w:tcPr>
            <w:tcW w:w="4440" w:type="dxa"/>
            <w:vAlign w:val="bottom"/>
            <w:shd w:val="clear" w:color="auto" w:fill="CCEEFF"/>
          </w:tcPr>
          <w:p>
            <w:pPr>
              <w:spacing w:after="0"/>
              <w:rPr>
                <w:sz w:val="24"/>
                <w:szCs w:val="24"/>
                <w:color w:val="auto"/>
              </w:rPr>
            </w:pPr>
          </w:p>
        </w:tc>
        <w:tc>
          <w:tcPr>
            <w:tcW w:w="496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43"/>
        </w:trPr>
        <w:tc>
          <w:tcPr>
            <w:tcW w:w="4440" w:type="dxa"/>
            <w:vAlign w:val="bottom"/>
          </w:tcPr>
          <w:p>
            <w:pPr>
              <w:ind w:left="40"/>
              <w:spacing w:after="0"/>
              <w:rPr>
                <w:sz w:val="20"/>
                <w:szCs w:val="20"/>
                <w:color w:val="auto"/>
              </w:rPr>
            </w:pPr>
            <w:r>
              <w:rPr>
                <w:rFonts w:ascii="Arial" w:cs="Arial" w:eastAsia="Arial" w:hAnsi="Arial"/>
                <w:sz w:val="18"/>
                <w:szCs w:val="18"/>
                <w:color w:val="auto"/>
              </w:rPr>
              <w:t>Finance lease obligations - current</w:t>
            </w:r>
          </w:p>
        </w:tc>
        <w:tc>
          <w:tcPr>
            <w:tcW w:w="4960" w:type="dxa"/>
            <w:vAlign w:val="bottom"/>
          </w:tcPr>
          <w:p>
            <w:pPr>
              <w:ind w:left="920"/>
              <w:spacing w:after="0"/>
              <w:rPr>
                <w:sz w:val="20"/>
                <w:szCs w:val="20"/>
                <w:color w:val="auto"/>
              </w:rPr>
            </w:pPr>
            <w:r>
              <w:rPr>
                <w:rFonts w:ascii="Arial" w:cs="Arial" w:eastAsia="Arial" w:hAnsi="Arial"/>
                <w:sz w:val="18"/>
                <w:szCs w:val="18"/>
                <w:color w:val="auto"/>
              </w:rPr>
              <w:t>Current maturities of long-term debt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Pr>
          <w:p>
            <w:pPr>
              <w:jc w:val="right"/>
              <w:ind w:right="90"/>
              <w:spacing w:after="0"/>
              <w:rPr>
                <w:sz w:val="20"/>
                <w:szCs w:val="20"/>
                <w:color w:val="auto"/>
              </w:rPr>
            </w:pPr>
            <w:r>
              <w:rPr>
                <w:rFonts w:ascii="Arial" w:cs="Arial" w:eastAsia="Arial" w:hAnsi="Arial"/>
                <w:sz w:val="18"/>
                <w:szCs w:val="18"/>
                <w:color w:val="auto"/>
              </w:rPr>
              <w:t>8.9</w:t>
            </w:r>
          </w:p>
        </w:tc>
      </w:tr>
      <w:tr>
        <w:trPr>
          <w:trHeight w:val="27"/>
        </w:trPr>
        <w:tc>
          <w:tcPr>
            <w:tcW w:w="4440" w:type="dxa"/>
            <w:vAlign w:val="bottom"/>
          </w:tcPr>
          <w:p>
            <w:pPr>
              <w:spacing w:after="0"/>
              <w:rPr>
                <w:sz w:val="2"/>
                <w:szCs w:val="2"/>
                <w:color w:val="auto"/>
              </w:rPr>
            </w:pPr>
          </w:p>
        </w:tc>
        <w:tc>
          <w:tcPr>
            <w:tcW w:w="4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70"/>
        </w:trPr>
        <w:tc>
          <w:tcPr>
            <w:tcW w:w="4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Finance lease obligations - non-current</w:t>
            </w:r>
          </w:p>
        </w:tc>
        <w:tc>
          <w:tcPr>
            <w:tcW w:w="496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8"/>
                <w:szCs w:val="18"/>
                <w:color w:val="auto"/>
              </w:rPr>
              <w:t>Long-term debt, net of current maturities</w:t>
            </w:r>
          </w:p>
        </w:tc>
        <w:tc>
          <w:tcPr>
            <w:tcW w:w="30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58.0</w:t>
            </w:r>
          </w:p>
        </w:tc>
      </w:tr>
      <w:tr>
        <w:trPr>
          <w:trHeight w:val="297"/>
        </w:trPr>
        <w:tc>
          <w:tcPr>
            <w:tcW w:w="4440" w:type="dxa"/>
            <w:vAlign w:val="bottom"/>
            <w:tcBorders>
              <w:bottom w:val="single" w:sz="8" w:color="CCEEFF"/>
            </w:tcBorders>
          </w:tcPr>
          <w:p>
            <w:pPr>
              <w:ind w:left="440"/>
              <w:spacing w:after="0"/>
              <w:rPr>
                <w:sz w:val="20"/>
                <w:szCs w:val="20"/>
                <w:color w:val="auto"/>
              </w:rPr>
            </w:pPr>
            <w:r>
              <w:rPr>
                <w:rFonts w:ascii="Arial" w:cs="Arial" w:eastAsia="Arial" w:hAnsi="Arial"/>
                <w:sz w:val="18"/>
                <w:szCs w:val="18"/>
                <w:color w:val="auto"/>
              </w:rPr>
              <w:t>Total finance lease obligations</w:t>
            </w:r>
          </w:p>
        </w:tc>
        <w:tc>
          <w:tcPr>
            <w:tcW w:w="496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rPr>
              <w:t>66.9</w:t>
            </w:r>
          </w:p>
        </w:tc>
      </w:tr>
      <w:tr>
        <w:trPr>
          <w:trHeight w:val="311"/>
        </w:trPr>
        <w:tc>
          <w:tcPr>
            <w:tcW w:w="4440" w:type="dxa"/>
            <w:vAlign w:val="bottom"/>
            <w:shd w:val="clear" w:color="auto" w:fill="CCEEFF"/>
          </w:tcPr>
          <w:p>
            <w:pPr>
              <w:spacing w:after="0"/>
              <w:rPr>
                <w:sz w:val="24"/>
                <w:szCs w:val="24"/>
                <w:color w:val="auto"/>
              </w:rPr>
            </w:pPr>
          </w:p>
        </w:tc>
        <w:tc>
          <w:tcPr>
            <w:tcW w:w="496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720" w:type="dxa"/>
            <w:vAlign w:val="bottom"/>
            <w:shd w:val="clear" w:color="auto" w:fill="CCEEFF"/>
          </w:tcPr>
          <w:p>
            <w:pPr>
              <w:spacing w:after="0"/>
              <w:rPr>
                <w:sz w:val="24"/>
                <w:szCs w:val="24"/>
                <w:color w:val="auto"/>
              </w:rPr>
            </w:pPr>
          </w:p>
        </w:tc>
      </w:tr>
      <w:tr>
        <w:trPr>
          <w:trHeight w:val="243"/>
        </w:trPr>
        <w:tc>
          <w:tcPr>
            <w:tcW w:w="4440" w:type="dxa"/>
            <w:vAlign w:val="bottom"/>
          </w:tcPr>
          <w:p>
            <w:pPr>
              <w:ind w:left="40"/>
              <w:spacing w:after="0"/>
              <w:rPr>
                <w:sz w:val="20"/>
                <w:szCs w:val="20"/>
                <w:color w:val="auto"/>
              </w:rPr>
            </w:pPr>
            <w:r>
              <w:rPr>
                <w:rFonts w:ascii="Arial" w:cs="Arial" w:eastAsia="Arial" w:hAnsi="Arial"/>
                <w:sz w:val="18"/>
                <w:szCs w:val="18"/>
                <w:color w:val="auto"/>
              </w:rPr>
              <w:t>Weighted-average remaining lease term in years</w:t>
            </w:r>
          </w:p>
        </w:tc>
        <w:tc>
          <w:tcPr>
            <w:tcW w:w="49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20" w:type="dxa"/>
            <w:vAlign w:val="bottom"/>
          </w:tcPr>
          <w:p>
            <w:pPr>
              <w:jc w:val="right"/>
              <w:ind w:right="90"/>
              <w:spacing w:after="0"/>
              <w:rPr>
                <w:sz w:val="20"/>
                <w:szCs w:val="20"/>
                <w:color w:val="auto"/>
              </w:rPr>
            </w:pPr>
            <w:r>
              <w:rPr>
                <w:rFonts w:ascii="Arial" w:cs="Arial" w:eastAsia="Arial" w:hAnsi="Arial"/>
                <w:sz w:val="18"/>
                <w:szCs w:val="18"/>
                <w:color w:val="auto"/>
              </w:rPr>
              <w:t>8.7</w:t>
            </w:r>
          </w:p>
        </w:tc>
      </w:tr>
      <w:tr>
        <w:trPr>
          <w:trHeight w:val="27"/>
        </w:trPr>
        <w:tc>
          <w:tcPr>
            <w:tcW w:w="4440" w:type="dxa"/>
            <w:vAlign w:val="bottom"/>
          </w:tcPr>
          <w:p>
            <w:pPr>
              <w:spacing w:after="0"/>
              <w:rPr>
                <w:sz w:val="2"/>
                <w:szCs w:val="2"/>
                <w:color w:val="auto"/>
              </w:rPr>
            </w:pPr>
          </w:p>
        </w:tc>
        <w:tc>
          <w:tcPr>
            <w:tcW w:w="4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4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Weighted-average discount rate</w:t>
            </w:r>
          </w:p>
        </w:tc>
        <w:tc>
          <w:tcPr>
            <w:tcW w:w="496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w:t>
            </w:r>
          </w:p>
        </w:tc>
      </w:tr>
      <w:tr>
        <w:trPr>
          <w:trHeight w:val="675"/>
        </w:trPr>
        <w:tc>
          <w:tcPr>
            <w:tcW w:w="4440" w:type="dxa"/>
            <w:vAlign w:val="bottom"/>
          </w:tcPr>
          <w:p>
            <w:pPr>
              <w:spacing w:after="0"/>
              <w:rPr>
                <w:sz w:val="24"/>
                <w:szCs w:val="24"/>
                <w:color w:val="auto"/>
              </w:rPr>
            </w:pPr>
          </w:p>
        </w:tc>
        <w:tc>
          <w:tcPr>
            <w:tcW w:w="4960" w:type="dxa"/>
            <w:vAlign w:val="bottom"/>
          </w:tcPr>
          <w:p>
            <w:pPr>
              <w:ind w:left="1180"/>
              <w:spacing w:after="0"/>
              <w:rPr>
                <w:sz w:val="20"/>
                <w:szCs w:val="20"/>
                <w:color w:val="auto"/>
              </w:rPr>
            </w:pPr>
            <w:r>
              <w:rPr>
                <w:rFonts w:ascii="Arial" w:cs="Arial" w:eastAsia="Arial" w:hAnsi="Arial"/>
                <w:sz w:val="18"/>
                <w:szCs w:val="18"/>
                <w:color w:val="auto"/>
              </w:rPr>
              <w:t>13</w:t>
            </w:r>
          </w:p>
        </w:tc>
        <w:tc>
          <w:tcPr>
            <w:tcW w:w="300" w:type="dxa"/>
            <w:vAlign w:val="bottom"/>
          </w:tcPr>
          <w:p>
            <w:pPr>
              <w:spacing w:after="0"/>
              <w:rPr>
                <w:sz w:val="24"/>
                <w:szCs w:val="24"/>
                <w:color w:val="auto"/>
              </w:rPr>
            </w:pPr>
          </w:p>
        </w:tc>
        <w:tc>
          <w:tcPr>
            <w:tcW w:w="172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16" w:name="page17"/>
    <w:bookmarkEnd w:id="1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640" w:type="dxa"/>
            <w:vAlign w:val="bottom"/>
            <w:gridSpan w:val="2"/>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23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940" w:type="dxa"/>
            <w:vAlign w:val="bottom"/>
          </w:tcPr>
          <w:p>
            <w:pPr>
              <w:spacing w:after="0"/>
              <w:rPr>
                <w:sz w:val="17"/>
                <w:szCs w:val="17"/>
                <w:color w:val="auto"/>
              </w:rPr>
            </w:pPr>
          </w:p>
        </w:tc>
      </w:tr>
      <w:tr>
        <w:trPr>
          <w:trHeight w:val="20"/>
        </w:trPr>
        <w:tc>
          <w:tcPr>
            <w:tcW w:w="1280" w:type="dxa"/>
            <w:vAlign w:val="bottom"/>
            <w:shd w:val="clear" w:color="auto" w:fill="0000EE"/>
          </w:tcPr>
          <w:p>
            <w:pPr>
              <w:spacing w:after="0" w:line="20" w:lineRule="exact"/>
              <w:rPr>
                <w:sz w:val="1"/>
                <w:szCs w:val="1"/>
                <w:color w:val="auto"/>
              </w:rPr>
            </w:pPr>
          </w:p>
        </w:tc>
        <w:tc>
          <w:tcPr>
            <w:tcW w:w="6200" w:type="dxa"/>
            <w:vAlign w:val="bottom"/>
            <w:gridSpan w:val="3"/>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r>
      <w:tr>
        <w:trPr>
          <w:trHeight w:val="480"/>
        </w:trPr>
        <w:tc>
          <w:tcPr>
            <w:tcW w:w="7480" w:type="dxa"/>
            <w:vAlign w:val="bottom"/>
            <w:gridSpan w:val="4"/>
          </w:tcPr>
          <w:p>
            <w:pPr>
              <w:ind w:left="660"/>
              <w:spacing w:after="0"/>
              <w:rPr>
                <w:sz w:val="20"/>
                <w:szCs w:val="20"/>
                <w:color w:val="auto"/>
              </w:rPr>
            </w:pPr>
            <w:r>
              <w:rPr>
                <w:rFonts w:ascii="Arial" w:cs="Arial" w:eastAsia="Arial" w:hAnsi="Arial"/>
                <w:sz w:val="18"/>
                <w:szCs w:val="18"/>
                <w:color w:val="auto"/>
                <w:w w:val="99"/>
              </w:rPr>
              <w:t>Cash paid for amounts included in the measurement of lease liabilities was as follows:</w:t>
            </w: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40" w:type="dxa"/>
            <w:vAlign w:val="bottom"/>
          </w:tcPr>
          <w:p>
            <w:pPr>
              <w:spacing w:after="0"/>
              <w:rPr>
                <w:sz w:val="24"/>
                <w:szCs w:val="24"/>
                <w:color w:val="auto"/>
              </w:rPr>
            </w:pPr>
          </w:p>
        </w:tc>
      </w:tr>
      <w:tr>
        <w:trPr>
          <w:trHeight w:val="414"/>
        </w:trPr>
        <w:tc>
          <w:tcPr>
            <w:tcW w:w="4640" w:type="dxa"/>
            <w:vAlign w:val="bottom"/>
            <w:gridSpan w:val="2"/>
          </w:tcPr>
          <w:p>
            <w:pPr>
              <w:ind w:left="40"/>
              <w:spacing w:after="0"/>
              <w:rPr>
                <w:sz w:val="20"/>
                <w:szCs w:val="20"/>
                <w:color w:val="auto"/>
              </w:rPr>
            </w:pPr>
            <w:r>
              <w:rPr>
                <w:rFonts w:ascii="Arial" w:cs="Arial" w:eastAsia="Arial" w:hAnsi="Arial"/>
                <w:sz w:val="18"/>
                <w:szCs w:val="18"/>
                <w:i w:val="1"/>
                <w:iCs w:val="1"/>
                <w:color w:val="auto"/>
              </w:rPr>
              <w:t>(in millions)</w:t>
            </w:r>
          </w:p>
        </w:tc>
        <w:tc>
          <w:tcPr>
            <w:tcW w:w="2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60" w:type="dxa"/>
            <w:vAlign w:val="bottom"/>
            <w:gridSpan w:val="3"/>
          </w:tcPr>
          <w:p>
            <w:pPr>
              <w:jc w:val="right"/>
              <w:spacing w:after="0"/>
              <w:rPr>
                <w:sz w:val="20"/>
                <w:szCs w:val="20"/>
                <w:color w:val="auto"/>
              </w:rPr>
            </w:pPr>
            <w:r>
              <w:rPr>
                <w:rFonts w:ascii="Arial" w:cs="Arial" w:eastAsia="Arial" w:hAnsi="Arial"/>
                <w:sz w:val="18"/>
                <w:szCs w:val="18"/>
                <w:b w:val="1"/>
                <w:bCs w:val="1"/>
                <w:color w:val="auto"/>
                <w:w w:val="92"/>
              </w:rPr>
              <w:t>Six Months Ended June 30,</w:t>
            </w:r>
          </w:p>
        </w:tc>
      </w:tr>
      <w:tr>
        <w:trPr>
          <w:trHeight w:val="234"/>
        </w:trPr>
        <w:tc>
          <w:tcPr>
            <w:tcW w:w="4640" w:type="dxa"/>
            <w:vAlign w:val="bottom"/>
            <w:gridSpan w:val="2"/>
          </w:tcPr>
          <w:p>
            <w:pPr>
              <w:ind w:left="40"/>
              <w:spacing w:after="0"/>
              <w:rPr>
                <w:sz w:val="20"/>
                <w:szCs w:val="20"/>
                <w:color w:val="auto"/>
              </w:rPr>
            </w:pPr>
            <w:r>
              <w:rPr>
                <w:rFonts w:ascii="Arial" w:cs="Arial" w:eastAsia="Arial" w:hAnsi="Arial"/>
                <w:sz w:val="18"/>
                <w:szCs w:val="18"/>
                <w:b w:val="1"/>
                <w:bCs w:val="1"/>
                <w:color w:val="auto"/>
              </w:rPr>
              <w:t>Lease Classification</w:t>
            </w:r>
          </w:p>
        </w:tc>
        <w:tc>
          <w:tcPr>
            <w:tcW w:w="2840" w:type="dxa"/>
            <w:vAlign w:val="bottom"/>
            <w:gridSpan w:val="2"/>
          </w:tcPr>
          <w:p>
            <w:pPr>
              <w:ind w:left="180"/>
              <w:spacing w:after="0"/>
              <w:rPr>
                <w:sz w:val="20"/>
                <w:szCs w:val="20"/>
                <w:color w:val="auto"/>
              </w:rPr>
            </w:pPr>
            <w:r>
              <w:rPr>
                <w:rFonts w:ascii="Arial" w:cs="Arial" w:eastAsia="Arial" w:hAnsi="Arial"/>
                <w:sz w:val="18"/>
                <w:szCs w:val="18"/>
                <w:b w:val="1"/>
                <w:bCs w:val="1"/>
                <w:color w:val="auto"/>
                <w:w w:val="90"/>
              </w:rPr>
              <w:t>Financial Statement Classification</w:t>
            </w: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940" w:type="dxa"/>
            <w:vAlign w:val="bottom"/>
          </w:tcPr>
          <w:p>
            <w:pPr>
              <w:jc w:val="right"/>
              <w:ind w:right="870"/>
              <w:spacing w:after="0"/>
              <w:rPr>
                <w:sz w:val="20"/>
                <w:szCs w:val="20"/>
                <w:color w:val="auto"/>
              </w:rPr>
            </w:pPr>
            <w:r>
              <w:rPr>
                <w:rFonts w:ascii="Arial" w:cs="Arial" w:eastAsia="Arial" w:hAnsi="Arial"/>
                <w:sz w:val="18"/>
                <w:szCs w:val="18"/>
                <w:b w:val="1"/>
                <w:bCs w:val="1"/>
                <w:color w:val="auto"/>
              </w:rPr>
              <w:t>2019</w:t>
            </w:r>
          </w:p>
        </w:tc>
      </w:tr>
      <w:tr>
        <w:trPr>
          <w:trHeight w:val="27"/>
        </w:trPr>
        <w:tc>
          <w:tcPr>
            <w:tcW w:w="1280" w:type="dxa"/>
            <w:vAlign w:val="bottom"/>
            <w:tcBorders>
              <w:bottom w:val="single" w:sz="8" w:color="auto"/>
            </w:tcBorders>
          </w:tcPr>
          <w:p>
            <w:pPr>
              <w:spacing w:after="0"/>
              <w:rPr>
                <w:sz w:val="2"/>
                <w:szCs w:val="2"/>
                <w:color w:val="auto"/>
              </w:rPr>
            </w:pPr>
          </w:p>
        </w:tc>
        <w:tc>
          <w:tcPr>
            <w:tcW w:w="336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44"/>
        </w:trPr>
        <w:tc>
          <w:tcPr>
            <w:tcW w:w="46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Operating Leases:</w:t>
            </w:r>
          </w:p>
        </w:tc>
        <w:tc>
          <w:tcPr>
            <w:tcW w:w="234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spacing w:after="0"/>
              <w:rPr>
                <w:sz w:val="21"/>
                <w:szCs w:val="21"/>
                <w:color w:val="auto"/>
              </w:rPr>
            </w:pPr>
          </w:p>
        </w:tc>
      </w:tr>
      <w:tr>
        <w:trPr>
          <w:trHeight w:val="243"/>
        </w:trPr>
        <w:tc>
          <w:tcPr>
            <w:tcW w:w="4640" w:type="dxa"/>
            <w:vAlign w:val="bottom"/>
            <w:gridSpan w:val="2"/>
          </w:tcPr>
          <w:p>
            <w:pPr>
              <w:ind w:left="520"/>
              <w:spacing w:after="0"/>
              <w:rPr>
                <w:sz w:val="20"/>
                <w:szCs w:val="20"/>
                <w:color w:val="auto"/>
              </w:rPr>
            </w:pPr>
            <w:r>
              <w:rPr>
                <w:rFonts w:ascii="Arial" w:cs="Arial" w:eastAsia="Arial" w:hAnsi="Arial"/>
                <w:sz w:val="18"/>
                <w:szCs w:val="18"/>
                <w:color w:val="auto"/>
              </w:rPr>
              <w:t>Operating cash flows from operating leases</w:t>
            </w:r>
          </w:p>
        </w:tc>
        <w:tc>
          <w:tcPr>
            <w:tcW w:w="2840" w:type="dxa"/>
            <w:vAlign w:val="bottom"/>
            <w:gridSpan w:val="2"/>
          </w:tcPr>
          <w:p>
            <w:pPr>
              <w:ind w:left="180"/>
              <w:spacing w:after="0"/>
              <w:rPr>
                <w:sz w:val="20"/>
                <w:szCs w:val="20"/>
                <w:color w:val="auto"/>
              </w:rPr>
            </w:pPr>
            <w:r>
              <w:rPr>
                <w:rFonts w:ascii="Arial" w:cs="Arial" w:eastAsia="Arial" w:hAnsi="Arial"/>
                <w:sz w:val="18"/>
                <w:szCs w:val="18"/>
                <w:color w:val="auto"/>
              </w:rPr>
              <w:t>Operating activities</w:t>
            </w:r>
          </w:p>
        </w:tc>
        <w:tc>
          <w:tcPr>
            <w:tcW w:w="168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22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53.6</w:t>
            </w:r>
          </w:p>
        </w:tc>
      </w:tr>
      <w:tr>
        <w:trPr>
          <w:trHeight w:val="27"/>
        </w:trPr>
        <w:tc>
          <w:tcPr>
            <w:tcW w:w="1280" w:type="dxa"/>
            <w:vAlign w:val="bottom"/>
          </w:tcPr>
          <w:p>
            <w:pPr>
              <w:spacing w:after="0"/>
              <w:rPr>
                <w:sz w:val="2"/>
                <w:szCs w:val="2"/>
                <w:color w:val="auto"/>
              </w:rPr>
            </w:pPr>
          </w:p>
        </w:tc>
        <w:tc>
          <w:tcPr>
            <w:tcW w:w="33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97"/>
        </w:trPr>
        <w:tc>
          <w:tcPr>
            <w:tcW w:w="1280" w:type="dxa"/>
            <w:vAlign w:val="bottom"/>
            <w:shd w:val="clear" w:color="auto" w:fill="CCEEFF"/>
          </w:tcPr>
          <w:p>
            <w:pPr>
              <w:spacing w:after="0"/>
              <w:rPr>
                <w:sz w:val="24"/>
                <w:szCs w:val="24"/>
                <w:color w:val="auto"/>
              </w:rPr>
            </w:pPr>
          </w:p>
        </w:tc>
        <w:tc>
          <w:tcPr>
            <w:tcW w:w="3360" w:type="dxa"/>
            <w:vAlign w:val="bottom"/>
            <w:shd w:val="clear" w:color="auto" w:fill="CCEEFF"/>
          </w:tcPr>
          <w:p>
            <w:pPr>
              <w:spacing w:after="0"/>
              <w:rPr>
                <w:sz w:val="24"/>
                <w:szCs w:val="24"/>
                <w:color w:val="auto"/>
              </w:rPr>
            </w:pPr>
          </w:p>
        </w:tc>
        <w:tc>
          <w:tcPr>
            <w:tcW w:w="234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940" w:type="dxa"/>
            <w:vAlign w:val="bottom"/>
            <w:shd w:val="clear" w:color="auto" w:fill="CCEEFF"/>
          </w:tcPr>
          <w:p>
            <w:pPr>
              <w:spacing w:after="0"/>
              <w:rPr>
                <w:sz w:val="24"/>
                <w:szCs w:val="24"/>
                <w:color w:val="auto"/>
              </w:rPr>
            </w:pPr>
          </w:p>
        </w:tc>
      </w:tr>
      <w:tr>
        <w:trPr>
          <w:trHeight w:val="243"/>
        </w:trPr>
        <w:tc>
          <w:tcPr>
            <w:tcW w:w="4640" w:type="dxa"/>
            <w:vAlign w:val="bottom"/>
            <w:gridSpan w:val="2"/>
          </w:tcPr>
          <w:p>
            <w:pPr>
              <w:ind w:left="40"/>
              <w:spacing w:after="0"/>
              <w:rPr>
                <w:sz w:val="20"/>
                <w:szCs w:val="20"/>
                <w:color w:val="auto"/>
              </w:rPr>
            </w:pPr>
            <w:r>
              <w:rPr>
                <w:rFonts w:ascii="Arial" w:cs="Arial" w:eastAsia="Arial" w:hAnsi="Arial"/>
                <w:sz w:val="18"/>
                <w:szCs w:val="18"/>
                <w:b w:val="1"/>
                <w:bCs w:val="1"/>
                <w:color w:val="auto"/>
              </w:rPr>
              <w:t>Finance Leases:</w:t>
            </w:r>
          </w:p>
        </w:tc>
        <w:tc>
          <w:tcPr>
            <w:tcW w:w="23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940" w:type="dxa"/>
            <w:vAlign w:val="bottom"/>
          </w:tcPr>
          <w:p>
            <w:pPr>
              <w:spacing w:after="0"/>
              <w:rPr>
                <w:sz w:val="21"/>
                <w:szCs w:val="21"/>
                <w:color w:val="auto"/>
              </w:rPr>
            </w:pPr>
          </w:p>
        </w:tc>
      </w:tr>
      <w:tr>
        <w:trPr>
          <w:trHeight w:val="27"/>
        </w:trPr>
        <w:tc>
          <w:tcPr>
            <w:tcW w:w="1280" w:type="dxa"/>
            <w:vAlign w:val="bottom"/>
          </w:tcPr>
          <w:p>
            <w:pPr>
              <w:spacing w:after="0"/>
              <w:rPr>
                <w:sz w:val="2"/>
                <w:szCs w:val="2"/>
                <w:color w:val="auto"/>
              </w:rPr>
            </w:pPr>
          </w:p>
        </w:tc>
        <w:tc>
          <w:tcPr>
            <w:tcW w:w="33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4640" w:type="dxa"/>
            <w:vAlign w:val="bottom"/>
            <w:tcBorders>
              <w:bottom w:val="single" w:sz="8" w:color="CCEEFF"/>
            </w:tcBorders>
            <w:gridSpan w:val="2"/>
            <w:shd w:val="clear" w:color="auto" w:fill="CCEEFF"/>
          </w:tcPr>
          <w:p>
            <w:pPr>
              <w:ind w:left="520"/>
              <w:spacing w:after="0"/>
              <w:rPr>
                <w:sz w:val="20"/>
                <w:szCs w:val="20"/>
                <w:color w:val="auto"/>
              </w:rPr>
            </w:pPr>
            <w:r>
              <w:rPr>
                <w:rFonts w:ascii="Arial" w:cs="Arial" w:eastAsia="Arial" w:hAnsi="Arial"/>
                <w:sz w:val="18"/>
                <w:szCs w:val="18"/>
                <w:color w:val="auto"/>
              </w:rPr>
              <w:t>Operating cash flows from finance leases</w:t>
            </w:r>
          </w:p>
        </w:tc>
        <w:tc>
          <w:tcPr>
            <w:tcW w:w="28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Operating activities</w:t>
            </w:r>
          </w:p>
        </w:tc>
        <w:tc>
          <w:tcPr>
            <w:tcW w:w="1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2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w:t>
            </w:r>
          </w:p>
        </w:tc>
      </w:tr>
      <w:tr>
        <w:trPr>
          <w:trHeight w:val="243"/>
        </w:trPr>
        <w:tc>
          <w:tcPr>
            <w:tcW w:w="4640" w:type="dxa"/>
            <w:vAlign w:val="bottom"/>
            <w:gridSpan w:val="2"/>
          </w:tcPr>
          <w:p>
            <w:pPr>
              <w:ind w:left="520"/>
              <w:spacing w:after="0"/>
              <w:rPr>
                <w:sz w:val="20"/>
                <w:szCs w:val="20"/>
                <w:color w:val="auto"/>
              </w:rPr>
            </w:pPr>
            <w:r>
              <w:rPr>
                <w:rFonts w:ascii="Arial" w:cs="Arial" w:eastAsia="Arial" w:hAnsi="Arial"/>
                <w:sz w:val="18"/>
                <w:szCs w:val="18"/>
                <w:color w:val="auto"/>
              </w:rPr>
              <w:t>Financing cash flows from finance leases</w:t>
            </w:r>
          </w:p>
        </w:tc>
        <w:tc>
          <w:tcPr>
            <w:tcW w:w="2840" w:type="dxa"/>
            <w:vAlign w:val="bottom"/>
            <w:gridSpan w:val="2"/>
          </w:tcPr>
          <w:p>
            <w:pPr>
              <w:ind w:left="180"/>
              <w:spacing w:after="0"/>
              <w:rPr>
                <w:sz w:val="20"/>
                <w:szCs w:val="20"/>
                <w:color w:val="auto"/>
              </w:rPr>
            </w:pPr>
            <w:r>
              <w:rPr>
                <w:rFonts w:ascii="Arial" w:cs="Arial" w:eastAsia="Arial" w:hAnsi="Arial"/>
                <w:sz w:val="18"/>
                <w:szCs w:val="18"/>
                <w:color w:val="auto"/>
              </w:rPr>
              <w:t>Financing activities</w:t>
            </w:r>
          </w:p>
        </w:tc>
        <w:tc>
          <w:tcPr>
            <w:tcW w:w="1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4.2</w:t>
            </w:r>
          </w:p>
        </w:tc>
      </w:tr>
      <w:tr>
        <w:trPr>
          <w:trHeight w:val="459"/>
        </w:trPr>
        <w:tc>
          <w:tcPr>
            <w:tcW w:w="4640" w:type="dxa"/>
            <w:vAlign w:val="bottom"/>
            <w:gridSpan w:val="2"/>
          </w:tcPr>
          <w:p>
            <w:pPr>
              <w:spacing w:after="0"/>
              <w:rPr>
                <w:sz w:val="20"/>
                <w:szCs w:val="20"/>
                <w:color w:val="auto"/>
              </w:rPr>
            </w:pPr>
            <w:r>
              <w:rPr>
                <w:rFonts w:ascii="Arial" w:cs="Arial" w:eastAsia="Arial" w:hAnsi="Arial"/>
                <w:sz w:val="18"/>
                <w:szCs w:val="18"/>
                <w:b w:val="1"/>
                <w:bCs w:val="1"/>
                <w:color w:val="auto"/>
              </w:rPr>
              <w:t>Lease Commitments</w:t>
            </w:r>
          </w:p>
        </w:tc>
        <w:tc>
          <w:tcPr>
            <w:tcW w:w="2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40" w:type="dxa"/>
            <w:vAlign w:val="bottom"/>
          </w:tcPr>
          <w:p>
            <w:pPr>
              <w:spacing w:after="0"/>
              <w:rPr>
                <w:sz w:val="24"/>
                <w:szCs w:val="24"/>
                <w:color w:val="auto"/>
              </w:rPr>
            </w:pPr>
          </w:p>
        </w:tc>
      </w:tr>
      <w:tr>
        <w:trPr>
          <w:trHeight w:val="432"/>
        </w:trPr>
        <w:tc>
          <w:tcPr>
            <w:tcW w:w="7480" w:type="dxa"/>
            <w:vAlign w:val="bottom"/>
            <w:gridSpan w:val="4"/>
          </w:tcPr>
          <w:p>
            <w:pPr>
              <w:ind w:left="660"/>
              <w:spacing w:after="0"/>
              <w:rPr>
                <w:sz w:val="20"/>
                <w:szCs w:val="20"/>
                <w:color w:val="auto"/>
              </w:rPr>
            </w:pPr>
            <w:r>
              <w:rPr>
                <w:rFonts w:ascii="Arial" w:cs="Arial" w:eastAsia="Arial" w:hAnsi="Arial"/>
                <w:sz w:val="18"/>
                <w:szCs w:val="18"/>
                <w:color w:val="auto"/>
              </w:rPr>
              <w:t>Future minimum lease payments at June 30, 2019 were as follows:</w:t>
            </w: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40" w:type="dxa"/>
            <w:vAlign w:val="bottom"/>
          </w:tcPr>
          <w:p>
            <w:pPr>
              <w:spacing w:after="0"/>
              <w:rPr>
                <w:sz w:val="24"/>
                <w:szCs w:val="24"/>
                <w:color w:val="auto"/>
              </w:rPr>
            </w:pPr>
          </w:p>
        </w:tc>
      </w:tr>
      <w:tr>
        <w:trPr>
          <w:trHeight w:val="405"/>
        </w:trPr>
        <w:tc>
          <w:tcPr>
            <w:tcW w:w="4640" w:type="dxa"/>
            <w:vAlign w:val="bottom"/>
            <w:tcBorders>
              <w:bottom w:val="single" w:sz="8" w:color="CCEEFF"/>
            </w:tcBorders>
            <w:gridSpan w:val="2"/>
          </w:tcPr>
          <w:p>
            <w:pPr>
              <w:ind w:left="40"/>
              <w:spacing w:after="0"/>
              <w:rPr>
                <w:sz w:val="20"/>
                <w:szCs w:val="20"/>
                <w:color w:val="auto"/>
              </w:rPr>
            </w:pPr>
            <w:r>
              <w:rPr>
                <w:rFonts w:ascii="Arial" w:cs="Arial" w:eastAsia="Arial" w:hAnsi="Arial"/>
                <w:sz w:val="18"/>
                <w:szCs w:val="18"/>
                <w:i w:val="1"/>
                <w:iCs w:val="1"/>
                <w:color w:val="auto"/>
              </w:rPr>
              <w:t>(in millions)</w:t>
            </w:r>
          </w:p>
        </w:tc>
        <w:tc>
          <w:tcPr>
            <w:tcW w:w="2340" w:type="dxa"/>
            <w:vAlign w:val="bottom"/>
            <w:tcBorders>
              <w:bottom w:val="single" w:sz="8" w:color="CCEEFF"/>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w w:val="84"/>
              </w:rPr>
              <w:t>Finance Leases</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w w:val="92"/>
              </w:rPr>
              <w:t>Operating Leases</w:t>
            </w:r>
            <w:r>
              <w:rPr>
                <w:rFonts w:ascii="Arial" w:cs="Arial" w:eastAsia="Arial" w:hAnsi="Arial"/>
                <w:sz w:val="25"/>
                <w:szCs w:val="25"/>
                <w:b w:val="1"/>
                <w:bCs w:val="1"/>
                <w:color w:val="auto"/>
                <w:w w:val="92"/>
                <w:vertAlign w:val="superscript"/>
              </w:rPr>
              <w:t>(1)</w:t>
            </w:r>
          </w:p>
        </w:tc>
      </w:tr>
      <w:tr>
        <w:trPr>
          <w:trHeight w:val="244"/>
        </w:trPr>
        <w:tc>
          <w:tcPr>
            <w:tcW w:w="46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2019 (excluding the six months ended June 30, 2019)</w:t>
            </w:r>
          </w:p>
        </w:tc>
        <w:tc>
          <w:tcPr>
            <w:tcW w:w="2840" w:type="dxa"/>
            <w:vAlign w:val="bottom"/>
            <w:tcBorders>
              <w:bottom w:val="single" w:sz="8" w:color="CCEEFF"/>
            </w:tcBorders>
            <w:gridSpan w:val="2"/>
            <w:shd w:val="clear" w:color="auto" w:fill="CCEEFF"/>
          </w:tcPr>
          <w:p>
            <w:pPr>
              <w:ind w:left="2360"/>
              <w:spacing w:after="0"/>
              <w:rPr>
                <w:sz w:val="20"/>
                <w:szCs w:val="20"/>
                <w:color w:val="auto"/>
              </w:rPr>
            </w:pPr>
            <w:r>
              <w:rPr>
                <w:rFonts w:ascii="Arial" w:cs="Arial" w:eastAsia="Arial" w:hAnsi="Arial"/>
                <w:sz w:val="18"/>
                <w:szCs w:val="18"/>
                <w:color w:val="auto"/>
              </w:rPr>
              <w:t>$</w:t>
            </w: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5.5</w:t>
            </w:r>
          </w:p>
        </w:tc>
        <w:tc>
          <w:tcPr>
            <w:tcW w:w="32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54.0</w:t>
            </w:r>
          </w:p>
        </w:tc>
      </w:tr>
      <w:tr>
        <w:trPr>
          <w:trHeight w:val="243"/>
        </w:trPr>
        <w:tc>
          <w:tcPr>
            <w:tcW w:w="1280" w:type="dxa"/>
            <w:vAlign w:val="bottom"/>
          </w:tcPr>
          <w:p>
            <w:pPr>
              <w:ind w:left="40"/>
              <w:spacing w:after="0"/>
              <w:rPr>
                <w:sz w:val="20"/>
                <w:szCs w:val="20"/>
                <w:color w:val="auto"/>
              </w:rPr>
            </w:pPr>
            <w:r>
              <w:rPr>
                <w:rFonts w:ascii="Arial" w:cs="Arial" w:eastAsia="Arial" w:hAnsi="Arial"/>
                <w:sz w:val="18"/>
                <w:szCs w:val="18"/>
                <w:color w:val="auto"/>
              </w:rPr>
              <w:t>2020</w:t>
            </w:r>
          </w:p>
        </w:tc>
        <w:tc>
          <w:tcPr>
            <w:tcW w:w="3360" w:type="dxa"/>
            <w:vAlign w:val="bottom"/>
          </w:tcPr>
          <w:p>
            <w:pPr>
              <w:spacing w:after="0"/>
              <w:rPr>
                <w:sz w:val="21"/>
                <w:szCs w:val="21"/>
                <w:color w:val="auto"/>
              </w:rPr>
            </w:pPr>
          </w:p>
        </w:tc>
        <w:tc>
          <w:tcPr>
            <w:tcW w:w="23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100.4</w:t>
            </w:r>
          </w:p>
        </w:tc>
      </w:tr>
      <w:tr>
        <w:trPr>
          <w:trHeight w:val="27"/>
        </w:trPr>
        <w:tc>
          <w:tcPr>
            <w:tcW w:w="1280" w:type="dxa"/>
            <w:vAlign w:val="bottom"/>
          </w:tcPr>
          <w:p>
            <w:pPr>
              <w:spacing w:after="0"/>
              <w:rPr>
                <w:sz w:val="2"/>
                <w:szCs w:val="2"/>
                <w:color w:val="auto"/>
              </w:rPr>
            </w:pPr>
          </w:p>
        </w:tc>
        <w:tc>
          <w:tcPr>
            <w:tcW w:w="33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3360" w:type="dxa"/>
            <w:vAlign w:val="bottom"/>
            <w:tcBorders>
              <w:bottom w:val="single" w:sz="8" w:color="CCEEFF"/>
            </w:tcBorders>
            <w:shd w:val="clear" w:color="auto" w:fill="CCEEFF"/>
          </w:tcPr>
          <w:p>
            <w:pPr>
              <w:spacing w:after="0"/>
              <w:rPr>
                <w:sz w:val="21"/>
                <w:szCs w:val="21"/>
                <w:color w:val="auto"/>
              </w:rPr>
            </w:pPr>
          </w:p>
        </w:tc>
        <w:tc>
          <w:tcPr>
            <w:tcW w:w="234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84.4</w:t>
            </w:r>
          </w:p>
        </w:tc>
      </w:tr>
      <w:tr>
        <w:trPr>
          <w:trHeight w:val="243"/>
        </w:trPr>
        <w:tc>
          <w:tcPr>
            <w:tcW w:w="1280" w:type="dxa"/>
            <w:vAlign w:val="bottom"/>
          </w:tcPr>
          <w:p>
            <w:pPr>
              <w:ind w:left="40"/>
              <w:spacing w:after="0"/>
              <w:rPr>
                <w:sz w:val="20"/>
                <w:szCs w:val="20"/>
                <w:color w:val="auto"/>
              </w:rPr>
            </w:pPr>
            <w:r>
              <w:rPr>
                <w:rFonts w:ascii="Arial" w:cs="Arial" w:eastAsia="Arial" w:hAnsi="Arial"/>
                <w:sz w:val="18"/>
                <w:szCs w:val="18"/>
                <w:color w:val="auto"/>
              </w:rPr>
              <w:t>2022</w:t>
            </w:r>
          </w:p>
        </w:tc>
        <w:tc>
          <w:tcPr>
            <w:tcW w:w="3360" w:type="dxa"/>
            <w:vAlign w:val="bottom"/>
          </w:tcPr>
          <w:p>
            <w:pPr>
              <w:spacing w:after="0"/>
              <w:rPr>
                <w:sz w:val="21"/>
                <w:szCs w:val="21"/>
                <w:color w:val="auto"/>
              </w:rPr>
            </w:pPr>
          </w:p>
        </w:tc>
        <w:tc>
          <w:tcPr>
            <w:tcW w:w="23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Arial" w:cs="Arial" w:eastAsia="Arial" w:hAnsi="Arial"/>
                <w:sz w:val="18"/>
                <w:szCs w:val="18"/>
                <w:color w:val="auto"/>
              </w:rPr>
              <w:t>9.5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70.0</w:t>
            </w:r>
          </w:p>
        </w:tc>
      </w:tr>
      <w:tr>
        <w:trPr>
          <w:trHeight w:val="27"/>
        </w:trPr>
        <w:tc>
          <w:tcPr>
            <w:tcW w:w="1280" w:type="dxa"/>
            <w:vAlign w:val="bottom"/>
          </w:tcPr>
          <w:p>
            <w:pPr>
              <w:spacing w:after="0"/>
              <w:rPr>
                <w:sz w:val="2"/>
                <w:szCs w:val="2"/>
                <w:color w:val="auto"/>
              </w:rPr>
            </w:pPr>
          </w:p>
        </w:tc>
        <w:tc>
          <w:tcPr>
            <w:tcW w:w="33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3360" w:type="dxa"/>
            <w:vAlign w:val="bottom"/>
            <w:tcBorders>
              <w:bottom w:val="single" w:sz="8" w:color="CCEEFF"/>
            </w:tcBorders>
            <w:shd w:val="clear" w:color="auto" w:fill="CCEEFF"/>
          </w:tcPr>
          <w:p>
            <w:pPr>
              <w:spacing w:after="0"/>
              <w:rPr>
                <w:sz w:val="21"/>
                <w:szCs w:val="21"/>
                <w:color w:val="auto"/>
              </w:rPr>
            </w:pPr>
          </w:p>
        </w:tc>
        <w:tc>
          <w:tcPr>
            <w:tcW w:w="234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49.5</w:t>
            </w:r>
          </w:p>
        </w:tc>
      </w:tr>
      <w:tr>
        <w:trPr>
          <w:trHeight w:val="243"/>
        </w:trPr>
        <w:tc>
          <w:tcPr>
            <w:tcW w:w="1280" w:type="dxa"/>
            <w:vAlign w:val="bottom"/>
          </w:tcPr>
          <w:p>
            <w:pPr>
              <w:ind w:left="40"/>
              <w:spacing w:after="0"/>
              <w:rPr>
                <w:sz w:val="20"/>
                <w:szCs w:val="20"/>
                <w:color w:val="auto"/>
              </w:rPr>
            </w:pPr>
            <w:r>
              <w:rPr>
                <w:rFonts w:ascii="Arial" w:cs="Arial" w:eastAsia="Arial" w:hAnsi="Arial"/>
                <w:sz w:val="18"/>
                <w:szCs w:val="18"/>
                <w:color w:val="auto"/>
              </w:rPr>
              <w:t>2024</w:t>
            </w:r>
          </w:p>
        </w:tc>
        <w:tc>
          <w:tcPr>
            <w:tcW w:w="3360" w:type="dxa"/>
            <w:vAlign w:val="bottom"/>
          </w:tcPr>
          <w:p>
            <w:pPr>
              <w:spacing w:after="0"/>
              <w:rPr>
                <w:sz w:val="21"/>
                <w:szCs w:val="21"/>
                <w:color w:val="auto"/>
              </w:rPr>
            </w:pPr>
          </w:p>
        </w:tc>
        <w:tc>
          <w:tcPr>
            <w:tcW w:w="23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680" w:type="dxa"/>
            <w:vAlign w:val="bottom"/>
          </w:tcPr>
          <w:p>
            <w:pPr>
              <w:jc w:val="right"/>
              <w:ind w:right="30"/>
              <w:spacing w:after="0"/>
              <w:rPr>
                <w:sz w:val="20"/>
                <w:szCs w:val="20"/>
                <w:color w:val="auto"/>
              </w:rPr>
            </w:pPr>
            <w:r>
              <w:rPr>
                <w:rFonts w:ascii="Arial" w:cs="Arial" w:eastAsia="Arial" w:hAnsi="Arial"/>
                <w:sz w:val="18"/>
                <w:szCs w:val="18"/>
                <w:color w:val="auto"/>
              </w:rPr>
              <w:t>6.9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40.1</w:t>
            </w:r>
          </w:p>
        </w:tc>
      </w:tr>
      <w:tr>
        <w:trPr>
          <w:trHeight w:val="27"/>
        </w:trPr>
        <w:tc>
          <w:tcPr>
            <w:tcW w:w="1280" w:type="dxa"/>
            <w:vAlign w:val="bottom"/>
          </w:tcPr>
          <w:p>
            <w:pPr>
              <w:spacing w:after="0"/>
              <w:rPr>
                <w:sz w:val="2"/>
                <w:szCs w:val="2"/>
                <w:color w:val="auto"/>
              </w:rPr>
            </w:pPr>
          </w:p>
        </w:tc>
        <w:tc>
          <w:tcPr>
            <w:tcW w:w="33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0"/>
        </w:trPr>
        <w:tc>
          <w:tcPr>
            <w:tcW w:w="46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Thereafter</w:t>
            </w:r>
          </w:p>
        </w:tc>
        <w:tc>
          <w:tcPr>
            <w:tcW w:w="234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119.6</w:t>
            </w:r>
          </w:p>
        </w:tc>
      </w:tr>
      <w:tr>
        <w:trPr>
          <w:trHeight w:val="237"/>
        </w:trPr>
        <w:tc>
          <w:tcPr>
            <w:tcW w:w="4640" w:type="dxa"/>
            <w:vAlign w:val="bottom"/>
            <w:gridSpan w:val="2"/>
          </w:tcPr>
          <w:p>
            <w:pPr>
              <w:ind w:left="660"/>
              <w:spacing w:after="0"/>
              <w:rPr>
                <w:sz w:val="20"/>
                <w:szCs w:val="20"/>
                <w:color w:val="auto"/>
              </w:rPr>
            </w:pPr>
            <w:r>
              <w:rPr>
                <w:rFonts w:ascii="Arial" w:cs="Arial" w:eastAsia="Arial" w:hAnsi="Arial"/>
                <w:sz w:val="18"/>
                <w:szCs w:val="18"/>
                <w:color w:val="auto"/>
              </w:rPr>
              <w:t>Total future minimum lease payments</w:t>
            </w:r>
          </w:p>
        </w:tc>
        <w:tc>
          <w:tcPr>
            <w:tcW w:w="2340" w:type="dxa"/>
            <w:vAlign w:val="bottom"/>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16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77.4</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518.0</w:t>
            </w:r>
          </w:p>
        </w:tc>
      </w:tr>
      <w:tr>
        <w:trPr>
          <w:trHeight w:val="27"/>
        </w:trPr>
        <w:tc>
          <w:tcPr>
            <w:tcW w:w="1280" w:type="dxa"/>
            <w:vAlign w:val="bottom"/>
          </w:tcPr>
          <w:p>
            <w:pPr>
              <w:spacing w:after="0"/>
              <w:rPr>
                <w:sz w:val="2"/>
                <w:szCs w:val="2"/>
                <w:color w:val="auto"/>
              </w:rPr>
            </w:pPr>
          </w:p>
        </w:tc>
        <w:tc>
          <w:tcPr>
            <w:tcW w:w="3360" w:type="dxa"/>
            <w:vAlign w:val="bottom"/>
          </w:tcPr>
          <w:p>
            <w:pPr>
              <w:spacing w:after="0"/>
              <w:rPr>
                <w:sz w:val="2"/>
                <w:szCs w:val="2"/>
                <w:color w:val="auto"/>
              </w:rPr>
            </w:pPr>
          </w:p>
        </w:tc>
        <w:tc>
          <w:tcPr>
            <w:tcW w:w="2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0"/>
        </w:trPr>
        <w:tc>
          <w:tcPr>
            <w:tcW w:w="46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Amount representing interest</w:t>
            </w:r>
          </w:p>
        </w:tc>
        <w:tc>
          <w:tcPr>
            <w:tcW w:w="234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(72.3)</w:t>
            </w:r>
          </w:p>
        </w:tc>
      </w:tr>
      <w:tr>
        <w:trPr>
          <w:trHeight w:val="250"/>
        </w:trPr>
        <w:tc>
          <w:tcPr>
            <w:tcW w:w="4640" w:type="dxa"/>
            <w:vAlign w:val="bottom"/>
            <w:gridSpan w:val="2"/>
          </w:tcPr>
          <w:p>
            <w:pPr>
              <w:ind w:left="660"/>
              <w:spacing w:after="0"/>
              <w:rPr>
                <w:sz w:val="20"/>
                <w:szCs w:val="20"/>
                <w:color w:val="auto"/>
              </w:rPr>
            </w:pPr>
            <w:r>
              <w:rPr>
                <w:rFonts w:ascii="Arial" w:cs="Arial" w:eastAsia="Arial" w:hAnsi="Arial"/>
                <w:sz w:val="18"/>
                <w:szCs w:val="18"/>
                <w:color w:val="auto"/>
                <w:w w:val="94"/>
              </w:rPr>
              <w:t>Total future minimum lease payments, net of interest</w:t>
            </w:r>
          </w:p>
        </w:tc>
        <w:tc>
          <w:tcPr>
            <w:tcW w:w="2340" w:type="dxa"/>
            <w:vAlign w:val="bottom"/>
          </w:tcPr>
          <w:p>
            <w:pPr>
              <w:spacing w:after="0"/>
              <w:rPr>
                <w:sz w:val="21"/>
                <w:szCs w:val="21"/>
                <w:color w:val="auto"/>
              </w:rPr>
            </w:pPr>
          </w:p>
        </w:tc>
        <w:tc>
          <w:tcPr>
            <w:tcW w:w="50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6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66.9</w:t>
            </w:r>
          </w:p>
        </w:tc>
        <w:tc>
          <w:tcPr>
            <w:tcW w:w="100" w:type="dxa"/>
            <w:vAlign w:val="bottom"/>
          </w:tcPr>
          <w:p>
            <w:pPr>
              <w:spacing w:after="0"/>
              <w:rPr>
                <w:sz w:val="21"/>
                <w:szCs w:val="21"/>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445.7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4430395</wp:posOffset>
            </wp:positionH>
            <wp:positionV relativeFrom="paragraph">
              <wp:posOffset>8890</wp:posOffset>
            </wp:positionV>
            <wp:extent cx="282130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821305" cy="8890"/>
                    </a:xfrm>
                    <a:prstGeom prst="rect">
                      <a:avLst/>
                    </a:prstGeom>
                    <a:noFill/>
                  </pic:spPr>
                </pic:pic>
              </a:graphicData>
            </a:graphic>
          </wp:anchor>
        </w:drawing>
      </w:r>
    </w:p>
    <w:p>
      <w:pPr>
        <w:spacing w:after="0" w:line="15" w:lineRule="exact"/>
        <w:rPr>
          <w:sz w:val="20"/>
          <w:szCs w:val="20"/>
          <w:color w:val="auto"/>
        </w:rPr>
      </w:pPr>
    </w:p>
    <w:p>
      <w:pPr>
        <w:ind w:left="140" w:hanging="132"/>
        <w:spacing w:after="0"/>
        <w:tabs>
          <w:tab w:leader="none" w:pos="140" w:val="left"/>
        </w:tabs>
        <w:numPr>
          <w:ilvl w:val="0"/>
          <w:numId w:val="7"/>
        </w:numPr>
        <w:rPr>
          <w:rFonts w:ascii="Arial" w:cs="Arial" w:eastAsia="Arial" w:hAnsi="Arial"/>
          <w:sz w:val="9"/>
          <w:szCs w:val="9"/>
          <w:color w:val="auto"/>
        </w:rPr>
      </w:pPr>
      <w:r>
        <w:rPr>
          <w:rFonts w:ascii="Arial" w:cs="Arial" w:eastAsia="Arial" w:hAnsi="Arial"/>
          <w:sz w:val="14"/>
          <w:szCs w:val="14"/>
          <w:color w:val="auto"/>
        </w:rPr>
        <w:t>Future sublease income is not included in the above table as the amount is immaterial.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4430395</wp:posOffset>
            </wp:positionH>
            <wp:positionV relativeFrom="paragraph">
              <wp:posOffset>-98425</wp:posOffset>
            </wp:positionV>
            <wp:extent cx="282130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821305" cy="8890"/>
                    </a:xfrm>
                    <a:prstGeom prst="rect">
                      <a:avLst/>
                    </a:prstGeom>
                    <a:noFill/>
                  </pic:spPr>
                </pic:pic>
              </a:graphicData>
            </a:graphic>
          </wp:anchor>
        </w:drawing>
      </w:r>
    </w:p>
    <w:p>
      <w:pPr>
        <w:spacing w:after="0" w:line="229"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Total future minimum lease payments at June 30, 2019 for finance and operating leases, including the amount representing interest, are comprised of $517.4 million for real estate leases and $78.0 million for non-real estate leases.</w:t>
      </w:r>
    </w:p>
    <w:p>
      <w:pPr>
        <w:spacing w:after="0" w:line="170" w:lineRule="exact"/>
        <w:rPr>
          <w:sz w:val="20"/>
          <w:szCs w:val="20"/>
          <w:color w:val="auto"/>
        </w:rPr>
      </w:pPr>
    </w:p>
    <w:p>
      <w:pPr>
        <w:jc w:val="both"/>
        <w:ind w:right="180" w:firstLine="648"/>
        <w:spacing w:after="0" w:line="264" w:lineRule="auto"/>
        <w:rPr>
          <w:sz w:val="20"/>
          <w:szCs w:val="20"/>
          <w:color w:val="auto"/>
        </w:rPr>
      </w:pPr>
      <w:r>
        <w:rPr>
          <w:rFonts w:ascii="Arial" w:cs="Arial" w:eastAsia="Arial" w:hAnsi="Arial"/>
          <w:sz w:val="18"/>
          <w:szCs w:val="18"/>
          <w:color w:val="auto"/>
        </w:rPr>
        <w:t>At June 30, 2019, the Company had committed to additional future obligations of approximately $52 million for operating leases of real estate that have not yet commenced and therefore are not included in the table above. These leases will commence over the next six months with an average lease term of seven years.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Future minimum lease payments at December 31, 2018 were as follows: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300" w:type="dxa"/>
            <w:vAlign w:val="bottom"/>
            <w:gridSpan w:val="2"/>
            <w:vMerge w:val="restart"/>
          </w:tcPr>
          <w:p>
            <w:pPr>
              <w:jc w:val="center"/>
              <w:ind w:right="240"/>
              <w:spacing w:after="0"/>
              <w:rPr>
                <w:sz w:val="20"/>
                <w:szCs w:val="20"/>
                <w:color w:val="auto"/>
              </w:rPr>
            </w:pPr>
            <w:r>
              <w:rPr>
                <w:rFonts w:ascii="Arial" w:cs="Arial" w:eastAsia="Arial" w:hAnsi="Arial"/>
                <w:sz w:val="18"/>
                <w:szCs w:val="18"/>
                <w:b w:val="1"/>
                <w:bCs w:val="1"/>
                <w:color w:val="auto"/>
                <w:w w:val="91"/>
              </w:rPr>
              <w:t>Financing Obligation and</w:t>
            </w:r>
          </w:p>
        </w:tc>
        <w:tc>
          <w:tcPr>
            <w:tcW w:w="1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60" w:type="dxa"/>
            <w:vAlign w:val="bottom"/>
            <w:gridSpan w:val="2"/>
          </w:tcPr>
          <w:p>
            <w:pPr>
              <w:ind w:left="100"/>
              <w:spacing w:after="0"/>
              <w:rPr>
                <w:sz w:val="20"/>
                <w:szCs w:val="20"/>
                <w:color w:val="auto"/>
              </w:rPr>
            </w:pPr>
            <w:r>
              <w:rPr>
                <w:rFonts w:ascii="Arial" w:cs="Arial" w:eastAsia="Arial" w:hAnsi="Arial"/>
                <w:sz w:val="18"/>
                <w:szCs w:val="18"/>
                <w:b w:val="1"/>
                <w:bCs w:val="1"/>
                <w:color w:val="auto"/>
              </w:rPr>
              <w:t>Operating Leases</w:t>
            </w: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300" w:type="dxa"/>
            <w:vAlign w:val="bottom"/>
            <w:gridSpan w:val="2"/>
            <w:vMerge w:val="continue"/>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54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140" w:type="dxa"/>
            <w:vAlign w:val="bottom"/>
          </w:tcPr>
          <w:p>
            <w:pPr>
              <w:spacing w:after="0"/>
              <w:rPr>
                <w:sz w:val="20"/>
                <w:szCs w:val="20"/>
                <w:color w:val="auto"/>
              </w:rPr>
            </w:pPr>
          </w:p>
        </w:tc>
        <w:tc>
          <w:tcPr>
            <w:tcW w:w="23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Equipment Capital Leases</w:t>
            </w:r>
          </w:p>
        </w:tc>
        <w:tc>
          <w:tcPr>
            <w:tcW w:w="140" w:type="dxa"/>
            <w:vAlign w:val="bottom"/>
          </w:tcPr>
          <w:p>
            <w:pPr>
              <w:spacing w:after="0"/>
              <w:rPr>
                <w:sz w:val="20"/>
                <w:szCs w:val="20"/>
                <w:color w:val="auto"/>
              </w:rPr>
            </w:pPr>
          </w:p>
        </w:tc>
        <w:tc>
          <w:tcPr>
            <w:tcW w:w="1660" w:type="dxa"/>
            <w:vAlign w:val="bottom"/>
            <w:gridSpan w:val="2"/>
          </w:tcPr>
          <w:p>
            <w:pPr>
              <w:ind w:left="20"/>
              <w:spacing w:after="0"/>
              <w:rPr>
                <w:sz w:val="20"/>
                <w:szCs w:val="20"/>
                <w:color w:val="auto"/>
              </w:rPr>
            </w:pPr>
            <w:r>
              <w:rPr>
                <w:rFonts w:ascii="Arial" w:cs="Arial" w:eastAsia="Arial" w:hAnsi="Arial"/>
                <w:sz w:val="18"/>
                <w:szCs w:val="18"/>
                <w:b w:val="1"/>
                <w:bCs w:val="1"/>
                <w:color w:val="auto"/>
              </w:rPr>
              <w:t>Lease Obligations</w:t>
            </w:r>
          </w:p>
        </w:tc>
        <w:tc>
          <w:tcPr>
            <w:tcW w:w="160" w:type="dxa"/>
            <w:vAlign w:val="bottom"/>
          </w:tcPr>
          <w:p>
            <w:pPr>
              <w:spacing w:after="0"/>
              <w:rPr>
                <w:sz w:val="20"/>
                <w:szCs w:val="20"/>
                <w:color w:val="auto"/>
              </w:rPr>
            </w:pPr>
          </w:p>
        </w:tc>
        <w:tc>
          <w:tcPr>
            <w:tcW w:w="1660" w:type="dxa"/>
            <w:vAlign w:val="bottom"/>
            <w:gridSpan w:val="2"/>
          </w:tcPr>
          <w:p>
            <w:pPr>
              <w:ind w:left="60"/>
              <w:spacing w:after="0"/>
              <w:rPr>
                <w:sz w:val="20"/>
                <w:szCs w:val="20"/>
                <w:color w:val="auto"/>
              </w:rPr>
            </w:pPr>
            <w:r>
              <w:rPr>
                <w:rFonts w:ascii="Arial" w:cs="Arial" w:eastAsia="Arial" w:hAnsi="Arial"/>
                <w:sz w:val="18"/>
                <w:szCs w:val="18"/>
                <w:b w:val="1"/>
                <w:bCs w:val="1"/>
                <w:color w:val="auto"/>
              </w:rPr>
              <w:t>Sublease Income</w:t>
            </w:r>
          </w:p>
        </w:tc>
        <w:tc>
          <w:tcPr>
            <w:tcW w:w="420" w:type="dxa"/>
            <w:vAlign w:val="bottom"/>
          </w:tcPr>
          <w:p>
            <w:pPr>
              <w:spacing w:after="0"/>
              <w:rPr>
                <w:sz w:val="20"/>
                <w:szCs w:val="20"/>
                <w:color w:val="auto"/>
              </w:rPr>
            </w:pPr>
          </w:p>
        </w:tc>
        <w:tc>
          <w:tcPr>
            <w:tcW w:w="1400" w:type="dxa"/>
            <w:vAlign w:val="bottom"/>
          </w:tcPr>
          <w:p>
            <w:pPr>
              <w:jc w:val="right"/>
              <w:ind w:right="63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108.0</w:t>
            </w:r>
          </w:p>
        </w:tc>
        <w:tc>
          <w:tcPr>
            <w:tcW w:w="0" w:type="dxa"/>
            <w:vAlign w:val="bottom"/>
          </w:tcPr>
          <w:p>
            <w:pPr>
              <w:spacing w:after="0"/>
              <w:rPr>
                <w:sz w:val="1"/>
                <w:szCs w:val="1"/>
                <w:color w:val="auto"/>
              </w:rPr>
            </w:pPr>
          </w:p>
        </w:tc>
      </w:tr>
      <w:tr>
        <w:trPr>
          <w:trHeight w:val="243"/>
        </w:trPr>
        <w:tc>
          <w:tcPr>
            <w:tcW w:w="3540" w:type="dxa"/>
            <w:vAlign w:val="bottom"/>
          </w:tcPr>
          <w:p>
            <w:pPr>
              <w:ind w:left="40"/>
              <w:spacing w:after="0"/>
              <w:rPr>
                <w:sz w:val="20"/>
                <w:szCs w:val="20"/>
                <w:color w:val="auto"/>
              </w:rPr>
            </w:pPr>
            <w:r>
              <w:rPr>
                <w:rFonts w:ascii="Arial" w:cs="Arial" w:eastAsia="Arial" w:hAnsi="Arial"/>
                <w:sz w:val="18"/>
                <w:szCs w:val="18"/>
                <w:color w:val="auto"/>
              </w:rPr>
              <w:t>2020</w:t>
            </w:r>
          </w:p>
        </w:tc>
        <w:tc>
          <w:tcPr>
            <w:tcW w:w="140" w:type="dxa"/>
            <w:vAlign w:val="bottom"/>
          </w:tcPr>
          <w:p>
            <w:pPr>
              <w:spacing w:after="0"/>
              <w:rPr>
                <w:sz w:val="21"/>
                <w:szCs w:val="21"/>
                <w:color w:val="auto"/>
              </w:rPr>
            </w:pPr>
          </w:p>
        </w:tc>
        <w:tc>
          <w:tcPr>
            <w:tcW w:w="2180" w:type="dxa"/>
            <w:vAlign w:val="bottom"/>
          </w:tcPr>
          <w:p>
            <w:pPr>
              <w:jc w:val="right"/>
              <w:ind w:right="30"/>
              <w:spacing w:after="0"/>
              <w:rPr>
                <w:sz w:val="20"/>
                <w:szCs w:val="20"/>
                <w:color w:val="auto"/>
              </w:rPr>
            </w:pPr>
            <w:r>
              <w:rPr>
                <w:rFonts w:ascii="Arial" w:cs="Arial" w:eastAsia="Arial" w:hAnsi="Arial"/>
                <w:sz w:val="18"/>
                <w:szCs w:val="18"/>
                <w:color w:val="auto"/>
              </w:rPr>
              <w:t>9.0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98.3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98.2</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140" w:type="dxa"/>
            <w:vAlign w:val="bottom"/>
            <w:tcBorders>
              <w:bottom w:val="single" w:sz="8" w:color="CCEEFF"/>
            </w:tcBorders>
            <w:shd w:val="clear" w:color="auto" w:fill="CCEEFF"/>
          </w:tcPr>
          <w:p>
            <w:pPr>
              <w:spacing w:after="0"/>
              <w:rPr>
                <w:sz w:val="21"/>
                <w:szCs w:val="21"/>
                <w:color w:val="auto"/>
              </w:rPr>
            </w:pPr>
          </w:p>
        </w:tc>
        <w:tc>
          <w:tcPr>
            <w:tcW w:w="2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82.2</w:t>
            </w:r>
          </w:p>
        </w:tc>
        <w:tc>
          <w:tcPr>
            <w:tcW w:w="0" w:type="dxa"/>
            <w:vAlign w:val="bottom"/>
          </w:tcPr>
          <w:p>
            <w:pPr>
              <w:spacing w:after="0"/>
              <w:rPr>
                <w:sz w:val="1"/>
                <w:szCs w:val="1"/>
                <w:color w:val="auto"/>
              </w:rPr>
            </w:pPr>
          </w:p>
        </w:tc>
      </w:tr>
      <w:tr>
        <w:trPr>
          <w:trHeight w:val="243"/>
        </w:trPr>
        <w:tc>
          <w:tcPr>
            <w:tcW w:w="3540" w:type="dxa"/>
            <w:vAlign w:val="bottom"/>
          </w:tcPr>
          <w:p>
            <w:pPr>
              <w:ind w:left="40"/>
              <w:spacing w:after="0"/>
              <w:rPr>
                <w:sz w:val="20"/>
                <w:szCs w:val="20"/>
                <w:color w:val="auto"/>
              </w:rPr>
            </w:pPr>
            <w:r>
              <w:rPr>
                <w:rFonts w:ascii="Arial" w:cs="Arial" w:eastAsia="Arial" w:hAnsi="Arial"/>
                <w:sz w:val="18"/>
                <w:szCs w:val="18"/>
                <w:color w:val="auto"/>
              </w:rPr>
              <w:t>2022</w:t>
            </w:r>
          </w:p>
        </w:tc>
        <w:tc>
          <w:tcPr>
            <w:tcW w:w="140" w:type="dxa"/>
            <w:vAlign w:val="bottom"/>
          </w:tcPr>
          <w:p>
            <w:pPr>
              <w:spacing w:after="0"/>
              <w:rPr>
                <w:sz w:val="21"/>
                <w:szCs w:val="21"/>
                <w:color w:val="auto"/>
              </w:rPr>
            </w:pPr>
          </w:p>
        </w:tc>
        <w:tc>
          <w:tcPr>
            <w:tcW w:w="2180" w:type="dxa"/>
            <w:vAlign w:val="bottom"/>
          </w:tcPr>
          <w:p>
            <w:pPr>
              <w:jc w:val="right"/>
              <w:ind w:right="30"/>
              <w:spacing w:after="0"/>
              <w:rPr>
                <w:sz w:val="20"/>
                <w:szCs w:val="20"/>
                <w:color w:val="auto"/>
              </w:rPr>
            </w:pPr>
            <w:r>
              <w:rPr>
                <w:rFonts w:ascii="Arial" w:cs="Arial" w:eastAsia="Arial" w:hAnsi="Arial"/>
                <w:sz w:val="18"/>
                <w:szCs w:val="18"/>
                <w:color w:val="auto"/>
              </w:rPr>
              <w:t>7.9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69.3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69.3</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140" w:type="dxa"/>
            <w:vAlign w:val="bottom"/>
            <w:tcBorders>
              <w:bottom w:val="single" w:sz="8" w:color="CCEEFF"/>
            </w:tcBorders>
            <w:shd w:val="clear" w:color="auto" w:fill="CCEEFF"/>
          </w:tcPr>
          <w:p>
            <w:pPr>
              <w:spacing w:after="0"/>
              <w:rPr>
                <w:sz w:val="21"/>
                <w:szCs w:val="21"/>
                <w:color w:val="auto"/>
              </w:rPr>
            </w:pPr>
          </w:p>
        </w:tc>
        <w:tc>
          <w:tcPr>
            <w:tcW w:w="2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49.4</w:t>
            </w:r>
          </w:p>
        </w:tc>
        <w:tc>
          <w:tcPr>
            <w:tcW w:w="0" w:type="dxa"/>
            <w:vAlign w:val="bottom"/>
          </w:tcPr>
          <w:p>
            <w:pPr>
              <w:spacing w:after="0"/>
              <w:rPr>
                <w:sz w:val="1"/>
                <w:szCs w:val="1"/>
                <w:color w:val="auto"/>
              </w:rPr>
            </w:pPr>
          </w:p>
        </w:tc>
      </w:tr>
      <w:tr>
        <w:trPr>
          <w:trHeight w:val="243"/>
        </w:trPr>
        <w:tc>
          <w:tcPr>
            <w:tcW w:w="354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140" w:type="dxa"/>
            <w:vAlign w:val="bottom"/>
          </w:tcPr>
          <w:p>
            <w:pPr>
              <w:spacing w:after="0"/>
              <w:rPr>
                <w:sz w:val="21"/>
                <w:szCs w:val="21"/>
                <w:color w:val="auto"/>
              </w:rPr>
            </w:pPr>
          </w:p>
        </w:tc>
        <w:tc>
          <w:tcPr>
            <w:tcW w:w="2180" w:type="dxa"/>
            <w:vAlign w:val="bottom"/>
          </w:tcPr>
          <w:p>
            <w:pPr>
              <w:jc w:val="right"/>
              <w:ind w:right="30"/>
              <w:spacing w:after="0"/>
              <w:rPr>
                <w:sz w:val="20"/>
                <w:szCs w:val="20"/>
                <w:color w:val="auto"/>
              </w:rPr>
            </w:pPr>
            <w:r>
              <w:rPr>
                <w:rFonts w:ascii="Arial" w:cs="Arial" w:eastAsia="Arial" w:hAnsi="Arial"/>
                <w:sz w:val="18"/>
                <w:szCs w:val="18"/>
                <w:color w:val="auto"/>
              </w:rPr>
              <w:t>23.0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173.4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173.4</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580.9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580.5</w:t>
            </w:r>
          </w:p>
        </w:tc>
        <w:tc>
          <w:tcPr>
            <w:tcW w:w="0" w:type="dxa"/>
            <w:vAlign w:val="bottom"/>
          </w:tcPr>
          <w:p>
            <w:pPr>
              <w:spacing w:after="0"/>
              <w:rPr>
                <w:sz w:val="1"/>
                <w:szCs w:val="1"/>
                <w:color w:val="auto"/>
              </w:rPr>
            </w:pPr>
          </w:p>
        </w:tc>
      </w:tr>
      <w:tr>
        <w:trPr>
          <w:trHeight w:val="243"/>
        </w:trPr>
        <w:tc>
          <w:tcPr>
            <w:tcW w:w="3540" w:type="dxa"/>
            <w:vAlign w:val="bottom"/>
          </w:tcPr>
          <w:p>
            <w:pPr>
              <w:ind w:left="40"/>
              <w:spacing w:after="0"/>
              <w:rPr>
                <w:sz w:val="20"/>
                <w:szCs w:val="20"/>
                <w:color w:val="auto"/>
              </w:rPr>
            </w:pPr>
            <w:r>
              <w:rPr>
                <w:rFonts w:ascii="Arial" w:cs="Arial" w:eastAsia="Arial" w:hAnsi="Arial"/>
                <w:sz w:val="18"/>
                <w:szCs w:val="18"/>
                <w:color w:val="auto"/>
              </w:rPr>
              <w:t>Amount representing interest</w:t>
            </w:r>
          </w:p>
        </w:tc>
        <w:tc>
          <w:tcPr>
            <w:tcW w:w="140" w:type="dxa"/>
            <w:vAlign w:val="bottom"/>
          </w:tcPr>
          <w:p>
            <w:pPr>
              <w:spacing w:after="0"/>
              <w:rPr>
                <w:sz w:val="21"/>
                <w:szCs w:val="21"/>
                <w:color w:val="auto"/>
              </w:rPr>
            </w:pPr>
          </w:p>
        </w:tc>
        <w:tc>
          <w:tcPr>
            <w:tcW w:w="2180" w:type="dxa"/>
            <w:vAlign w:val="bottom"/>
          </w:tcPr>
          <w:p>
            <w:pPr>
              <w:jc w:val="right"/>
              <w:spacing w:after="0"/>
              <w:rPr>
                <w:sz w:val="20"/>
                <w:szCs w:val="20"/>
                <w:color w:val="auto"/>
              </w:rPr>
            </w:pPr>
            <w:r>
              <w:rPr>
                <w:rFonts w:ascii="Arial" w:cs="Arial" w:eastAsia="Arial" w:hAnsi="Arial"/>
                <w:sz w:val="18"/>
                <w:szCs w:val="18"/>
                <w:color w:val="auto"/>
              </w:rPr>
              <w:t>(11.6)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future minimum lease payments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52.7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580.9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580.5</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180" w:type="dxa"/>
            <w:vAlign w:val="bottom"/>
          </w:tcPr>
          <w:p>
            <w:pPr>
              <w:jc w:val="right"/>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24"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4. INTEGRATION, ACQUISITION AND RESTRUCTURING CHARGES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Merger of xpedx and Unisource</w:t>
      </w:r>
    </w:p>
    <w:p>
      <w:pPr>
        <w:spacing w:after="0" w:line="229"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The Company currently expects net costs and charges associated with achieving anticipated cost savings and other synergies from the Merger (excluding charges relating to the complete or partial withdrawal from multi-employer pension plans ("MEPP"), some of which are uncertain at this time, and including cash proceeds from sales of assets related to consolidation), to be approximately $315 million to $325 million through December 31, 2019. Included in the estimate is approximately $120 million to $125 million for capital expenditures, primarily consisting of information technology infrastructure, systems integration and planning. Through June 30, 2019, the Company has incurred approximately $302 million in costs and charges, including approximately $111 million for capital expenditures.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Integration and Acquisition Expenses</w:t>
      </w:r>
    </w:p>
    <w:p>
      <w:pPr>
        <w:spacing w:after="0" w:line="229" w:lineRule="exact"/>
        <w:rPr>
          <w:sz w:val="20"/>
          <w:szCs w:val="20"/>
          <w:color w:val="auto"/>
        </w:rPr>
      </w:pPr>
    </w:p>
    <w:p>
      <w:pPr>
        <w:ind w:right="340" w:firstLine="648"/>
        <w:spacing w:after="0" w:line="264" w:lineRule="auto"/>
        <w:rPr>
          <w:sz w:val="20"/>
          <w:szCs w:val="20"/>
          <w:color w:val="auto"/>
        </w:rPr>
      </w:pPr>
      <w:r>
        <w:rPr>
          <w:rFonts w:ascii="Arial" w:cs="Arial" w:eastAsia="Arial" w:hAnsi="Arial"/>
          <w:sz w:val="18"/>
          <w:szCs w:val="18"/>
          <w:color w:val="auto"/>
        </w:rPr>
        <w:t>During the three and six months ended June 30, 2019 and 2018, Veritiv incurred costs and charges related primarily to: internally dedicated integration management resources, retention compensation, information technology conversion costs, professional services and other costs to integrate its businesses.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the components of integration and acquisition expenses: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60" w:type="dxa"/>
            <w:vAlign w:val="bottom"/>
            <w:gridSpan w:val="5"/>
          </w:tcPr>
          <w:p>
            <w:pPr>
              <w:ind w:left="560"/>
              <w:spacing w:after="0"/>
              <w:rPr>
                <w:sz w:val="20"/>
                <w:szCs w:val="20"/>
                <w:color w:val="auto"/>
              </w:rPr>
            </w:pPr>
            <w:r>
              <w:rPr>
                <w:rFonts w:ascii="Arial" w:cs="Arial" w:eastAsia="Arial" w:hAnsi="Arial"/>
                <w:sz w:val="18"/>
                <w:szCs w:val="18"/>
                <w:b w:val="1"/>
                <w:bCs w:val="1"/>
                <w:color w:val="auto"/>
              </w:rPr>
              <w:t>Three Months Ended</w:t>
            </w:r>
          </w:p>
        </w:tc>
        <w:tc>
          <w:tcPr>
            <w:tcW w:w="400" w:type="dxa"/>
            <w:vAlign w:val="bottom"/>
          </w:tcPr>
          <w:p>
            <w:pPr>
              <w:spacing w:after="0"/>
              <w:rPr>
                <w:sz w:val="18"/>
                <w:szCs w:val="18"/>
                <w:color w:val="auto"/>
              </w:rPr>
            </w:pPr>
          </w:p>
        </w:tc>
        <w:tc>
          <w:tcPr>
            <w:tcW w:w="2080" w:type="dxa"/>
            <w:vAlign w:val="bottom"/>
            <w:gridSpan w:val="3"/>
          </w:tcPr>
          <w:p>
            <w:pPr>
              <w:jc w:val="right"/>
              <w:spacing w:after="0"/>
              <w:rPr>
                <w:sz w:val="20"/>
                <w:szCs w:val="20"/>
                <w:color w:val="auto"/>
              </w:rPr>
            </w:pPr>
            <w:r>
              <w:rPr>
                <w:rFonts w:ascii="Arial" w:cs="Arial" w:eastAsia="Arial" w:hAnsi="Arial"/>
                <w:sz w:val="18"/>
                <w:szCs w:val="18"/>
                <w:b w:val="1"/>
                <w:bCs w:val="1"/>
                <w:color w:val="auto"/>
              </w:rPr>
              <w:t>Six Months Ended</w:t>
            </w:r>
          </w:p>
        </w:tc>
        <w:tc>
          <w:tcPr>
            <w:tcW w:w="1040" w:type="dxa"/>
            <w:vAlign w:val="bottom"/>
          </w:tcPr>
          <w:p>
            <w:pPr>
              <w:spacing w:after="0"/>
              <w:rPr>
                <w:sz w:val="18"/>
                <w:szCs w:val="18"/>
                <w:color w:val="auto"/>
              </w:rPr>
            </w:pPr>
          </w:p>
        </w:tc>
      </w:tr>
      <w:tr>
        <w:trPr>
          <w:trHeight w:val="234"/>
        </w:trPr>
        <w:tc>
          <w:tcPr>
            <w:tcW w:w="4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940" w:type="dxa"/>
            <w:vAlign w:val="bottom"/>
            <w:gridSpan w:val="3"/>
          </w:tcPr>
          <w:p>
            <w:pPr>
              <w:jc w:val="right"/>
              <w:ind w:right="110"/>
              <w:spacing w:after="0"/>
              <w:rPr>
                <w:sz w:val="20"/>
                <w:szCs w:val="20"/>
                <w:color w:val="auto"/>
              </w:rPr>
            </w:pPr>
            <w:r>
              <w:rPr>
                <w:rFonts w:ascii="Arial" w:cs="Arial" w:eastAsia="Arial" w:hAnsi="Arial"/>
                <w:sz w:val="18"/>
                <w:szCs w:val="18"/>
                <w:b w:val="1"/>
                <w:bCs w:val="1"/>
                <w:color w:val="auto"/>
              </w:rPr>
              <w:t>June 30,</w:t>
            </w: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80" w:type="dxa"/>
            <w:vAlign w:val="bottom"/>
            <w:gridSpan w:val="3"/>
          </w:tcPr>
          <w:p>
            <w:pPr>
              <w:jc w:val="right"/>
              <w:ind w:right="270"/>
              <w:spacing w:after="0"/>
              <w:rPr>
                <w:sz w:val="20"/>
                <w:szCs w:val="20"/>
                <w:color w:val="auto"/>
              </w:rPr>
            </w:pPr>
            <w:r>
              <w:rPr>
                <w:rFonts w:ascii="Arial" w:cs="Arial" w:eastAsia="Arial" w:hAnsi="Arial"/>
                <w:sz w:val="18"/>
                <w:szCs w:val="18"/>
                <w:b w:val="1"/>
                <w:bCs w:val="1"/>
                <w:color w:val="auto"/>
              </w:rPr>
              <w:t>June 30,</w:t>
            </w:r>
          </w:p>
        </w:tc>
        <w:tc>
          <w:tcPr>
            <w:tcW w:w="1040" w:type="dxa"/>
            <w:vAlign w:val="bottom"/>
          </w:tcPr>
          <w:p>
            <w:pPr>
              <w:spacing w:after="0"/>
              <w:rPr>
                <w:sz w:val="20"/>
                <w:szCs w:val="20"/>
                <w:color w:val="auto"/>
              </w:rPr>
            </w:pPr>
          </w:p>
        </w:tc>
      </w:tr>
      <w:tr>
        <w:trPr>
          <w:trHeight w:val="27"/>
        </w:trPr>
        <w:tc>
          <w:tcPr>
            <w:tcW w:w="424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424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400" w:type="dxa"/>
            <w:vAlign w:val="bottom"/>
          </w:tcPr>
          <w:p>
            <w:pPr>
              <w:spacing w:after="0"/>
              <w:rPr>
                <w:sz w:val="20"/>
                <w:szCs w:val="20"/>
                <w:color w:val="auto"/>
              </w:rPr>
            </w:pPr>
          </w:p>
        </w:tc>
        <w:tc>
          <w:tcPr>
            <w:tcW w:w="1340" w:type="dxa"/>
            <w:vAlign w:val="bottom"/>
          </w:tcPr>
          <w:p>
            <w:pPr>
              <w:jc w:val="right"/>
              <w:ind w:right="61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40" w:type="dxa"/>
            <w:vAlign w:val="bottom"/>
          </w:tcPr>
          <w:p>
            <w:pPr>
              <w:jc w:val="right"/>
              <w:ind w:right="590"/>
              <w:spacing w:after="0"/>
              <w:rPr>
                <w:sz w:val="20"/>
                <w:szCs w:val="20"/>
                <w:color w:val="auto"/>
              </w:rPr>
            </w:pPr>
            <w:r>
              <w:rPr>
                <w:rFonts w:ascii="Arial" w:cs="Arial" w:eastAsia="Arial" w:hAnsi="Arial"/>
                <w:sz w:val="18"/>
                <w:szCs w:val="18"/>
                <w:b w:val="1"/>
                <w:bCs w:val="1"/>
                <w:color w:val="auto"/>
                <w:w w:val="84"/>
              </w:rPr>
              <w:t>2018</w:t>
            </w:r>
          </w:p>
        </w:tc>
      </w:tr>
      <w:tr>
        <w:trPr>
          <w:trHeight w:val="27"/>
        </w:trPr>
        <w:tc>
          <w:tcPr>
            <w:tcW w:w="424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Integration management</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45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Retention compensation</w:t>
            </w:r>
          </w:p>
        </w:tc>
        <w:tc>
          <w:tcPr>
            <w:tcW w:w="4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0.1</w:t>
            </w:r>
          </w:p>
        </w:tc>
      </w:tr>
      <w:tr>
        <w:trPr>
          <w:trHeight w:val="27"/>
        </w:trPr>
        <w:tc>
          <w:tcPr>
            <w:tcW w:w="42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Information technology conversion costs</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Legal, consulting and other professional fees</w:t>
            </w:r>
          </w:p>
        </w:tc>
        <w:tc>
          <w:tcPr>
            <w:tcW w:w="400" w:type="dxa"/>
            <w:vAlign w:val="bottom"/>
          </w:tcPr>
          <w:p>
            <w:pPr>
              <w:spacing w:after="0"/>
              <w:rPr>
                <w:sz w:val="21"/>
                <w:szCs w:val="21"/>
                <w:color w:val="auto"/>
              </w:rPr>
            </w:pPr>
          </w:p>
        </w:tc>
        <w:tc>
          <w:tcPr>
            <w:tcW w:w="1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0.3</w:t>
            </w:r>
          </w:p>
        </w:tc>
      </w:tr>
      <w:tr>
        <w:trPr>
          <w:trHeight w:val="27"/>
        </w:trPr>
        <w:tc>
          <w:tcPr>
            <w:tcW w:w="42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4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0.6</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w:t>
            </w:r>
          </w:p>
        </w:tc>
        <w:tc>
          <w:tcPr>
            <w:tcW w:w="1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w:t>
            </w:r>
          </w:p>
        </w:tc>
      </w:tr>
      <w:tr>
        <w:trPr>
          <w:trHeight w:val="229"/>
        </w:trPr>
        <w:tc>
          <w:tcPr>
            <w:tcW w:w="4240" w:type="dxa"/>
            <w:vAlign w:val="bottom"/>
          </w:tcPr>
          <w:p>
            <w:pPr>
              <w:ind w:left="40"/>
              <w:spacing w:after="0"/>
              <w:rPr>
                <w:sz w:val="20"/>
                <w:szCs w:val="20"/>
                <w:color w:val="auto"/>
              </w:rPr>
            </w:pPr>
            <w:r>
              <w:rPr>
                <w:rFonts w:ascii="Arial" w:cs="Arial" w:eastAsia="Arial" w:hAnsi="Arial"/>
                <w:sz w:val="18"/>
                <w:szCs w:val="18"/>
                <w:color w:val="auto"/>
              </w:rPr>
              <w:t>All American Containers ("AAC") integration and</w:t>
            </w:r>
          </w:p>
        </w:tc>
        <w:tc>
          <w:tcPr>
            <w:tcW w:w="4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230"/>
        </w:trPr>
        <w:tc>
          <w:tcPr>
            <w:tcW w:w="4240" w:type="dxa"/>
            <w:vAlign w:val="bottom"/>
          </w:tcPr>
          <w:p>
            <w:pPr>
              <w:ind w:left="40"/>
              <w:spacing w:after="0"/>
              <w:rPr>
                <w:sz w:val="20"/>
                <w:szCs w:val="20"/>
                <w:color w:val="auto"/>
              </w:rPr>
            </w:pPr>
            <w:r>
              <w:rPr>
                <w:rFonts w:ascii="Arial" w:cs="Arial" w:eastAsia="Arial" w:hAnsi="Arial"/>
                <w:sz w:val="18"/>
                <w:szCs w:val="18"/>
                <w:color w:val="auto"/>
              </w:rPr>
              <w:t>acquisition</w:t>
            </w:r>
          </w:p>
        </w:tc>
        <w:tc>
          <w:tcPr>
            <w:tcW w:w="400" w:type="dxa"/>
            <w:vAlign w:val="bottom"/>
          </w:tcPr>
          <w:p>
            <w:pPr>
              <w:spacing w:after="0"/>
              <w:rPr>
                <w:sz w:val="20"/>
                <w:szCs w:val="20"/>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1.4</w:t>
            </w:r>
          </w:p>
        </w:tc>
      </w:tr>
      <w:tr>
        <w:trPr>
          <w:trHeight w:val="27"/>
        </w:trPr>
        <w:tc>
          <w:tcPr>
            <w:tcW w:w="424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7"/>
        </w:trPr>
        <w:tc>
          <w:tcPr>
            <w:tcW w:w="42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Total integration and acquisition expenses</w:t>
            </w: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4.5</w:t>
            </w:r>
          </w:p>
        </w:tc>
        <w:tc>
          <w:tcPr>
            <w:tcW w:w="12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8.4</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8.8</w:t>
            </w:r>
          </w:p>
        </w:tc>
        <w:tc>
          <w:tcPr>
            <w:tcW w:w="10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auto"/>
            </w:tcBorders>
            <w:shd w:val="clear" w:color="auto" w:fill="CCEEFF"/>
          </w:tcPr>
          <w:p>
            <w:pPr>
              <w:jc w:val="right"/>
              <w:ind w:right="45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16.7</w:t>
            </w:r>
          </w:p>
        </w:tc>
      </w:tr>
      <w:tr>
        <w:trPr>
          <w:trHeight w:val="20"/>
        </w:trPr>
        <w:tc>
          <w:tcPr>
            <w:tcW w:w="42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Veritiv Restructuring Plan: Merger Related</w:t>
      </w:r>
    </w:p>
    <w:p>
      <w:pPr>
        <w:spacing w:after="0" w:line="121" w:lineRule="exact"/>
        <w:rPr>
          <w:sz w:val="20"/>
          <w:szCs w:val="20"/>
          <w:color w:val="auto"/>
        </w:rPr>
      </w:pPr>
    </w:p>
    <w:p>
      <w:pPr>
        <w:ind w:right="60" w:firstLine="648"/>
        <w:spacing w:after="0" w:line="290" w:lineRule="auto"/>
        <w:rPr>
          <w:rFonts w:ascii="Arial" w:cs="Arial" w:eastAsia="Arial" w:hAnsi="Arial"/>
          <w:sz w:val="16"/>
          <w:szCs w:val="16"/>
          <w:color w:val="auto"/>
        </w:rPr>
      </w:pPr>
      <w:r>
        <w:rPr>
          <w:rFonts w:ascii="Arial" w:cs="Arial" w:eastAsia="Arial" w:hAnsi="Arial"/>
          <w:sz w:val="16"/>
          <w:szCs w:val="16"/>
          <w:color w:val="auto"/>
        </w:rPr>
        <w:t xml:space="preserve">As part of the Merger, the Company is executing on a multi-year restructuring program of its North American operations intended to integrate the legacy xpedx and Unisource operations, generate cost savings and capture synergies across the combined company. The restructuring plan includes initiatives to (i) consolidate warehouse facilities in overlapping markets, (ii) improve efficiency of the delivery network, (iii) consolidate customer service centers, (iv) reorganize the field sales and operations functions and (v) restructure the corporate general and administrative functions. As part of its restructuring efforts, the Company continues to evaluate its operations outside of North America to identify additional cost saving opportunities. The Company may elect to restructure its operations in specific countries, which may include staff reductions, lease terminations and facility closures, or the complete exit of a market. The Company may continue to record restructuring charges in the future as restructuring activities progress, which may include gains or losses from the disposition of assets. See </w:t>
      </w:r>
      <w:hyperlink w:anchor="page28">
        <w:r>
          <w:rPr>
            <w:rFonts w:ascii="Arial" w:cs="Arial" w:eastAsia="Arial" w:hAnsi="Arial"/>
            <w:sz w:val="16"/>
            <w:szCs w:val="16"/>
            <w:u w:val="single" w:color="auto"/>
            <w:color w:val="0000EE"/>
          </w:rPr>
          <w:t>Note 13, Segment Information,</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for the impact these charges had on the Company's reportable segments.</w:t>
      </w:r>
    </w:p>
    <w:p>
      <w:pPr>
        <w:spacing w:after="0" w:line="166"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Related to these company-wide initiatives, the Company recorded net restructuring charges of $6.9 million and $11.1 million for the three months ended June 30, 2019 and 2018, respectively, and $9.3 million and $13.7 million for the six months ended June 30, 2019 and 2018, respectively. On June 30, 2018, the related party failed sale-leaseback agreements, originally entered into with Georgia-Pacific, expired in accordance with their terms. The agreements contained provisions that required Veritiv to incur costs during the lease term related to general repairs and maintenance. Certain termination and repair costs were incurred at or near the end of the agreements' expirations. Costs related to properties that were exited as part of the restructuring plan were included in restructuring charges, net, on the Condensed Consolidated Statements of</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34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Operations, and totaled $10.0 million and $10.4 million for the three and six months ended June 30, 2018, respectively. Also, during the three and six months ended June 30, 2018, the Company recognized a $2.1 million gain on the sale of a facility.</w:t>
      </w:r>
    </w:p>
    <w:p>
      <w:pPr>
        <w:spacing w:after="0" w:line="170"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Other direct costs reported in the tables below include facility closing costs, actual and estimated MEPP withdrawal charges and other incidental costs associated with the development, communication, administration and implementation of these initiatives.</w:t>
      </w:r>
    </w:p>
    <w:p>
      <w:pPr>
        <w:spacing w:after="0" w:line="170"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The following table presents a summary of restructuring charges, net, related to active restructuring initiatives that were incurred during the current fiscal year, prior fiscal years and the cumulative recorded amounts since the initiatives began:</w:t>
      </w:r>
    </w:p>
    <w:p>
      <w:pPr>
        <w:sectPr>
          <w:pgSz w:w="11900" w:h="16838" w:orient="portrait"/>
          <w:cols w:equalWidth="0" w:num="1">
            <w:col w:w="11340"/>
          </w:cols>
          <w:pgMar w:left="240" w:top="341" w:right="319" w:bottom="1440" w:gutter="0" w:footer="0" w:header="0"/>
        </w:sectPr>
      </w:pPr>
    </w:p>
    <w:p>
      <w:pPr>
        <w:spacing w:after="0" w:line="329" w:lineRule="exact"/>
        <w:rPr>
          <w:sz w:val="20"/>
          <w:szCs w:val="20"/>
          <w:color w:val="auto"/>
        </w:rPr>
      </w:pPr>
    </w:p>
    <w:tbl>
      <w:tblPr>
        <w:tblLayout w:type="fixed"/>
        <w:tblInd w:w="1160" w:type="dxa"/>
        <w:tblCellMar>
          <w:top w:w="0" w:type="dxa"/>
          <w:left w:w="0" w:type="dxa"/>
          <w:bottom w:w="0" w:type="dxa"/>
          <w:right w:w="0" w:type="dxa"/>
        </w:tblCellMar>
      </w:tblPr>
      <w:tr>
        <w:trPr>
          <w:trHeight w:val="216"/>
        </w:trPr>
        <w:tc>
          <w:tcPr>
            <w:tcW w:w="2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80" w:type="dxa"/>
            <w:vAlign w:val="bottom"/>
            <w:gridSpan w:val="2"/>
          </w:tcPr>
          <w:p>
            <w:pPr>
              <w:ind w:left="40"/>
              <w:spacing w:after="0"/>
              <w:rPr>
                <w:sz w:val="20"/>
                <w:szCs w:val="20"/>
                <w:color w:val="auto"/>
              </w:rPr>
            </w:pPr>
            <w:r>
              <w:rPr>
                <w:rFonts w:ascii="Arial" w:cs="Arial" w:eastAsia="Arial" w:hAnsi="Arial"/>
                <w:sz w:val="18"/>
                <w:szCs w:val="18"/>
                <w:b w:val="1"/>
                <w:bCs w:val="1"/>
                <w:color w:val="auto"/>
                <w:w w:val="90"/>
              </w:rPr>
              <w:t>(Gain) Loss on Sale</w:t>
            </w:r>
          </w:p>
        </w:tc>
      </w:tr>
      <w:tr>
        <w:trPr>
          <w:trHeight w:val="216"/>
        </w:trPr>
        <w:tc>
          <w:tcPr>
            <w:tcW w:w="2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8"/>
              </w:rPr>
              <w:t>Severance and</w:t>
            </w:r>
          </w:p>
        </w:tc>
        <w:tc>
          <w:tcPr>
            <w:tcW w:w="6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80" w:type="dxa"/>
            <w:vAlign w:val="bottom"/>
            <w:gridSpan w:val="2"/>
          </w:tcPr>
          <w:p>
            <w:pPr>
              <w:ind w:left="40"/>
              <w:spacing w:after="0"/>
              <w:rPr>
                <w:sz w:val="20"/>
                <w:szCs w:val="20"/>
                <w:color w:val="auto"/>
              </w:rPr>
            </w:pPr>
            <w:r>
              <w:rPr>
                <w:rFonts w:ascii="Arial" w:cs="Arial" w:eastAsia="Arial" w:hAnsi="Arial"/>
                <w:sz w:val="18"/>
                <w:szCs w:val="18"/>
                <w:b w:val="1"/>
                <w:bCs w:val="1"/>
                <w:color w:val="auto"/>
                <w:w w:val="88"/>
              </w:rPr>
              <w:t>of Assets and Other</w:t>
            </w:r>
          </w:p>
        </w:tc>
      </w:tr>
      <w:tr>
        <w:trPr>
          <w:trHeight w:val="234"/>
        </w:trPr>
        <w:tc>
          <w:tcPr>
            <w:tcW w:w="2320" w:type="dxa"/>
            <w:vAlign w:val="bottom"/>
          </w:tcPr>
          <w:p>
            <w:pPr>
              <w:spacing w:after="0"/>
              <w:rPr>
                <w:sz w:val="20"/>
                <w:szCs w:val="20"/>
                <w:color w:val="auto"/>
              </w:rPr>
            </w:pPr>
            <w:r>
              <w:rPr>
                <w:rFonts w:ascii="Arial" w:cs="Arial" w:eastAsia="Arial" w:hAnsi="Arial"/>
                <w:sz w:val="18"/>
                <w:szCs w:val="18"/>
                <w:i w:val="1"/>
                <w:iCs w:val="1"/>
                <w:color w:val="auto"/>
              </w:rPr>
              <w:t>(in millions)</w:t>
            </w:r>
          </w:p>
        </w:tc>
        <w:tc>
          <w:tcPr>
            <w:tcW w:w="180" w:type="dxa"/>
            <w:vAlign w:val="bottom"/>
          </w:tcPr>
          <w:p>
            <w:pPr>
              <w:spacing w:after="0"/>
              <w:rPr>
                <w:sz w:val="20"/>
                <w:szCs w:val="20"/>
                <w:color w:val="auto"/>
              </w:rPr>
            </w:pPr>
          </w:p>
        </w:tc>
        <w:tc>
          <w:tcPr>
            <w:tcW w:w="15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6"/>
              </w:rPr>
              <w:t>Related Costs</w:t>
            </w:r>
          </w:p>
        </w:tc>
        <w:tc>
          <w:tcPr>
            <w:tcW w:w="1740" w:type="dxa"/>
            <w:vAlign w:val="bottom"/>
            <w:gridSpan w:val="3"/>
          </w:tcPr>
          <w:p>
            <w:pPr>
              <w:ind w:left="60"/>
              <w:spacing w:after="0"/>
              <w:rPr>
                <w:sz w:val="20"/>
                <w:szCs w:val="20"/>
                <w:color w:val="auto"/>
              </w:rPr>
            </w:pPr>
            <w:r>
              <w:rPr>
                <w:rFonts w:ascii="Arial" w:cs="Arial" w:eastAsia="Arial" w:hAnsi="Arial"/>
                <w:sz w:val="18"/>
                <w:szCs w:val="18"/>
                <w:b w:val="1"/>
                <w:bCs w:val="1"/>
                <w:color w:val="auto"/>
              </w:rPr>
              <w:t>Other Direct Costs</w:t>
            </w:r>
          </w:p>
        </w:tc>
        <w:tc>
          <w:tcPr>
            <w:tcW w:w="1580" w:type="dxa"/>
            <w:vAlign w:val="bottom"/>
            <w:gridSpan w:val="2"/>
          </w:tcPr>
          <w:p>
            <w:pPr>
              <w:ind w:left="80"/>
              <w:spacing w:after="0"/>
              <w:rPr>
                <w:sz w:val="20"/>
                <w:szCs w:val="20"/>
                <w:color w:val="auto"/>
              </w:rPr>
            </w:pPr>
            <w:r>
              <w:rPr>
                <w:rFonts w:ascii="Arial" w:cs="Arial" w:eastAsia="Arial" w:hAnsi="Arial"/>
                <w:sz w:val="18"/>
                <w:szCs w:val="18"/>
                <w:b w:val="1"/>
                <w:bCs w:val="1"/>
                <w:color w:val="auto"/>
                <w:w w:val="93"/>
              </w:rPr>
              <w:t>(non-cash portion)</w:t>
            </w:r>
          </w:p>
        </w:tc>
      </w:tr>
      <w:tr>
        <w:trPr>
          <w:trHeight w:val="27"/>
        </w:trPr>
        <w:tc>
          <w:tcPr>
            <w:tcW w:w="23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2320" w:type="dxa"/>
            <w:vAlign w:val="bottom"/>
          </w:tcPr>
          <w:p>
            <w:pPr>
              <w:spacing w:after="0"/>
              <w:rPr>
                <w:sz w:val="20"/>
                <w:szCs w:val="20"/>
                <w:color w:val="auto"/>
              </w:rPr>
            </w:pPr>
            <w:r>
              <w:rPr>
                <w:rFonts w:ascii="Arial" w:cs="Arial" w:eastAsia="Arial" w:hAnsi="Arial"/>
                <w:sz w:val="18"/>
                <w:szCs w:val="18"/>
                <w:color w:val="auto"/>
              </w:rPr>
              <w:t>2019 (year-to-date)</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4.5</w:t>
            </w:r>
          </w:p>
        </w:tc>
        <w:tc>
          <w:tcPr>
            <w:tcW w:w="180" w:type="dxa"/>
            <w:vAlign w:val="bottom"/>
          </w:tcPr>
          <w:p>
            <w:pPr>
              <w:spacing w:after="0"/>
              <w:rPr>
                <w:sz w:val="20"/>
                <w:szCs w:val="20"/>
                <w:color w:val="auto"/>
              </w:rPr>
            </w:pPr>
          </w:p>
        </w:tc>
        <w:tc>
          <w:tcPr>
            <w:tcW w:w="640" w:type="dxa"/>
            <w:vAlign w:val="bottom"/>
          </w:tcPr>
          <w:p>
            <w:pPr>
              <w:jc w:val="right"/>
              <w:ind w:right="43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5.0</w:t>
            </w:r>
          </w:p>
        </w:tc>
        <w:tc>
          <w:tcPr>
            <w:tcW w:w="180" w:type="dxa"/>
            <w:vAlign w:val="bottom"/>
          </w:tcPr>
          <w:p>
            <w:pPr>
              <w:spacing w:after="0"/>
              <w:rPr>
                <w:sz w:val="20"/>
                <w:szCs w:val="20"/>
                <w:color w:val="auto"/>
              </w:rPr>
            </w:pPr>
          </w:p>
        </w:tc>
        <w:tc>
          <w:tcPr>
            <w:tcW w:w="620" w:type="dxa"/>
            <w:vAlign w:val="bottom"/>
          </w:tcPr>
          <w:p>
            <w:pPr>
              <w:ind w:left="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0"/>
        </w:trPr>
        <w:tc>
          <w:tcPr>
            <w:tcW w:w="2320" w:type="dxa"/>
            <w:vAlign w:val="bottom"/>
          </w:tcPr>
          <w:p>
            <w:pPr>
              <w:spacing w:after="0"/>
              <w:rPr>
                <w:sz w:val="20"/>
                <w:szCs w:val="20"/>
                <w:color w:val="auto"/>
              </w:rPr>
            </w:pPr>
            <w:r>
              <w:rPr>
                <w:rFonts w:ascii="Arial" w:cs="Arial" w:eastAsia="Arial" w:hAnsi="Arial"/>
                <w:sz w:val="18"/>
                <w:szCs w:val="18"/>
                <w:color w:val="auto"/>
              </w:rPr>
              <w:t>2018</w:t>
            </w:r>
          </w:p>
        </w:tc>
        <w:tc>
          <w:tcPr>
            <w:tcW w:w="18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3.3</w:t>
            </w:r>
          </w:p>
        </w:tc>
        <w:tc>
          <w:tcPr>
            <w:tcW w:w="18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22.3</w:t>
            </w:r>
          </w:p>
        </w:tc>
        <w:tc>
          <w:tcPr>
            <w:tcW w:w="18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(15.0)</w:t>
            </w:r>
          </w:p>
        </w:tc>
      </w:tr>
      <w:tr>
        <w:trPr>
          <w:trHeight w:val="270"/>
        </w:trPr>
        <w:tc>
          <w:tcPr>
            <w:tcW w:w="2320" w:type="dxa"/>
            <w:vAlign w:val="bottom"/>
          </w:tcPr>
          <w:p>
            <w:pPr>
              <w:spacing w:after="0"/>
              <w:rPr>
                <w:sz w:val="20"/>
                <w:szCs w:val="20"/>
                <w:color w:val="auto"/>
              </w:rPr>
            </w:pPr>
            <w:r>
              <w:rPr>
                <w:rFonts w:ascii="Arial" w:cs="Arial" w:eastAsia="Arial" w:hAnsi="Arial"/>
                <w:sz w:val="18"/>
                <w:szCs w:val="18"/>
                <w:color w:val="auto"/>
              </w:rPr>
              <w:t>Prior years</w:t>
            </w:r>
          </w:p>
        </w:tc>
        <w:tc>
          <w:tcPr>
            <w:tcW w:w="18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20.0</w:t>
            </w:r>
          </w:p>
        </w:tc>
        <w:tc>
          <w:tcPr>
            <w:tcW w:w="18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47.9</w:t>
            </w:r>
          </w:p>
        </w:tc>
        <w:tc>
          <w:tcPr>
            <w:tcW w:w="18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(22.4)</w:t>
            </w:r>
          </w:p>
        </w:tc>
      </w:tr>
      <w:tr>
        <w:trPr>
          <w:trHeight w:val="27"/>
        </w:trPr>
        <w:tc>
          <w:tcPr>
            <w:tcW w:w="23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7"/>
        </w:trPr>
        <w:tc>
          <w:tcPr>
            <w:tcW w:w="2320" w:type="dxa"/>
            <w:vAlign w:val="bottom"/>
          </w:tcPr>
          <w:p>
            <w:pPr>
              <w:spacing w:after="0"/>
              <w:rPr>
                <w:sz w:val="20"/>
                <w:szCs w:val="20"/>
                <w:color w:val="auto"/>
              </w:rPr>
            </w:pPr>
            <w:r>
              <w:rPr>
                <w:rFonts w:ascii="Arial" w:cs="Arial" w:eastAsia="Arial" w:hAnsi="Arial"/>
                <w:sz w:val="18"/>
                <w:szCs w:val="18"/>
                <w:color w:val="auto"/>
              </w:rPr>
              <w:t>Cumulative</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27.8</w:t>
            </w:r>
          </w:p>
        </w:tc>
        <w:tc>
          <w:tcPr>
            <w:tcW w:w="180" w:type="dxa"/>
            <w:vAlign w:val="bottom"/>
          </w:tcPr>
          <w:p>
            <w:pPr>
              <w:spacing w:after="0"/>
              <w:rPr>
                <w:sz w:val="22"/>
                <w:szCs w:val="22"/>
                <w:color w:val="auto"/>
              </w:rPr>
            </w:pPr>
          </w:p>
        </w:tc>
        <w:tc>
          <w:tcPr>
            <w:tcW w:w="6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75.2</w:t>
            </w:r>
          </w:p>
        </w:tc>
        <w:tc>
          <w:tcPr>
            <w:tcW w:w="180" w:type="dxa"/>
            <w:vAlign w:val="bottom"/>
          </w:tcPr>
          <w:p>
            <w:pPr>
              <w:spacing w:after="0"/>
              <w:rPr>
                <w:sz w:val="22"/>
                <w:szCs w:val="22"/>
                <w:color w:val="auto"/>
              </w:rPr>
            </w:pPr>
          </w:p>
        </w:tc>
        <w:tc>
          <w:tcPr>
            <w:tcW w:w="62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(37.6)</w:t>
            </w:r>
          </w:p>
        </w:tc>
      </w:tr>
      <w:tr>
        <w:trPr>
          <w:trHeight w:val="20"/>
        </w:trPr>
        <w:tc>
          <w:tcPr>
            <w:tcW w:w="2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725170</wp:posOffset>
            </wp:positionH>
            <wp:positionV relativeFrom="paragraph">
              <wp:posOffset>-376555</wp:posOffset>
            </wp:positionV>
            <wp:extent cx="5805805"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805805" cy="171450"/>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-728345</wp:posOffset>
            </wp:positionV>
            <wp:extent cx="5805805" cy="1803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805805" cy="1803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554"/>
        <w:spacing w:after="0"/>
        <w:rPr>
          <w:sz w:val="20"/>
          <w:szCs w:val="20"/>
          <w:color w:val="auto"/>
        </w:rPr>
      </w:pPr>
      <w:r>
        <w:rPr>
          <w:rFonts w:ascii="Arial" w:cs="Arial" w:eastAsia="Arial" w:hAnsi="Arial"/>
          <w:sz w:val="18"/>
          <w:szCs w:val="18"/>
          <w:b w:val="1"/>
          <w:bCs w:val="1"/>
          <w:color w:val="auto"/>
        </w:rPr>
        <w:t>Total</w:t>
      </w:r>
    </w:p>
    <w:p>
      <w:pPr>
        <w:spacing w:after="0" w:line="81" w:lineRule="exact"/>
        <w:rPr>
          <w:sz w:val="20"/>
          <w:szCs w:val="20"/>
          <w:color w:val="auto"/>
        </w:rPr>
      </w:pPr>
    </w:p>
    <w:p>
      <w:pPr>
        <w:ind w:left="1234" w:hanging="1234"/>
        <w:spacing w:after="0"/>
        <w:tabs>
          <w:tab w:leader="none" w:pos="1234" w:val="left"/>
        </w:tabs>
        <w:numPr>
          <w:ilvl w:val="0"/>
          <w:numId w:val="8"/>
        </w:numPr>
        <w:rPr>
          <w:rFonts w:ascii="Arial" w:cs="Arial" w:eastAsia="Arial" w:hAnsi="Arial"/>
          <w:sz w:val="15"/>
          <w:szCs w:val="15"/>
          <w:color w:val="auto"/>
        </w:rPr>
      </w:pPr>
      <w:r>
        <w:rPr>
          <w:rFonts w:ascii="Arial" w:cs="Arial" w:eastAsia="Arial" w:hAnsi="Arial"/>
          <w:sz w:val="15"/>
          <w:szCs w:val="15"/>
          <w:color w:val="auto"/>
        </w:rPr>
        <w:t>9.3</w:t>
      </w:r>
    </w:p>
    <w:p>
      <w:pPr>
        <w:spacing w:after="0" w:line="97" w:lineRule="exact"/>
        <w:rPr>
          <w:rFonts w:ascii="Arial" w:cs="Arial" w:eastAsia="Arial" w:hAnsi="Arial"/>
          <w:sz w:val="15"/>
          <w:szCs w:val="15"/>
          <w:color w:val="auto"/>
        </w:rPr>
      </w:pPr>
    </w:p>
    <w:p>
      <w:pPr>
        <w:ind w:left="1134"/>
        <w:spacing w:after="0"/>
        <w:rPr>
          <w:rFonts w:ascii="Arial" w:cs="Arial" w:eastAsia="Arial" w:hAnsi="Arial"/>
          <w:sz w:val="15"/>
          <w:szCs w:val="15"/>
          <w:color w:val="auto"/>
        </w:rPr>
      </w:pPr>
      <w:r>
        <w:rPr>
          <w:rFonts w:ascii="Arial" w:cs="Arial" w:eastAsia="Arial" w:hAnsi="Arial"/>
          <w:sz w:val="16"/>
          <w:szCs w:val="16"/>
          <w:color w:val="auto"/>
        </w:rPr>
        <w:t>10.6</w:t>
      </w:r>
    </w:p>
    <w:p>
      <w:pPr>
        <w:spacing w:after="0" w:line="86" w:lineRule="exact"/>
        <w:rPr>
          <w:rFonts w:ascii="Arial" w:cs="Arial" w:eastAsia="Arial" w:hAnsi="Arial"/>
          <w:sz w:val="15"/>
          <w:szCs w:val="15"/>
          <w:color w:val="auto"/>
        </w:rPr>
      </w:pPr>
    </w:p>
    <w:p>
      <w:pPr>
        <w:ind w:left="1134"/>
        <w:spacing w:after="0"/>
        <w:rPr>
          <w:rFonts w:ascii="Arial" w:cs="Arial" w:eastAsia="Arial" w:hAnsi="Arial"/>
          <w:sz w:val="15"/>
          <w:szCs w:val="15"/>
          <w:color w:val="auto"/>
        </w:rPr>
      </w:pPr>
      <w:r>
        <w:rPr>
          <w:rFonts w:ascii="Arial" w:cs="Arial" w:eastAsia="Arial" w:hAnsi="Arial"/>
          <w:sz w:val="16"/>
          <w:szCs w:val="16"/>
          <w:color w:val="auto"/>
        </w:rPr>
        <w:t>45.5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46355</wp:posOffset>
            </wp:positionV>
            <wp:extent cx="99504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995045" cy="8890"/>
                    </a:xfrm>
                    <a:prstGeom prst="rect">
                      <a:avLst/>
                    </a:prstGeom>
                    <a:noFill/>
                  </pic:spPr>
                </pic:pic>
              </a:graphicData>
            </a:graphic>
          </wp:anchor>
        </w:drawing>
      </w:r>
    </w:p>
    <w:p>
      <w:pPr>
        <w:spacing w:after="0" w:line="80" w:lineRule="exact"/>
        <w:rPr>
          <w:sz w:val="20"/>
          <w:szCs w:val="20"/>
          <w:color w:val="auto"/>
        </w:rPr>
      </w:pPr>
    </w:p>
    <w:p>
      <w:pPr>
        <w:ind w:left="1134" w:hanging="1134"/>
        <w:spacing w:after="0"/>
        <w:tabs>
          <w:tab w:leader="none" w:pos="1134" w:val="left"/>
        </w:tabs>
        <w:numPr>
          <w:ilvl w:val="0"/>
          <w:numId w:val="9"/>
        </w:numPr>
        <w:rPr>
          <w:rFonts w:ascii="Arial" w:cs="Arial" w:eastAsia="Arial" w:hAnsi="Arial"/>
          <w:sz w:val="16"/>
          <w:szCs w:val="16"/>
          <w:color w:val="auto"/>
        </w:rPr>
      </w:pPr>
      <w:r>
        <w:rPr>
          <w:rFonts w:ascii="Arial" w:cs="Arial" w:eastAsia="Arial" w:hAnsi="Arial"/>
          <w:sz w:val="16"/>
          <w:szCs w:val="16"/>
          <w:color w:val="auto"/>
        </w:rPr>
        <w:t>65.4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46355</wp:posOffset>
            </wp:positionV>
            <wp:extent cx="99504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995045" cy="8890"/>
                    </a:xfrm>
                    <a:prstGeom prst="rect">
                      <a:avLst/>
                    </a:prstGeom>
                    <a:noFill/>
                  </pic:spPr>
                </pic:pic>
              </a:graphicData>
            </a:graphic>
          </wp:anchor>
        </w:drawing>
        <w:drawing>
          <wp:anchor simplePos="0" relativeHeight="251657728" behindDoc="1" locked="0" layoutInCell="0" allowOverlap="1">
            <wp:simplePos x="0" y="0"/>
            <wp:positionH relativeFrom="column">
              <wp:posOffset>-16510</wp:posOffset>
            </wp:positionH>
            <wp:positionV relativeFrom="paragraph">
              <wp:posOffset>63500</wp:posOffset>
            </wp:positionV>
            <wp:extent cx="99504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995045" cy="8890"/>
                    </a:xfrm>
                    <a:prstGeom prst="rect">
                      <a:avLst/>
                    </a:prstGeom>
                    <a:noFill/>
                  </pic:spPr>
                </pic:pic>
              </a:graphicData>
            </a:graphic>
          </wp:anchor>
        </w:drawing>
      </w:r>
    </w:p>
    <w:p>
      <w:pPr>
        <w:spacing w:after="0" w:line="313" w:lineRule="exact"/>
        <w:rPr>
          <w:sz w:val="20"/>
          <w:szCs w:val="20"/>
          <w:color w:val="auto"/>
        </w:rPr>
      </w:pPr>
    </w:p>
    <w:p>
      <w:pPr>
        <w:sectPr>
          <w:pgSz w:w="11900" w:h="16838" w:orient="portrait"/>
          <w:cols w:equalWidth="0" w:num="2">
            <w:col w:w="8540" w:space="206"/>
            <w:col w:w="2594"/>
          </w:cols>
          <w:pgMar w:left="240" w:top="341" w:right="319" w:bottom="1440" w:gutter="0" w:footer="0" w:header="0"/>
          <w:type w:val="continuous"/>
        </w:sectPr>
      </w:pPr>
    </w:p>
    <w:p>
      <w:pPr>
        <w:spacing w:after="0" w:line="123"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The following is a summary of the Company's restructuring liability activity for the three and six months ended June 30, 2019 (costs incurred exclude any non-cash portion of restructuring gains or losses on asset disposals):</w:t>
      </w:r>
    </w:p>
    <w:p>
      <w:pPr>
        <w:spacing w:after="0" w:line="329" w:lineRule="exact"/>
        <w:rPr>
          <w:sz w:val="20"/>
          <w:szCs w:val="20"/>
          <w:color w:val="auto"/>
        </w:rPr>
      </w:pPr>
    </w:p>
    <w:tbl>
      <w:tblPr>
        <w:tblLayout w:type="fixed"/>
        <w:tblInd w:w="1160" w:type="dxa"/>
        <w:tblCellMar>
          <w:top w:w="0" w:type="dxa"/>
          <w:left w:w="0" w:type="dxa"/>
          <w:bottom w:w="0" w:type="dxa"/>
          <w:right w:w="0" w:type="dxa"/>
        </w:tblCellMar>
      </w:tblPr>
      <w:tr>
        <w:trPr>
          <w:trHeight w:val="216"/>
        </w:trPr>
        <w:tc>
          <w:tcPr>
            <w:tcW w:w="4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Severance and</w:t>
            </w: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4"/>
              </w:rPr>
              <w:t>Other Direct</w:t>
            </w: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20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16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6"/>
              </w:rPr>
              <w:t>Related Costs</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3"/>
              </w:rPr>
              <w:t>Costs</w:t>
            </w:r>
          </w:p>
        </w:tc>
        <w:tc>
          <w:tcPr>
            <w:tcW w:w="360" w:type="dxa"/>
            <w:vAlign w:val="bottom"/>
          </w:tcPr>
          <w:p>
            <w:pPr>
              <w:spacing w:after="0"/>
              <w:rPr>
                <w:sz w:val="20"/>
                <w:szCs w:val="20"/>
                <w:color w:val="auto"/>
              </w:rPr>
            </w:pPr>
          </w:p>
        </w:tc>
        <w:tc>
          <w:tcPr>
            <w:tcW w:w="1220" w:type="dxa"/>
            <w:vAlign w:val="bottom"/>
          </w:tcPr>
          <w:p>
            <w:pPr>
              <w:jc w:val="right"/>
              <w:ind w:right="510"/>
              <w:spacing w:after="0"/>
              <w:rPr>
                <w:sz w:val="20"/>
                <w:szCs w:val="20"/>
                <w:color w:val="auto"/>
              </w:rPr>
            </w:pPr>
            <w:r>
              <w:rPr>
                <w:rFonts w:ascii="Arial" w:cs="Arial" w:eastAsia="Arial" w:hAnsi="Arial"/>
                <w:sz w:val="18"/>
                <w:szCs w:val="18"/>
                <w:b w:val="1"/>
                <w:bCs w:val="1"/>
                <w:color w:val="auto"/>
              </w:rPr>
              <w:t>Total</w:t>
            </w:r>
          </w:p>
        </w:tc>
      </w:tr>
      <w:tr>
        <w:trPr>
          <w:trHeight w:val="27"/>
        </w:trPr>
        <w:tc>
          <w:tcPr>
            <w:tcW w:w="42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December 31, 2018</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29.8</w:t>
            </w:r>
          </w:p>
        </w:tc>
      </w:tr>
      <w:tr>
        <w:trPr>
          <w:trHeight w:val="243"/>
        </w:trPr>
        <w:tc>
          <w:tcPr>
            <w:tcW w:w="4200" w:type="dxa"/>
            <w:vAlign w:val="bottom"/>
          </w:tcPr>
          <w:p>
            <w:pPr>
              <w:ind w:left="260"/>
              <w:spacing w:after="0"/>
              <w:rPr>
                <w:sz w:val="20"/>
                <w:szCs w:val="20"/>
                <w:color w:val="auto"/>
              </w:rPr>
            </w:pPr>
            <w:r>
              <w:rPr>
                <w:rFonts w:ascii="Arial" w:cs="Arial" w:eastAsia="Arial" w:hAnsi="Arial"/>
                <w:sz w:val="18"/>
                <w:szCs w:val="18"/>
                <w:color w:val="auto"/>
              </w:rPr>
              <w:t>Costs incurred</w:t>
            </w:r>
          </w:p>
        </w:tc>
        <w:tc>
          <w:tcPr>
            <w:tcW w:w="22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2.6</w:t>
            </w:r>
          </w:p>
        </w:tc>
      </w:tr>
      <w:tr>
        <w:trPr>
          <w:trHeight w:val="27"/>
        </w:trPr>
        <w:tc>
          <w:tcPr>
            <w:tcW w:w="4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2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Payments</w:t>
            </w:r>
          </w:p>
        </w:tc>
        <w:tc>
          <w:tcPr>
            <w:tcW w:w="22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w:t>
            </w:r>
          </w:p>
        </w:tc>
      </w:tr>
      <w:tr>
        <w:trPr>
          <w:trHeight w:val="237"/>
        </w:trPr>
        <w:tc>
          <w:tcPr>
            <w:tcW w:w="4200" w:type="dxa"/>
            <w:vAlign w:val="bottom"/>
          </w:tcPr>
          <w:p>
            <w:pPr>
              <w:ind w:left="20"/>
              <w:spacing w:after="0"/>
              <w:rPr>
                <w:sz w:val="20"/>
                <w:szCs w:val="20"/>
                <w:color w:val="auto"/>
              </w:rPr>
            </w:pPr>
            <w:r>
              <w:rPr>
                <w:rFonts w:ascii="Arial" w:cs="Arial" w:eastAsia="Arial" w:hAnsi="Arial"/>
                <w:sz w:val="18"/>
                <w:szCs w:val="18"/>
                <w:color w:val="auto"/>
              </w:rPr>
              <w:t>Balance at March 31, 2019</w:t>
            </w:r>
          </w:p>
        </w:tc>
        <w:tc>
          <w:tcPr>
            <w:tcW w:w="22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23.3</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28.3</w:t>
            </w:r>
          </w:p>
        </w:tc>
      </w:tr>
      <w:tr>
        <w:trPr>
          <w:trHeight w:val="27"/>
        </w:trPr>
        <w:tc>
          <w:tcPr>
            <w:tcW w:w="42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2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Costs incurred</w:t>
            </w:r>
          </w:p>
        </w:tc>
        <w:tc>
          <w:tcPr>
            <w:tcW w:w="22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w:t>
            </w:r>
          </w:p>
        </w:tc>
      </w:tr>
      <w:tr>
        <w:trPr>
          <w:trHeight w:val="243"/>
        </w:trPr>
        <w:tc>
          <w:tcPr>
            <w:tcW w:w="4200" w:type="dxa"/>
            <w:vAlign w:val="bottom"/>
          </w:tcPr>
          <w:p>
            <w:pPr>
              <w:ind w:left="260"/>
              <w:spacing w:after="0"/>
              <w:rPr>
                <w:sz w:val="20"/>
                <w:szCs w:val="20"/>
                <w:color w:val="auto"/>
              </w:rPr>
            </w:pPr>
            <w:r>
              <w:rPr>
                <w:rFonts w:ascii="Arial" w:cs="Arial" w:eastAsia="Arial" w:hAnsi="Arial"/>
                <w:sz w:val="18"/>
                <w:szCs w:val="18"/>
                <w:color w:val="auto"/>
              </w:rPr>
              <w:t>Payments</w:t>
            </w:r>
          </w:p>
        </w:tc>
        <w:tc>
          <w:tcPr>
            <w:tcW w:w="22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7"/>
        </w:trPr>
        <w:tc>
          <w:tcPr>
            <w:tcW w:w="42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4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June 30, 2019</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24.8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31.7</w:t>
            </w:r>
          </w:p>
        </w:tc>
      </w:tr>
      <w:tr>
        <w:trPr>
          <w:trHeight w:val="20"/>
        </w:trPr>
        <w:tc>
          <w:tcPr>
            <w:tcW w:w="4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The following is a summary of the Company's restructuring liability activity for the three and six months ended June 30, 2018 (costs incurred exclude any non-cash portion of restructuring gains or losses on asset disposals):</w:t>
      </w:r>
    </w:p>
    <w:p>
      <w:pPr>
        <w:spacing w:after="0" w:line="329" w:lineRule="exact"/>
        <w:rPr>
          <w:sz w:val="20"/>
          <w:szCs w:val="20"/>
          <w:color w:val="auto"/>
        </w:rPr>
      </w:pPr>
    </w:p>
    <w:tbl>
      <w:tblPr>
        <w:tblLayout w:type="fixed"/>
        <w:tblInd w:w="1120" w:type="dxa"/>
        <w:tblCellMar>
          <w:top w:w="0" w:type="dxa"/>
          <w:left w:w="0" w:type="dxa"/>
          <w:bottom w:w="0" w:type="dxa"/>
          <w:right w:w="0" w:type="dxa"/>
        </w:tblCellMar>
      </w:tblPr>
      <w:tr>
        <w:trPr>
          <w:trHeight w:val="216"/>
        </w:trPr>
        <w:tc>
          <w:tcPr>
            <w:tcW w:w="4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40" w:type="dxa"/>
            <w:vAlign w:val="bottom"/>
            <w:gridSpan w:val="2"/>
          </w:tcPr>
          <w:p>
            <w:pPr>
              <w:ind w:left="100"/>
              <w:spacing w:after="0"/>
              <w:rPr>
                <w:sz w:val="20"/>
                <w:szCs w:val="20"/>
                <w:color w:val="auto"/>
              </w:rPr>
            </w:pPr>
            <w:r>
              <w:rPr>
                <w:rFonts w:ascii="Arial" w:cs="Arial" w:eastAsia="Arial" w:hAnsi="Arial"/>
                <w:sz w:val="18"/>
                <w:szCs w:val="18"/>
                <w:b w:val="1"/>
                <w:bCs w:val="1"/>
                <w:color w:val="auto"/>
              </w:rPr>
              <w:t>Severance and</w:t>
            </w:r>
          </w:p>
        </w:tc>
        <w:tc>
          <w:tcPr>
            <w:tcW w:w="180" w:type="dxa"/>
            <w:vAlign w:val="bottom"/>
          </w:tcPr>
          <w:p>
            <w:pPr>
              <w:spacing w:after="0"/>
              <w:rPr>
                <w:sz w:val="18"/>
                <w:szCs w:val="18"/>
                <w:color w:val="auto"/>
              </w:rPr>
            </w:pPr>
          </w:p>
        </w:tc>
        <w:tc>
          <w:tcPr>
            <w:tcW w:w="14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4"/>
              </w:rPr>
              <w:t>Other Direct</w:t>
            </w:r>
          </w:p>
        </w:tc>
        <w:tc>
          <w:tcPr>
            <w:tcW w:w="3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6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1640" w:type="dxa"/>
            <w:vAlign w:val="bottom"/>
            <w:gridSpan w:val="2"/>
          </w:tcPr>
          <w:p>
            <w:pPr>
              <w:ind w:left="120"/>
              <w:spacing w:after="0"/>
              <w:rPr>
                <w:sz w:val="20"/>
                <w:szCs w:val="20"/>
                <w:color w:val="auto"/>
              </w:rPr>
            </w:pPr>
            <w:r>
              <w:rPr>
                <w:rFonts w:ascii="Arial" w:cs="Arial" w:eastAsia="Arial" w:hAnsi="Arial"/>
                <w:sz w:val="18"/>
                <w:szCs w:val="18"/>
                <w:b w:val="1"/>
                <w:bCs w:val="1"/>
                <w:color w:val="auto"/>
              </w:rPr>
              <w:t>Related Costs</w:t>
            </w:r>
          </w:p>
        </w:tc>
        <w:tc>
          <w:tcPr>
            <w:tcW w:w="180" w:type="dxa"/>
            <w:vAlign w:val="bottom"/>
          </w:tcPr>
          <w:p>
            <w:pPr>
              <w:spacing w:after="0"/>
              <w:rPr>
                <w:sz w:val="20"/>
                <w:szCs w:val="20"/>
                <w:color w:val="auto"/>
              </w:rPr>
            </w:pPr>
          </w:p>
        </w:tc>
        <w:tc>
          <w:tcPr>
            <w:tcW w:w="14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3"/>
              </w:rPr>
              <w:t>Costs</w:t>
            </w:r>
          </w:p>
        </w:tc>
        <w:tc>
          <w:tcPr>
            <w:tcW w:w="340" w:type="dxa"/>
            <w:vAlign w:val="bottom"/>
          </w:tcPr>
          <w:p>
            <w:pPr>
              <w:spacing w:after="0"/>
              <w:rPr>
                <w:sz w:val="20"/>
                <w:szCs w:val="20"/>
                <w:color w:val="auto"/>
              </w:rPr>
            </w:pPr>
          </w:p>
        </w:tc>
        <w:tc>
          <w:tcPr>
            <w:tcW w:w="1220" w:type="dxa"/>
            <w:vAlign w:val="bottom"/>
          </w:tcPr>
          <w:p>
            <w:pPr>
              <w:jc w:val="right"/>
              <w:ind w:right="490"/>
              <w:spacing w:after="0"/>
              <w:rPr>
                <w:sz w:val="20"/>
                <w:szCs w:val="20"/>
                <w:color w:val="auto"/>
              </w:rPr>
            </w:pPr>
            <w:r>
              <w:rPr>
                <w:rFonts w:ascii="Arial" w:cs="Arial" w:eastAsia="Arial" w:hAnsi="Arial"/>
                <w:sz w:val="18"/>
                <w:szCs w:val="18"/>
                <w:b w:val="1"/>
                <w:bCs w:val="1"/>
                <w:color w:val="auto"/>
              </w:rPr>
              <w:t>Total</w:t>
            </w:r>
          </w:p>
        </w:tc>
      </w:tr>
      <w:tr>
        <w:trPr>
          <w:trHeight w:val="27"/>
        </w:trPr>
        <w:tc>
          <w:tcPr>
            <w:tcW w:w="41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29.6</w:t>
            </w:r>
          </w:p>
        </w:tc>
      </w:tr>
      <w:tr>
        <w:trPr>
          <w:trHeight w:val="243"/>
        </w:trPr>
        <w:tc>
          <w:tcPr>
            <w:tcW w:w="4160" w:type="dxa"/>
            <w:vAlign w:val="bottom"/>
          </w:tcPr>
          <w:p>
            <w:pPr>
              <w:ind w:left="280"/>
              <w:spacing w:after="0"/>
              <w:rPr>
                <w:sz w:val="20"/>
                <w:szCs w:val="20"/>
                <w:color w:val="auto"/>
              </w:rPr>
            </w:pPr>
            <w:r>
              <w:rPr>
                <w:rFonts w:ascii="Arial" w:cs="Arial" w:eastAsia="Arial" w:hAnsi="Arial"/>
                <w:sz w:val="18"/>
                <w:szCs w:val="18"/>
                <w:color w:val="auto"/>
              </w:rPr>
              <w:t>Costs incurred</w:t>
            </w:r>
          </w:p>
        </w:tc>
        <w:tc>
          <w:tcPr>
            <w:tcW w:w="22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2.6</w:t>
            </w:r>
          </w:p>
        </w:tc>
      </w:tr>
      <w:tr>
        <w:trPr>
          <w:trHeight w:val="27"/>
        </w:trPr>
        <w:tc>
          <w:tcPr>
            <w:tcW w:w="4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Payments</w:t>
            </w:r>
          </w:p>
        </w:tc>
        <w:tc>
          <w:tcPr>
            <w:tcW w:w="22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r>
      <w:tr>
        <w:trPr>
          <w:trHeight w:val="237"/>
        </w:trPr>
        <w:tc>
          <w:tcPr>
            <w:tcW w:w="4160" w:type="dxa"/>
            <w:vAlign w:val="bottom"/>
          </w:tcPr>
          <w:p>
            <w:pPr>
              <w:ind w:left="40"/>
              <w:spacing w:after="0"/>
              <w:rPr>
                <w:sz w:val="20"/>
                <w:szCs w:val="20"/>
                <w:color w:val="auto"/>
              </w:rPr>
            </w:pPr>
            <w:r>
              <w:rPr>
                <w:rFonts w:ascii="Arial" w:cs="Arial" w:eastAsia="Arial" w:hAnsi="Arial"/>
                <w:sz w:val="18"/>
                <w:szCs w:val="18"/>
                <w:color w:val="auto"/>
              </w:rPr>
              <w:t>Balance at March 31, 2018</w:t>
            </w:r>
          </w:p>
        </w:tc>
        <w:tc>
          <w:tcPr>
            <w:tcW w:w="22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25.5</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29.1</w:t>
            </w:r>
          </w:p>
        </w:tc>
      </w:tr>
      <w:tr>
        <w:trPr>
          <w:trHeight w:val="27"/>
        </w:trPr>
        <w:tc>
          <w:tcPr>
            <w:tcW w:w="4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Costs incurred</w:t>
            </w:r>
          </w:p>
        </w:tc>
        <w:tc>
          <w:tcPr>
            <w:tcW w:w="22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w:t>
            </w:r>
          </w:p>
        </w:tc>
      </w:tr>
      <w:tr>
        <w:trPr>
          <w:trHeight w:val="243"/>
        </w:trPr>
        <w:tc>
          <w:tcPr>
            <w:tcW w:w="4160" w:type="dxa"/>
            <w:vAlign w:val="bottom"/>
          </w:tcPr>
          <w:p>
            <w:pPr>
              <w:ind w:left="280"/>
              <w:spacing w:after="0"/>
              <w:rPr>
                <w:sz w:val="20"/>
                <w:szCs w:val="20"/>
                <w:color w:val="auto"/>
              </w:rPr>
            </w:pPr>
            <w:r>
              <w:rPr>
                <w:rFonts w:ascii="Arial" w:cs="Arial" w:eastAsia="Arial" w:hAnsi="Arial"/>
                <w:sz w:val="18"/>
                <w:szCs w:val="18"/>
                <w:color w:val="auto"/>
              </w:rPr>
              <w:t>Payments</w:t>
            </w:r>
          </w:p>
        </w:tc>
        <w:tc>
          <w:tcPr>
            <w:tcW w:w="22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(8.9)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(9.2)</w:t>
            </w:r>
          </w:p>
        </w:tc>
      </w:tr>
      <w:tr>
        <w:trPr>
          <w:trHeight w:val="27"/>
        </w:trPr>
        <w:tc>
          <w:tcPr>
            <w:tcW w:w="41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4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June 30, 2018</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29.9</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33.5</w:t>
            </w:r>
          </w:p>
        </w:tc>
      </w:tr>
      <w:tr>
        <w:trPr>
          <w:trHeight w:val="20"/>
        </w:trPr>
        <w:tc>
          <w:tcPr>
            <w:tcW w:w="4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662"/>
        </w:trPr>
        <w:tc>
          <w:tcPr>
            <w:tcW w:w="4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40" w:type="dxa"/>
            <w:vAlign w:val="bottom"/>
          </w:tcPr>
          <w:p>
            <w:pPr>
              <w:ind w:left="12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340"/>
          </w:cols>
          <w:pgMar w:left="240" w:top="341" w:right="319" w:bottom="1440" w:gutter="0" w:footer="0" w:header="0"/>
          <w:type w:val="continuous"/>
        </w:sectPr>
      </w:pPr>
    </w:p>
    <w:bookmarkStart w:id="19" w:name="page20"/>
    <w:bookmarkEnd w:id="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Veritiv Restructuring Plan: Print Segment</w:t>
      </w:r>
    </w:p>
    <w:p>
      <w:pPr>
        <w:spacing w:after="0" w:line="229"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To ensure that Veritiv is appropriately positioned to respond to the secular decline in the paper industry, the Company restructured its Print segment in 2018. The restructuring plan included initiatives within the Company's Print segment to improve the sustainability of the print business, better serve its customers’ needs and work more effectively with suppliers by incorporating a more customer focused, collaborative, team-selling approach as well as better aligning its support functions. The Company completed its efforts as of December 31, 2018 incurring costs of $10.7 million. During the three and six months ended June 30, 2019 the Company paid $0.5 million and $1.7 million, respectively, of the Print segment restructuring liability and had a remaining balance of $0.3 million at June 30, 2019.</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is a summary of the Company's Print restructuring liability activity for the three and six months ended June 30, 2018:</w:t>
      </w:r>
    </w:p>
    <w:p>
      <w:pPr>
        <w:spacing w:after="0" w:line="383" w:lineRule="exact"/>
        <w:rPr>
          <w:sz w:val="20"/>
          <w:szCs w:val="20"/>
          <w:color w:val="auto"/>
        </w:rPr>
      </w:pPr>
    </w:p>
    <w:tbl>
      <w:tblPr>
        <w:tblLayout w:type="fixed"/>
        <w:tblInd w:w="1120" w:type="dxa"/>
        <w:tblCellMar>
          <w:top w:w="0" w:type="dxa"/>
          <w:left w:w="0" w:type="dxa"/>
          <w:bottom w:w="0" w:type="dxa"/>
          <w:right w:w="0" w:type="dxa"/>
        </w:tblCellMar>
      </w:tblPr>
      <w:tr>
        <w:trPr>
          <w:trHeight w:val="216"/>
        </w:trPr>
        <w:tc>
          <w:tcPr>
            <w:tcW w:w="4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Severance and</w:t>
            </w:r>
          </w:p>
        </w:tc>
        <w:tc>
          <w:tcPr>
            <w:tcW w:w="180" w:type="dxa"/>
            <w:vAlign w:val="bottom"/>
          </w:tcPr>
          <w:p>
            <w:pPr>
              <w:spacing w:after="0"/>
              <w:rPr>
                <w:sz w:val="18"/>
                <w:szCs w:val="18"/>
                <w:color w:val="auto"/>
              </w:rPr>
            </w:pPr>
          </w:p>
        </w:tc>
        <w:tc>
          <w:tcPr>
            <w:tcW w:w="14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4"/>
              </w:rPr>
              <w:t>Other Direct</w:t>
            </w:r>
          </w:p>
        </w:tc>
        <w:tc>
          <w:tcPr>
            <w:tcW w:w="3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6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164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Related Costs</w:t>
            </w:r>
          </w:p>
        </w:tc>
        <w:tc>
          <w:tcPr>
            <w:tcW w:w="180" w:type="dxa"/>
            <w:vAlign w:val="bottom"/>
          </w:tcPr>
          <w:p>
            <w:pPr>
              <w:spacing w:after="0"/>
              <w:rPr>
                <w:sz w:val="20"/>
                <w:szCs w:val="20"/>
                <w:color w:val="auto"/>
              </w:rPr>
            </w:pPr>
          </w:p>
        </w:tc>
        <w:tc>
          <w:tcPr>
            <w:tcW w:w="14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3"/>
              </w:rPr>
              <w:t>Costs</w:t>
            </w:r>
          </w:p>
        </w:tc>
        <w:tc>
          <w:tcPr>
            <w:tcW w:w="340" w:type="dxa"/>
            <w:vAlign w:val="bottom"/>
          </w:tcPr>
          <w:p>
            <w:pPr>
              <w:spacing w:after="0"/>
              <w:rPr>
                <w:sz w:val="20"/>
                <w:szCs w:val="20"/>
                <w:color w:val="auto"/>
              </w:rPr>
            </w:pPr>
          </w:p>
        </w:tc>
        <w:tc>
          <w:tcPr>
            <w:tcW w:w="1220" w:type="dxa"/>
            <w:vAlign w:val="bottom"/>
          </w:tcPr>
          <w:p>
            <w:pPr>
              <w:jc w:val="right"/>
              <w:ind w:right="490"/>
              <w:spacing w:after="0"/>
              <w:rPr>
                <w:sz w:val="20"/>
                <w:szCs w:val="20"/>
                <w:color w:val="auto"/>
              </w:rPr>
            </w:pPr>
            <w:r>
              <w:rPr>
                <w:rFonts w:ascii="Arial" w:cs="Arial" w:eastAsia="Arial" w:hAnsi="Arial"/>
                <w:sz w:val="18"/>
                <w:szCs w:val="18"/>
                <w:b w:val="1"/>
                <w:bCs w:val="1"/>
                <w:color w:val="auto"/>
              </w:rPr>
              <w:t>Total</w:t>
            </w:r>
          </w:p>
        </w:tc>
      </w:tr>
      <w:tr>
        <w:trPr>
          <w:trHeight w:val="27"/>
        </w:trPr>
        <w:tc>
          <w:tcPr>
            <w:tcW w:w="41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60" w:type="dxa"/>
            <w:vAlign w:val="bottom"/>
          </w:tcPr>
          <w:p>
            <w:pPr>
              <w:ind w:left="280"/>
              <w:spacing w:after="0"/>
              <w:rPr>
                <w:sz w:val="20"/>
                <w:szCs w:val="20"/>
                <w:color w:val="auto"/>
              </w:rPr>
            </w:pPr>
            <w:r>
              <w:rPr>
                <w:rFonts w:ascii="Arial" w:cs="Arial" w:eastAsia="Arial" w:hAnsi="Arial"/>
                <w:sz w:val="18"/>
                <w:szCs w:val="18"/>
                <w:color w:val="auto"/>
              </w:rPr>
              <w:t>Costs incurred</w:t>
            </w:r>
          </w:p>
        </w:tc>
        <w:tc>
          <w:tcPr>
            <w:tcW w:w="22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9.2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9.3</w:t>
            </w:r>
          </w:p>
        </w:tc>
      </w:tr>
      <w:tr>
        <w:trPr>
          <w:trHeight w:val="27"/>
        </w:trPr>
        <w:tc>
          <w:tcPr>
            <w:tcW w:w="4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Payments</w:t>
            </w:r>
          </w:p>
        </w:tc>
        <w:tc>
          <w:tcPr>
            <w:tcW w:w="22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r>
      <w:tr>
        <w:trPr>
          <w:trHeight w:val="237"/>
        </w:trPr>
        <w:tc>
          <w:tcPr>
            <w:tcW w:w="4160" w:type="dxa"/>
            <w:vAlign w:val="bottom"/>
          </w:tcPr>
          <w:p>
            <w:pPr>
              <w:ind w:left="40"/>
              <w:spacing w:after="0"/>
              <w:rPr>
                <w:sz w:val="20"/>
                <w:szCs w:val="20"/>
                <w:color w:val="auto"/>
              </w:rPr>
            </w:pPr>
            <w:r>
              <w:rPr>
                <w:rFonts w:ascii="Arial" w:cs="Arial" w:eastAsia="Arial" w:hAnsi="Arial"/>
                <w:sz w:val="18"/>
                <w:szCs w:val="18"/>
                <w:color w:val="auto"/>
              </w:rPr>
              <w:t>Balance at March 31, 2018</w:t>
            </w:r>
          </w:p>
        </w:tc>
        <w:tc>
          <w:tcPr>
            <w:tcW w:w="22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8.6</w:t>
            </w:r>
          </w:p>
        </w:tc>
      </w:tr>
      <w:tr>
        <w:trPr>
          <w:trHeight w:val="27"/>
        </w:trPr>
        <w:tc>
          <w:tcPr>
            <w:tcW w:w="4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Costs incurred</w:t>
            </w:r>
          </w:p>
        </w:tc>
        <w:tc>
          <w:tcPr>
            <w:tcW w:w="22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w:t>
            </w:r>
          </w:p>
        </w:tc>
      </w:tr>
      <w:tr>
        <w:trPr>
          <w:trHeight w:val="243"/>
        </w:trPr>
        <w:tc>
          <w:tcPr>
            <w:tcW w:w="4160" w:type="dxa"/>
            <w:vAlign w:val="bottom"/>
          </w:tcPr>
          <w:p>
            <w:pPr>
              <w:ind w:left="280"/>
              <w:spacing w:after="0"/>
              <w:rPr>
                <w:sz w:val="20"/>
                <w:szCs w:val="20"/>
                <w:color w:val="auto"/>
              </w:rPr>
            </w:pPr>
            <w:r>
              <w:rPr>
                <w:rFonts w:ascii="Arial" w:cs="Arial" w:eastAsia="Arial" w:hAnsi="Arial"/>
                <w:sz w:val="18"/>
                <w:szCs w:val="18"/>
                <w:color w:val="auto"/>
              </w:rPr>
              <w:t>Payments</w:t>
            </w:r>
          </w:p>
        </w:tc>
        <w:tc>
          <w:tcPr>
            <w:tcW w:w="22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7"/>
        </w:trPr>
        <w:tc>
          <w:tcPr>
            <w:tcW w:w="41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4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June 30, 2018</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5.6</w:t>
            </w:r>
          </w:p>
        </w:tc>
      </w:tr>
      <w:tr>
        <w:trPr>
          <w:trHeight w:val="20"/>
        </w:trPr>
        <w:tc>
          <w:tcPr>
            <w:tcW w:w="4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5. DEBT AND OTHER OBLIGATIONS</w:t>
      </w:r>
    </w:p>
    <w:p>
      <w:pPr>
        <w:spacing w:after="0" w:line="224"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5480" w:type="dxa"/>
            <w:vAlign w:val="bottom"/>
            <w:gridSpan w:val="2"/>
          </w:tcPr>
          <w:p>
            <w:pPr>
              <w:spacing w:after="0"/>
              <w:rPr>
                <w:sz w:val="20"/>
                <w:szCs w:val="20"/>
                <w:color w:val="auto"/>
              </w:rPr>
            </w:pPr>
            <w:r>
              <w:rPr>
                <w:rFonts w:ascii="Arial" w:cs="Arial" w:eastAsia="Arial" w:hAnsi="Arial"/>
                <w:sz w:val="18"/>
                <w:szCs w:val="18"/>
                <w:color w:val="auto"/>
              </w:rPr>
              <w:t>The Company's long-term debt obligations were as follows:</w:t>
            </w:r>
          </w:p>
        </w:tc>
        <w:tc>
          <w:tcPr>
            <w:tcW w:w="32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80" w:type="dxa"/>
            <w:vAlign w:val="bottom"/>
          </w:tcPr>
          <w:p>
            <w:pPr>
              <w:spacing w:after="0"/>
              <w:rPr>
                <w:sz w:val="20"/>
                <w:szCs w:val="20"/>
                <w:color w:val="auto"/>
              </w:rPr>
            </w:pPr>
          </w:p>
        </w:tc>
      </w:tr>
      <w:tr>
        <w:trPr>
          <w:trHeight w:val="594"/>
        </w:trPr>
        <w:tc>
          <w:tcPr>
            <w:tcW w:w="340" w:type="dxa"/>
            <w:vAlign w:val="bottom"/>
          </w:tcPr>
          <w:p>
            <w:pPr>
              <w:spacing w:after="0"/>
              <w:rPr>
                <w:sz w:val="24"/>
                <w:szCs w:val="24"/>
                <w:color w:val="auto"/>
              </w:rPr>
            </w:pPr>
          </w:p>
        </w:tc>
        <w:tc>
          <w:tcPr>
            <w:tcW w:w="514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320" w:type="dxa"/>
            <w:vAlign w:val="bottom"/>
          </w:tcPr>
          <w:p>
            <w:pPr>
              <w:spacing w:after="0"/>
              <w:rPr>
                <w:sz w:val="24"/>
                <w:szCs w:val="24"/>
                <w:color w:val="auto"/>
              </w:rPr>
            </w:pPr>
          </w:p>
        </w:tc>
        <w:tc>
          <w:tcPr>
            <w:tcW w:w="1880" w:type="dxa"/>
            <w:vAlign w:val="bottom"/>
            <w:gridSpan w:val="2"/>
          </w:tcPr>
          <w:p>
            <w:pPr>
              <w:ind w:left="200"/>
              <w:spacing w:after="0"/>
              <w:rPr>
                <w:sz w:val="20"/>
                <w:szCs w:val="20"/>
                <w:color w:val="auto"/>
              </w:rPr>
            </w:pPr>
            <w:r>
              <w:rPr>
                <w:rFonts w:ascii="Arial" w:cs="Arial" w:eastAsia="Arial" w:hAnsi="Arial"/>
                <w:sz w:val="18"/>
                <w:szCs w:val="18"/>
                <w:b w:val="1"/>
                <w:bCs w:val="1"/>
                <w:color w:val="auto"/>
              </w:rPr>
              <w:t>June 30, 2019</w:t>
            </w:r>
          </w:p>
        </w:tc>
        <w:tc>
          <w:tcPr>
            <w:tcW w:w="220" w:type="dxa"/>
            <w:vAlign w:val="bottom"/>
          </w:tcPr>
          <w:p>
            <w:pPr>
              <w:spacing w:after="0"/>
              <w:rPr>
                <w:sz w:val="24"/>
                <w:szCs w:val="24"/>
                <w:color w:val="auto"/>
              </w:rPr>
            </w:pPr>
          </w:p>
        </w:tc>
        <w:tc>
          <w:tcPr>
            <w:tcW w:w="1880" w:type="dxa"/>
            <w:vAlign w:val="bottom"/>
          </w:tcPr>
          <w:p>
            <w:pPr>
              <w:jc w:val="right"/>
              <w:ind w:right="230"/>
              <w:spacing w:after="0"/>
              <w:rPr>
                <w:sz w:val="20"/>
                <w:szCs w:val="20"/>
                <w:color w:val="auto"/>
              </w:rPr>
            </w:pPr>
            <w:r>
              <w:rPr>
                <w:rFonts w:ascii="Arial" w:cs="Arial" w:eastAsia="Arial" w:hAnsi="Arial"/>
                <w:sz w:val="18"/>
                <w:szCs w:val="18"/>
                <w:b w:val="1"/>
                <w:bCs w:val="1"/>
                <w:color w:val="auto"/>
                <w:w w:val="94"/>
              </w:rPr>
              <w:t>December 31, 2018</w:t>
            </w:r>
          </w:p>
        </w:tc>
      </w:tr>
      <w:tr>
        <w:trPr>
          <w:trHeight w:val="27"/>
        </w:trPr>
        <w:tc>
          <w:tcPr>
            <w:tcW w:w="340" w:type="dxa"/>
            <w:vAlign w:val="bottom"/>
          </w:tcPr>
          <w:p>
            <w:pPr>
              <w:spacing w:after="0"/>
              <w:rPr>
                <w:sz w:val="2"/>
                <w:szCs w:val="2"/>
                <w:color w:val="auto"/>
              </w:rPr>
            </w:pPr>
          </w:p>
        </w:tc>
        <w:tc>
          <w:tcPr>
            <w:tcW w:w="51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r>
        <w:trPr>
          <w:trHeight w:val="244"/>
        </w:trPr>
        <w:tc>
          <w:tcPr>
            <w:tcW w:w="340" w:type="dxa"/>
            <w:vAlign w:val="bottom"/>
          </w:tcPr>
          <w:p>
            <w:pPr>
              <w:spacing w:after="0"/>
              <w:rPr>
                <w:sz w:val="21"/>
                <w:szCs w:val="21"/>
                <w:color w:val="auto"/>
              </w:rPr>
            </w:pPr>
          </w:p>
        </w:tc>
        <w:tc>
          <w:tcPr>
            <w:tcW w:w="5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Asset-Based Lending Facility (the "ABL Facility")</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757.1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932.1</w:t>
            </w:r>
          </w:p>
        </w:tc>
      </w:tr>
      <w:tr>
        <w:trPr>
          <w:trHeight w:val="243"/>
        </w:trPr>
        <w:tc>
          <w:tcPr>
            <w:tcW w:w="340" w:type="dxa"/>
            <w:vAlign w:val="bottom"/>
          </w:tcPr>
          <w:p>
            <w:pPr>
              <w:spacing w:after="0"/>
              <w:rPr>
                <w:sz w:val="21"/>
                <w:szCs w:val="21"/>
                <w:color w:val="auto"/>
              </w:rPr>
            </w:pPr>
          </w:p>
        </w:tc>
        <w:tc>
          <w:tcPr>
            <w:tcW w:w="5140" w:type="dxa"/>
            <w:vAlign w:val="bottom"/>
          </w:tcPr>
          <w:p>
            <w:pPr>
              <w:ind w:left="20"/>
              <w:spacing w:after="0"/>
              <w:rPr>
                <w:sz w:val="20"/>
                <w:szCs w:val="20"/>
                <w:color w:val="auto"/>
              </w:rPr>
            </w:pPr>
            <w:r>
              <w:rPr>
                <w:rFonts w:ascii="Arial" w:cs="Arial" w:eastAsia="Arial" w:hAnsi="Arial"/>
                <w:sz w:val="18"/>
                <w:szCs w:val="18"/>
                <w:color w:val="auto"/>
              </w:rPr>
              <w:t>Finance and capital leases, respectively</w:t>
            </w:r>
          </w:p>
        </w:tc>
        <w:tc>
          <w:tcPr>
            <w:tcW w:w="320" w:type="dxa"/>
            <w:vAlign w:val="bottom"/>
          </w:tcPr>
          <w:p>
            <w:pPr>
              <w:spacing w:after="0"/>
              <w:rPr>
                <w:sz w:val="21"/>
                <w:szCs w:val="21"/>
                <w:color w:val="auto"/>
              </w:rPr>
            </w:pPr>
          </w:p>
        </w:tc>
        <w:tc>
          <w:tcPr>
            <w:tcW w:w="1780" w:type="dxa"/>
            <w:vAlign w:val="bottom"/>
          </w:tcPr>
          <w:p>
            <w:pPr>
              <w:jc w:val="right"/>
              <w:ind w:right="10"/>
              <w:spacing w:after="0"/>
              <w:rPr>
                <w:sz w:val="20"/>
                <w:szCs w:val="20"/>
                <w:color w:val="auto"/>
              </w:rPr>
            </w:pPr>
            <w:r>
              <w:rPr>
                <w:rFonts w:ascii="Arial" w:cs="Arial" w:eastAsia="Arial" w:hAnsi="Arial"/>
                <w:sz w:val="18"/>
                <w:szCs w:val="18"/>
                <w:color w:val="auto"/>
              </w:rPr>
              <w:t>66.9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80" w:type="dxa"/>
            <w:vAlign w:val="bottom"/>
          </w:tcPr>
          <w:p>
            <w:pPr>
              <w:jc w:val="right"/>
              <w:ind w:right="10"/>
              <w:spacing w:after="0"/>
              <w:rPr>
                <w:sz w:val="20"/>
                <w:szCs w:val="20"/>
                <w:color w:val="auto"/>
              </w:rPr>
            </w:pPr>
            <w:r>
              <w:rPr>
                <w:rFonts w:ascii="Arial" w:cs="Arial" w:eastAsia="Arial" w:hAnsi="Arial"/>
                <w:sz w:val="18"/>
                <w:szCs w:val="18"/>
                <w:color w:val="auto"/>
              </w:rPr>
              <w:t>38.2</w:t>
            </w:r>
          </w:p>
        </w:tc>
      </w:tr>
      <w:tr>
        <w:trPr>
          <w:trHeight w:val="27"/>
        </w:trPr>
        <w:tc>
          <w:tcPr>
            <w:tcW w:w="340" w:type="dxa"/>
            <w:vAlign w:val="bottom"/>
          </w:tcPr>
          <w:p>
            <w:pPr>
              <w:spacing w:after="0"/>
              <w:rPr>
                <w:sz w:val="2"/>
                <w:szCs w:val="2"/>
                <w:color w:val="auto"/>
              </w:rPr>
            </w:pPr>
          </w:p>
        </w:tc>
        <w:tc>
          <w:tcPr>
            <w:tcW w:w="51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r>
        <w:trPr>
          <w:trHeight w:val="244"/>
        </w:trPr>
        <w:tc>
          <w:tcPr>
            <w:tcW w:w="340" w:type="dxa"/>
            <w:vAlign w:val="bottom"/>
          </w:tcPr>
          <w:p>
            <w:pPr>
              <w:spacing w:after="0"/>
              <w:rPr>
                <w:sz w:val="21"/>
                <w:szCs w:val="21"/>
                <w:color w:val="auto"/>
              </w:rPr>
            </w:pPr>
          </w:p>
        </w:tc>
        <w:tc>
          <w:tcPr>
            <w:tcW w:w="5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debt</w:t>
            </w:r>
          </w:p>
        </w:tc>
        <w:tc>
          <w:tcPr>
            <w:tcW w:w="32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824.0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970.3</w:t>
            </w:r>
          </w:p>
        </w:tc>
      </w:tr>
      <w:tr>
        <w:trPr>
          <w:trHeight w:val="243"/>
        </w:trPr>
        <w:tc>
          <w:tcPr>
            <w:tcW w:w="340" w:type="dxa"/>
            <w:vAlign w:val="bottom"/>
          </w:tcPr>
          <w:p>
            <w:pPr>
              <w:spacing w:after="0"/>
              <w:rPr>
                <w:sz w:val="21"/>
                <w:szCs w:val="21"/>
                <w:color w:val="auto"/>
              </w:rPr>
            </w:pPr>
          </w:p>
        </w:tc>
        <w:tc>
          <w:tcPr>
            <w:tcW w:w="5140" w:type="dxa"/>
            <w:vAlign w:val="bottom"/>
          </w:tcPr>
          <w:p>
            <w:pPr>
              <w:ind w:left="20"/>
              <w:spacing w:after="0"/>
              <w:rPr>
                <w:sz w:val="20"/>
                <w:szCs w:val="20"/>
                <w:color w:val="auto"/>
              </w:rPr>
            </w:pPr>
            <w:r>
              <w:rPr>
                <w:rFonts w:ascii="Arial" w:cs="Arial" w:eastAsia="Arial" w:hAnsi="Arial"/>
                <w:sz w:val="18"/>
                <w:szCs w:val="18"/>
                <w:color w:val="auto"/>
              </w:rPr>
              <w:t>Less: current maturities of long-term debt</w:t>
            </w:r>
          </w:p>
        </w:tc>
        <w:tc>
          <w:tcPr>
            <w:tcW w:w="320" w:type="dxa"/>
            <w:vAlign w:val="bottom"/>
          </w:tcPr>
          <w:p>
            <w:pPr>
              <w:spacing w:after="0"/>
              <w:rPr>
                <w:sz w:val="21"/>
                <w:szCs w:val="21"/>
                <w:color w:val="auto"/>
              </w:rPr>
            </w:pPr>
          </w:p>
        </w:tc>
        <w:tc>
          <w:tcPr>
            <w:tcW w:w="1780" w:type="dxa"/>
            <w:vAlign w:val="bottom"/>
          </w:tcPr>
          <w:p>
            <w:pPr>
              <w:jc w:val="right"/>
              <w:spacing w:after="0"/>
              <w:rPr>
                <w:sz w:val="20"/>
                <w:szCs w:val="20"/>
                <w:color w:val="auto"/>
              </w:rPr>
            </w:pPr>
            <w:r>
              <w:rPr>
                <w:rFonts w:ascii="Arial" w:cs="Arial" w:eastAsia="Arial" w:hAnsi="Arial"/>
                <w:sz w:val="18"/>
                <w:szCs w:val="18"/>
                <w:color w:val="auto"/>
              </w:rPr>
              <w:t>(8.9)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7"/>
        </w:trPr>
        <w:tc>
          <w:tcPr>
            <w:tcW w:w="340" w:type="dxa"/>
            <w:vAlign w:val="bottom"/>
          </w:tcPr>
          <w:p>
            <w:pPr>
              <w:spacing w:after="0"/>
              <w:rPr>
                <w:sz w:val="2"/>
                <w:szCs w:val="2"/>
                <w:color w:val="auto"/>
              </w:rPr>
            </w:pPr>
          </w:p>
        </w:tc>
        <w:tc>
          <w:tcPr>
            <w:tcW w:w="51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r>
        <w:trPr>
          <w:trHeight w:val="257"/>
        </w:trPr>
        <w:tc>
          <w:tcPr>
            <w:tcW w:w="340" w:type="dxa"/>
            <w:vAlign w:val="bottom"/>
          </w:tcPr>
          <w:p>
            <w:pPr>
              <w:spacing w:after="0"/>
              <w:rPr>
                <w:sz w:val="22"/>
                <w:szCs w:val="22"/>
                <w:color w:val="auto"/>
              </w:rPr>
            </w:pPr>
          </w:p>
        </w:tc>
        <w:tc>
          <w:tcPr>
            <w:tcW w:w="5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debt, net of current maturities</w:t>
            </w: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7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815.1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8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963.6</w:t>
            </w:r>
          </w:p>
        </w:tc>
      </w:tr>
      <w:tr>
        <w:trPr>
          <w:trHeight w:val="20"/>
        </w:trPr>
        <w:tc>
          <w:tcPr>
            <w:tcW w:w="340" w:type="dxa"/>
            <w:vAlign w:val="bottom"/>
          </w:tcPr>
          <w:p>
            <w:pPr>
              <w:spacing w:after="0" w:line="20" w:lineRule="exact"/>
              <w:rPr>
                <w:sz w:val="1"/>
                <w:szCs w:val="1"/>
                <w:color w:val="auto"/>
              </w:rPr>
            </w:pPr>
          </w:p>
        </w:tc>
        <w:tc>
          <w:tcPr>
            <w:tcW w:w="5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Company determined that, upon transition to Topic 842, the previously reported failed sale-leaseback financing obligation would be reported as a financing lease, and its land operating lease would now be combined with its building finance lease and reported together as one finance lease, which is reported as part of the debt obligations in the table above. As the Company adopted Topic 842 using an approach whereby the prior reporting periods have not been restated to reflect the new guidance, the financing obligation value of that one previously reported failed sale-leaseback is shown below as of December 31, 2018:</w:t>
      </w:r>
    </w:p>
    <w:p>
      <w:pPr>
        <w:spacing w:after="0" w:line="346" w:lineRule="exact"/>
        <w:rPr>
          <w:sz w:val="20"/>
          <w:szCs w:val="20"/>
          <w:color w:val="auto"/>
        </w:rPr>
      </w:pPr>
    </w:p>
    <w:tbl>
      <w:tblPr>
        <w:tblLayout w:type="fixed"/>
        <w:tblInd w:w="1900" w:type="dxa"/>
        <w:tblCellMar>
          <w:top w:w="0" w:type="dxa"/>
          <w:left w:w="0" w:type="dxa"/>
          <w:bottom w:w="0" w:type="dxa"/>
          <w:right w:w="0" w:type="dxa"/>
        </w:tblCellMar>
      </w:tblPr>
      <w:tr>
        <w:trPr>
          <w:trHeight w:val="234"/>
        </w:trPr>
        <w:tc>
          <w:tcPr>
            <w:tcW w:w="552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1900" w:type="dxa"/>
            <w:vAlign w:val="bottom"/>
          </w:tcPr>
          <w:p>
            <w:pPr>
              <w:jc w:val="right"/>
              <w:ind w:right="250"/>
              <w:spacing w:after="0"/>
              <w:rPr>
                <w:sz w:val="20"/>
                <w:szCs w:val="20"/>
                <w:color w:val="auto"/>
              </w:rPr>
            </w:pPr>
            <w:r>
              <w:rPr>
                <w:rFonts w:ascii="Arial" w:cs="Arial" w:eastAsia="Arial" w:hAnsi="Arial"/>
                <w:sz w:val="18"/>
                <w:szCs w:val="18"/>
                <w:b w:val="1"/>
                <w:bCs w:val="1"/>
                <w:color w:val="auto"/>
                <w:w w:val="94"/>
              </w:rPr>
              <w:t>December 31, 2018</w:t>
            </w:r>
          </w:p>
        </w:tc>
      </w:tr>
      <w:tr>
        <w:trPr>
          <w:trHeight w:val="27"/>
        </w:trPr>
        <w:tc>
          <w:tcPr>
            <w:tcW w:w="55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r>
      <w:tr>
        <w:trPr>
          <w:trHeight w:val="244"/>
        </w:trPr>
        <w:tc>
          <w:tcPr>
            <w:tcW w:w="5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Obligations - other financing</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24.2</w:t>
            </w:r>
          </w:p>
        </w:tc>
      </w:tr>
      <w:tr>
        <w:trPr>
          <w:trHeight w:val="243"/>
        </w:trPr>
        <w:tc>
          <w:tcPr>
            <w:tcW w:w="5520" w:type="dxa"/>
            <w:vAlign w:val="bottom"/>
          </w:tcPr>
          <w:p>
            <w:pPr>
              <w:ind w:left="20"/>
              <w:spacing w:after="0"/>
              <w:rPr>
                <w:sz w:val="20"/>
                <w:szCs w:val="20"/>
                <w:color w:val="auto"/>
              </w:rPr>
            </w:pPr>
            <w:r>
              <w:rPr>
                <w:rFonts w:ascii="Arial" w:cs="Arial" w:eastAsia="Arial" w:hAnsi="Arial"/>
                <w:sz w:val="18"/>
                <w:szCs w:val="18"/>
                <w:color w:val="auto"/>
              </w:rPr>
              <w:t>Less: current portion of financing obligations</w:t>
            </w:r>
          </w:p>
        </w:tc>
        <w:tc>
          <w:tcPr>
            <w:tcW w:w="220" w:type="dxa"/>
            <w:vAlign w:val="bottom"/>
          </w:tcPr>
          <w:p>
            <w:pPr>
              <w:spacing w:after="0"/>
              <w:rPr>
                <w:sz w:val="21"/>
                <w:szCs w:val="21"/>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(0.6)</w:t>
            </w:r>
          </w:p>
        </w:tc>
      </w:tr>
      <w:tr>
        <w:trPr>
          <w:trHeight w:val="27"/>
        </w:trPr>
        <w:tc>
          <w:tcPr>
            <w:tcW w:w="55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r>
      <w:tr>
        <w:trPr>
          <w:trHeight w:val="257"/>
        </w:trPr>
        <w:tc>
          <w:tcPr>
            <w:tcW w:w="5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Financing obligations, less current portion</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23.6</w:t>
            </w:r>
          </w:p>
        </w:tc>
      </w:tr>
      <w:tr>
        <w:trPr>
          <w:trHeight w:val="20"/>
        </w:trPr>
        <w:tc>
          <w:tcPr>
            <w:tcW w:w="55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80" w:firstLine="648"/>
        <w:spacing w:after="0" w:line="312" w:lineRule="auto"/>
        <w:rPr>
          <w:sz w:val="20"/>
          <w:szCs w:val="20"/>
          <w:color w:val="auto"/>
        </w:rPr>
      </w:pPr>
      <w:r>
        <w:rPr>
          <w:rFonts w:ascii="Arial" w:cs="Arial" w:eastAsia="Arial" w:hAnsi="Arial"/>
          <w:sz w:val="16"/>
          <w:szCs w:val="16"/>
          <w:color w:val="auto"/>
        </w:rPr>
        <w:t>Availability under the ABL Facility is determined based upon a monthly borrowing base calculation which includes eligible customer receivables and inventory, less outstanding borrowings, letters of credit and certain designated reserves. As of June 30, 2019, the available additional borrowing capacity under the ABL Facility was approximately $321.3 million. As of June 30, 2019, the Company held $13.0 million in outstanding letters of credit.</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40" w:top="341" w:right="25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The ABL Facility has a springing minimum fixed charge coverage ratio of at least 1.00 to 1.00 on a trailing four-quarter basis, which will be tested only when specified availability is less than the limits outlined under the ABL Facility. At June 30, 2019, the above test was not applicable and it is not expected to be applicable in the next 12 months.</w:t>
      </w:r>
    </w:p>
    <w:p>
      <w:pPr>
        <w:spacing w:after="0" w:line="1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6. INCOME TAXES</w:t>
      </w:r>
    </w:p>
    <w:p>
      <w:pPr>
        <w:spacing w:after="0" w:line="238" w:lineRule="exact"/>
        <w:rPr>
          <w:sz w:val="20"/>
          <w:szCs w:val="20"/>
          <w:color w:val="auto"/>
        </w:rPr>
      </w:pPr>
    </w:p>
    <w:p>
      <w:pPr>
        <w:ind w:right="80" w:firstLine="648"/>
        <w:spacing w:after="0" w:line="273" w:lineRule="auto"/>
        <w:rPr>
          <w:sz w:val="20"/>
          <w:szCs w:val="20"/>
          <w:color w:val="auto"/>
        </w:rPr>
      </w:pPr>
      <w:r>
        <w:rPr>
          <w:rFonts w:ascii="Arial" w:cs="Arial" w:eastAsia="Arial" w:hAnsi="Arial"/>
          <w:sz w:val="17"/>
          <w:szCs w:val="17"/>
          <w:color w:val="auto"/>
        </w:rPr>
        <w:t>The Company has historically calculated the provision or benefit for income taxes during interim reporting periods by applying an estimate of the annual effective tax rate ("AETR") for the full fiscal year to “ordinary” income or loss (pre-tax income or loss excluding unusual or infrequently occurring discrete items) for the reporting period. Beginning in 2018, the Company determined it could no longer reliably estimate income taxes utilizing an AETR for interim reporting periods. The AETR estimate is highly sensitive to estimates of ordinary income (loss) and permanent differences such that minor fluctuations in these estimates could result in significant fluctuations of the Company’s AETR. Accordingly, Veritiv used its actual year-to-date effective tax rate to calculate taxes for the three and six months ended June 30, 2019 and 2018.</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presents the benefit for income taxes and the effective tax rates for the three and six months ended June 30, 2019 and 2018:</w:t>
      </w:r>
    </w:p>
    <w:p>
      <w:pPr>
        <w:spacing w:after="0" w:line="200" w:lineRule="exact"/>
        <w:rPr>
          <w:sz w:val="20"/>
          <w:szCs w:val="20"/>
          <w:color w:val="auto"/>
        </w:rPr>
      </w:pPr>
    </w:p>
    <w:p>
      <w:pPr>
        <w:spacing w:after="0" w:line="206" w:lineRule="exact"/>
        <w:rPr>
          <w:sz w:val="20"/>
          <w:szCs w:val="20"/>
          <w:color w:val="auto"/>
        </w:rPr>
      </w:pPr>
    </w:p>
    <w:tbl>
      <w:tblPr>
        <w:tblLayout w:type="fixed"/>
        <w:tblInd w:w="160" w:type="dxa"/>
        <w:tblCellMar>
          <w:top w:w="0" w:type="dxa"/>
          <w:left w:w="0" w:type="dxa"/>
          <w:bottom w:w="0" w:type="dxa"/>
          <w:right w:w="0" w:type="dxa"/>
        </w:tblCellMar>
      </w:tblPr>
      <w:tr>
        <w:trPr>
          <w:trHeight w:val="234"/>
        </w:trPr>
        <w:tc>
          <w:tcPr>
            <w:tcW w:w="4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100" w:type="dxa"/>
            <w:vAlign w:val="bottom"/>
            <w:gridSpan w:val="5"/>
          </w:tcPr>
          <w:p>
            <w:pPr>
              <w:ind w:left="200"/>
              <w:spacing w:after="0"/>
              <w:rPr>
                <w:sz w:val="20"/>
                <w:szCs w:val="20"/>
                <w:color w:val="auto"/>
              </w:rPr>
            </w:pPr>
            <w:r>
              <w:rPr>
                <w:rFonts w:ascii="Arial" w:cs="Arial" w:eastAsia="Arial" w:hAnsi="Arial"/>
                <w:sz w:val="18"/>
                <w:szCs w:val="18"/>
                <w:b w:val="1"/>
                <w:bCs w:val="1"/>
                <w:color w:val="auto"/>
              </w:rPr>
              <w:t>Three Months Ended June 30,</w:t>
            </w:r>
          </w:p>
        </w:tc>
        <w:tc>
          <w:tcPr>
            <w:tcW w:w="320" w:type="dxa"/>
            <w:vAlign w:val="bottom"/>
          </w:tcPr>
          <w:p>
            <w:pPr>
              <w:spacing w:after="0"/>
              <w:rPr>
                <w:sz w:val="20"/>
                <w:szCs w:val="20"/>
                <w:color w:val="auto"/>
              </w:rPr>
            </w:pPr>
          </w:p>
        </w:tc>
        <w:tc>
          <w:tcPr>
            <w:tcW w:w="2800" w:type="dxa"/>
            <w:vAlign w:val="bottom"/>
            <w:gridSpan w:val="4"/>
          </w:tcPr>
          <w:p>
            <w:pPr>
              <w:jc w:val="right"/>
              <w:ind w:right="410"/>
              <w:spacing w:after="0"/>
              <w:rPr>
                <w:sz w:val="20"/>
                <w:szCs w:val="20"/>
                <w:color w:val="auto"/>
              </w:rPr>
            </w:pPr>
            <w:r>
              <w:rPr>
                <w:rFonts w:ascii="Arial" w:cs="Arial" w:eastAsia="Arial" w:hAnsi="Arial"/>
                <w:sz w:val="18"/>
                <w:szCs w:val="18"/>
                <w:b w:val="1"/>
                <w:bCs w:val="1"/>
                <w:color w:val="auto"/>
                <w:w w:val="97"/>
              </w:rPr>
              <w:t>Six Months Ended June 30,</w:t>
            </w:r>
          </w:p>
        </w:tc>
      </w:tr>
      <w:tr>
        <w:trPr>
          <w:trHeight w:val="27"/>
        </w:trPr>
        <w:tc>
          <w:tcPr>
            <w:tcW w:w="45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320" w:type="dxa"/>
            <w:vAlign w:val="bottom"/>
          </w:tcPr>
          <w:p>
            <w:pPr>
              <w:spacing w:after="0"/>
              <w:rPr>
                <w:sz w:val="20"/>
                <w:szCs w:val="20"/>
                <w:color w:val="auto"/>
              </w:rPr>
            </w:pPr>
          </w:p>
        </w:tc>
        <w:tc>
          <w:tcPr>
            <w:tcW w:w="1280" w:type="dxa"/>
            <w:vAlign w:val="bottom"/>
          </w:tcPr>
          <w:p>
            <w:pPr>
              <w:jc w:val="right"/>
              <w:ind w:right="53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tcPr>
          <w:p>
            <w:pPr>
              <w:jc w:val="right"/>
              <w:ind w:right="47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r>
      <w:tr>
        <w:trPr>
          <w:trHeight w:val="27"/>
        </w:trPr>
        <w:tc>
          <w:tcPr>
            <w:tcW w:w="4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before income taxes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(11.9)</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(13.3)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(31.0)</w:t>
            </w:r>
          </w:p>
        </w:tc>
      </w:tr>
      <w:tr>
        <w:trPr>
          <w:trHeight w:val="243"/>
        </w:trPr>
        <w:tc>
          <w:tcPr>
            <w:tcW w:w="4580" w:type="dxa"/>
            <w:vAlign w:val="bottom"/>
          </w:tcPr>
          <w:p>
            <w:pPr>
              <w:ind w:left="20"/>
              <w:spacing w:after="0"/>
              <w:rPr>
                <w:sz w:val="20"/>
                <w:szCs w:val="20"/>
                <w:color w:val="auto"/>
              </w:rPr>
            </w:pPr>
            <w:r>
              <w:rPr>
                <w:rFonts w:ascii="Arial" w:cs="Arial" w:eastAsia="Arial" w:hAnsi="Arial"/>
                <w:sz w:val="18"/>
                <w:szCs w:val="18"/>
                <w:color w:val="auto"/>
              </w:rPr>
              <w:t>Income tax benefit</w:t>
            </w:r>
          </w:p>
        </w:tc>
        <w:tc>
          <w:tcPr>
            <w:tcW w:w="32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40" w:type="dxa"/>
            <w:vAlign w:val="bottom"/>
          </w:tcPr>
          <w:p>
            <w:pPr>
              <w:jc w:val="right"/>
              <w:ind w:right="5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50"/>
              <w:spacing w:after="0"/>
              <w:rPr>
                <w:sz w:val="20"/>
                <w:szCs w:val="20"/>
                <w:color w:val="auto"/>
              </w:rPr>
            </w:pPr>
            <w:r>
              <w:rPr>
                <w:rFonts w:ascii="Arial" w:cs="Arial" w:eastAsia="Arial" w:hAnsi="Arial"/>
                <w:sz w:val="18"/>
                <w:szCs w:val="18"/>
                <w:color w:val="auto"/>
              </w:rPr>
              <w:t>(4.6)</w:t>
            </w:r>
          </w:p>
        </w:tc>
      </w:tr>
      <w:tr>
        <w:trPr>
          <w:trHeight w:val="27"/>
        </w:trPr>
        <w:tc>
          <w:tcPr>
            <w:tcW w:w="4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43"/>
        </w:trPr>
        <w:tc>
          <w:tcPr>
            <w:tcW w:w="4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Effective tax rate</w:t>
            </w:r>
          </w:p>
        </w:tc>
        <w:tc>
          <w:tcPr>
            <w:tcW w:w="320" w:type="dxa"/>
            <w:vAlign w:val="bottom"/>
            <w:shd w:val="clear" w:color="auto" w:fill="CCEEFF"/>
          </w:tcPr>
          <w:p>
            <w:pPr>
              <w:spacing w:after="0"/>
              <w:rPr>
                <w:sz w:val="21"/>
                <w:szCs w:val="21"/>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2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w:t>
            </w: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w:t>
            </w:r>
          </w:p>
        </w:tc>
      </w:tr>
      <w:tr>
        <w:trPr>
          <w:trHeight w:val="27"/>
        </w:trPr>
        <w:tc>
          <w:tcPr>
            <w:tcW w:w="458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firstLine="648"/>
        <w:spacing w:after="0" w:line="253" w:lineRule="auto"/>
        <w:rPr>
          <w:sz w:val="20"/>
          <w:szCs w:val="20"/>
          <w:color w:val="auto"/>
        </w:rPr>
      </w:pPr>
      <w:r>
        <w:rPr>
          <w:rFonts w:ascii="Arial" w:cs="Arial" w:eastAsia="Arial" w:hAnsi="Arial"/>
          <w:sz w:val="18"/>
          <w:szCs w:val="18"/>
          <w:color w:val="auto"/>
        </w:rPr>
        <w:t>The difference between the Company’s effective tax rates for the three and six months ended June 30, 2019 and 2018 and the U.S. statutory tax rate of 21.0% primarily relates to state income taxes (net of federal income tax benefit), tax expense for stock compensation vesting, Global Intangible Low-Taxed Income, non-deductible expenses, tax credits and the Company's income (loss) by jurisdiction. The Company's net operating loss ("NOL" or "NOLs") carryforwards continue to be subject to Section 382 limitations. In accordance with Notice 2003-65, the Company was in a net unrealized built-in gain position at the time of the Merger. During the three months ended June 30, 2019, the Company's five year recognition period to recognize built-in gain ended. As such, the deferred tax asset and valuation allowance representing the book basis in excess of tax basis of various assets was written-off. There was no impact to the effective tax rate. The effective tax rate for the full year 2019 may vary significantly due to potential fluctuations in the amount and source, including both foreign and domestic, of pre-tax income and changes in amounts of non-deductible expenses, and other items that could impact the effective tax rate.</w:t>
      </w:r>
    </w:p>
    <w:p>
      <w:pPr>
        <w:spacing w:after="0" w:line="197" w:lineRule="exact"/>
        <w:rPr>
          <w:sz w:val="20"/>
          <w:szCs w:val="20"/>
          <w:color w:val="auto"/>
        </w:rPr>
      </w:pPr>
    </w:p>
    <w:p>
      <w:pPr>
        <w:jc w:val="both"/>
        <w:ind w:right="160" w:firstLine="648"/>
        <w:spacing w:after="0" w:line="288" w:lineRule="auto"/>
        <w:rPr>
          <w:sz w:val="20"/>
          <w:szCs w:val="20"/>
          <w:color w:val="auto"/>
        </w:rPr>
      </w:pPr>
      <w:r>
        <w:rPr>
          <w:rFonts w:ascii="Arial" w:cs="Arial" w:eastAsia="Arial" w:hAnsi="Arial"/>
          <w:sz w:val="16"/>
          <w:szCs w:val="16"/>
          <w:color w:val="auto"/>
        </w:rPr>
        <w:t xml:space="preserve">In January 2018, the Financial Accounting Standards Board ("FASB") issued ASU 2018-02, </w:t>
      </w:r>
      <w:r>
        <w:rPr>
          <w:rFonts w:ascii="Arial" w:cs="Arial" w:eastAsia="Arial" w:hAnsi="Arial"/>
          <w:sz w:val="16"/>
          <w:szCs w:val="16"/>
          <w:i w:val="1"/>
          <w:iCs w:val="1"/>
          <w:color w:val="auto"/>
        </w:rPr>
        <w:t>Income Statement - Reporting Comprehensive Income</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(Topic 220): Reclassification of Certain Tax Effects from accumulated other comprehensive income (AOCI) </w:t>
      </w:r>
      <w:r>
        <w:rPr>
          <w:rFonts w:ascii="Arial" w:cs="Arial" w:eastAsia="Arial" w:hAnsi="Arial"/>
          <w:sz w:val="16"/>
          <w:szCs w:val="16"/>
          <w:color w:val="auto"/>
        </w:rPr>
        <w:t>("AOCI"), which gives companies the option to</w:t>
      </w:r>
      <w:r>
        <w:rPr>
          <w:rFonts w:ascii="Arial" w:cs="Arial" w:eastAsia="Arial" w:hAnsi="Arial"/>
          <w:sz w:val="16"/>
          <w:szCs w:val="16"/>
          <w:i w:val="1"/>
          <w:iCs w:val="1"/>
          <w:color w:val="auto"/>
        </w:rPr>
        <w:t xml:space="preserve"> </w:t>
      </w:r>
      <w:r>
        <w:rPr>
          <w:rFonts w:ascii="Arial" w:cs="Arial" w:eastAsia="Arial" w:hAnsi="Arial"/>
          <w:sz w:val="16"/>
          <w:szCs w:val="16"/>
          <w:color w:val="auto"/>
        </w:rPr>
        <w:t>reclassify to retained earnings tax effects resulting from the Tax Act related to items in AOCI that the FASB refers to as having been stranded in AOCI.</w:t>
      </w:r>
    </w:p>
    <w:p>
      <w:pPr>
        <w:ind w:right="120"/>
        <w:spacing w:after="0" w:line="261" w:lineRule="auto"/>
        <w:rPr>
          <w:sz w:val="20"/>
          <w:szCs w:val="20"/>
          <w:color w:val="auto"/>
        </w:rPr>
      </w:pPr>
      <w:r>
        <w:rPr>
          <w:rFonts w:ascii="Arial" w:cs="Arial" w:eastAsia="Arial" w:hAnsi="Arial"/>
          <w:sz w:val="18"/>
          <w:szCs w:val="18"/>
          <w:color w:val="auto"/>
        </w:rPr>
        <w:t>Veritiv elected to early adopt ASU 2018-02 as of January 1, 2018. As a result of adopting this standard, the Company reclassified $0.8 million from Veritiv's accumulated other comprehensive loss to retained earnings.</w:t>
      </w:r>
    </w:p>
    <w:p>
      <w:pPr>
        <w:spacing w:after="0" w:line="17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7. RELATED PARTY TRANSACTIONS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Agreements with the UWWH Stockholder</w:t>
      </w:r>
    </w:p>
    <w:p>
      <w:pPr>
        <w:spacing w:after="0" w:line="229" w:lineRule="exact"/>
        <w:rPr>
          <w:sz w:val="20"/>
          <w:szCs w:val="20"/>
          <w:color w:val="auto"/>
        </w:rPr>
      </w:pPr>
    </w:p>
    <w:p>
      <w:pPr>
        <w:ind w:right="120" w:firstLine="648"/>
        <w:spacing w:after="0" w:line="259" w:lineRule="auto"/>
        <w:rPr>
          <w:rFonts w:ascii="Arial" w:cs="Arial" w:eastAsia="Arial" w:hAnsi="Arial"/>
          <w:sz w:val="18"/>
          <w:szCs w:val="18"/>
          <w:color w:val="0000EE"/>
        </w:rPr>
      </w:pPr>
      <w:r>
        <w:rPr>
          <w:rFonts w:ascii="Arial" w:cs="Arial" w:eastAsia="Arial" w:hAnsi="Arial"/>
          <w:sz w:val="18"/>
          <w:szCs w:val="18"/>
          <w:color w:val="auto"/>
        </w:rPr>
        <w:t xml:space="preserve">In January 2019 and 2018, in connection with the Tax Receivable Agreement ("TRA") executed at the time of the Merger, Veritiv paid $8.1 million and $10.1 million, respectively, in principal and interest to UWW Holdings, LLC (the "UWWH Stockholder"), one of Veritiv's existing stockholders and the </w:t>
      </w:r>
      <w:hyperlink w:anchor="page23">
        <w:r>
          <w:rPr>
            <w:rFonts w:ascii="Arial" w:cs="Arial" w:eastAsia="Arial" w:hAnsi="Arial"/>
            <w:sz w:val="18"/>
            <w:szCs w:val="18"/>
            <w:color w:val="auto"/>
          </w:rPr>
          <w:t xml:space="preserve">former sole stockholder of UWWH, for the utilization of pre-merger NOLs in its 2017 and 2016 federal and state tax returns, respectively. See </w:t>
        </w:r>
        <w:r>
          <w:rPr>
            <w:rFonts w:ascii="Arial" w:cs="Arial" w:eastAsia="Arial" w:hAnsi="Arial"/>
            <w:sz w:val="18"/>
            <w:szCs w:val="18"/>
            <w:u w:val="single" w:color="auto"/>
            <w:color w:val="0000EE"/>
          </w:rPr>
          <w:t>Note 9, Fair</w:t>
        </w:r>
      </w:hyperlink>
      <w:r>
        <w:rPr>
          <w:rFonts w:ascii="Arial" w:cs="Arial" w:eastAsia="Arial" w:hAnsi="Arial"/>
          <w:sz w:val="18"/>
          <w:szCs w:val="18"/>
          <w:color w:val="auto"/>
        </w:rPr>
        <w:t xml:space="preserve"> </w:t>
      </w:r>
      <w:hyperlink w:anchor="page23">
        <w:r>
          <w:rPr>
            <w:rFonts w:ascii="Arial" w:cs="Arial" w:eastAsia="Arial" w:hAnsi="Arial"/>
            <w:sz w:val="18"/>
            <w:szCs w:val="18"/>
            <w:u w:val="single" w:color="auto"/>
            <w:color w:val="0000EE"/>
          </w:rPr>
          <w:t>Value Measurements</w:t>
        </w:r>
        <w:r>
          <w:rPr>
            <w:rFonts w:ascii="Arial" w:cs="Arial" w:eastAsia="Arial" w:hAnsi="Arial"/>
            <w:sz w:val="18"/>
            <w:szCs w:val="18"/>
            <w:color w:val="000000"/>
          </w:rPr>
          <w:t>, for additional information regarding the TRA.</w:t>
        </w:r>
      </w:hyperlink>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341" w:right="25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with Georgia-Pacific</w:t>
      </w:r>
    </w:p>
    <w:p>
      <w:pPr>
        <w:spacing w:after="0" w:line="229"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Veritiv purchases certain inventory items from, and sells certain inventory items to, Georgia-Pacific in the normal course of business. As a result of the Merger and related private placement, Georgia-Pacific, as joint owner of the UWWH Stockholder, is a related party.</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tables summarize the financial impact of these related party transactions with Georgia-Pacific:</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0" w:type="dxa"/>
            <w:vAlign w:val="bottom"/>
            <w:gridSpan w:val="5"/>
          </w:tcPr>
          <w:p>
            <w:pPr>
              <w:ind w:left="20"/>
              <w:spacing w:after="0"/>
              <w:rPr>
                <w:sz w:val="20"/>
                <w:szCs w:val="20"/>
                <w:color w:val="auto"/>
              </w:rPr>
            </w:pPr>
            <w:r>
              <w:rPr>
                <w:rFonts w:ascii="Arial" w:cs="Arial" w:eastAsia="Arial" w:hAnsi="Arial"/>
                <w:sz w:val="18"/>
                <w:szCs w:val="18"/>
                <w:b w:val="1"/>
                <w:bCs w:val="1"/>
                <w:color w:val="auto"/>
              </w:rPr>
              <w:t>Three Months Ended June 30,</w:t>
            </w:r>
          </w:p>
        </w:tc>
        <w:tc>
          <w:tcPr>
            <w:tcW w:w="140" w:type="dxa"/>
            <w:vAlign w:val="bottom"/>
          </w:tcPr>
          <w:p>
            <w:pPr>
              <w:spacing w:after="0"/>
              <w:rPr>
                <w:sz w:val="20"/>
                <w:szCs w:val="20"/>
                <w:color w:val="auto"/>
              </w:rPr>
            </w:pPr>
          </w:p>
        </w:tc>
        <w:tc>
          <w:tcPr>
            <w:tcW w:w="2240" w:type="dxa"/>
            <w:vAlign w:val="bottom"/>
            <w:gridSpan w:val="4"/>
          </w:tcPr>
          <w:p>
            <w:pPr>
              <w:jc w:val="right"/>
              <w:ind w:right="30"/>
              <w:spacing w:after="0"/>
              <w:rPr>
                <w:sz w:val="20"/>
                <w:szCs w:val="20"/>
                <w:color w:val="auto"/>
              </w:rPr>
            </w:pPr>
            <w:r>
              <w:rPr>
                <w:rFonts w:ascii="Arial" w:cs="Arial" w:eastAsia="Arial" w:hAnsi="Arial"/>
                <w:sz w:val="18"/>
                <w:szCs w:val="18"/>
                <w:b w:val="1"/>
                <w:bCs w:val="1"/>
                <w:color w:val="auto"/>
                <w:w w:val="90"/>
              </w:rPr>
              <w:t>Six Months Ended June 30,</w:t>
            </w:r>
          </w:p>
        </w:tc>
      </w:tr>
      <w:tr>
        <w:trPr>
          <w:trHeight w:val="27"/>
        </w:trPr>
        <w:tc>
          <w:tcPr>
            <w:tcW w:w="62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628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160" w:type="dxa"/>
            <w:vAlign w:val="bottom"/>
          </w:tcPr>
          <w:p>
            <w:pPr>
              <w:spacing w:after="0"/>
              <w:rPr>
                <w:sz w:val="20"/>
                <w:szCs w:val="20"/>
                <w:color w:val="auto"/>
              </w:rPr>
            </w:pPr>
          </w:p>
        </w:tc>
        <w:tc>
          <w:tcPr>
            <w:tcW w:w="1140" w:type="dxa"/>
            <w:vAlign w:val="bottom"/>
          </w:tcPr>
          <w:p>
            <w:pPr>
              <w:jc w:val="right"/>
              <w:ind w:right="3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b w:val="1"/>
                <w:bCs w:val="1"/>
                <w:color w:val="auto"/>
              </w:rPr>
              <w:t>2018</w:t>
            </w:r>
          </w:p>
        </w:tc>
      </w:tr>
      <w:tr>
        <w:trPr>
          <w:trHeight w:val="27"/>
        </w:trPr>
        <w:tc>
          <w:tcPr>
            <w:tcW w:w="62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44"/>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to Georgia-Pacific, reflected in net sales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w:t>
            </w:r>
          </w:p>
        </w:tc>
      </w:tr>
      <w:tr>
        <w:trPr>
          <w:trHeight w:val="229"/>
        </w:trPr>
        <w:tc>
          <w:tcPr>
            <w:tcW w:w="6280" w:type="dxa"/>
            <w:vAlign w:val="bottom"/>
          </w:tcPr>
          <w:p>
            <w:pPr>
              <w:ind w:left="40"/>
              <w:spacing w:after="0"/>
              <w:rPr>
                <w:sz w:val="20"/>
                <w:szCs w:val="20"/>
                <w:color w:val="auto"/>
              </w:rPr>
            </w:pPr>
            <w:r>
              <w:rPr>
                <w:rFonts w:ascii="Arial" w:cs="Arial" w:eastAsia="Arial" w:hAnsi="Arial"/>
                <w:sz w:val="18"/>
                <w:szCs w:val="18"/>
                <w:color w:val="auto"/>
              </w:rPr>
              <w:t>Purchases of inventory from Georgia-Pacific, recognized in cost of products</w:t>
            </w: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30"/>
        </w:trPr>
        <w:tc>
          <w:tcPr>
            <w:tcW w:w="6280" w:type="dxa"/>
            <w:vAlign w:val="bottom"/>
          </w:tcPr>
          <w:p>
            <w:pPr>
              <w:ind w:left="200"/>
              <w:spacing w:after="0"/>
              <w:rPr>
                <w:sz w:val="20"/>
                <w:szCs w:val="20"/>
                <w:color w:val="auto"/>
              </w:rPr>
            </w:pPr>
            <w:r>
              <w:rPr>
                <w:rFonts w:ascii="Arial" w:cs="Arial" w:eastAsia="Arial" w:hAnsi="Arial"/>
                <w:sz w:val="18"/>
                <w:szCs w:val="18"/>
                <w:color w:val="auto"/>
              </w:rPr>
              <w:t>sold</w:t>
            </w:r>
          </w:p>
        </w:tc>
        <w:tc>
          <w:tcPr>
            <w:tcW w:w="160" w:type="dxa"/>
            <w:vAlign w:val="bottom"/>
          </w:tcPr>
          <w:p>
            <w:pPr>
              <w:spacing w:after="0"/>
              <w:rPr>
                <w:sz w:val="20"/>
                <w:szCs w:val="20"/>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35.8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46.2</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77.9</w:t>
            </w:r>
          </w:p>
        </w:tc>
      </w:tr>
    </w:tbl>
    <w:p>
      <w:pPr>
        <w:spacing w:after="0" w:line="387" w:lineRule="exact"/>
        <w:rPr>
          <w:sz w:val="20"/>
          <w:szCs w:val="20"/>
          <w:color w:val="auto"/>
        </w:rPr>
      </w:pPr>
    </w:p>
    <w:tbl>
      <w:tblPr>
        <w:tblLayout w:type="fixed"/>
        <w:tblInd w:w="80" w:type="dxa"/>
        <w:tblCellMar>
          <w:top w:w="0" w:type="dxa"/>
          <w:left w:w="0" w:type="dxa"/>
          <w:bottom w:w="0" w:type="dxa"/>
          <w:right w:w="0" w:type="dxa"/>
        </w:tblCellMar>
      </w:tblPr>
      <w:tr>
        <w:trPr>
          <w:trHeight w:val="234"/>
        </w:trPr>
        <w:tc>
          <w:tcPr>
            <w:tcW w:w="712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60" w:type="dxa"/>
            <w:vAlign w:val="bottom"/>
          </w:tcPr>
          <w:p>
            <w:pPr>
              <w:spacing w:after="0"/>
              <w:rPr>
                <w:sz w:val="20"/>
                <w:szCs w:val="20"/>
                <w:color w:val="auto"/>
              </w:rPr>
            </w:pPr>
          </w:p>
        </w:tc>
        <w:tc>
          <w:tcPr>
            <w:tcW w:w="1760" w:type="dxa"/>
            <w:vAlign w:val="bottom"/>
            <w:gridSpan w:val="2"/>
          </w:tcPr>
          <w:p>
            <w:pPr>
              <w:ind w:left="160"/>
              <w:spacing w:after="0"/>
              <w:rPr>
                <w:sz w:val="20"/>
                <w:szCs w:val="20"/>
                <w:color w:val="auto"/>
              </w:rPr>
            </w:pPr>
            <w:r>
              <w:rPr>
                <w:rFonts w:ascii="Arial" w:cs="Arial" w:eastAsia="Arial" w:hAnsi="Arial"/>
                <w:sz w:val="18"/>
                <w:szCs w:val="18"/>
                <w:b w:val="1"/>
                <w:bCs w:val="1"/>
                <w:color w:val="auto"/>
              </w:rPr>
              <w:t>June 30, 2019</w:t>
            </w:r>
          </w:p>
        </w:tc>
        <w:tc>
          <w:tcPr>
            <w:tcW w:w="220" w:type="dxa"/>
            <w:vAlign w:val="bottom"/>
          </w:tcPr>
          <w:p>
            <w:pPr>
              <w:spacing w:after="0"/>
              <w:rPr>
                <w:sz w:val="20"/>
                <w:szCs w:val="20"/>
                <w:color w:val="auto"/>
              </w:rPr>
            </w:pPr>
          </w:p>
        </w:tc>
        <w:tc>
          <w:tcPr>
            <w:tcW w:w="1920" w:type="dxa"/>
            <w:vAlign w:val="bottom"/>
          </w:tcPr>
          <w:p>
            <w:pPr>
              <w:jc w:val="right"/>
              <w:ind w:right="270"/>
              <w:spacing w:after="0"/>
              <w:rPr>
                <w:sz w:val="20"/>
                <w:szCs w:val="20"/>
                <w:color w:val="auto"/>
              </w:rPr>
            </w:pPr>
            <w:r>
              <w:rPr>
                <w:rFonts w:ascii="Arial" w:cs="Arial" w:eastAsia="Arial" w:hAnsi="Arial"/>
                <w:sz w:val="18"/>
                <w:szCs w:val="18"/>
                <w:b w:val="1"/>
                <w:bCs w:val="1"/>
                <w:color w:val="auto"/>
                <w:w w:val="94"/>
              </w:rPr>
              <w:t>December 31, 2018</w:t>
            </w:r>
          </w:p>
        </w:tc>
      </w:tr>
      <w:tr>
        <w:trPr>
          <w:trHeight w:val="27"/>
        </w:trPr>
        <w:tc>
          <w:tcPr>
            <w:tcW w:w="7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44"/>
        </w:trPr>
        <w:tc>
          <w:tcPr>
            <w:tcW w:w="7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Inventories purchased from Georgia-Pacific that remained on Veritiv's balance sheet</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6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17.3</w:t>
            </w:r>
          </w:p>
        </w:tc>
      </w:tr>
      <w:tr>
        <w:trPr>
          <w:trHeight w:val="243"/>
        </w:trPr>
        <w:tc>
          <w:tcPr>
            <w:tcW w:w="7120" w:type="dxa"/>
            <w:vAlign w:val="bottom"/>
          </w:tcPr>
          <w:p>
            <w:pPr>
              <w:ind w:left="20"/>
              <w:spacing w:after="0"/>
              <w:rPr>
                <w:sz w:val="20"/>
                <w:szCs w:val="20"/>
                <w:color w:val="auto"/>
              </w:rPr>
            </w:pPr>
            <w:r>
              <w:rPr>
                <w:rFonts w:ascii="Arial" w:cs="Arial" w:eastAsia="Arial" w:hAnsi="Arial"/>
                <w:sz w:val="18"/>
                <w:szCs w:val="18"/>
                <w:color w:val="auto"/>
              </w:rPr>
              <w:t>Related party payable to Georgia-Pacific</w:t>
            </w:r>
          </w:p>
        </w:tc>
        <w:tc>
          <w:tcPr>
            <w:tcW w:w="260" w:type="dxa"/>
            <w:vAlign w:val="bottom"/>
          </w:tcPr>
          <w:p>
            <w:pPr>
              <w:spacing w:after="0"/>
              <w:rPr>
                <w:sz w:val="21"/>
                <w:szCs w:val="21"/>
                <w:color w:val="auto"/>
              </w:rPr>
            </w:pPr>
          </w:p>
        </w:tc>
        <w:tc>
          <w:tcPr>
            <w:tcW w:w="1660" w:type="dxa"/>
            <w:vAlign w:val="bottom"/>
          </w:tcPr>
          <w:p>
            <w:pPr>
              <w:jc w:val="right"/>
              <w:ind w:right="30"/>
              <w:spacing w:after="0"/>
              <w:rPr>
                <w:sz w:val="20"/>
                <w:szCs w:val="20"/>
                <w:color w:val="auto"/>
              </w:rPr>
            </w:pPr>
            <w:r>
              <w:rPr>
                <w:rFonts w:ascii="Arial" w:cs="Arial" w:eastAsia="Arial" w:hAnsi="Arial"/>
                <w:sz w:val="18"/>
                <w:szCs w:val="18"/>
                <w:color w:val="auto"/>
              </w:rPr>
              <w:t>6.3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920" w:type="dxa"/>
            <w:vAlign w:val="bottom"/>
          </w:tcPr>
          <w:p>
            <w:pPr>
              <w:jc w:val="right"/>
              <w:ind w:right="30"/>
              <w:spacing w:after="0"/>
              <w:rPr>
                <w:sz w:val="20"/>
                <w:szCs w:val="20"/>
                <w:color w:val="auto"/>
              </w:rPr>
            </w:pPr>
            <w:r>
              <w:rPr>
                <w:rFonts w:ascii="Arial" w:cs="Arial" w:eastAsia="Arial" w:hAnsi="Arial"/>
                <w:sz w:val="18"/>
                <w:szCs w:val="18"/>
                <w:color w:val="auto"/>
              </w:rPr>
              <w:t>9.3</w:t>
            </w:r>
          </w:p>
        </w:tc>
      </w:tr>
      <w:tr>
        <w:trPr>
          <w:trHeight w:val="27"/>
        </w:trPr>
        <w:tc>
          <w:tcPr>
            <w:tcW w:w="7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43"/>
        </w:trPr>
        <w:tc>
          <w:tcPr>
            <w:tcW w:w="7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Related party receivable from Georgia-Pacific</w:t>
            </w:r>
          </w:p>
        </w:tc>
        <w:tc>
          <w:tcPr>
            <w:tcW w:w="260" w:type="dxa"/>
            <w:vAlign w:val="bottom"/>
            <w:shd w:val="clear" w:color="auto" w:fill="CCEEFF"/>
          </w:tcPr>
          <w:p>
            <w:pPr>
              <w:spacing w:after="0"/>
              <w:rPr>
                <w:sz w:val="21"/>
                <w:szCs w:val="21"/>
                <w:color w:val="auto"/>
              </w:rPr>
            </w:pPr>
          </w:p>
        </w:tc>
        <w:tc>
          <w:tcPr>
            <w:tcW w:w="16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9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3.2</w:t>
            </w:r>
          </w:p>
        </w:tc>
      </w:tr>
      <w:tr>
        <w:trPr>
          <w:trHeight w:val="27"/>
        </w:trPr>
        <w:tc>
          <w:tcPr>
            <w:tcW w:w="7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920" w:type="dxa"/>
            <w:vAlign w:val="bottom"/>
            <w:shd w:val="clear" w:color="auto" w:fill="CCEEFF"/>
          </w:tcPr>
          <w:p>
            <w:pPr>
              <w:spacing w:after="0"/>
              <w:rPr>
                <w:sz w:val="2"/>
                <w:szCs w:val="2"/>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8. DEFINED BENEFIT PLANS</w:t>
      </w:r>
    </w:p>
    <w:p>
      <w:pPr>
        <w:spacing w:after="0" w:line="224"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Veritiv does not maintain any active defined benefit plans for its non-union employees. Veritiv maintains a defined benefit pension plan in the U.S. for employees covered by certain collective bargaining agreements. Veritiv also assumed responsibility for Unisource’s defined benefit plans, which include frozen cash balance accounts for certain former Unisource employees. Total net periodic benefit cost (credit) associated with these plans is summarized below:</w:t>
      </w:r>
    </w:p>
    <w:p>
      <w:pPr>
        <w:spacing w:after="0" w:line="345"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44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60" w:type="dxa"/>
            <w:vAlign w:val="bottom"/>
            <w:gridSpan w:val="5"/>
          </w:tcPr>
          <w:p>
            <w:pPr>
              <w:spacing w:after="0"/>
              <w:rPr>
                <w:sz w:val="20"/>
                <w:szCs w:val="20"/>
                <w:color w:val="auto"/>
              </w:rPr>
            </w:pPr>
            <w:r>
              <w:rPr>
                <w:rFonts w:ascii="Arial" w:cs="Arial" w:eastAsia="Arial" w:hAnsi="Arial"/>
                <w:sz w:val="18"/>
                <w:szCs w:val="18"/>
                <w:b w:val="1"/>
                <w:bCs w:val="1"/>
                <w:color w:val="auto"/>
                <w:w w:val="99"/>
              </w:rPr>
              <w:t>Three Months Ended June</w:t>
            </w:r>
          </w:p>
        </w:tc>
        <w:tc>
          <w:tcPr>
            <w:tcW w:w="2240" w:type="dxa"/>
            <w:vAlign w:val="bottom"/>
            <w:gridSpan w:val="5"/>
          </w:tcPr>
          <w:p>
            <w:pPr>
              <w:jc w:val="right"/>
              <w:spacing w:after="0"/>
              <w:rPr>
                <w:sz w:val="20"/>
                <w:szCs w:val="20"/>
                <w:color w:val="auto"/>
              </w:rPr>
            </w:pPr>
            <w:r>
              <w:rPr>
                <w:rFonts w:ascii="Arial" w:cs="Arial" w:eastAsia="Arial" w:hAnsi="Arial"/>
                <w:sz w:val="18"/>
                <w:szCs w:val="18"/>
                <w:b w:val="1"/>
                <w:bCs w:val="1"/>
                <w:color w:val="auto"/>
                <w:w w:val="95"/>
              </w:rPr>
              <w:t>Three Months Ended June</w:t>
            </w:r>
          </w:p>
        </w:tc>
        <w:tc>
          <w:tcPr>
            <w:tcW w:w="0" w:type="dxa"/>
            <w:vAlign w:val="bottom"/>
          </w:tcPr>
          <w:p>
            <w:pPr>
              <w:spacing w:after="0"/>
              <w:rPr>
                <w:sz w:val="1"/>
                <w:szCs w:val="1"/>
                <w:color w:val="auto"/>
              </w:rPr>
            </w:pPr>
          </w:p>
        </w:tc>
      </w:tr>
      <w:tr>
        <w:trPr>
          <w:trHeight w:val="234"/>
        </w:trPr>
        <w:tc>
          <w:tcPr>
            <w:tcW w:w="44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160" w:type="dxa"/>
            <w:vAlign w:val="bottom"/>
            <w:gridSpan w:val="4"/>
          </w:tcPr>
          <w:p>
            <w:pPr>
              <w:jc w:val="right"/>
              <w:ind w:right="730"/>
              <w:spacing w:after="0"/>
              <w:rPr>
                <w:sz w:val="20"/>
                <w:szCs w:val="20"/>
                <w:color w:val="auto"/>
              </w:rPr>
            </w:pPr>
            <w:r>
              <w:rPr>
                <w:rFonts w:ascii="Arial" w:cs="Arial" w:eastAsia="Arial" w:hAnsi="Arial"/>
                <w:sz w:val="18"/>
                <w:szCs w:val="18"/>
                <w:b w:val="1"/>
                <w:bCs w:val="1"/>
                <w:color w:val="auto"/>
              </w:rPr>
              <w:t>30, 2019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0" w:type="dxa"/>
            <w:vAlign w:val="bottom"/>
            <w:gridSpan w:val="4"/>
          </w:tcPr>
          <w:p>
            <w:pPr>
              <w:jc w:val="right"/>
              <w:ind w:right="690"/>
              <w:spacing w:after="0"/>
              <w:rPr>
                <w:sz w:val="20"/>
                <w:szCs w:val="20"/>
                <w:color w:val="auto"/>
              </w:rPr>
            </w:pPr>
            <w:r>
              <w:rPr>
                <w:rFonts w:ascii="Arial" w:cs="Arial" w:eastAsia="Arial" w:hAnsi="Arial"/>
                <w:sz w:val="18"/>
                <w:szCs w:val="18"/>
                <w:b w:val="1"/>
                <w:bCs w:val="1"/>
                <w:color w:val="auto"/>
              </w:rPr>
              <w:t>30, 2018</w:t>
            </w:r>
          </w:p>
        </w:tc>
        <w:tc>
          <w:tcPr>
            <w:tcW w:w="0" w:type="dxa"/>
            <w:vAlign w:val="bottom"/>
          </w:tcPr>
          <w:p>
            <w:pPr>
              <w:spacing w:after="0"/>
              <w:rPr>
                <w:sz w:val="1"/>
                <w:szCs w:val="1"/>
                <w:color w:val="auto"/>
              </w:rPr>
            </w:pPr>
          </w:p>
        </w:tc>
      </w:tr>
      <w:tr>
        <w:trPr>
          <w:trHeight w:val="27"/>
        </w:trPr>
        <w:tc>
          <w:tcPr>
            <w:tcW w:w="44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40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1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ind w:left="260"/>
              <w:spacing w:after="0"/>
              <w:rPr>
                <w:sz w:val="20"/>
                <w:szCs w:val="20"/>
                <w:color w:val="auto"/>
              </w:rPr>
            </w:pPr>
            <w:r>
              <w:rPr>
                <w:rFonts w:ascii="Arial" w:cs="Arial" w:eastAsia="Arial" w:hAnsi="Arial"/>
                <w:sz w:val="18"/>
                <w:szCs w:val="18"/>
                <w:b w:val="1"/>
                <w:bCs w:val="1"/>
                <w:color w:val="auto"/>
              </w:rPr>
              <w:t>U.S.</w:t>
            </w:r>
          </w:p>
        </w:tc>
        <w:tc>
          <w:tcPr>
            <w:tcW w:w="160" w:type="dxa"/>
            <w:vAlign w:val="bottom"/>
          </w:tcPr>
          <w:p>
            <w:pPr>
              <w:spacing w:after="0"/>
              <w:rPr>
                <w:sz w:val="20"/>
                <w:szCs w:val="20"/>
                <w:color w:val="auto"/>
              </w:rPr>
            </w:pPr>
          </w:p>
        </w:tc>
        <w:tc>
          <w:tcPr>
            <w:tcW w:w="1000" w:type="dxa"/>
            <w:vAlign w:val="bottom"/>
            <w:gridSpan w:val="2"/>
          </w:tcPr>
          <w:p>
            <w:pPr>
              <w:ind w:left="60"/>
              <w:spacing w:after="0"/>
              <w:rPr>
                <w:sz w:val="20"/>
                <w:szCs w:val="20"/>
                <w:color w:val="auto"/>
              </w:rPr>
            </w:pPr>
            <w:r>
              <w:rPr>
                <w:rFonts w:ascii="Arial" w:cs="Arial" w:eastAsia="Arial" w:hAnsi="Arial"/>
                <w:sz w:val="18"/>
                <w:szCs w:val="18"/>
                <w:b w:val="1"/>
                <w:bCs w:val="1"/>
                <w:color w:val="auto"/>
              </w:rPr>
              <w:t>Canada</w:t>
            </w:r>
          </w:p>
        </w:tc>
        <w:tc>
          <w:tcPr>
            <w:tcW w:w="240" w:type="dxa"/>
            <w:vAlign w:val="bottom"/>
          </w:tcPr>
          <w:p>
            <w:pPr>
              <w:spacing w:after="0"/>
              <w:rPr>
                <w:sz w:val="20"/>
                <w:szCs w:val="20"/>
                <w:color w:val="auto"/>
              </w:rPr>
            </w:pPr>
          </w:p>
        </w:tc>
        <w:tc>
          <w:tcPr>
            <w:tcW w:w="940" w:type="dxa"/>
            <w:vAlign w:val="bottom"/>
            <w:gridSpan w:val="2"/>
          </w:tcPr>
          <w:p>
            <w:pPr>
              <w:ind w:left="140"/>
              <w:spacing w:after="0"/>
              <w:rPr>
                <w:sz w:val="20"/>
                <w:szCs w:val="20"/>
                <w:color w:val="auto"/>
              </w:rPr>
            </w:pPr>
            <w:r>
              <w:rPr>
                <w:rFonts w:ascii="Arial" w:cs="Arial" w:eastAsia="Arial" w:hAnsi="Arial"/>
                <w:sz w:val="18"/>
                <w:szCs w:val="18"/>
                <w:b w:val="1"/>
                <w:bCs w:val="1"/>
                <w:color w:val="auto"/>
              </w:rPr>
              <w:t>U.S.</w:t>
            </w:r>
          </w:p>
        </w:tc>
        <w:tc>
          <w:tcPr>
            <w:tcW w:w="180" w:type="dxa"/>
            <w:vAlign w:val="bottom"/>
          </w:tcPr>
          <w:p>
            <w:pPr>
              <w:spacing w:after="0"/>
              <w:rPr>
                <w:sz w:val="20"/>
                <w:szCs w:val="20"/>
                <w:color w:val="auto"/>
              </w:rPr>
            </w:pPr>
          </w:p>
        </w:tc>
        <w:tc>
          <w:tcPr>
            <w:tcW w:w="880" w:type="dxa"/>
            <w:vAlign w:val="bottom"/>
          </w:tcPr>
          <w:p>
            <w:pPr>
              <w:jc w:val="right"/>
              <w:ind w:right="150"/>
              <w:spacing w:after="0"/>
              <w:rPr>
                <w:sz w:val="20"/>
                <w:szCs w:val="20"/>
                <w:color w:val="auto"/>
              </w:rPr>
            </w:pPr>
            <w:r>
              <w:rPr>
                <w:rFonts w:ascii="Arial" w:cs="Arial" w:eastAsia="Arial" w:hAnsi="Arial"/>
                <w:sz w:val="18"/>
                <w:szCs w:val="18"/>
                <w:b w:val="1"/>
                <w:bCs w:val="1"/>
                <w:color w:val="auto"/>
                <w:w w:val="95"/>
              </w:rPr>
              <w:t>Canada</w:t>
            </w:r>
          </w:p>
        </w:tc>
        <w:tc>
          <w:tcPr>
            <w:tcW w:w="0" w:type="dxa"/>
            <w:vAlign w:val="bottom"/>
          </w:tcPr>
          <w:p>
            <w:pPr>
              <w:spacing w:after="0"/>
              <w:rPr>
                <w:sz w:val="1"/>
                <w:szCs w:val="1"/>
                <w:color w:val="auto"/>
              </w:rPr>
            </w:pPr>
          </w:p>
        </w:tc>
      </w:tr>
      <w:tr>
        <w:trPr>
          <w:trHeight w:val="27"/>
        </w:trPr>
        <w:tc>
          <w:tcPr>
            <w:tcW w:w="44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Components of net periodic benefit cost (credit):</w:t>
            </w:r>
          </w:p>
        </w:tc>
        <w:tc>
          <w:tcPr>
            <w:tcW w:w="17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400" w:type="dxa"/>
            <w:vAlign w:val="bottom"/>
          </w:tcPr>
          <w:p>
            <w:pPr>
              <w:ind w:left="180"/>
              <w:spacing w:after="0"/>
              <w:rPr>
                <w:sz w:val="20"/>
                <w:szCs w:val="20"/>
                <w:color w:val="auto"/>
              </w:rPr>
            </w:pPr>
            <w:r>
              <w:rPr>
                <w:rFonts w:ascii="Arial" w:cs="Arial" w:eastAsia="Arial" w:hAnsi="Arial"/>
                <w:sz w:val="18"/>
                <w:szCs w:val="18"/>
                <w:color w:val="auto"/>
              </w:rPr>
              <w:t>Service cost</w:t>
            </w:r>
          </w:p>
        </w:tc>
        <w:tc>
          <w:tcPr>
            <w:tcW w:w="18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7"/>
        </w:trPr>
        <w:tc>
          <w:tcPr>
            <w:tcW w:w="44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8"/>
        </w:trPr>
        <w:tc>
          <w:tcPr>
            <w:tcW w:w="4400" w:type="dxa"/>
            <w:vAlign w:val="bottom"/>
            <w:shd w:val="clear" w:color="auto" w:fill="CCEEFF"/>
          </w:tcPr>
          <w:p>
            <w:pPr>
              <w:spacing w:after="0"/>
              <w:rPr>
                <w:sz w:val="24"/>
                <w:szCs w:val="24"/>
                <w:color w:val="auto"/>
              </w:rPr>
            </w:pPr>
          </w:p>
        </w:tc>
        <w:tc>
          <w:tcPr>
            <w:tcW w:w="17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400" w:type="dxa"/>
            <w:vAlign w:val="bottom"/>
          </w:tcPr>
          <w:p>
            <w:pPr>
              <w:ind w:left="180"/>
              <w:spacing w:after="0"/>
              <w:rPr>
                <w:sz w:val="20"/>
                <w:szCs w:val="20"/>
                <w:color w:val="auto"/>
              </w:rPr>
            </w:pPr>
            <w:r>
              <w:rPr>
                <w:rFonts w:ascii="Arial" w:cs="Arial" w:eastAsia="Arial" w:hAnsi="Arial"/>
                <w:sz w:val="18"/>
                <w:szCs w:val="18"/>
                <w:color w:val="auto"/>
              </w:rPr>
              <w:t>Interest cost</w:t>
            </w:r>
          </w:p>
        </w:tc>
        <w:tc>
          <w:tcPr>
            <w:tcW w:w="18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0.5</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0.8</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7"/>
        </w:trPr>
        <w:tc>
          <w:tcPr>
            <w:tcW w:w="44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Expected return on plan assets</w:t>
            </w:r>
          </w:p>
        </w:tc>
        <w:tc>
          <w:tcPr>
            <w:tcW w:w="17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43"/>
        </w:trPr>
        <w:tc>
          <w:tcPr>
            <w:tcW w:w="4400" w:type="dxa"/>
            <w:vAlign w:val="bottom"/>
          </w:tcPr>
          <w:p>
            <w:pPr>
              <w:ind w:left="180"/>
              <w:spacing w:after="0"/>
              <w:rPr>
                <w:sz w:val="20"/>
                <w:szCs w:val="20"/>
                <w:color w:val="auto"/>
              </w:rPr>
            </w:pPr>
            <w:r>
              <w:rPr>
                <w:rFonts w:ascii="Arial" w:cs="Arial" w:eastAsia="Arial" w:hAnsi="Arial"/>
                <w:sz w:val="18"/>
                <w:szCs w:val="18"/>
                <w:color w:val="auto"/>
              </w:rPr>
              <w:t>Amortization of net loss</w:t>
            </w:r>
          </w:p>
        </w:tc>
        <w:tc>
          <w:tcPr>
            <w:tcW w:w="1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7"/>
        </w:trPr>
        <w:tc>
          <w:tcPr>
            <w:tcW w:w="44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4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other components</w:t>
            </w:r>
          </w:p>
        </w:tc>
        <w:tc>
          <w:tcPr>
            <w:tcW w:w="174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57"/>
        </w:trPr>
        <w:tc>
          <w:tcPr>
            <w:tcW w:w="4400" w:type="dxa"/>
            <w:vAlign w:val="bottom"/>
          </w:tcPr>
          <w:p>
            <w:pPr>
              <w:ind w:left="20"/>
              <w:spacing w:after="0"/>
              <w:rPr>
                <w:sz w:val="20"/>
                <w:szCs w:val="20"/>
                <w:color w:val="auto"/>
              </w:rPr>
            </w:pPr>
            <w:r>
              <w:rPr>
                <w:rFonts w:ascii="Arial" w:cs="Arial" w:eastAsia="Arial" w:hAnsi="Arial"/>
                <w:sz w:val="18"/>
                <w:szCs w:val="18"/>
                <w:color w:val="auto"/>
              </w:rPr>
              <w:t>Net periodic benefit cost (credit)</w:t>
            </w:r>
          </w:p>
        </w:tc>
        <w:tc>
          <w:tcPr>
            <w:tcW w:w="1740" w:type="dxa"/>
            <w:vAlign w:val="bottom"/>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0"/>
        </w:trPr>
        <w:tc>
          <w:tcPr>
            <w:tcW w:w="4400" w:type="dxa"/>
            <w:vAlign w:val="bottom"/>
          </w:tcPr>
          <w:p>
            <w:pPr>
              <w:spacing w:after="0" w:line="20" w:lineRule="exact"/>
              <w:rPr>
                <w:sz w:val="1"/>
                <w:szCs w:val="1"/>
                <w:color w:val="auto"/>
              </w:rPr>
            </w:pPr>
          </w:p>
        </w:tc>
        <w:tc>
          <w:tcPr>
            <w:tcW w:w="1740" w:type="dxa"/>
            <w:vAlign w:val="bottom"/>
            <w:vMerge w:val="restart"/>
          </w:tcPr>
          <w:p>
            <w:pPr>
              <w:jc w:val="right"/>
              <w:ind w:right="590"/>
              <w:spacing w:after="0"/>
              <w:rPr>
                <w:sz w:val="20"/>
                <w:szCs w:val="20"/>
                <w:color w:val="auto"/>
              </w:rPr>
            </w:pPr>
            <w:r>
              <w:rPr>
                <w:rFonts w:ascii="Arial" w:cs="Arial" w:eastAsia="Arial" w:hAnsi="Arial"/>
                <w:sz w:val="18"/>
                <w:szCs w:val="18"/>
                <w:color w:val="auto"/>
              </w:rPr>
              <w:t>19</w:t>
            </w: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400" w:type="dxa"/>
            <w:vAlign w:val="bottom"/>
          </w:tcPr>
          <w:p>
            <w:pPr>
              <w:spacing w:after="0"/>
              <w:rPr>
                <w:sz w:val="24"/>
                <w:szCs w:val="24"/>
                <w:color w:val="auto"/>
              </w:rPr>
            </w:pPr>
          </w:p>
        </w:tc>
        <w:tc>
          <w:tcPr>
            <w:tcW w:w="174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41" w:right="239" w:bottom="1440" w:gutter="0" w:footer="0" w:header="0"/>
        </w:sectPr>
      </w:pPr>
    </w:p>
    <w:bookmarkStart w:id="22" w:name="page23"/>
    <w:bookmarkEnd w:id="2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480" w:type="dxa"/>
            <w:vAlign w:val="bottom"/>
            <w:gridSpan w:val="3"/>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839"/>
        </w:trPr>
        <w:tc>
          <w:tcPr>
            <w:tcW w:w="340" w:type="dxa"/>
            <w:vAlign w:val="bottom"/>
            <w:tcBorders>
              <w:top w:val="single" w:sz="8" w:color="0000EE"/>
            </w:tcBorders>
          </w:tcPr>
          <w:p>
            <w:pPr>
              <w:spacing w:after="0"/>
              <w:rPr>
                <w:sz w:val="24"/>
                <w:szCs w:val="24"/>
                <w:color w:val="auto"/>
              </w:rPr>
            </w:pPr>
          </w:p>
        </w:tc>
        <w:tc>
          <w:tcPr>
            <w:tcW w:w="940" w:type="dxa"/>
            <w:vAlign w:val="bottom"/>
            <w:tcBorders>
              <w:top w:val="single" w:sz="8" w:color="0000EE"/>
            </w:tcBorders>
          </w:tcPr>
          <w:p>
            <w:pPr>
              <w:spacing w:after="0"/>
              <w:rPr>
                <w:sz w:val="24"/>
                <w:szCs w:val="24"/>
                <w:color w:val="auto"/>
              </w:rPr>
            </w:pPr>
          </w:p>
        </w:tc>
        <w:tc>
          <w:tcPr>
            <w:tcW w:w="5200" w:type="dxa"/>
            <w:vAlign w:val="bottom"/>
          </w:tcPr>
          <w:p>
            <w:pPr>
              <w:spacing w:after="0"/>
              <w:rPr>
                <w:sz w:val="24"/>
                <w:szCs w:val="24"/>
                <w:color w:val="auto"/>
              </w:rPr>
            </w:pPr>
          </w:p>
        </w:tc>
        <w:tc>
          <w:tcPr>
            <w:tcW w:w="2380" w:type="dxa"/>
            <w:vAlign w:val="bottom"/>
            <w:gridSpan w:val="6"/>
          </w:tcPr>
          <w:p>
            <w:pPr>
              <w:ind w:left="100"/>
              <w:spacing w:after="0"/>
              <w:rPr>
                <w:sz w:val="20"/>
                <w:szCs w:val="20"/>
                <w:color w:val="auto"/>
              </w:rPr>
            </w:pPr>
            <w:r>
              <w:rPr>
                <w:rFonts w:ascii="Arial" w:cs="Arial" w:eastAsia="Arial" w:hAnsi="Arial"/>
                <w:sz w:val="18"/>
                <w:szCs w:val="18"/>
                <w:b w:val="1"/>
                <w:bCs w:val="1"/>
                <w:color w:val="auto"/>
                <w:w w:val="96"/>
              </w:rPr>
              <w:t>Six Months Ended June 30,</w:t>
            </w:r>
          </w:p>
        </w:tc>
        <w:tc>
          <w:tcPr>
            <w:tcW w:w="2240" w:type="dxa"/>
            <w:vAlign w:val="bottom"/>
            <w:gridSpan w:val="5"/>
          </w:tcPr>
          <w:p>
            <w:pPr>
              <w:jc w:val="right"/>
              <w:spacing w:after="0"/>
              <w:rPr>
                <w:sz w:val="20"/>
                <w:szCs w:val="20"/>
                <w:color w:val="auto"/>
              </w:rPr>
            </w:pPr>
            <w:r>
              <w:rPr>
                <w:rFonts w:ascii="Arial" w:cs="Arial" w:eastAsia="Arial" w:hAnsi="Arial"/>
                <w:sz w:val="18"/>
                <w:szCs w:val="18"/>
                <w:b w:val="1"/>
                <w:bCs w:val="1"/>
                <w:color w:val="auto"/>
                <w:w w:val="92"/>
              </w:rPr>
              <w:t>Six Months Ended June 30,</w:t>
            </w:r>
          </w:p>
        </w:tc>
      </w:tr>
      <w:tr>
        <w:trPr>
          <w:trHeight w:val="234"/>
        </w:trPr>
        <w:tc>
          <w:tcPr>
            <w:tcW w:w="3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5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gridSpan w:val="3"/>
          </w:tcPr>
          <w:p>
            <w:pPr>
              <w:jc w:val="right"/>
              <w:spacing w:after="0"/>
              <w:rPr>
                <w:sz w:val="20"/>
                <w:szCs w:val="20"/>
                <w:color w:val="auto"/>
              </w:rPr>
            </w:pPr>
            <w:r>
              <w:rPr>
                <w:rFonts w:ascii="Arial" w:cs="Arial" w:eastAsia="Arial" w:hAnsi="Arial"/>
                <w:sz w:val="18"/>
                <w:szCs w:val="18"/>
                <w:b w:val="1"/>
                <w:bCs w:val="1"/>
                <w:color w:val="auto"/>
              </w:rPr>
              <w:t>2019</w:t>
            </w: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3"/>
          </w:tcPr>
          <w:p>
            <w:pPr>
              <w:jc w:val="right"/>
              <w:spacing w:after="0"/>
              <w:rPr>
                <w:sz w:val="20"/>
                <w:szCs w:val="20"/>
                <w:color w:val="auto"/>
              </w:rPr>
            </w:pPr>
            <w:r>
              <w:rPr>
                <w:rFonts w:ascii="Arial" w:cs="Arial" w:eastAsia="Arial" w:hAnsi="Arial"/>
                <w:sz w:val="18"/>
                <w:szCs w:val="18"/>
                <w:b w:val="1"/>
                <w:bCs w:val="1"/>
                <w:color w:val="auto"/>
              </w:rPr>
              <w:t>2018</w:t>
            </w:r>
          </w:p>
        </w:tc>
        <w:tc>
          <w:tcPr>
            <w:tcW w:w="880" w:type="dxa"/>
            <w:vAlign w:val="bottom"/>
          </w:tcPr>
          <w:p>
            <w:pPr>
              <w:spacing w:after="0"/>
              <w:rPr>
                <w:sz w:val="20"/>
                <w:szCs w:val="20"/>
                <w:color w:val="auto"/>
              </w:rPr>
            </w:pPr>
          </w:p>
        </w:tc>
      </w:tr>
      <w:tr>
        <w:trPr>
          <w:trHeight w:val="27"/>
        </w:trPr>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52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340" w:type="dxa"/>
            <w:vAlign w:val="bottom"/>
          </w:tcPr>
          <w:p>
            <w:pPr>
              <w:spacing w:after="0"/>
              <w:rPr>
                <w:sz w:val="20"/>
                <w:szCs w:val="20"/>
                <w:color w:val="auto"/>
              </w:rPr>
            </w:pPr>
          </w:p>
        </w:tc>
        <w:tc>
          <w:tcPr>
            <w:tcW w:w="6140" w:type="dxa"/>
            <w:vAlign w:val="bottom"/>
            <w:gridSpan w:val="2"/>
          </w:tcPr>
          <w:p>
            <w:pPr>
              <w:ind w:left="20"/>
              <w:spacing w:after="0"/>
              <w:rPr>
                <w:sz w:val="20"/>
                <w:szCs w:val="20"/>
                <w:color w:val="auto"/>
              </w:rPr>
            </w:pPr>
            <w:r>
              <w:rPr>
                <w:rFonts w:ascii="Arial" w:cs="Arial" w:eastAsia="Arial" w:hAnsi="Arial"/>
                <w:sz w:val="18"/>
                <w:szCs w:val="18"/>
                <w:i w:val="1"/>
                <w:iCs w:val="1"/>
                <w:color w:val="auto"/>
              </w:rPr>
              <w:t>(in millions)</w:t>
            </w:r>
          </w:p>
        </w:tc>
        <w:tc>
          <w:tcPr>
            <w:tcW w:w="240" w:type="dxa"/>
            <w:vAlign w:val="bottom"/>
          </w:tcPr>
          <w:p>
            <w:pPr>
              <w:spacing w:after="0"/>
              <w:rPr>
                <w:sz w:val="20"/>
                <w:szCs w:val="20"/>
                <w:color w:val="auto"/>
              </w:rPr>
            </w:pPr>
          </w:p>
        </w:tc>
        <w:tc>
          <w:tcPr>
            <w:tcW w:w="980" w:type="dxa"/>
            <w:vAlign w:val="bottom"/>
            <w:gridSpan w:val="2"/>
          </w:tcPr>
          <w:p>
            <w:pPr>
              <w:ind w:left="140"/>
              <w:spacing w:after="0"/>
              <w:rPr>
                <w:sz w:val="20"/>
                <w:szCs w:val="20"/>
                <w:color w:val="auto"/>
              </w:rPr>
            </w:pPr>
            <w:r>
              <w:rPr>
                <w:rFonts w:ascii="Arial" w:cs="Arial" w:eastAsia="Arial" w:hAnsi="Arial"/>
                <w:sz w:val="18"/>
                <w:szCs w:val="18"/>
                <w:b w:val="1"/>
                <w:bCs w:val="1"/>
                <w:color w:val="auto"/>
              </w:rPr>
              <w:t>U.S.</w:t>
            </w:r>
          </w:p>
        </w:tc>
        <w:tc>
          <w:tcPr>
            <w:tcW w:w="160" w:type="dxa"/>
            <w:vAlign w:val="bottom"/>
          </w:tcPr>
          <w:p>
            <w:pPr>
              <w:spacing w:after="0"/>
              <w:rPr>
                <w:sz w:val="20"/>
                <w:szCs w:val="20"/>
                <w:color w:val="auto"/>
              </w:rPr>
            </w:pPr>
          </w:p>
        </w:tc>
        <w:tc>
          <w:tcPr>
            <w:tcW w:w="1000" w:type="dxa"/>
            <w:vAlign w:val="bottom"/>
            <w:gridSpan w:val="2"/>
          </w:tcPr>
          <w:p>
            <w:pPr>
              <w:ind w:left="60"/>
              <w:spacing w:after="0"/>
              <w:rPr>
                <w:sz w:val="20"/>
                <w:szCs w:val="20"/>
                <w:color w:val="auto"/>
              </w:rPr>
            </w:pPr>
            <w:r>
              <w:rPr>
                <w:rFonts w:ascii="Arial" w:cs="Arial" w:eastAsia="Arial" w:hAnsi="Arial"/>
                <w:sz w:val="18"/>
                <w:szCs w:val="18"/>
                <w:b w:val="1"/>
                <w:bCs w:val="1"/>
                <w:color w:val="auto"/>
              </w:rPr>
              <w:t>Canada</w:t>
            </w:r>
          </w:p>
        </w:tc>
        <w:tc>
          <w:tcPr>
            <w:tcW w:w="240" w:type="dxa"/>
            <w:vAlign w:val="bottom"/>
          </w:tcPr>
          <w:p>
            <w:pPr>
              <w:spacing w:after="0"/>
              <w:rPr>
                <w:sz w:val="20"/>
                <w:szCs w:val="20"/>
                <w:color w:val="auto"/>
              </w:rPr>
            </w:pPr>
          </w:p>
        </w:tc>
        <w:tc>
          <w:tcPr>
            <w:tcW w:w="940" w:type="dxa"/>
            <w:vAlign w:val="bottom"/>
            <w:gridSpan w:val="2"/>
          </w:tcPr>
          <w:p>
            <w:pPr>
              <w:ind w:left="140"/>
              <w:spacing w:after="0"/>
              <w:rPr>
                <w:sz w:val="20"/>
                <w:szCs w:val="20"/>
                <w:color w:val="auto"/>
              </w:rPr>
            </w:pPr>
            <w:r>
              <w:rPr>
                <w:rFonts w:ascii="Arial" w:cs="Arial" w:eastAsia="Arial" w:hAnsi="Arial"/>
                <w:sz w:val="18"/>
                <w:szCs w:val="18"/>
                <w:b w:val="1"/>
                <w:bCs w:val="1"/>
                <w:color w:val="auto"/>
              </w:rPr>
              <w:t>U.S.</w:t>
            </w:r>
          </w:p>
        </w:tc>
        <w:tc>
          <w:tcPr>
            <w:tcW w:w="180" w:type="dxa"/>
            <w:vAlign w:val="bottom"/>
          </w:tcPr>
          <w:p>
            <w:pPr>
              <w:spacing w:after="0"/>
              <w:rPr>
                <w:sz w:val="20"/>
                <w:szCs w:val="20"/>
                <w:color w:val="auto"/>
              </w:rPr>
            </w:pPr>
          </w:p>
        </w:tc>
        <w:tc>
          <w:tcPr>
            <w:tcW w:w="880" w:type="dxa"/>
            <w:vAlign w:val="bottom"/>
          </w:tcPr>
          <w:p>
            <w:pPr>
              <w:jc w:val="right"/>
              <w:ind w:right="150"/>
              <w:spacing w:after="0"/>
              <w:rPr>
                <w:sz w:val="20"/>
                <w:szCs w:val="20"/>
                <w:color w:val="auto"/>
              </w:rPr>
            </w:pPr>
            <w:r>
              <w:rPr>
                <w:rFonts w:ascii="Arial" w:cs="Arial" w:eastAsia="Arial" w:hAnsi="Arial"/>
                <w:sz w:val="18"/>
                <w:szCs w:val="18"/>
                <w:b w:val="1"/>
                <w:bCs w:val="1"/>
                <w:color w:val="auto"/>
                <w:w w:val="95"/>
              </w:rPr>
              <w:t>Canada</w:t>
            </w:r>
          </w:p>
        </w:tc>
      </w:tr>
      <w:tr>
        <w:trPr>
          <w:trHeight w:val="27"/>
        </w:trPr>
        <w:tc>
          <w:tcPr>
            <w:tcW w:w="340" w:type="dxa"/>
            <w:vAlign w:val="bottom"/>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52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44"/>
        </w:trPr>
        <w:tc>
          <w:tcPr>
            <w:tcW w:w="340" w:type="dxa"/>
            <w:vAlign w:val="bottom"/>
          </w:tcPr>
          <w:p>
            <w:pPr>
              <w:spacing w:after="0"/>
              <w:rPr>
                <w:sz w:val="21"/>
                <w:szCs w:val="21"/>
                <w:color w:val="auto"/>
              </w:rPr>
            </w:pPr>
          </w:p>
        </w:tc>
        <w:tc>
          <w:tcPr>
            <w:tcW w:w="61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Components of net periodic benefit (credit) cost:</w:t>
            </w: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r>
      <w:tr>
        <w:trPr>
          <w:trHeight w:val="243"/>
        </w:trPr>
        <w:tc>
          <w:tcPr>
            <w:tcW w:w="340" w:type="dxa"/>
            <w:vAlign w:val="bottom"/>
          </w:tcPr>
          <w:p>
            <w:pPr>
              <w:spacing w:after="0"/>
              <w:rPr>
                <w:sz w:val="21"/>
                <w:szCs w:val="21"/>
                <w:color w:val="auto"/>
              </w:rPr>
            </w:pPr>
          </w:p>
        </w:tc>
        <w:tc>
          <w:tcPr>
            <w:tcW w:w="6140" w:type="dxa"/>
            <w:vAlign w:val="bottom"/>
            <w:gridSpan w:val="2"/>
          </w:tcPr>
          <w:p>
            <w:pPr>
              <w:ind w:left="180"/>
              <w:spacing w:after="0"/>
              <w:rPr>
                <w:sz w:val="20"/>
                <w:szCs w:val="20"/>
                <w:color w:val="auto"/>
              </w:rPr>
            </w:pPr>
            <w:r>
              <w:rPr>
                <w:rFonts w:ascii="Arial" w:cs="Arial" w:eastAsia="Arial" w:hAnsi="Arial"/>
                <w:sz w:val="18"/>
                <w:szCs w:val="18"/>
                <w:color w:val="auto"/>
              </w:rPr>
              <w:t>Service cost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0.9</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0.2</w:t>
            </w:r>
          </w:p>
        </w:tc>
      </w:tr>
      <w:tr>
        <w:trPr>
          <w:trHeight w:val="27"/>
        </w:trPr>
        <w:tc>
          <w:tcPr>
            <w:tcW w:w="340" w:type="dxa"/>
            <w:vAlign w:val="bottom"/>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52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318"/>
        </w:trPr>
        <w:tc>
          <w:tcPr>
            <w:tcW w:w="340" w:type="dxa"/>
            <w:vAlign w:val="bottom"/>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52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r>
      <w:tr>
        <w:trPr>
          <w:trHeight w:val="243"/>
        </w:trPr>
        <w:tc>
          <w:tcPr>
            <w:tcW w:w="340" w:type="dxa"/>
            <w:vAlign w:val="bottom"/>
          </w:tcPr>
          <w:p>
            <w:pPr>
              <w:spacing w:after="0"/>
              <w:rPr>
                <w:sz w:val="21"/>
                <w:szCs w:val="21"/>
                <w:color w:val="auto"/>
              </w:rPr>
            </w:pPr>
          </w:p>
        </w:tc>
        <w:tc>
          <w:tcPr>
            <w:tcW w:w="6140" w:type="dxa"/>
            <w:vAlign w:val="bottom"/>
            <w:gridSpan w:val="2"/>
          </w:tcPr>
          <w:p>
            <w:pPr>
              <w:ind w:left="180"/>
              <w:spacing w:after="0"/>
              <w:rPr>
                <w:sz w:val="20"/>
                <w:szCs w:val="20"/>
                <w:color w:val="auto"/>
              </w:rPr>
            </w:pPr>
            <w:r>
              <w:rPr>
                <w:rFonts w:ascii="Arial" w:cs="Arial" w:eastAsia="Arial" w:hAnsi="Arial"/>
                <w:sz w:val="18"/>
                <w:szCs w:val="18"/>
                <w:color w:val="auto"/>
              </w:rPr>
              <w:t>Interest cost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1.1</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1.4</w:t>
            </w:r>
          </w:p>
        </w:tc>
      </w:tr>
      <w:tr>
        <w:trPr>
          <w:trHeight w:val="27"/>
        </w:trPr>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52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340" w:type="dxa"/>
            <w:vAlign w:val="bottom"/>
          </w:tcPr>
          <w:p>
            <w:pPr>
              <w:spacing w:after="0"/>
              <w:rPr>
                <w:sz w:val="21"/>
                <w:szCs w:val="21"/>
                <w:color w:val="auto"/>
              </w:rPr>
            </w:pPr>
          </w:p>
        </w:tc>
        <w:tc>
          <w:tcPr>
            <w:tcW w:w="61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Expected return on plan assets</w:t>
            </w: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r>
      <w:tr>
        <w:trPr>
          <w:trHeight w:val="243"/>
        </w:trPr>
        <w:tc>
          <w:tcPr>
            <w:tcW w:w="340" w:type="dxa"/>
            <w:vAlign w:val="bottom"/>
          </w:tcPr>
          <w:p>
            <w:pPr>
              <w:spacing w:after="0"/>
              <w:rPr>
                <w:sz w:val="21"/>
                <w:szCs w:val="21"/>
                <w:color w:val="auto"/>
              </w:rPr>
            </w:pPr>
          </w:p>
        </w:tc>
        <w:tc>
          <w:tcPr>
            <w:tcW w:w="6140" w:type="dxa"/>
            <w:vAlign w:val="bottom"/>
            <w:gridSpan w:val="2"/>
          </w:tcPr>
          <w:p>
            <w:pPr>
              <w:ind w:left="180"/>
              <w:spacing w:after="0"/>
              <w:rPr>
                <w:sz w:val="20"/>
                <w:szCs w:val="20"/>
                <w:color w:val="auto"/>
              </w:rPr>
            </w:pPr>
            <w:r>
              <w:rPr>
                <w:rFonts w:ascii="Arial" w:cs="Arial" w:eastAsia="Arial" w:hAnsi="Arial"/>
                <w:sz w:val="18"/>
                <w:szCs w:val="18"/>
                <w:color w:val="auto"/>
              </w:rPr>
              <w:t>Amortization of net loss</w:t>
            </w:r>
          </w:p>
        </w:tc>
        <w:tc>
          <w:tcPr>
            <w:tcW w:w="24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0.1</w:t>
            </w:r>
          </w:p>
        </w:tc>
      </w:tr>
      <w:tr>
        <w:trPr>
          <w:trHeight w:val="27"/>
        </w:trPr>
        <w:tc>
          <w:tcPr>
            <w:tcW w:w="340" w:type="dxa"/>
            <w:vAlign w:val="bottom"/>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52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4"/>
        </w:trPr>
        <w:tc>
          <w:tcPr>
            <w:tcW w:w="340" w:type="dxa"/>
            <w:vAlign w:val="bottom"/>
          </w:tcPr>
          <w:p>
            <w:pPr>
              <w:spacing w:after="0"/>
              <w:rPr>
                <w:sz w:val="22"/>
                <w:szCs w:val="22"/>
                <w:color w:val="auto"/>
              </w:rPr>
            </w:pPr>
          </w:p>
        </w:tc>
        <w:tc>
          <w:tcPr>
            <w:tcW w:w="6140" w:type="dxa"/>
            <w:vAlign w:val="bottom"/>
            <w:tcBorders>
              <w:bottom w:val="single" w:sz="8" w:color="CCEEFF"/>
            </w:tcBorders>
            <w:gridSpan w:val="2"/>
            <w:shd w:val="clear" w:color="auto" w:fill="CCEEFF"/>
          </w:tcPr>
          <w:p>
            <w:pPr>
              <w:ind w:left="220"/>
              <w:spacing w:after="0"/>
              <w:rPr>
                <w:sz w:val="20"/>
                <w:szCs w:val="20"/>
                <w:color w:val="auto"/>
              </w:rPr>
            </w:pPr>
            <w:r>
              <w:rPr>
                <w:rFonts w:ascii="Arial" w:cs="Arial" w:eastAsia="Arial" w:hAnsi="Arial"/>
                <w:sz w:val="18"/>
                <w:szCs w:val="18"/>
                <w:color w:val="auto"/>
              </w:rPr>
              <w:t>Total other components</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r>
      <w:tr>
        <w:trPr>
          <w:trHeight w:val="257"/>
        </w:trPr>
        <w:tc>
          <w:tcPr>
            <w:tcW w:w="340" w:type="dxa"/>
            <w:vAlign w:val="bottom"/>
          </w:tcPr>
          <w:p>
            <w:pPr>
              <w:spacing w:after="0"/>
              <w:rPr>
                <w:sz w:val="22"/>
                <w:szCs w:val="22"/>
                <w:color w:val="auto"/>
              </w:rPr>
            </w:pPr>
          </w:p>
        </w:tc>
        <w:tc>
          <w:tcPr>
            <w:tcW w:w="6140" w:type="dxa"/>
            <w:vAlign w:val="bottom"/>
            <w:gridSpan w:val="2"/>
          </w:tcPr>
          <w:p>
            <w:pPr>
              <w:ind w:left="20"/>
              <w:spacing w:after="0"/>
              <w:rPr>
                <w:sz w:val="20"/>
                <w:szCs w:val="20"/>
                <w:color w:val="auto"/>
              </w:rPr>
            </w:pPr>
            <w:r>
              <w:rPr>
                <w:rFonts w:ascii="Arial" w:cs="Arial" w:eastAsia="Arial" w:hAnsi="Arial"/>
                <w:sz w:val="18"/>
                <w:szCs w:val="18"/>
                <w:color w:val="auto"/>
              </w:rPr>
              <w:t>Net periodic benefit (credit) cost</w:t>
            </w: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(0.3)</w:t>
            </w:r>
          </w:p>
        </w:tc>
      </w:tr>
      <w:tr>
        <w:trPr>
          <w:trHeight w:val="20"/>
        </w:trPr>
        <w:tc>
          <w:tcPr>
            <w:tcW w:w="3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The components of net periodic benefit cost (credit) other than the service cost component are included in other (income) expense, net in the Condensed Consolidated Statements of Operations.</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9. FAIR VALUE MEASUREMENTS</w:t>
      </w:r>
    </w:p>
    <w:p>
      <w:pPr>
        <w:spacing w:after="0" w:line="224" w:lineRule="exact"/>
        <w:rPr>
          <w:sz w:val="20"/>
          <w:szCs w:val="20"/>
          <w:color w:val="auto"/>
        </w:rPr>
      </w:pPr>
    </w:p>
    <w:p>
      <w:pPr>
        <w:ind w:firstLine="648"/>
        <w:spacing w:after="0" w:line="259" w:lineRule="auto"/>
        <w:rPr>
          <w:rFonts w:ascii="Arial" w:cs="Arial" w:eastAsia="Arial" w:hAnsi="Arial"/>
          <w:sz w:val="18"/>
          <w:szCs w:val="18"/>
          <w:color w:val="auto"/>
        </w:rPr>
      </w:pPr>
      <w:r>
        <w:rPr>
          <w:rFonts w:ascii="Arial" w:cs="Arial" w:eastAsia="Arial" w:hAnsi="Arial"/>
          <w:sz w:val="18"/>
          <w:szCs w:val="18"/>
          <w:color w:val="auto"/>
        </w:rPr>
        <w:t xml:space="preserve">At June 30, 2019 and December 31, 2018, the carrying amounts of cash, receivables, payables and other components of other current assets and other accrued liabilities approximate their fair values due to the short maturity of these items. Borrowings under the ABL Facility are at variable market interest rates and, accordingly, the carrying amount approximates fair value. See </w:t>
      </w:r>
      <w:hyperlink w:anchor="page20">
        <w:r>
          <w:rPr>
            <w:rFonts w:ascii="Arial" w:cs="Arial" w:eastAsia="Arial" w:hAnsi="Arial"/>
            <w:sz w:val="18"/>
            <w:szCs w:val="18"/>
            <w:u w:val="single" w:color="auto"/>
            <w:color w:val="0000EE"/>
          </w:rPr>
          <w:t>Note 5, Debt and Other Obligations</w:t>
        </w:r>
      </w:hyperlink>
      <w:r>
        <w:rPr>
          <w:rFonts w:ascii="Arial" w:cs="Arial" w:eastAsia="Arial" w:hAnsi="Arial"/>
          <w:sz w:val="18"/>
          <w:szCs w:val="18"/>
          <w:color w:val="auto"/>
        </w:rPr>
        <w:t>, for additional information regarding the Company's ABL Facility.</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Company's liabilities disclosed at fair value at June 30, 2019 were as follows:</w:t>
      </w:r>
    </w:p>
    <w:p>
      <w:pPr>
        <w:spacing w:after="0" w:line="383" w:lineRule="exact"/>
        <w:rPr>
          <w:sz w:val="20"/>
          <w:szCs w:val="20"/>
          <w:color w:val="auto"/>
        </w:rPr>
      </w:pPr>
    </w:p>
    <w:tbl>
      <w:tblPr>
        <w:tblLayout w:type="fixed"/>
        <w:tblInd w:w="1120" w:type="dxa"/>
        <w:tblCellMar>
          <w:top w:w="0" w:type="dxa"/>
          <w:left w:w="0" w:type="dxa"/>
          <w:bottom w:w="0" w:type="dxa"/>
          <w:right w:w="0" w:type="dxa"/>
        </w:tblCellMar>
      </w:tblPr>
      <w:tr>
        <w:trPr>
          <w:trHeight w:val="234"/>
        </w:trPr>
        <w:tc>
          <w:tcPr>
            <w:tcW w:w="338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300" w:type="dxa"/>
            <w:vAlign w:val="bottom"/>
          </w:tcPr>
          <w:p>
            <w:pPr>
              <w:spacing w:after="0"/>
              <w:rPr>
                <w:sz w:val="20"/>
                <w:szCs w:val="20"/>
                <w:color w:val="auto"/>
              </w:rPr>
            </w:pPr>
          </w:p>
        </w:tc>
        <w:tc>
          <w:tcPr>
            <w:tcW w:w="1280" w:type="dxa"/>
            <w:vAlign w:val="bottom"/>
          </w:tcPr>
          <w:p>
            <w:pPr>
              <w:jc w:val="right"/>
              <w:ind w:right="610"/>
              <w:spacing w:after="0"/>
              <w:rPr>
                <w:sz w:val="20"/>
                <w:szCs w:val="20"/>
                <w:color w:val="auto"/>
              </w:rPr>
            </w:pPr>
            <w:r>
              <w:rPr>
                <w:rFonts w:ascii="Arial" w:cs="Arial" w:eastAsia="Arial" w:hAnsi="Arial"/>
                <w:sz w:val="18"/>
                <w:szCs w:val="18"/>
                <w:b w:val="1"/>
                <w:bCs w:val="1"/>
                <w:color w:val="auto"/>
              </w:rPr>
              <w:t>Total</w:t>
            </w:r>
          </w:p>
        </w:tc>
        <w:tc>
          <w:tcPr>
            <w:tcW w:w="1620" w:type="dxa"/>
            <w:vAlign w:val="bottom"/>
          </w:tcPr>
          <w:p>
            <w:pPr>
              <w:jc w:val="right"/>
              <w:ind w:right="670"/>
              <w:spacing w:after="0"/>
              <w:rPr>
                <w:sz w:val="20"/>
                <w:szCs w:val="20"/>
                <w:color w:val="auto"/>
              </w:rPr>
            </w:pPr>
            <w:r>
              <w:rPr>
                <w:rFonts w:ascii="Arial" w:cs="Arial" w:eastAsia="Arial" w:hAnsi="Arial"/>
                <w:sz w:val="18"/>
                <w:szCs w:val="18"/>
                <w:b w:val="1"/>
                <w:bCs w:val="1"/>
                <w:color w:val="auto"/>
              </w:rPr>
              <w:t>Level 1</w:t>
            </w:r>
          </w:p>
        </w:tc>
        <w:tc>
          <w:tcPr>
            <w:tcW w:w="1340" w:type="dxa"/>
            <w:vAlign w:val="bottom"/>
          </w:tcPr>
          <w:p>
            <w:pPr>
              <w:jc w:val="right"/>
              <w:ind w:right="550"/>
              <w:spacing w:after="0"/>
              <w:rPr>
                <w:sz w:val="20"/>
                <w:szCs w:val="20"/>
                <w:color w:val="auto"/>
              </w:rPr>
            </w:pPr>
            <w:r>
              <w:rPr>
                <w:rFonts w:ascii="Arial" w:cs="Arial" w:eastAsia="Arial" w:hAnsi="Arial"/>
                <w:sz w:val="18"/>
                <w:szCs w:val="18"/>
                <w:b w:val="1"/>
                <w:bCs w:val="1"/>
                <w:color w:val="auto"/>
              </w:rPr>
              <w:t>Level 2</w:t>
            </w:r>
          </w:p>
        </w:tc>
        <w:tc>
          <w:tcPr>
            <w:tcW w:w="1260" w:type="dxa"/>
            <w:vAlign w:val="bottom"/>
          </w:tcPr>
          <w:p>
            <w:pPr>
              <w:jc w:val="right"/>
              <w:ind w:right="310"/>
              <w:spacing w:after="0"/>
              <w:rPr>
                <w:sz w:val="20"/>
                <w:szCs w:val="20"/>
                <w:color w:val="auto"/>
              </w:rPr>
            </w:pPr>
            <w:r>
              <w:rPr>
                <w:rFonts w:ascii="Arial" w:cs="Arial" w:eastAsia="Arial" w:hAnsi="Arial"/>
                <w:sz w:val="18"/>
                <w:szCs w:val="18"/>
                <w:b w:val="1"/>
                <w:bCs w:val="1"/>
                <w:color w:val="auto"/>
              </w:rPr>
              <w:t>Level 3</w:t>
            </w:r>
          </w:p>
        </w:tc>
      </w:tr>
      <w:tr>
        <w:trPr>
          <w:trHeight w:val="27"/>
        </w:trPr>
        <w:tc>
          <w:tcPr>
            <w:tcW w:w="33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3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ABL Facility</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757.1</w:t>
            </w:r>
          </w:p>
        </w:tc>
        <w:tc>
          <w:tcPr>
            <w:tcW w:w="16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757.1</w:t>
            </w: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3380" w:type="dxa"/>
            <w:vAlign w:val="bottom"/>
          </w:tcPr>
          <w:p>
            <w:pPr>
              <w:ind w:left="40"/>
              <w:spacing w:after="0"/>
              <w:rPr>
                <w:sz w:val="20"/>
                <w:szCs w:val="20"/>
                <w:color w:val="auto"/>
              </w:rPr>
            </w:pPr>
            <w:r>
              <w:rPr>
                <w:rFonts w:ascii="Arial" w:cs="Arial" w:eastAsia="Arial" w:hAnsi="Arial"/>
                <w:sz w:val="18"/>
                <w:szCs w:val="18"/>
                <w:color w:val="auto"/>
              </w:rPr>
              <w:t>TRA contingent liability</w:t>
            </w:r>
          </w:p>
        </w:tc>
        <w:tc>
          <w:tcPr>
            <w:tcW w:w="300" w:type="dxa"/>
            <w:vAlign w:val="bottom"/>
          </w:tcPr>
          <w:p>
            <w:pPr>
              <w:spacing w:after="0"/>
              <w:rPr>
                <w:sz w:val="21"/>
                <w:szCs w:val="21"/>
                <w:color w:val="auto"/>
              </w:rPr>
            </w:pPr>
          </w:p>
        </w:tc>
        <w:tc>
          <w:tcPr>
            <w:tcW w:w="1280" w:type="dxa"/>
            <w:vAlign w:val="bottom"/>
          </w:tcPr>
          <w:p>
            <w:pPr>
              <w:jc w:val="right"/>
              <w:ind w:right="210"/>
              <w:spacing w:after="0"/>
              <w:rPr>
                <w:sz w:val="20"/>
                <w:szCs w:val="20"/>
                <w:color w:val="auto"/>
              </w:rPr>
            </w:pPr>
            <w:r>
              <w:rPr>
                <w:rFonts w:ascii="Arial" w:cs="Arial" w:eastAsia="Arial" w:hAnsi="Arial"/>
                <w:sz w:val="18"/>
                <w:szCs w:val="18"/>
                <w:color w:val="auto"/>
              </w:rPr>
              <w:t>32.6</w:t>
            </w:r>
          </w:p>
        </w:tc>
        <w:tc>
          <w:tcPr>
            <w:tcW w:w="16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32.6</w:t>
            </w:r>
          </w:p>
        </w:tc>
      </w:tr>
      <w:tr>
        <w:trPr>
          <w:trHeight w:val="27"/>
        </w:trPr>
        <w:tc>
          <w:tcPr>
            <w:tcW w:w="3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43"/>
        </w:trPr>
        <w:tc>
          <w:tcPr>
            <w:tcW w:w="3380" w:type="dxa"/>
            <w:vAlign w:val="bottom"/>
            <w:shd w:val="clear" w:color="auto" w:fill="CCEEFF"/>
          </w:tcPr>
          <w:p>
            <w:pPr>
              <w:ind w:left="40"/>
              <w:spacing w:after="0"/>
              <w:rPr>
                <w:sz w:val="20"/>
                <w:szCs w:val="20"/>
                <w:color w:val="auto"/>
              </w:rPr>
            </w:pPr>
            <w:r>
              <w:rPr>
                <w:rFonts w:ascii="Arial" w:cs="Arial" w:eastAsia="Arial" w:hAnsi="Arial"/>
                <w:sz w:val="18"/>
                <w:szCs w:val="18"/>
                <w:color w:val="auto"/>
              </w:rPr>
              <w:t>AAC contingent consideration</w:t>
            </w:r>
          </w:p>
        </w:tc>
        <w:tc>
          <w:tcPr>
            <w:tcW w:w="300" w:type="dxa"/>
            <w:vAlign w:val="bottom"/>
            <w:shd w:val="clear" w:color="auto" w:fill="CCEEFF"/>
          </w:tcPr>
          <w:p>
            <w:pPr>
              <w:spacing w:after="0"/>
              <w:rPr>
                <w:sz w:val="21"/>
                <w:szCs w:val="21"/>
                <w:color w:val="auto"/>
              </w:rPr>
            </w:pPr>
          </w:p>
        </w:tc>
        <w:tc>
          <w:tcPr>
            <w:tcW w:w="12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22.5</w:t>
            </w:r>
          </w:p>
        </w:tc>
        <w:tc>
          <w:tcPr>
            <w:tcW w:w="162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w:t>
            </w:r>
          </w:p>
        </w:tc>
      </w:tr>
      <w:tr>
        <w:trPr>
          <w:trHeight w:val="27"/>
        </w:trPr>
        <w:tc>
          <w:tcPr>
            <w:tcW w:w="338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62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26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Company's liabilities disclosed at fair value at December 31, 2018 were as follows:</w:t>
      </w:r>
    </w:p>
    <w:p>
      <w:pPr>
        <w:spacing w:after="0" w:line="383" w:lineRule="exact"/>
        <w:rPr>
          <w:sz w:val="20"/>
          <w:szCs w:val="20"/>
          <w:color w:val="auto"/>
        </w:rPr>
      </w:pPr>
    </w:p>
    <w:tbl>
      <w:tblPr>
        <w:tblLayout w:type="fixed"/>
        <w:tblInd w:w="1120" w:type="dxa"/>
        <w:tblCellMar>
          <w:top w:w="0" w:type="dxa"/>
          <w:left w:w="0" w:type="dxa"/>
          <w:bottom w:w="0" w:type="dxa"/>
          <w:right w:w="0" w:type="dxa"/>
        </w:tblCellMar>
      </w:tblPr>
      <w:tr>
        <w:trPr>
          <w:trHeight w:val="234"/>
        </w:trPr>
        <w:tc>
          <w:tcPr>
            <w:tcW w:w="338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80" w:type="dxa"/>
            <w:vAlign w:val="bottom"/>
          </w:tcPr>
          <w:p>
            <w:pPr>
              <w:spacing w:after="0"/>
              <w:rPr>
                <w:sz w:val="20"/>
                <w:szCs w:val="20"/>
                <w:color w:val="auto"/>
              </w:rPr>
            </w:pPr>
          </w:p>
        </w:tc>
        <w:tc>
          <w:tcPr>
            <w:tcW w:w="1300" w:type="dxa"/>
            <w:vAlign w:val="bottom"/>
          </w:tcPr>
          <w:p>
            <w:pPr>
              <w:jc w:val="right"/>
              <w:ind w:right="610"/>
              <w:spacing w:after="0"/>
              <w:rPr>
                <w:sz w:val="20"/>
                <w:szCs w:val="20"/>
                <w:color w:val="auto"/>
              </w:rPr>
            </w:pPr>
            <w:r>
              <w:rPr>
                <w:rFonts w:ascii="Arial" w:cs="Arial" w:eastAsia="Arial" w:hAnsi="Arial"/>
                <w:sz w:val="18"/>
                <w:szCs w:val="18"/>
                <w:b w:val="1"/>
                <w:bCs w:val="1"/>
                <w:color w:val="auto"/>
              </w:rPr>
              <w:t>Total</w:t>
            </w:r>
          </w:p>
        </w:tc>
        <w:tc>
          <w:tcPr>
            <w:tcW w:w="1640" w:type="dxa"/>
            <w:vAlign w:val="bottom"/>
          </w:tcPr>
          <w:p>
            <w:pPr>
              <w:jc w:val="right"/>
              <w:ind w:right="690"/>
              <w:spacing w:after="0"/>
              <w:rPr>
                <w:sz w:val="20"/>
                <w:szCs w:val="20"/>
                <w:color w:val="auto"/>
              </w:rPr>
            </w:pPr>
            <w:r>
              <w:rPr>
                <w:rFonts w:ascii="Arial" w:cs="Arial" w:eastAsia="Arial" w:hAnsi="Arial"/>
                <w:sz w:val="18"/>
                <w:szCs w:val="18"/>
                <w:b w:val="1"/>
                <w:bCs w:val="1"/>
                <w:color w:val="auto"/>
              </w:rPr>
              <w:t>Level 1</w:t>
            </w:r>
          </w:p>
        </w:tc>
        <w:tc>
          <w:tcPr>
            <w:tcW w:w="1320" w:type="dxa"/>
            <w:vAlign w:val="bottom"/>
          </w:tcPr>
          <w:p>
            <w:pPr>
              <w:jc w:val="right"/>
              <w:ind w:right="530"/>
              <w:spacing w:after="0"/>
              <w:rPr>
                <w:sz w:val="20"/>
                <w:szCs w:val="20"/>
                <w:color w:val="auto"/>
              </w:rPr>
            </w:pPr>
            <w:r>
              <w:rPr>
                <w:rFonts w:ascii="Arial" w:cs="Arial" w:eastAsia="Arial" w:hAnsi="Arial"/>
                <w:sz w:val="18"/>
                <w:szCs w:val="18"/>
                <w:b w:val="1"/>
                <w:bCs w:val="1"/>
                <w:color w:val="auto"/>
              </w:rPr>
              <w:t>Level 2</w:t>
            </w:r>
          </w:p>
        </w:tc>
        <w:tc>
          <w:tcPr>
            <w:tcW w:w="1280" w:type="dxa"/>
            <w:vAlign w:val="bottom"/>
          </w:tcPr>
          <w:p>
            <w:pPr>
              <w:jc w:val="right"/>
              <w:ind w:right="330"/>
              <w:spacing w:after="0"/>
              <w:rPr>
                <w:sz w:val="20"/>
                <w:szCs w:val="20"/>
                <w:color w:val="auto"/>
              </w:rPr>
            </w:pPr>
            <w:r>
              <w:rPr>
                <w:rFonts w:ascii="Arial" w:cs="Arial" w:eastAsia="Arial" w:hAnsi="Arial"/>
                <w:sz w:val="18"/>
                <w:szCs w:val="18"/>
                <w:b w:val="1"/>
                <w:bCs w:val="1"/>
                <w:color w:val="auto"/>
              </w:rPr>
              <w:t>Level 3</w:t>
            </w:r>
          </w:p>
        </w:tc>
      </w:tr>
      <w:tr>
        <w:trPr>
          <w:trHeight w:val="27"/>
        </w:trPr>
        <w:tc>
          <w:tcPr>
            <w:tcW w:w="3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ABL Facility</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932.1</w:t>
            </w:r>
          </w:p>
        </w:tc>
        <w:tc>
          <w:tcPr>
            <w:tcW w:w="16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932.1</w:t>
            </w:r>
          </w:p>
        </w:tc>
        <w:tc>
          <w:tcPr>
            <w:tcW w:w="1280" w:type="dxa"/>
            <w:vAlign w:val="bottom"/>
            <w:tcBorders>
              <w:bottom w:val="single" w:sz="8" w:color="CCEEFF"/>
            </w:tcBorders>
            <w:shd w:val="clear" w:color="auto" w:fill="CCEEFF"/>
          </w:tcPr>
          <w:p>
            <w:pPr>
              <w:spacing w:after="0"/>
              <w:rPr>
                <w:sz w:val="21"/>
                <w:szCs w:val="21"/>
                <w:color w:val="auto"/>
              </w:rPr>
            </w:pPr>
          </w:p>
        </w:tc>
      </w:tr>
      <w:tr>
        <w:trPr>
          <w:trHeight w:val="243"/>
        </w:trPr>
        <w:tc>
          <w:tcPr>
            <w:tcW w:w="3380" w:type="dxa"/>
            <w:vAlign w:val="bottom"/>
          </w:tcPr>
          <w:p>
            <w:pPr>
              <w:ind w:left="20"/>
              <w:spacing w:after="0"/>
              <w:rPr>
                <w:sz w:val="20"/>
                <w:szCs w:val="20"/>
                <w:color w:val="auto"/>
              </w:rPr>
            </w:pPr>
            <w:r>
              <w:rPr>
                <w:rFonts w:ascii="Arial" w:cs="Arial" w:eastAsia="Arial" w:hAnsi="Arial"/>
                <w:sz w:val="18"/>
                <w:szCs w:val="18"/>
                <w:color w:val="auto"/>
              </w:rPr>
              <w:t>TRA contingent liability</w:t>
            </w:r>
          </w:p>
        </w:tc>
        <w:tc>
          <w:tcPr>
            <w:tcW w:w="280" w:type="dxa"/>
            <w:vAlign w:val="bottom"/>
          </w:tcPr>
          <w:p>
            <w:pPr>
              <w:spacing w:after="0"/>
              <w:rPr>
                <w:sz w:val="21"/>
                <w:szCs w:val="21"/>
                <w:color w:val="auto"/>
              </w:rPr>
            </w:pPr>
          </w:p>
        </w:tc>
        <w:tc>
          <w:tcPr>
            <w:tcW w:w="1300" w:type="dxa"/>
            <w:vAlign w:val="bottom"/>
          </w:tcPr>
          <w:p>
            <w:pPr>
              <w:jc w:val="right"/>
              <w:ind w:right="210"/>
              <w:spacing w:after="0"/>
              <w:rPr>
                <w:sz w:val="20"/>
                <w:szCs w:val="20"/>
                <w:color w:val="auto"/>
              </w:rPr>
            </w:pPr>
            <w:r>
              <w:rPr>
                <w:rFonts w:ascii="Arial" w:cs="Arial" w:eastAsia="Arial" w:hAnsi="Arial"/>
                <w:sz w:val="18"/>
                <w:szCs w:val="18"/>
                <w:color w:val="auto"/>
              </w:rPr>
              <w:t>38.9</w:t>
            </w:r>
          </w:p>
        </w:tc>
        <w:tc>
          <w:tcPr>
            <w:tcW w:w="16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38.9</w:t>
            </w:r>
          </w:p>
        </w:tc>
      </w:tr>
      <w:tr>
        <w:trPr>
          <w:trHeight w:val="27"/>
        </w:trPr>
        <w:tc>
          <w:tcPr>
            <w:tcW w:w="3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43"/>
        </w:trPr>
        <w:tc>
          <w:tcPr>
            <w:tcW w:w="33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AAC contingent consideration</w:t>
            </w:r>
          </w:p>
        </w:tc>
        <w:tc>
          <w:tcPr>
            <w:tcW w:w="28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9.4</w:t>
            </w:r>
          </w:p>
        </w:tc>
        <w:tc>
          <w:tcPr>
            <w:tcW w:w="1640" w:type="dxa"/>
            <w:vAlign w:val="bottom"/>
            <w:shd w:val="clear" w:color="auto" w:fill="CCEEFF"/>
          </w:tcPr>
          <w:p>
            <w:pPr>
              <w:spacing w:after="0"/>
              <w:rPr>
                <w:sz w:val="21"/>
                <w:szCs w:val="21"/>
                <w:color w:val="auto"/>
              </w:rPr>
            </w:pPr>
          </w:p>
        </w:tc>
        <w:tc>
          <w:tcPr>
            <w:tcW w:w="1320" w:type="dxa"/>
            <w:vAlign w:val="bottom"/>
            <w:shd w:val="clear" w:color="auto" w:fill="CCEEFF"/>
          </w:tcPr>
          <w:p>
            <w:pPr>
              <w:spacing w:after="0"/>
              <w:rPr>
                <w:sz w:val="21"/>
                <w:szCs w:val="21"/>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9.4</w:t>
            </w:r>
          </w:p>
        </w:tc>
      </w:tr>
      <w:tr>
        <w:trPr>
          <w:trHeight w:val="27"/>
        </w:trPr>
        <w:tc>
          <w:tcPr>
            <w:tcW w:w="338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c>
          <w:tcPr>
            <w:tcW w:w="164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right="80" w:firstLine="648"/>
        <w:spacing w:after="0" w:line="286" w:lineRule="auto"/>
        <w:rPr>
          <w:sz w:val="20"/>
          <w:szCs w:val="20"/>
          <w:color w:val="auto"/>
        </w:rPr>
      </w:pPr>
      <w:r>
        <w:rPr>
          <w:rFonts w:ascii="Arial" w:cs="Arial" w:eastAsia="Arial" w:hAnsi="Arial"/>
          <w:sz w:val="16"/>
          <w:szCs w:val="16"/>
          <w:color w:val="auto"/>
        </w:rPr>
        <w:t>At the time of the Merger, the Company recorded a $59.4 million contingent liability associated with the TRA at fair value using a discounted cash flow model that reflected management's expectations about probability of payment. The fair value of the TRA contingent liability is a Level 3 measurement, which relied upon both Level 2 data (publicly observable data such as market interest rates) and Level 3 data (internal data such as the Company’s projected revenues, taxable income and assumptions about the utilization of Unisource’s NOLs, attributable to taxable periods prior to the Merger, by the Company).</w:t>
      </w:r>
    </w:p>
    <w:p>
      <w:pPr>
        <w:spacing w:after="0" w:line="2"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The amount payable under the TRA is contingent on the Company generating a certain level of taxable income prior to the expiration of the NOL carry-forwards. Moreover, future trading of Company stock by significant shareholders may result in additional ownership changes as defined under Section 382 of the Internal Revenue Code, further limiting the use of Unisource's NOLs and the amount ultimately payable under the TRA. The contingent liability is remeasured at fair value at each reporting period-end with the change in fair value recognized in other (income) expense, net on the Condensed Consolidated Statements of Operations. At June 30, 2019, the Company remeasured the contingent liability using a discount rate of 4.3% (Moody's daily long-term corporate BAA bond yield). For the TRA contingent liability, there have been no</w:t>
      </w:r>
    </w:p>
    <w:p>
      <w:pPr>
        <w:spacing w:after="0" w:line="20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60"/>
          </w:cols>
          <w:pgMar w:left="240" w:top="324" w:right="29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transfers between the fair value measurement levels for the three and six months ended June 30, 2019. The Company recognizes transfers between the fair value measurement levels at the end of the reporting period.</w:t>
      </w:r>
    </w:p>
    <w:p>
      <w:pPr>
        <w:spacing w:after="0" w:line="14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provides a reconciliation of the beginning and ending balance of the TRA contingent liability for the three and six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2019:</w:t>
      </w:r>
    </w:p>
    <w:p>
      <w:pPr>
        <w:spacing w:after="0" w:line="369" w:lineRule="exact"/>
        <w:rPr>
          <w:sz w:val="20"/>
          <w:szCs w:val="20"/>
          <w:color w:val="auto"/>
        </w:rPr>
      </w:pPr>
    </w:p>
    <w:tbl>
      <w:tblPr>
        <w:tblLayout w:type="fixed"/>
        <w:tblInd w:w="920" w:type="dxa"/>
        <w:tblCellMar>
          <w:top w:w="0" w:type="dxa"/>
          <w:left w:w="0" w:type="dxa"/>
          <w:bottom w:w="0" w:type="dxa"/>
          <w:right w:w="0" w:type="dxa"/>
        </w:tblCellMar>
      </w:tblPr>
      <w:tr>
        <w:trPr>
          <w:trHeight w:val="234"/>
        </w:trPr>
        <w:tc>
          <w:tcPr>
            <w:tcW w:w="678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60" w:type="dxa"/>
            <w:vAlign w:val="bottom"/>
          </w:tcPr>
          <w:p>
            <w:pPr>
              <w:spacing w:after="0"/>
              <w:rPr>
                <w:sz w:val="20"/>
                <w:szCs w:val="20"/>
                <w:color w:val="auto"/>
              </w:rPr>
            </w:pPr>
          </w:p>
        </w:tc>
        <w:tc>
          <w:tcPr>
            <w:tcW w:w="2540" w:type="dxa"/>
            <w:vAlign w:val="bottom"/>
          </w:tcPr>
          <w:p>
            <w:pPr>
              <w:jc w:val="right"/>
              <w:ind w:right="310"/>
              <w:spacing w:after="0"/>
              <w:rPr>
                <w:sz w:val="20"/>
                <w:szCs w:val="20"/>
                <w:color w:val="auto"/>
              </w:rPr>
            </w:pPr>
            <w:r>
              <w:rPr>
                <w:rFonts w:ascii="Arial" w:cs="Arial" w:eastAsia="Arial" w:hAnsi="Arial"/>
                <w:sz w:val="18"/>
                <w:szCs w:val="18"/>
                <w:b w:val="1"/>
                <w:bCs w:val="1"/>
                <w:color w:val="auto"/>
              </w:rPr>
              <w:t>TRA Contingent Liability</w:t>
            </w:r>
          </w:p>
        </w:tc>
      </w:tr>
      <w:tr>
        <w:trPr>
          <w:trHeight w:val="27"/>
        </w:trPr>
        <w:tc>
          <w:tcPr>
            <w:tcW w:w="6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244"/>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2018</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38.9</w:t>
            </w:r>
          </w:p>
        </w:tc>
      </w:tr>
      <w:tr>
        <w:trPr>
          <w:trHeight w:val="243"/>
        </w:trPr>
        <w:tc>
          <w:tcPr>
            <w:tcW w:w="6780" w:type="dxa"/>
            <w:vAlign w:val="bottom"/>
          </w:tcPr>
          <w:p>
            <w:pPr>
              <w:ind w:left="40"/>
              <w:spacing w:after="0"/>
              <w:rPr>
                <w:sz w:val="20"/>
                <w:szCs w:val="20"/>
                <w:color w:val="auto"/>
              </w:rPr>
            </w:pPr>
            <w:r>
              <w:rPr>
                <w:rFonts w:ascii="Arial" w:cs="Arial" w:eastAsia="Arial" w:hAnsi="Arial"/>
                <w:sz w:val="18"/>
                <w:szCs w:val="18"/>
                <w:color w:val="auto"/>
              </w:rPr>
              <w:t>Change in fair value adjustment recorded in other (income) expense, net</w:t>
            </w:r>
          </w:p>
        </w:tc>
        <w:tc>
          <w:tcPr>
            <w:tcW w:w="260" w:type="dxa"/>
            <w:vAlign w:val="bottom"/>
          </w:tcPr>
          <w:p>
            <w:pPr>
              <w:spacing w:after="0"/>
              <w:rPr>
                <w:sz w:val="21"/>
                <w:szCs w:val="21"/>
                <w:color w:val="auto"/>
              </w:rPr>
            </w:pPr>
          </w:p>
        </w:tc>
        <w:tc>
          <w:tcPr>
            <w:tcW w:w="2540" w:type="dxa"/>
            <w:vAlign w:val="bottom"/>
          </w:tcPr>
          <w:p>
            <w:pPr>
              <w:jc w:val="right"/>
              <w:ind w:right="10"/>
              <w:spacing w:after="0"/>
              <w:rPr>
                <w:sz w:val="20"/>
                <w:szCs w:val="20"/>
                <w:color w:val="auto"/>
              </w:rPr>
            </w:pPr>
            <w:r>
              <w:rPr>
                <w:rFonts w:ascii="Arial" w:cs="Arial" w:eastAsia="Arial" w:hAnsi="Arial"/>
                <w:sz w:val="18"/>
                <w:szCs w:val="18"/>
                <w:color w:val="auto"/>
              </w:rPr>
              <w:t>0.9</w:t>
            </w:r>
          </w:p>
        </w:tc>
      </w:tr>
      <w:tr>
        <w:trPr>
          <w:trHeight w:val="27"/>
        </w:trPr>
        <w:tc>
          <w:tcPr>
            <w:tcW w:w="6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540" w:type="dxa"/>
            <w:vAlign w:val="bottom"/>
          </w:tcPr>
          <w:p>
            <w:pPr>
              <w:spacing w:after="0"/>
              <w:rPr>
                <w:sz w:val="2"/>
                <w:szCs w:val="2"/>
                <w:color w:val="auto"/>
              </w:rPr>
            </w:pPr>
          </w:p>
        </w:tc>
      </w:tr>
      <w:tr>
        <w:trPr>
          <w:trHeight w:val="270"/>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Principal payment</w:t>
            </w:r>
          </w:p>
        </w:tc>
        <w:tc>
          <w:tcPr>
            <w:tcW w:w="260" w:type="dxa"/>
            <w:vAlign w:val="bottom"/>
            <w:tcBorders>
              <w:bottom w:val="single" w:sz="8" w:color="CCEEFF"/>
            </w:tcBorders>
            <w:shd w:val="clear" w:color="auto" w:fill="CCEEFF"/>
          </w:tcPr>
          <w:p>
            <w:pPr>
              <w:spacing w:after="0"/>
              <w:rPr>
                <w:sz w:val="23"/>
                <w:szCs w:val="23"/>
                <w:color w:val="auto"/>
              </w:rPr>
            </w:pPr>
          </w:p>
        </w:tc>
        <w:tc>
          <w:tcPr>
            <w:tcW w:w="2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w:t>
            </w:r>
          </w:p>
        </w:tc>
      </w:tr>
      <w:tr>
        <w:trPr>
          <w:trHeight w:val="237"/>
        </w:trPr>
        <w:tc>
          <w:tcPr>
            <w:tcW w:w="6780" w:type="dxa"/>
            <w:vAlign w:val="bottom"/>
          </w:tcPr>
          <w:p>
            <w:pPr>
              <w:ind w:left="40"/>
              <w:spacing w:after="0"/>
              <w:rPr>
                <w:sz w:val="20"/>
                <w:szCs w:val="20"/>
                <w:color w:val="auto"/>
              </w:rPr>
            </w:pPr>
            <w:r>
              <w:rPr>
                <w:rFonts w:ascii="Arial" w:cs="Arial" w:eastAsia="Arial" w:hAnsi="Arial"/>
                <w:sz w:val="18"/>
                <w:szCs w:val="18"/>
                <w:color w:val="auto"/>
              </w:rPr>
              <w:t>Balance at March 31, 2019</w:t>
            </w:r>
          </w:p>
        </w:tc>
        <w:tc>
          <w:tcPr>
            <w:tcW w:w="260" w:type="dxa"/>
            <w:vAlign w:val="bottom"/>
            <w:tcBorders>
              <w:top w:val="single" w:sz="8" w:color="auto"/>
            </w:tcBorders>
          </w:tcPr>
          <w:p>
            <w:pPr>
              <w:spacing w:after="0"/>
              <w:rPr>
                <w:sz w:val="20"/>
                <w:szCs w:val="20"/>
                <w:color w:val="auto"/>
              </w:rPr>
            </w:pPr>
          </w:p>
        </w:tc>
        <w:tc>
          <w:tcPr>
            <w:tcW w:w="2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32.0</w:t>
            </w:r>
          </w:p>
        </w:tc>
      </w:tr>
      <w:tr>
        <w:trPr>
          <w:trHeight w:val="27"/>
        </w:trPr>
        <w:tc>
          <w:tcPr>
            <w:tcW w:w="6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540" w:type="dxa"/>
            <w:vAlign w:val="bottom"/>
          </w:tcPr>
          <w:p>
            <w:pPr>
              <w:spacing w:after="0"/>
              <w:rPr>
                <w:sz w:val="2"/>
                <w:szCs w:val="2"/>
                <w:color w:val="auto"/>
              </w:rPr>
            </w:pPr>
          </w:p>
        </w:tc>
      </w:tr>
      <w:tr>
        <w:trPr>
          <w:trHeight w:val="270"/>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fair value adjustment recorded in other (income) expense, net</w:t>
            </w:r>
          </w:p>
        </w:tc>
        <w:tc>
          <w:tcPr>
            <w:tcW w:w="260" w:type="dxa"/>
            <w:vAlign w:val="bottom"/>
            <w:tcBorders>
              <w:bottom w:val="single" w:sz="8" w:color="CCEEFF"/>
            </w:tcBorders>
            <w:shd w:val="clear" w:color="auto" w:fill="CCEEFF"/>
          </w:tcPr>
          <w:p>
            <w:pPr>
              <w:spacing w:after="0"/>
              <w:rPr>
                <w:sz w:val="23"/>
                <w:szCs w:val="23"/>
                <w:color w:val="auto"/>
              </w:rPr>
            </w:pPr>
          </w:p>
        </w:tc>
        <w:tc>
          <w:tcPr>
            <w:tcW w:w="2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0.6</w:t>
            </w:r>
          </w:p>
        </w:tc>
      </w:tr>
      <w:tr>
        <w:trPr>
          <w:trHeight w:val="257"/>
        </w:trPr>
        <w:tc>
          <w:tcPr>
            <w:tcW w:w="6780" w:type="dxa"/>
            <w:vAlign w:val="bottom"/>
          </w:tcPr>
          <w:p>
            <w:pPr>
              <w:ind w:left="40"/>
              <w:spacing w:after="0"/>
              <w:rPr>
                <w:sz w:val="20"/>
                <w:szCs w:val="20"/>
                <w:color w:val="auto"/>
              </w:rPr>
            </w:pPr>
            <w:r>
              <w:rPr>
                <w:rFonts w:ascii="Arial" w:cs="Arial" w:eastAsia="Arial" w:hAnsi="Arial"/>
                <w:sz w:val="18"/>
                <w:szCs w:val="18"/>
                <w:color w:val="auto"/>
              </w:rPr>
              <w:t>Balance at June 30, 2019</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25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32.6</w:t>
            </w:r>
          </w:p>
        </w:tc>
      </w:tr>
      <w:tr>
        <w:trPr>
          <w:trHeight w:val="20"/>
        </w:trPr>
        <w:tc>
          <w:tcPr>
            <w:tcW w:w="67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5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provides a reconciliation of the beginning and ending balance of the TRA contingent liability for the three and six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2018:</w:t>
      </w:r>
    </w:p>
    <w:p>
      <w:pPr>
        <w:spacing w:after="0" w:line="369" w:lineRule="exact"/>
        <w:rPr>
          <w:sz w:val="20"/>
          <w:szCs w:val="20"/>
          <w:color w:val="auto"/>
        </w:rPr>
      </w:pPr>
    </w:p>
    <w:tbl>
      <w:tblPr>
        <w:tblLayout w:type="fixed"/>
        <w:tblInd w:w="920" w:type="dxa"/>
        <w:tblCellMar>
          <w:top w:w="0" w:type="dxa"/>
          <w:left w:w="0" w:type="dxa"/>
          <w:bottom w:w="0" w:type="dxa"/>
          <w:right w:w="0" w:type="dxa"/>
        </w:tblCellMar>
      </w:tblPr>
      <w:tr>
        <w:trPr>
          <w:trHeight w:val="234"/>
        </w:trPr>
        <w:tc>
          <w:tcPr>
            <w:tcW w:w="678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60" w:type="dxa"/>
            <w:vAlign w:val="bottom"/>
          </w:tcPr>
          <w:p>
            <w:pPr>
              <w:spacing w:after="0"/>
              <w:rPr>
                <w:sz w:val="20"/>
                <w:szCs w:val="20"/>
                <w:color w:val="auto"/>
              </w:rPr>
            </w:pPr>
          </w:p>
        </w:tc>
        <w:tc>
          <w:tcPr>
            <w:tcW w:w="2540" w:type="dxa"/>
            <w:vAlign w:val="bottom"/>
          </w:tcPr>
          <w:p>
            <w:pPr>
              <w:jc w:val="right"/>
              <w:ind w:right="310"/>
              <w:spacing w:after="0"/>
              <w:rPr>
                <w:sz w:val="20"/>
                <w:szCs w:val="20"/>
                <w:color w:val="auto"/>
              </w:rPr>
            </w:pPr>
            <w:r>
              <w:rPr>
                <w:rFonts w:ascii="Arial" w:cs="Arial" w:eastAsia="Arial" w:hAnsi="Arial"/>
                <w:sz w:val="18"/>
                <w:szCs w:val="18"/>
                <w:b w:val="1"/>
                <w:bCs w:val="1"/>
                <w:color w:val="auto"/>
              </w:rPr>
              <w:t>TRA Contingent Liability</w:t>
            </w:r>
          </w:p>
        </w:tc>
      </w:tr>
      <w:tr>
        <w:trPr>
          <w:trHeight w:val="27"/>
        </w:trPr>
        <w:tc>
          <w:tcPr>
            <w:tcW w:w="6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244"/>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50.0</w:t>
            </w:r>
          </w:p>
        </w:tc>
      </w:tr>
      <w:tr>
        <w:trPr>
          <w:trHeight w:val="243"/>
        </w:trPr>
        <w:tc>
          <w:tcPr>
            <w:tcW w:w="6780" w:type="dxa"/>
            <w:vAlign w:val="bottom"/>
          </w:tcPr>
          <w:p>
            <w:pPr>
              <w:ind w:left="40"/>
              <w:spacing w:after="0"/>
              <w:rPr>
                <w:sz w:val="20"/>
                <w:szCs w:val="20"/>
                <w:color w:val="auto"/>
              </w:rPr>
            </w:pPr>
            <w:r>
              <w:rPr>
                <w:rFonts w:ascii="Arial" w:cs="Arial" w:eastAsia="Arial" w:hAnsi="Arial"/>
                <w:sz w:val="18"/>
                <w:szCs w:val="18"/>
                <w:color w:val="auto"/>
              </w:rPr>
              <w:t>Change in fair value adjustment recorded in other (income) expense, net</w:t>
            </w:r>
          </w:p>
        </w:tc>
        <w:tc>
          <w:tcPr>
            <w:tcW w:w="260" w:type="dxa"/>
            <w:vAlign w:val="bottom"/>
          </w:tcPr>
          <w:p>
            <w:pPr>
              <w:spacing w:after="0"/>
              <w:rPr>
                <w:sz w:val="21"/>
                <w:szCs w:val="21"/>
                <w:color w:val="auto"/>
              </w:rPr>
            </w:pPr>
          </w:p>
        </w:tc>
        <w:tc>
          <w:tcPr>
            <w:tcW w:w="254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6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540" w:type="dxa"/>
            <w:vAlign w:val="bottom"/>
          </w:tcPr>
          <w:p>
            <w:pPr>
              <w:spacing w:after="0"/>
              <w:rPr>
                <w:sz w:val="2"/>
                <w:szCs w:val="2"/>
                <w:color w:val="auto"/>
              </w:rPr>
            </w:pPr>
          </w:p>
        </w:tc>
      </w:tr>
      <w:tr>
        <w:trPr>
          <w:trHeight w:val="270"/>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Principal payment</w:t>
            </w:r>
          </w:p>
        </w:tc>
        <w:tc>
          <w:tcPr>
            <w:tcW w:w="260" w:type="dxa"/>
            <w:vAlign w:val="bottom"/>
            <w:tcBorders>
              <w:bottom w:val="single" w:sz="8" w:color="CCEEFF"/>
            </w:tcBorders>
            <w:shd w:val="clear" w:color="auto" w:fill="CCEEFF"/>
          </w:tcPr>
          <w:p>
            <w:pPr>
              <w:spacing w:after="0"/>
              <w:rPr>
                <w:sz w:val="23"/>
                <w:szCs w:val="23"/>
                <w:color w:val="auto"/>
              </w:rPr>
            </w:pPr>
          </w:p>
        </w:tc>
        <w:tc>
          <w:tcPr>
            <w:tcW w:w="2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w:t>
            </w:r>
          </w:p>
        </w:tc>
      </w:tr>
      <w:tr>
        <w:trPr>
          <w:trHeight w:val="237"/>
        </w:trPr>
        <w:tc>
          <w:tcPr>
            <w:tcW w:w="6780" w:type="dxa"/>
            <w:vAlign w:val="bottom"/>
          </w:tcPr>
          <w:p>
            <w:pPr>
              <w:ind w:left="40"/>
              <w:spacing w:after="0"/>
              <w:rPr>
                <w:sz w:val="20"/>
                <w:szCs w:val="20"/>
                <w:color w:val="auto"/>
              </w:rPr>
            </w:pPr>
            <w:r>
              <w:rPr>
                <w:rFonts w:ascii="Arial" w:cs="Arial" w:eastAsia="Arial" w:hAnsi="Arial"/>
                <w:sz w:val="18"/>
                <w:szCs w:val="18"/>
                <w:color w:val="auto"/>
              </w:rPr>
              <w:t>Balance at March 31, 2018</w:t>
            </w:r>
          </w:p>
        </w:tc>
        <w:tc>
          <w:tcPr>
            <w:tcW w:w="260" w:type="dxa"/>
            <w:vAlign w:val="bottom"/>
            <w:tcBorders>
              <w:top w:val="single" w:sz="8" w:color="auto"/>
            </w:tcBorders>
          </w:tcPr>
          <w:p>
            <w:pPr>
              <w:spacing w:after="0"/>
              <w:rPr>
                <w:sz w:val="20"/>
                <w:szCs w:val="20"/>
                <w:color w:val="auto"/>
              </w:rPr>
            </w:pPr>
          </w:p>
        </w:tc>
        <w:tc>
          <w:tcPr>
            <w:tcW w:w="25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39.9</w:t>
            </w:r>
          </w:p>
        </w:tc>
      </w:tr>
      <w:tr>
        <w:trPr>
          <w:trHeight w:val="27"/>
        </w:trPr>
        <w:tc>
          <w:tcPr>
            <w:tcW w:w="6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540" w:type="dxa"/>
            <w:vAlign w:val="bottom"/>
          </w:tcPr>
          <w:p>
            <w:pPr>
              <w:spacing w:after="0"/>
              <w:rPr>
                <w:sz w:val="2"/>
                <w:szCs w:val="2"/>
                <w:color w:val="auto"/>
              </w:rPr>
            </w:pPr>
          </w:p>
        </w:tc>
      </w:tr>
      <w:tr>
        <w:trPr>
          <w:trHeight w:val="270"/>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fair value adjustment recorded in other (income) expense, net</w:t>
            </w:r>
          </w:p>
        </w:tc>
        <w:tc>
          <w:tcPr>
            <w:tcW w:w="260" w:type="dxa"/>
            <w:vAlign w:val="bottom"/>
            <w:tcBorders>
              <w:bottom w:val="single" w:sz="8" w:color="CCEEFF"/>
            </w:tcBorders>
            <w:shd w:val="clear" w:color="auto" w:fill="CCEEFF"/>
          </w:tcPr>
          <w:p>
            <w:pPr>
              <w:spacing w:after="0"/>
              <w:rPr>
                <w:sz w:val="23"/>
                <w:szCs w:val="23"/>
                <w:color w:val="auto"/>
              </w:rPr>
            </w:pPr>
          </w:p>
        </w:tc>
        <w:tc>
          <w:tcPr>
            <w:tcW w:w="2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r>
      <w:tr>
        <w:trPr>
          <w:trHeight w:val="257"/>
        </w:trPr>
        <w:tc>
          <w:tcPr>
            <w:tcW w:w="6780" w:type="dxa"/>
            <w:vAlign w:val="bottom"/>
          </w:tcPr>
          <w:p>
            <w:pPr>
              <w:ind w:left="40"/>
              <w:spacing w:after="0"/>
              <w:rPr>
                <w:sz w:val="20"/>
                <w:szCs w:val="20"/>
                <w:color w:val="auto"/>
              </w:rPr>
            </w:pPr>
            <w:r>
              <w:rPr>
                <w:rFonts w:ascii="Arial" w:cs="Arial" w:eastAsia="Arial" w:hAnsi="Arial"/>
                <w:sz w:val="18"/>
                <w:szCs w:val="18"/>
                <w:color w:val="auto"/>
              </w:rPr>
              <w:t>Balance at June 30, 2018</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25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39.7</w:t>
            </w:r>
          </w:p>
        </w:tc>
      </w:tr>
      <w:tr>
        <w:trPr>
          <w:trHeight w:val="20"/>
        </w:trPr>
        <w:tc>
          <w:tcPr>
            <w:tcW w:w="67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5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color w:val="auto"/>
        </w:rPr>
        <w:t>On August 31, 2017 (the "Acquisition Date"), Veritiv completed its acquisition of 100% of the equity interests in various AAC entities. The purchase price allocation for the acquisition of AAC included $22.2 million for the estimated fair value of contingent consideration. The maximum amount payable for the contingent consideration was $50.0 million, with up to $25.0 million payable at each of the first and second anniversaries of the Acquisition Date. The Company paid $2.5 million on December 26, 2018 for contingent consideration earned as of the first anniversary of the Acquisition Date. The amount payable as of the second anniversary of the Acquisition Date will be determined based on actual growth rates in revenue and gross profit. The initial fair value estimate was based on historic growth patterns and future forecasts, which are Level 3 data. The valuation of contingent consideration uses assumptions and estimates to forecast a range of outcomes and probabilities for the contingent consideration. The contingent consideration is valued using actual and forecasted revenues and cost of products sold (Level 3 data). The Company assesses these assumptions and estimates on a quarterly basis as additional data impacting the assumptions is obtained. Any changes in the fair value of contingent consideration related to updated assumptions and estimates are recognized within other (income) expense, net, in the Condensed Consolidated Statements of Operations during the period in which the change occurs.</w:t>
      </w: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341" w:right="25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provides a reconciliation of the beginning and ending balance of the AAC contingent liability for the three and six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2019:</w:t>
      </w:r>
    </w:p>
    <w:p>
      <w:pPr>
        <w:spacing w:after="0" w:line="369" w:lineRule="exact"/>
        <w:rPr>
          <w:sz w:val="20"/>
          <w:szCs w:val="20"/>
          <w:color w:val="auto"/>
        </w:rPr>
      </w:pPr>
    </w:p>
    <w:tbl>
      <w:tblPr>
        <w:tblLayout w:type="fixed"/>
        <w:tblInd w:w="920" w:type="dxa"/>
        <w:tblCellMar>
          <w:top w:w="0" w:type="dxa"/>
          <w:left w:w="0" w:type="dxa"/>
          <w:bottom w:w="0" w:type="dxa"/>
          <w:right w:w="0" w:type="dxa"/>
        </w:tblCellMar>
      </w:tblPr>
      <w:tr>
        <w:trPr>
          <w:trHeight w:val="234"/>
        </w:trPr>
        <w:tc>
          <w:tcPr>
            <w:tcW w:w="678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60" w:type="dxa"/>
            <w:vAlign w:val="bottom"/>
          </w:tcPr>
          <w:p>
            <w:pPr>
              <w:spacing w:after="0"/>
              <w:rPr>
                <w:sz w:val="20"/>
                <w:szCs w:val="20"/>
                <w:color w:val="auto"/>
              </w:rPr>
            </w:pPr>
          </w:p>
        </w:tc>
        <w:tc>
          <w:tcPr>
            <w:tcW w:w="2540" w:type="dxa"/>
            <w:vAlign w:val="bottom"/>
          </w:tcPr>
          <w:p>
            <w:pPr>
              <w:jc w:val="right"/>
              <w:ind w:right="310"/>
              <w:spacing w:after="0"/>
              <w:rPr>
                <w:sz w:val="20"/>
                <w:szCs w:val="20"/>
                <w:color w:val="auto"/>
              </w:rPr>
            </w:pPr>
            <w:r>
              <w:rPr>
                <w:rFonts w:ascii="Arial" w:cs="Arial" w:eastAsia="Arial" w:hAnsi="Arial"/>
                <w:sz w:val="18"/>
                <w:szCs w:val="18"/>
                <w:b w:val="1"/>
                <w:bCs w:val="1"/>
                <w:color w:val="auto"/>
                <w:w w:val="99"/>
              </w:rPr>
              <w:t>AAC Contingent Liability</w:t>
            </w:r>
          </w:p>
        </w:tc>
      </w:tr>
      <w:tr>
        <w:trPr>
          <w:trHeight w:val="27"/>
        </w:trPr>
        <w:tc>
          <w:tcPr>
            <w:tcW w:w="6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244"/>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2018</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9.4</w:t>
            </w:r>
          </w:p>
        </w:tc>
      </w:tr>
      <w:tr>
        <w:trPr>
          <w:trHeight w:val="243"/>
        </w:trPr>
        <w:tc>
          <w:tcPr>
            <w:tcW w:w="6780" w:type="dxa"/>
            <w:vAlign w:val="bottom"/>
          </w:tcPr>
          <w:p>
            <w:pPr>
              <w:ind w:left="40"/>
              <w:spacing w:after="0"/>
              <w:rPr>
                <w:sz w:val="20"/>
                <w:szCs w:val="20"/>
                <w:color w:val="auto"/>
              </w:rPr>
            </w:pPr>
            <w:r>
              <w:rPr>
                <w:rFonts w:ascii="Arial" w:cs="Arial" w:eastAsia="Arial" w:hAnsi="Arial"/>
                <w:sz w:val="18"/>
                <w:szCs w:val="18"/>
                <w:color w:val="auto"/>
              </w:rPr>
              <w:t>Change in fair value adjustment recorded in other (income) expense, net</w:t>
            </w:r>
          </w:p>
        </w:tc>
        <w:tc>
          <w:tcPr>
            <w:tcW w:w="260" w:type="dxa"/>
            <w:vAlign w:val="bottom"/>
          </w:tcPr>
          <w:p>
            <w:pPr>
              <w:spacing w:after="0"/>
              <w:rPr>
                <w:sz w:val="21"/>
                <w:szCs w:val="21"/>
                <w:color w:val="auto"/>
              </w:rPr>
            </w:pPr>
          </w:p>
        </w:tc>
        <w:tc>
          <w:tcPr>
            <w:tcW w:w="2540" w:type="dxa"/>
            <w:vAlign w:val="bottom"/>
          </w:tcPr>
          <w:p>
            <w:pPr>
              <w:jc w:val="right"/>
              <w:ind w:right="10"/>
              <w:spacing w:after="0"/>
              <w:rPr>
                <w:sz w:val="20"/>
                <w:szCs w:val="20"/>
                <w:color w:val="auto"/>
              </w:rPr>
            </w:pPr>
            <w:r>
              <w:rPr>
                <w:rFonts w:ascii="Arial" w:cs="Arial" w:eastAsia="Arial" w:hAnsi="Arial"/>
                <w:sz w:val="18"/>
                <w:szCs w:val="18"/>
                <w:color w:val="auto"/>
              </w:rPr>
              <w:t>5.4</w:t>
            </w:r>
          </w:p>
        </w:tc>
      </w:tr>
      <w:tr>
        <w:trPr>
          <w:trHeight w:val="27"/>
        </w:trPr>
        <w:tc>
          <w:tcPr>
            <w:tcW w:w="6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244"/>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March 31, 2019</w:t>
            </w:r>
          </w:p>
        </w:tc>
        <w:tc>
          <w:tcPr>
            <w:tcW w:w="260" w:type="dxa"/>
            <w:vAlign w:val="bottom"/>
            <w:tcBorders>
              <w:bottom w:val="single" w:sz="8" w:color="CCEEFF"/>
            </w:tcBorders>
            <w:shd w:val="clear" w:color="auto" w:fill="CCEEFF"/>
          </w:tcPr>
          <w:p>
            <w:pPr>
              <w:spacing w:after="0"/>
              <w:rPr>
                <w:sz w:val="21"/>
                <w:szCs w:val="21"/>
                <w:color w:val="auto"/>
              </w:rPr>
            </w:pPr>
          </w:p>
        </w:tc>
        <w:tc>
          <w:tcPr>
            <w:tcW w:w="2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w:t>
            </w:r>
          </w:p>
        </w:tc>
      </w:tr>
      <w:tr>
        <w:trPr>
          <w:trHeight w:val="243"/>
        </w:trPr>
        <w:tc>
          <w:tcPr>
            <w:tcW w:w="6780" w:type="dxa"/>
            <w:vAlign w:val="bottom"/>
          </w:tcPr>
          <w:p>
            <w:pPr>
              <w:ind w:left="40"/>
              <w:spacing w:after="0"/>
              <w:rPr>
                <w:sz w:val="20"/>
                <w:szCs w:val="20"/>
                <w:color w:val="auto"/>
              </w:rPr>
            </w:pPr>
            <w:r>
              <w:rPr>
                <w:rFonts w:ascii="Arial" w:cs="Arial" w:eastAsia="Arial" w:hAnsi="Arial"/>
                <w:sz w:val="18"/>
                <w:szCs w:val="18"/>
                <w:color w:val="auto"/>
              </w:rPr>
              <w:t>Change in fair value adjustment recorded in other (income) expense, net</w:t>
            </w:r>
          </w:p>
        </w:tc>
        <w:tc>
          <w:tcPr>
            <w:tcW w:w="260" w:type="dxa"/>
            <w:vAlign w:val="bottom"/>
          </w:tcPr>
          <w:p>
            <w:pPr>
              <w:spacing w:after="0"/>
              <w:rPr>
                <w:sz w:val="21"/>
                <w:szCs w:val="21"/>
                <w:color w:val="auto"/>
              </w:rPr>
            </w:pPr>
          </w:p>
        </w:tc>
        <w:tc>
          <w:tcPr>
            <w:tcW w:w="2540" w:type="dxa"/>
            <w:vAlign w:val="bottom"/>
          </w:tcPr>
          <w:p>
            <w:pPr>
              <w:jc w:val="right"/>
              <w:ind w:right="10"/>
              <w:spacing w:after="0"/>
              <w:rPr>
                <w:sz w:val="20"/>
                <w:szCs w:val="20"/>
                <w:color w:val="auto"/>
              </w:rPr>
            </w:pPr>
            <w:r>
              <w:rPr>
                <w:rFonts w:ascii="Arial" w:cs="Arial" w:eastAsia="Arial" w:hAnsi="Arial"/>
                <w:sz w:val="18"/>
                <w:szCs w:val="18"/>
                <w:color w:val="auto"/>
              </w:rPr>
              <w:t>7.7</w:t>
            </w:r>
          </w:p>
        </w:tc>
      </w:tr>
      <w:tr>
        <w:trPr>
          <w:trHeight w:val="27"/>
        </w:trPr>
        <w:tc>
          <w:tcPr>
            <w:tcW w:w="6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257"/>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June 30, 2019</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22.5</w:t>
            </w:r>
          </w:p>
        </w:tc>
      </w:tr>
      <w:tr>
        <w:trPr>
          <w:trHeight w:val="20"/>
        </w:trPr>
        <w:tc>
          <w:tcPr>
            <w:tcW w:w="67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5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provides a reconciliation of the beginning and ending balance of the AAC contingent liability for the three and six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2018:</w:t>
      </w:r>
    </w:p>
    <w:p>
      <w:pPr>
        <w:spacing w:after="0" w:line="369" w:lineRule="exact"/>
        <w:rPr>
          <w:sz w:val="20"/>
          <w:szCs w:val="20"/>
          <w:color w:val="auto"/>
        </w:rPr>
      </w:pPr>
    </w:p>
    <w:tbl>
      <w:tblPr>
        <w:tblLayout w:type="fixed"/>
        <w:tblInd w:w="920" w:type="dxa"/>
        <w:tblCellMar>
          <w:top w:w="0" w:type="dxa"/>
          <w:left w:w="0" w:type="dxa"/>
          <w:bottom w:w="0" w:type="dxa"/>
          <w:right w:w="0" w:type="dxa"/>
        </w:tblCellMar>
      </w:tblPr>
      <w:tr>
        <w:trPr>
          <w:trHeight w:val="234"/>
        </w:trPr>
        <w:tc>
          <w:tcPr>
            <w:tcW w:w="678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60" w:type="dxa"/>
            <w:vAlign w:val="bottom"/>
          </w:tcPr>
          <w:p>
            <w:pPr>
              <w:spacing w:after="0"/>
              <w:rPr>
                <w:sz w:val="20"/>
                <w:szCs w:val="20"/>
                <w:color w:val="auto"/>
              </w:rPr>
            </w:pPr>
          </w:p>
        </w:tc>
        <w:tc>
          <w:tcPr>
            <w:tcW w:w="2540" w:type="dxa"/>
            <w:vAlign w:val="bottom"/>
          </w:tcPr>
          <w:p>
            <w:pPr>
              <w:jc w:val="right"/>
              <w:ind w:right="310"/>
              <w:spacing w:after="0"/>
              <w:rPr>
                <w:sz w:val="20"/>
                <w:szCs w:val="20"/>
                <w:color w:val="auto"/>
              </w:rPr>
            </w:pPr>
            <w:r>
              <w:rPr>
                <w:rFonts w:ascii="Arial" w:cs="Arial" w:eastAsia="Arial" w:hAnsi="Arial"/>
                <w:sz w:val="18"/>
                <w:szCs w:val="18"/>
                <w:b w:val="1"/>
                <w:bCs w:val="1"/>
                <w:color w:val="auto"/>
                <w:w w:val="99"/>
              </w:rPr>
              <w:t>AAC Contingent Liability</w:t>
            </w:r>
          </w:p>
        </w:tc>
      </w:tr>
      <w:tr>
        <w:trPr>
          <w:trHeight w:val="27"/>
        </w:trPr>
        <w:tc>
          <w:tcPr>
            <w:tcW w:w="6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244"/>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24.2</w:t>
            </w:r>
          </w:p>
        </w:tc>
      </w:tr>
      <w:tr>
        <w:trPr>
          <w:trHeight w:val="243"/>
        </w:trPr>
        <w:tc>
          <w:tcPr>
            <w:tcW w:w="6780" w:type="dxa"/>
            <w:vAlign w:val="bottom"/>
          </w:tcPr>
          <w:p>
            <w:pPr>
              <w:ind w:left="40"/>
              <w:spacing w:after="0"/>
              <w:rPr>
                <w:sz w:val="20"/>
                <w:szCs w:val="20"/>
                <w:color w:val="auto"/>
              </w:rPr>
            </w:pPr>
            <w:r>
              <w:rPr>
                <w:rFonts w:ascii="Arial" w:cs="Arial" w:eastAsia="Arial" w:hAnsi="Arial"/>
                <w:sz w:val="18"/>
                <w:szCs w:val="18"/>
                <w:color w:val="auto"/>
              </w:rPr>
              <w:t>Change in fair value adjustment recorded in other (income) expense, net</w:t>
            </w:r>
          </w:p>
        </w:tc>
        <w:tc>
          <w:tcPr>
            <w:tcW w:w="260" w:type="dxa"/>
            <w:vAlign w:val="bottom"/>
          </w:tcPr>
          <w:p>
            <w:pPr>
              <w:spacing w:after="0"/>
              <w:rPr>
                <w:sz w:val="21"/>
                <w:szCs w:val="21"/>
                <w:color w:val="auto"/>
              </w:rPr>
            </w:pPr>
          </w:p>
        </w:tc>
        <w:tc>
          <w:tcPr>
            <w:tcW w:w="254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7"/>
        </w:trPr>
        <w:tc>
          <w:tcPr>
            <w:tcW w:w="6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244"/>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March 31, 2018</w:t>
            </w:r>
          </w:p>
        </w:tc>
        <w:tc>
          <w:tcPr>
            <w:tcW w:w="260" w:type="dxa"/>
            <w:vAlign w:val="bottom"/>
            <w:tcBorders>
              <w:bottom w:val="single" w:sz="8" w:color="CCEEFF"/>
            </w:tcBorders>
            <w:shd w:val="clear" w:color="auto" w:fill="CCEEFF"/>
          </w:tcPr>
          <w:p>
            <w:pPr>
              <w:spacing w:after="0"/>
              <w:rPr>
                <w:sz w:val="21"/>
                <w:szCs w:val="21"/>
                <w:color w:val="auto"/>
              </w:rPr>
            </w:pPr>
          </w:p>
        </w:tc>
        <w:tc>
          <w:tcPr>
            <w:tcW w:w="2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15.9</w:t>
            </w:r>
          </w:p>
        </w:tc>
      </w:tr>
      <w:tr>
        <w:trPr>
          <w:trHeight w:val="243"/>
        </w:trPr>
        <w:tc>
          <w:tcPr>
            <w:tcW w:w="6780" w:type="dxa"/>
            <w:vAlign w:val="bottom"/>
          </w:tcPr>
          <w:p>
            <w:pPr>
              <w:ind w:left="40"/>
              <w:spacing w:after="0"/>
              <w:rPr>
                <w:sz w:val="20"/>
                <w:szCs w:val="20"/>
                <w:color w:val="auto"/>
              </w:rPr>
            </w:pPr>
            <w:r>
              <w:rPr>
                <w:rFonts w:ascii="Arial" w:cs="Arial" w:eastAsia="Arial" w:hAnsi="Arial"/>
                <w:sz w:val="18"/>
                <w:szCs w:val="18"/>
                <w:color w:val="auto"/>
              </w:rPr>
              <w:t>Change in fair value adjustment recorded in other (income) expense, net</w:t>
            </w:r>
          </w:p>
        </w:tc>
        <w:tc>
          <w:tcPr>
            <w:tcW w:w="260" w:type="dxa"/>
            <w:vAlign w:val="bottom"/>
          </w:tcPr>
          <w:p>
            <w:pPr>
              <w:spacing w:after="0"/>
              <w:rPr>
                <w:sz w:val="21"/>
                <w:szCs w:val="21"/>
                <w:color w:val="auto"/>
              </w:rPr>
            </w:pPr>
          </w:p>
        </w:tc>
        <w:tc>
          <w:tcPr>
            <w:tcW w:w="254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7"/>
        </w:trPr>
        <w:tc>
          <w:tcPr>
            <w:tcW w:w="67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r>
      <w:tr>
        <w:trPr>
          <w:trHeight w:val="257"/>
        </w:trPr>
        <w:tc>
          <w:tcPr>
            <w:tcW w:w="6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June 30, 2018</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5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12.9</w:t>
            </w:r>
          </w:p>
        </w:tc>
      </w:tr>
      <w:tr>
        <w:trPr>
          <w:trHeight w:val="20"/>
        </w:trPr>
        <w:tc>
          <w:tcPr>
            <w:tcW w:w="67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5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10. EARNINGS (LOSS) PER SHARE</w:t>
      </w:r>
    </w:p>
    <w:p>
      <w:pPr>
        <w:spacing w:after="0" w:line="224"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Basic earnings (loss) per share for Veritiv common stock is calculated by dividing net income (loss) by the weighted-average number of shares of common stock outstanding during the period. Diluted earnings per share is similarly calculated, except that the denominator is increased to include the number of additional common shares that would have been outstanding if the dilutive potential common shares had been issued, except where the inclusion of such common shares would have an antidilutive impact.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summary of the numerators and denominators used in the basic and diluted loss per share calculations for the reportable periods is as follows: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60" w:type="dxa"/>
            <w:vAlign w:val="bottom"/>
            <w:gridSpan w:val="5"/>
          </w:tcPr>
          <w:p>
            <w:pPr>
              <w:jc w:val="right"/>
              <w:ind w:right="500"/>
              <w:spacing w:after="0"/>
              <w:rPr>
                <w:sz w:val="20"/>
                <w:szCs w:val="20"/>
                <w:color w:val="auto"/>
              </w:rPr>
            </w:pPr>
            <w:r>
              <w:rPr>
                <w:rFonts w:ascii="Arial" w:cs="Arial" w:eastAsia="Arial" w:hAnsi="Arial"/>
                <w:sz w:val="18"/>
                <w:szCs w:val="18"/>
                <w:b w:val="1"/>
                <w:bCs w:val="1"/>
                <w:color w:val="auto"/>
                <w:w w:val="97"/>
              </w:rPr>
              <w:t>Three Months Ended</w:t>
            </w:r>
          </w:p>
        </w:tc>
        <w:tc>
          <w:tcPr>
            <w:tcW w:w="280" w:type="dxa"/>
            <w:vAlign w:val="bottom"/>
          </w:tcPr>
          <w:p>
            <w:pPr>
              <w:spacing w:after="0"/>
              <w:rPr>
                <w:sz w:val="18"/>
                <w:szCs w:val="18"/>
                <w:color w:val="auto"/>
              </w:rPr>
            </w:pPr>
          </w:p>
        </w:tc>
        <w:tc>
          <w:tcPr>
            <w:tcW w:w="2220" w:type="dxa"/>
            <w:vAlign w:val="bottom"/>
            <w:gridSpan w:val="4"/>
          </w:tcPr>
          <w:p>
            <w:pPr>
              <w:jc w:val="right"/>
              <w:ind w:right="450"/>
              <w:spacing w:after="0"/>
              <w:rPr>
                <w:sz w:val="20"/>
                <w:szCs w:val="20"/>
                <w:color w:val="auto"/>
              </w:rPr>
            </w:pPr>
            <w:r>
              <w:rPr>
                <w:rFonts w:ascii="Arial" w:cs="Arial" w:eastAsia="Arial" w:hAnsi="Arial"/>
                <w:sz w:val="18"/>
                <w:szCs w:val="18"/>
                <w:b w:val="1"/>
                <w:bCs w:val="1"/>
                <w:color w:val="auto"/>
              </w:rPr>
              <w:t>Six Months Ended</w:t>
            </w:r>
          </w:p>
        </w:tc>
      </w:tr>
      <w:tr>
        <w:trPr>
          <w:trHeight w:val="234"/>
        </w:trPr>
        <w:tc>
          <w:tcPr>
            <w:tcW w:w="64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6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20" w:type="dxa"/>
            <w:vAlign w:val="bottom"/>
          </w:tcPr>
          <w:p>
            <w:pPr>
              <w:spacing w:after="0"/>
              <w:rPr>
                <w:sz w:val="20"/>
                <w:szCs w:val="20"/>
                <w:color w:val="auto"/>
              </w:rPr>
            </w:pPr>
          </w:p>
        </w:tc>
      </w:tr>
      <w:tr>
        <w:trPr>
          <w:trHeight w:val="27"/>
        </w:trPr>
        <w:tc>
          <w:tcPr>
            <w:tcW w:w="64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37"/>
        </w:trPr>
        <w:tc>
          <w:tcPr>
            <w:tcW w:w="6400" w:type="dxa"/>
            <w:vAlign w:val="bottom"/>
          </w:tcPr>
          <w:p>
            <w:pPr>
              <w:ind w:left="40"/>
              <w:spacing w:after="0"/>
              <w:rPr>
                <w:sz w:val="20"/>
                <w:szCs w:val="20"/>
                <w:color w:val="auto"/>
              </w:rPr>
            </w:pPr>
            <w:r>
              <w:rPr>
                <w:rFonts w:ascii="Arial" w:cs="Arial" w:eastAsia="Arial" w:hAnsi="Arial"/>
                <w:sz w:val="18"/>
                <w:szCs w:val="18"/>
                <w:i w:val="1"/>
                <w:iCs w:val="1"/>
                <w:color w:val="auto"/>
              </w:rPr>
              <w:t>(in millions, except per share data)</w:t>
            </w:r>
          </w:p>
        </w:tc>
        <w:tc>
          <w:tcPr>
            <w:tcW w:w="260" w:type="dxa"/>
            <w:vAlign w:val="bottom"/>
          </w:tcPr>
          <w:p>
            <w:pPr>
              <w:spacing w:after="0"/>
              <w:rPr>
                <w:sz w:val="20"/>
                <w:szCs w:val="20"/>
                <w:color w:val="auto"/>
              </w:rPr>
            </w:pPr>
          </w:p>
        </w:tc>
        <w:tc>
          <w:tcPr>
            <w:tcW w:w="920" w:type="dxa"/>
            <w:vAlign w:val="bottom"/>
          </w:tcPr>
          <w:p>
            <w:pPr>
              <w:jc w:val="right"/>
              <w:ind w:right="31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jc w:val="right"/>
              <w:ind w:right="310"/>
              <w:spacing w:after="0"/>
              <w:rPr>
                <w:sz w:val="20"/>
                <w:szCs w:val="20"/>
                <w:color w:val="auto"/>
              </w:rPr>
            </w:pPr>
            <w:r>
              <w:rPr>
                <w:rFonts w:ascii="Arial" w:cs="Arial" w:eastAsia="Arial" w:hAnsi="Arial"/>
                <w:sz w:val="18"/>
                <w:szCs w:val="18"/>
                <w:b w:val="1"/>
                <w:bCs w:val="1"/>
                <w:color w:val="auto"/>
                <w:w w:val="94"/>
              </w:rPr>
              <w:t>2018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20" w:type="dxa"/>
            <w:vAlign w:val="bottom"/>
          </w:tcPr>
          <w:p>
            <w:pPr>
              <w:jc w:val="right"/>
              <w:ind w:right="290"/>
              <w:spacing w:after="0"/>
              <w:rPr>
                <w:sz w:val="20"/>
                <w:szCs w:val="20"/>
                <w:color w:val="auto"/>
              </w:rPr>
            </w:pPr>
            <w:r>
              <w:rPr>
                <w:rFonts w:ascii="Arial" w:cs="Arial" w:eastAsia="Arial" w:hAnsi="Arial"/>
                <w:sz w:val="18"/>
                <w:szCs w:val="18"/>
                <w:b w:val="1"/>
                <w:bCs w:val="1"/>
                <w:color w:val="auto"/>
              </w:rPr>
              <w:t>2018</w:t>
            </w:r>
          </w:p>
        </w:tc>
      </w:tr>
      <w:tr>
        <w:trPr>
          <w:trHeight w:val="27"/>
        </w:trPr>
        <w:tc>
          <w:tcPr>
            <w:tcW w:w="64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44"/>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Numerator:</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43"/>
        </w:trPr>
        <w:tc>
          <w:tcPr>
            <w:tcW w:w="6400" w:type="dxa"/>
            <w:vAlign w:val="bottom"/>
          </w:tcPr>
          <w:p>
            <w:pPr>
              <w:ind w:left="200"/>
              <w:spacing w:after="0"/>
              <w:rPr>
                <w:sz w:val="20"/>
                <w:szCs w:val="20"/>
                <w:color w:val="auto"/>
              </w:rPr>
            </w:pPr>
            <w:r>
              <w:rPr>
                <w:rFonts w:ascii="Arial" w:cs="Arial" w:eastAsia="Arial" w:hAnsi="Arial"/>
                <w:sz w:val="18"/>
                <w:szCs w:val="18"/>
                <w:color w:val="auto"/>
              </w:rPr>
              <w:t>Net loss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(11.3)</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(38.0)</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(26.4)</w:t>
            </w:r>
          </w:p>
        </w:tc>
      </w:tr>
      <w:tr>
        <w:trPr>
          <w:trHeight w:val="27"/>
        </w:trPr>
        <w:tc>
          <w:tcPr>
            <w:tcW w:w="6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324"/>
        </w:trPr>
        <w:tc>
          <w:tcPr>
            <w:tcW w:w="64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b w:val="1"/>
                <w:bCs w:val="1"/>
                <w:color w:val="auto"/>
              </w:rPr>
              <w:t>Denominator:</w:t>
            </w:r>
          </w:p>
        </w:tc>
        <w:tc>
          <w:tcPr>
            <w:tcW w:w="2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20" w:type="dxa"/>
            <w:vAlign w:val="bottom"/>
          </w:tcPr>
          <w:p>
            <w:pPr>
              <w:spacing w:after="0"/>
              <w:rPr>
                <w:sz w:val="21"/>
                <w:szCs w:val="21"/>
                <w:color w:val="auto"/>
              </w:rPr>
            </w:pPr>
          </w:p>
        </w:tc>
      </w:tr>
      <w:tr>
        <w:trPr>
          <w:trHeight w:val="27"/>
        </w:trPr>
        <w:tc>
          <w:tcPr>
            <w:tcW w:w="6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Weighted-average number of shares outstanding – basic and diluted</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16.09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15.84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16.01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15.80</w:t>
            </w:r>
          </w:p>
        </w:tc>
      </w:tr>
      <w:tr>
        <w:trPr>
          <w:trHeight w:val="324"/>
        </w:trPr>
        <w:tc>
          <w:tcPr>
            <w:tcW w:w="6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per share:</w:t>
            </w:r>
          </w:p>
        </w:tc>
        <w:tc>
          <w:tcPr>
            <w:tcW w:w="2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43"/>
        </w:trPr>
        <w:tc>
          <w:tcPr>
            <w:tcW w:w="6400" w:type="dxa"/>
            <w:vAlign w:val="bottom"/>
          </w:tcPr>
          <w:p>
            <w:pPr>
              <w:ind w:left="260"/>
              <w:spacing w:after="0"/>
              <w:rPr>
                <w:sz w:val="20"/>
                <w:szCs w:val="20"/>
                <w:color w:val="auto"/>
              </w:rPr>
            </w:pPr>
            <w:r>
              <w:rPr>
                <w:rFonts w:ascii="Arial" w:cs="Arial" w:eastAsia="Arial" w:hAnsi="Arial"/>
                <w:sz w:val="18"/>
                <w:szCs w:val="18"/>
                <w:color w:val="auto"/>
              </w:rPr>
              <w:t>Basic and diluted</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(0.70)</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(0.67)</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(2.37)</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27"/>
        </w:trPr>
        <w:tc>
          <w:tcPr>
            <w:tcW w:w="6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97"/>
        </w:trPr>
        <w:tc>
          <w:tcPr>
            <w:tcW w:w="64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r>
      <w:tr>
        <w:trPr>
          <w:trHeight w:val="229"/>
        </w:trPr>
        <w:tc>
          <w:tcPr>
            <w:tcW w:w="6400" w:type="dxa"/>
            <w:vAlign w:val="bottom"/>
          </w:tcPr>
          <w:p>
            <w:pPr>
              <w:ind w:left="40"/>
              <w:spacing w:after="0"/>
              <w:rPr>
                <w:sz w:val="20"/>
                <w:szCs w:val="20"/>
                <w:color w:val="auto"/>
              </w:rPr>
            </w:pPr>
            <w:r>
              <w:rPr>
                <w:rFonts w:ascii="Arial" w:cs="Arial" w:eastAsia="Arial" w:hAnsi="Arial"/>
                <w:sz w:val="18"/>
                <w:szCs w:val="18"/>
                <w:color w:val="auto"/>
                <w:w w:val="96"/>
              </w:rPr>
              <w:t>Antidilutive stock-based awards excluded from computation of diluted earnings per</w:t>
            </w:r>
          </w:p>
        </w:tc>
        <w:tc>
          <w:tcPr>
            <w:tcW w:w="2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r>
      <w:tr>
        <w:trPr>
          <w:trHeight w:val="230"/>
        </w:trPr>
        <w:tc>
          <w:tcPr>
            <w:tcW w:w="6400" w:type="dxa"/>
            <w:vAlign w:val="bottom"/>
          </w:tcPr>
          <w:p>
            <w:pPr>
              <w:ind w:left="200"/>
              <w:spacing w:after="0"/>
              <w:rPr>
                <w:sz w:val="20"/>
                <w:szCs w:val="20"/>
                <w:color w:val="auto"/>
              </w:rPr>
            </w:pPr>
            <w:r>
              <w:rPr>
                <w:rFonts w:ascii="Arial" w:cs="Arial" w:eastAsia="Arial" w:hAnsi="Arial"/>
                <w:sz w:val="18"/>
                <w:szCs w:val="18"/>
                <w:color w:val="auto"/>
              </w:rPr>
              <w:t>share ("EPS")</w:t>
            </w:r>
          </w:p>
        </w:tc>
        <w:tc>
          <w:tcPr>
            <w:tcW w:w="260" w:type="dxa"/>
            <w:vAlign w:val="bottom"/>
          </w:tcPr>
          <w:p>
            <w:pPr>
              <w:spacing w:after="0"/>
              <w:rPr>
                <w:sz w:val="20"/>
                <w:szCs w:val="20"/>
                <w:color w:val="auto"/>
              </w:rPr>
            </w:pPr>
          </w:p>
        </w:tc>
        <w:tc>
          <w:tcPr>
            <w:tcW w:w="920" w:type="dxa"/>
            <w:vAlign w:val="bottom"/>
          </w:tcPr>
          <w:p>
            <w:pPr>
              <w:jc w:val="right"/>
              <w:ind w:right="30"/>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1.14</w:t>
            </w:r>
          </w:p>
        </w:tc>
      </w:tr>
      <w:tr>
        <w:trPr>
          <w:trHeight w:val="27"/>
        </w:trPr>
        <w:tc>
          <w:tcPr>
            <w:tcW w:w="64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29"/>
        </w:trPr>
        <w:tc>
          <w:tcPr>
            <w:tcW w:w="64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3"/>
              </w:rPr>
              <w:t>Performance stock-based awards excluded from computation of diluted EPS because</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r>
      <w:tr>
        <w:trPr>
          <w:trHeight w:val="237"/>
        </w:trPr>
        <w:tc>
          <w:tcPr>
            <w:tcW w:w="64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performance conditions had not been met</w:t>
            </w:r>
          </w:p>
        </w:tc>
        <w:tc>
          <w:tcPr>
            <w:tcW w:w="26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0.59</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0.58</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0.59</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0.58</w:t>
            </w:r>
          </w:p>
        </w:tc>
      </w:tr>
      <w:tr>
        <w:trPr>
          <w:trHeight w:val="459"/>
        </w:trPr>
        <w:tc>
          <w:tcPr>
            <w:tcW w:w="6400" w:type="dxa"/>
            <w:vAlign w:val="bottom"/>
          </w:tcPr>
          <w:p>
            <w:pPr>
              <w:ind w:left="5620"/>
              <w:spacing w:after="0"/>
              <w:rPr>
                <w:sz w:val="20"/>
                <w:szCs w:val="20"/>
                <w:color w:val="auto"/>
              </w:rPr>
            </w:pPr>
            <w:r>
              <w:rPr>
                <w:rFonts w:ascii="Arial" w:cs="Arial" w:eastAsia="Arial" w:hAnsi="Arial"/>
                <w:sz w:val="18"/>
                <w:szCs w:val="18"/>
                <w:color w:val="auto"/>
              </w:rPr>
              <w:t>22</w:t>
            </w: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ind w:right="40" w:firstLine="648"/>
        <w:spacing w:after="0" w:line="264" w:lineRule="auto"/>
        <w:rPr>
          <w:sz w:val="20"/>
          <w:szCs w:val="20"/>
          <w:color w:val="auto"/>
        </w:rPr>
      </w:pPr>
      <w:r>
        <w:rPr>
          <w:rFonts w:ascii="Arial" w:cs="Arial" w:eastAsia="Arial" w:hAnsi="Arial"/>
          <w:sz w:val="18"/>
          <w:szCs w:val="18"/>
          <w:color w:val="auto"/>
        </w:rPr>
        <w:t>During the first and second quarters of 2019 and 2018, in accordance with the Company's 2014 Omnibus Incentive Plan, as amended and restated as of March 8, 2017, shares of the Company's common stock were issued to plan participants whose Restricted Stock Units and/or Performance Condition Share Units vested during those periods. See the table below for information related to these transactions:</w:t>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4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1940" w:type="dxa"/>
            <w:vAlign w:val="bottom"/>
          </w:tcPr>
          <w:p>
            <w:pPr>
              <w:jc w:val="right"/>
              <w:ind w:right="71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940" w:type="dxa"/>
            <w:vAlign w:val="bottom"/>
          </w:tcPr>
          <w:p>
            <w:pPr>
              <w:jc w:val="right"/>
              <w:ind w:right="690"/>
              <w:spacing w:after="0"/>
              <w:rPr>
                <w:sz w:val="20"/>
                <w:szCs w:val="20"/>
                <w:color w:val="auto"/>
              </w:rPr>
            </w:pPr>
            <w:r>
              <w:rPr>
                <w:rFonts w:ascii="Arial" w:cs="Arial" w:eastAsia="Arial" w:hAnsi="Arial"/>
                <w:sz w:val="18"/>
                <w:szCs w:val="18"/>
                <w:b w:val="1"/>
                <w:bCs w:val="1"/>
                <w:color w:val="auto"/>
              </w:rPr>
              <w:t>2018</w:t>
            </w:r>
          </w:p>
        </w:tc>
      </w:tr>
      <w:tr>
        <w:trPr>
          <w:trHeight w:val="27"/>
        </w:trPr>
        <w:tc>
          <w:tcPr>
            <w:tcW w:w="744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Three months ended March 31,</w:t>
            </w:r>
          </w:p>
        </w:tc>
        <w:tc>
          <w:tcPr>
            <w:tcW w:w="1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spacing w:after="0"/>
              <w:rPr>
                <w:sz w:val="21"/>
                <w:szCs w:val="21"/>
                <w:color w:val="auto"/>
              </w:rPr>
            </w:pPr>
          </w:p>
        </w:tc>
      </w:tr>
      <w:tr>
        <w:trPr>
          <w:trHeight w:val="243"/>
        </w:trPr>
        <w:tc>
          <w:tcPr>
            <w:tcW w:w="7440" w:type="dxa"/>
            <w:vAlign w:val="bottom"/>
          </w:tcPr>
          <w:p>
            <w:pPr>
              <w:ind w:left="260"/>
              <w:spacing w:after="0"/>
              <w:rPr>
                <w:sz w:val="20"/>
                <w:szCs w:val="20"/>
                <w:color w:val="auto"/>
              </w:rPr>
            </w:pPr>
            <w:r>
              <w:rPr>
                <w:rFonts w:ascii="Arial" w:cs="Arial" w:eastAsia="Arial" w:hAnsi="Arial"/>
                <w:sz w:val="18"/>
                <w:szCs w:val="18"/>
                <w:color w:val="auto"/>
              </w:rPr>
              <w:t>Shares issued</w:t>
            </w: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0.2</w:t>
            </w:r>
          </w:p>
        </w:tc>
      </w:tr>
      <w:tr>
        <w:trPr>
          <w:trHeight w:val="27"/>
        </w:trPr>
        <w:tc>
          <w:tcPr>
            <w:tcW w:w="74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Shares recovered for minimum tax withholding</w:t>
            </w: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97"/>
        </w:trPr>
        <w:tc>
          <w:tcPr>
            <w:tcW w:w="7440" w:type="dxa"/>
            <w:vAlign w:val="bottom"/>
            <w:tcBorders>
              <w:bottom w:val="single" w:sz="8" w:color="CCEEFF"/>
            </w:tcBorders>
          </w:tcPr>
          <w:p>
            <w:pPr>
              <w:ind w:left="260"/>
              <w:spacing w:after="0"/>
              <w:rPr>
                <w:sz w:val="20"/>
                <w:szCs w:val="20"/>
                <w:color w:val="auto"/>
              </w:rPr>
            </w:pPr>
            <w:r>
              <w:rPr>
                <w:rFonts w:ascii="Arial" w:cs="Arial" w:eastAsia="Arial" w:hAnsi="Arial"/>
                <w:sz w:val="18"/>
                <w:szCs w:val="18"/>
                <w:color w:val="auto"/>
              </w:rPr>
              <w:t>Net shares issued</w:t>
            </w:r>
          </w:p>
        </w:tc>
        <w:tc>
          <w:tcPr>
            <w:tcW w:w="1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tcPr>
          <w:p>
            <w:pPr>
              <w:spacing w:after="0"/>
              <w:rPr>
                <w:sz w:val="24"/>
                <w:szCs w:val="24"/>
                <w:color w:val="auto"/>
              </w:rPr>
            </w:pPr>
          </w:p>
        </w:tc>
        <w:tc>
          <w:tcPr>
            <w:tcW w:w="1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0.1</w:t>
            </w:r>
          </w:p>
        </w:tc>
      </w:tr>
      <w:tr>
        <w:trPr>
          <w:trHeight w:val="311"/>
        </w:trPr>
        <w:tc>
          <w:tcPr>
            <w:tcW w:w="7440" w:type="dxa"/>
            <w:vAlign w:val="bottom"/>
            <w:shd w:val="clear" w:color="auto" w:fill="CCEEFF"/>
          </w:tcPr>
          <w:p>
            <w:pPr>
              <w:spacing w:after="0"/>
              <w:rPr>
                <w:sz w:val="24"/>
                <w:szCs w:val="24"/>
                <w:color w:val="auto"/>
              </w:rPr>
            </w:pPr>
          </w:p>
        </w:tc>
        <w:tc>
          <w:tcPr>
            <w:tcW w:w="1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940" w:type="dxa"/>
            <w:vAlign w:val="bottom"/>
            <w:shd w:val="clear" w:color="auto" w:fill="CCEEFF"/>
          </w:tcPr>
          <w:p>
            <w:pPr>
              <w:spacing w:after="0"/>
              <w:rPr>
                <w:sz w:val="24"/>
                <w:szCs w:val="24"/>
                <w:color w:val="auto"/>
              </w:rPr>
            </w:pPr>
          </w:p>
        </w:tc>
      </w:tr>
      <w:tr>
        <w:trPr>
          <w:trHeight w:val="243"/>
        </w:trPr>
        <w:tc>
          <w:tcPr>
            <w:tcW w:w="7440" w:type="dxa"/>
            <w:vAlign w:val="bottom"/>
          </w:tcPr>
          <w:p>
            <w:pPr>
              <w:ind w:left="40"/>
              <w:spacing w:after="0"/>
              <w:rPr>
                <w:sz w:val="20"/>
                <w:szCs w:val="20"/>
                <w:color w:val="auto"/>
              </w:rPr>
            </w:pPr>
            <w:r>
              <w:rPr>
                <w:rFonts w:ascii="Arial" w:cs="Arial" w:eastAsia="Arial" w:hAnsi="Arial"/>
                <w:sz w:val="18"/>
                <w:szCs w:val="18"/>
                <w:color w:val="auto"/>
              </w:rPr>
              <w:t>Three months ended June 30,</w:t>
            </w:r>
          </w:p>
        </w:tc>
        <w:tc>
          <w:tcPr>
            <w:tcW w:w="1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940" w:type="dxa"/>
            <w:vAlign w:val="bottom"/>
          </w:tcPr>
          <w:p>
            <w:pPr>
              <w:spacing w:after="0"/>
              <w:rPr>
                <w:sz w:val="21"/>
                <w:szCs w:val="21"/>
                <w:color w:val="auto"/>
              </w:rPr>
            </w:pPr>
          </w:p>
        </w:tc>
      </w:tr>
      <w:tr>
        <w:trPr>
          <w:trHeight w:val="27"/>
        </w:trPr>
        <w:tc>
          <w:tcPr>
            <w:tcW w:w="74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Shares issued</w:t>
            </w: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r>
      <w:tr>
        <w:trPr>
          <w:trHeight w:val="243"/>
        </w:trPr>
        <w:tc>
          <w:tcPr>
            <w:tcW w:w="7440" w:type="dxa"/>
            <w:vAlign w:val="bottom"/>
          </w:tcPr>
          <w:p>
            <w:pPr>
              <w:ind w:left="260"/>
              <w:spacing w:after="0"/>
              <w:rPr>
                <w:sz w:val="20"/>
                <w:szCs w:val="20"/>
                <w:color w:val="auto"/>
              </w:rPr>
            </w:pPr>
            <w:r>
              <w:rPr>
                <w:rFonts w:ascii="Arial" w:cs="Arial" w:eastAsia="Arial" w:hAnsi="Arial"/>
                <w:sz w:val="18"/>
                <w:szCs w:val="18"/>
                <w:color w:val="auto"/>
              </w:rPr>
              <w:t>Shares recovered for minimum tax withholding</w:t>
            </w: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Arial" w:cs="Arial" w:eastAsia="Arial" w:hAnsi="Arial"/>
                <w:sz w:val="18"/>
                <w:szCs w:val="18"/>
                <w:color w:val="auto"/>
              </w:rPr>
              <w:t>0.0</w:t>
            </w:r>
          </w:p>
        </w:tc>
      </w:tr>
      <w:tr>
        <w:trPr>
          <w:trHeight w:val="27"/>
        </w:trPr>
        <w:tc>
          <w:tcPr>
            <w:tcW w:w="744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57"/>
        </w:trPr>
        <w:tc>
          <w:tcPr>
            <w:tcW w:w="74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Net shares issued</w:t>
            </w:r>
          </w:p>
        </w:tc>
        <w:tc>
          <w:tcPr>
            <w:tcW w:w="1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00" w:type="dxa"/>
            <w:vAlign w:val="bottom"/>
            <w:tcBorders>
              <w:bottom w:val="single" w:sz="8" w:color="CCEEFF"/>
            </w:tcBorders>
            <w:shd w:val="clear" w:color="auto" w:fill="CCEEFF"/>
          </w:tcPr>
          <w:p>
            <w:pPr>
              <w:spacing w:after="0"/>
              <w:rPr>
                <w:sz w:val="22"/>
                <w:szCs w:val="22"/>
                <w:color w:val="auto"/>
              </w:rPr>
            </w:pPr>
          </w:p>
        </w:tc>
        <w:tc>
          <w:tcPr>
            <w:tcW w:w="1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r>
      <w:tr>
        <w:trPr>
          <w:trHeight w:val="20"/>
        </w:trPr>
        <w:tc>
          <w:tcPr>
            <w:tcW w:w="744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right="140" w:firstLine="648"/>
        <w:spacing w:after="0" w:line="264" w:lineRule="auto"/>
        <w:rPr>
          <w:sz w:val="20"/>
          <w:szCs w:val="20"/>
          <w:color w:val="auto"/>
        </w:rPr>
      </w:pPr>
      <w:r>
        <w:rPr>
          <w:rFonts w:ascii="Arial" w:cs="Arial" w:eastAsia="Arial" w:hAnsi="Arial"/>
          <w:sz w:val="18"/>
          <w:szCs w:val="18"/>
          <w:color w:val="auto"/>
        </w:rPr>
        <w:t>The net share issuance is included in additional paid-in capital on the Condensed Consolidated Statements of Shareholders' Equity for the three and six months ended June 30, 2019 and 2018. For additional information related to these plans refer to the Company's Annual Report on Form 10-K filed with the SEC for the year ended December 31, 2018.</w:t>
      </w:r>
    </w:p>
    <w:p>
      <w:pPr>
        <w:spacing w:after="0" w:line="1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11. ACCUMULATED OTHER COMPREHENSIVE LOSS ("AOCL")</w:t>
      </w:r>
    </w:p>
    <w:p>
      <w:pPr>
        <w:spacing w:after="0" w:line="224" w:lineRule="exact"/>
        <w:rPr>
          <w:sz w:val="20"/>
          <w:szCs w:val="20"/>
          <w:color w:val="auto"/>
        </w:rPr>
      </w:pPr>
    </w:p>
    <w:p>
      <w:pPr>
        <w:ind w:right="260" w:firstLine="648"/>
        <w:spacing w:after="0" w:line="308" w:lineRule="auto"/>
        <w:rPr>
          <w:sz w:val="20"/>
          <w:szCs w:val="20"/>
          <w:color w:val="auto"/>
        </w:rPr>
      </w:pPr>
      <w:r>
        <w:rPr>
          <w:rFonts w:ascii="Arial" w:cs="Arial" w:eastAsia="Arial" w:hAnsi="Arial"/>
          <w:sz w:val="17"/>
          <w:szCs w:val="17"/>
          <w:color w:val="auto"/>
        </w:rPr>
        <w:t>Comprehensive income (loss) is reported in the Condensed Consolidated Statements of Comprehensive Income (Loss) and consists of net income (loss) and other gains and losses affecting shareholders' equity that, under U.S. GAAP, are excluded from net income (loss).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provides the components of AOCL at June 30, 2019 (amounts are shown net of their related income tax effect, if any):</w:t>
      </w: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20" w:type="dxa"/>
            <w:vAlign w:val="bottom"/>
          </w:tcPr>
          <w:p>
            <w:pPr>
              <w:spacing w:after="0"/>
              <w:rPr>
                <w:sz w:val="18"/>
                <w:szCs w:val="18"/>
                <w:color w:val="auto"/>
              </w:rPr>
            </w:pPr>
          </w:p>
        </w:tc>
        <w:tc>
          <w:tcPr>
            <w:tcW w:w="160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9"/>
              </w:rPr>
              <w:t>Foreign currency</w:t>
            </w: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5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translation</w:t>
            </w: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3"/>
              </w:rPr>
              <w:t>Retirement</w:t>
            </w: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Interest rate</w:t>
            </w: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4"/>
        </w:trPr>
        <w:tc>
          <w:tcPr>
            <w:tcW w:w="562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adjustments</w:t>
            </w: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liabilities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4"/>
              </w:rPr>
              <w:t>swap</w:t>
            </w:r>
          </w:p>
        </w:tc>
        <w:tc>
          <w:tcPr>
            <w:tcW w:w="240" w:type="dxa"/>
            <w:vAlign w:val="bottom"/>
          </w:tcPr>
          <w:p>
            <w:pPr>
              <w:spacing w:after="0"/>
              <w:rPr>
                <w:sz w:val="20"/>
                <w:szCs w:val="20"/>
                <w:color w:val="auto"/>
              </w:rPr>
            </w:pP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AOCL</w:t>
            </w:r>
          </w:p>
        </w:tc>
      </w:tr>
      <w:tr>
        <w:trPr>
          <w:trHeight w:val="27"/>
        </w:trPr>
        <w:tc>
          <w:tcPr>
            <w:tcW w:w="56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2018</w:t>
            </w:r>
          </w:p>
        </w:tc>
        <w:tc>
          <w:tcPr>
            <w:tcW w:w="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w:t>
            </w:r>
          </w:p>
        </w:tc>
      </w:tr>
      <w:tr>
        <w:trPr>
          <w:trHeight w:val="243"/>
        </w:trPr>
        <w:tc>
          <w:tcPr>
            <w:tcW w:w="5620" w:type="dxa"/>
            <w:vAlign w:val="bottom"/>
          </w:tcPr>
          <w:p>
            <w:pPr>
              <w:ind w:left="260"/>
              <w:spacing w:after="0"/>
              <w:rPr>
                <w:sz w:val="20"/>
                <w:szCs w:val="20"/>
                <w:color w:val="auto"/>
              </w:rPr>
            </w:pPr>
            <w:r>
              <w:rPr>
                <w:rFonts w:ascii="Arial" w:cs="Arial" w:eastAsia="Arial" w:hAnsi="Arial"/>
                <w:sz w:val="18"/>
                <w:szCs w:val="18"/>
                <w:color w:val="auto"/>
              </w:rPr>
              <w:t>Unrealized net gains (losses) arising during the period</w:t>
            </w:r>
          </w:p>
        </w:tc>
        <w:tc>
          <w:tcPr>
            <w:tcW w:w="22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2.4</w:t>
            </w:r>
          </w:p>
        </w:tc>
      </w:tr>
      <w:tr>
        <w:trPr>
          <w:trHeight w:val="27"/>
        </w:trPr>
        <w:tc>
          <w:tcPr>
            <w:tcW w:w="56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Amounts reclassified from AOCL</w:t>
            </w:r>
          </w:p>
        </w:tc>
        <w:tc>
          <w:tcPr>
            <w:tcW w:w="2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Net current period other comprehensive income (loss)</w:t>
            </w:r>
          </w:p>
        </w:tc>
        <w:tc>
          <w:tcPr>
            <w:tcW w:w="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w:t>
            </w:r>
          </w:p>
        </w:tc>
      </w:tr>
      <w:tr>
        <w:trPr>
          <w:trHeight w:val="27"/>
        </w:trPr>
        <w:tc>
          <w:tcPr>
            <w:tcW w:w="56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March 31, 2019</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(38.2)</w:t>
            </w:r>
          </w:p>
        </w:tc>
      </w:tr>
      <w:tr>
        <w:trPr>
          <w:trHeight w:val="243"/>
        </w:trPr>
        <w:tc>
          <w:tcPr>
            <w:tcW w:w="5620" w:type="dxa"/>
            <w:vAlign w:val="bottom"/>
          </w:tcPr>
          <w:p>
            <w:pPr>
              <w:ind w:left="260"/>
              <w:spacing w:after="0"/>
              <w:rPr>
                <w:sz w:val="20"/>
                <w:szCs w:val="20"/>
                <w:color w:val="auto"/>
              </w:rPr>
            </w:pPr>
            <w:r>
              <w:rPr>
                <w:rFonts w:ascii="Arial" w:cs="Arial" w:eastAsia="Arial" w:hAnsi="Arial"/>
                <w:sz w:val="18"/>
                <w:szCs w:val="18"/>
                <w:color w:val="auto"/>
              </w:rPr>
              <w:t>Unrealized net gains (losses) arising during the period</w:t>
            </w:r>
          </w:p>
        </w:tc>
        <w:tc>
          <w:tcPr>
            <w:tcW w:w="22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1.4</w:t>
            </w:r>
          </w:p>
        </w:tc>
      </w:tr>
      <w:tr>
        <w:trPr>
          <w:trHeight w:val="27"/>
        </w:trPr>
        <w:tc>
          <w:tcPr>
            <w:tcW w:w="56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Amounts reclassified from AOCL</w:t>
            </w:r>
          </w:p>
        </w:tc>
        <w:tc>
          <w:tcPr>
            <w:tcW w:w="2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Net current period other comprehensive income (loss)</w:t>
            </w:r>
          </w:p>
        </w:tc>
        <w:tc>
          <w:tcPr>
            <w:tcW w:w="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w:t>
            </w:r>
          </w:p>
        </w:tc>
      </w:tr>
      <w:tr>
        <w:trPr>
          <w:trHeight w:val="27"/>
        </w:trPr>
        <w:tc>
          <w:tcPr>
            <w:tcW w:w="56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57"/>
        </w:trPr>
        <w:tc>
          <w:tcPr>
            <w:tcW w:w="5620" w:type="dxa"/>
            <w:vAlign w:val="bottom"/>
            <w:shd w:val="clear" w:color="auto" w:fill="CCEEFF"/>
          </w:tcPr>
          <w:p>
            <w:pPr>
              <w:ind w:left="40"/>
              <w:spacing w:after="0"/>
              <w:rPr>
                <w:sz w:val="20"/>
                <w:szCs w:val="20"/>
                <w:color w:val="auto"/>
              </w:rPr>
            </w:pPr>
            <w:r>
              <w:rPr>
                <w:rFonts w:ascii="Arial" w:cs="Arial" w:eastAsia="Arial" w:hAnsi="Arial"/>
                <w:sz w:val="18"/>
                <w:szCs w:val="18"/>
                <w:color w:val="auto"/>
              </w:rPr>
              <w:t>Balance at June 30, 2019</w:t>
            </w:r>
          </w:p>
        </w:tc>
        <w:tc>
          <w:tcPr>
            <w:tcW w:w="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w:t>
            </w: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5620" w:type="dxa"/>
            <w:vAlign w:val="bottom"/>
          </w:tcPr>
          <w:p>
            <w:pPr>
              <w:spacing w:after="0"/>
              <w:rPr>
                <w:sz w:val="24"/>
                <w:szCs w:val="24"/>
                <w:color w:val="auto"/>
              </w:rPr>
            </w:pPr>
          </w:p>
        </w:tc>
        <w:tc>
          <w:tcPr>
            <w:tcW w:w="220" w:type="dxa"/>
            <w:vAlign w:val="bottom"/>
          </w:tcPr>
          <w:p>
            <w:pPr>
              <w:spacing w:after="0"/>
              <w:rPr>
                <w:sz w:val="20"/>
                <w:szCs w:val="20"/>
                <w:color w:val="auto"/>
              </w:rPr>
            </w:pPr>
            <w:r>
              <w:rPr>
                <w:rFonts w:ascii="Arial" w:cs="Arial" w:eastAsia="Arial" w:hAnsi="Arial"/>
                <w:sz w:val="18"/>
                <w:szCs w:val="18"/>
                <w:color w:val="auto"/>
                <w:w w:val="99"/>
              </w:rPr>
              <w:t>23</w:t>
            </w: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provides the components of AOCL at June 30, 2018 (amounts are shown net of their related income tax effect, if any):</w:t>
      </w: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20" w:type="dxa"/>
            <w:vAlign w:val="bottom"/>
          </w:tcPr>
          <w:p>
            <w:pPr>
              <w:spacing w:after="0"/>
              <w:rPr>
                <w:sz w:val="18"/>
                <w:szCs w:val="18"/>
                <w:color w:val="auto"/>
              </w:rPr>
            </w:pPr>
          </w:p>
        </w:tc>
        <w:tc>
          <w:tcPr>
            <w:tcW w:w="160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9"/>
              </w:rPr>
              <w:t>Foreign currency</w:t>
            </w: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5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translation</w:t>
            </w: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3"/>
              </w:rPr>
              <w:t>Retirement</w:t>
            </w: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Interest rate</w:t>
            </w: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4"/>
        </w:trPr>
        <w:tc>
          <w:tcPr>
            <w:tcW w:w="562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adjustments</w:t>
            </w: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liabilities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4"/>
              </w:rPr>
              <w:t>swap</w:t>
            </w:r>
          </w:p>
        </w:tc>
        <w:tc>
          <w:tcPr>
            <w:tcW w:w="240" w:type="dxa"/>
            <w:vAlign w:val="bottom"/>
          </w:tcPr>
          <w:p>
            <w:pPr>
              <w:spacing w:after="0"/>
              <w:rPr>
                <w:sz w:val="20"/>
                <w:szCs w:val="20"/>
                <w:color w:val="auto"/>
              </w:rPr>
            </w:pP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AOCL</w:t>
            </w:r>
          </w:p>
        </w:tc>
      </w:tr>
      <w:tr>
        <w:trPr>
          <w:trHeight w:val="27"/>
        </w:trPr>
        <w:tc>
          <w:tcPr>
            <w:tcW w:w="56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(33.5)</w:t>
            </w:r>
          </w:p>
        </w:tc>
      </w:tr>
      <w:tr>
        <w:trPr>
          <w:trHeight w:val="243"/>
        </w:trPr>
        <w:tc>
          <w:tcPr>
            <w:tcW w:w="5620" w:type="dxa"/>
            <w:vAlign w:val="bottom"/>
          </w:tcPr>
          <w:p>
            <w:pPr>
              <w:ind w:left="260"/>
              <w:spacing w:after="0"/>
              <w:rPr>
                <w:sz w:val="20"/>
                <w:szCs w:val="20"/>
                <w:color w:val="auto"/>
              </w:rPr>
            </w:pPr>
            <w:r>
              <w:rPr>
                <w:rFonts w:ascii="Arial" w:cs="Arial" w:eastAsia="Arial" w:hAnsi="Arial"/>
                <w:sz w:val="18"/>
                <w:szCs w:val="18"/>
                <w:color w:val="auto"/>
              </w:rPr>
              <w:t>Unrealized net gains (losses) arising during the period</w:t>
            </w:r>
          </w:p>
        </w:tc>
        <w:tc>
          <w:tcPr>
            <w:tcW w:w="2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56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Amounts reclassified from AOCL</w:t>
            </w:r>
          </w:p>
        </w:tc>
        <w:tc>
          <w:tcPr>
            <w:tcW w:w="20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0.0</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Net current period other comprehensive income (loss)</w:t>
            </w:r>
          </w:p>
        </w:tc>
        <w:tc>
          <w:tcPr>
            <w:tcW w:w="2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(0.8)</w:t>
            </w:r>
          </w:p>
        </w:tc>
      </w:tr>
      <w:tr>
        <w:trPr>
          <w:trHeight w:val="27"/>
        </w:trPr>
        <w:tc>
          <w:tcPr>
            <w:tcW w:w="56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March 31, 2018</w:t>
            </w:r>
          </w:p>
        </w:tc>
        <w:tc>
          <w:tcPr>
            <w:tcW w:w="2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(34.3)</w:t>
            </w:r>
          </w:p>
        </w:tc>
      </w:tr>
      <w:tr>
        <w:trPr>
          <w:trHeight w:val="243"/>
        </w:trPr>
        <w:tc>
          <w:tcPr>
            <w:tcW w:w="5620" w:type="dxa"/>
            <w:vAlign w:val="bottom"/>
          </w:tcPr>
          <w:p>
            <w:pPr>
              <w:ind w:left="260"/>
              <w:spacing w:after="0"/>
              <w:rPr>
                <w:sz w:val="20"/>
                <w:szCs w:val="20"/>
                <w:color w:val="auto"/>
              </w:rPr>
            </w:pPr>
            <w:r>
              <w:rPr>
                <w:rFonts w:ascii="Arial" w:cs="Arial" w:eastAsia="Arial" w:hAnsi="Arial"/>
                <w:sz w:val="18"/>
                <w:szCs w:val="18"/>
                <w:color w:val="auto"/>
              </w:rPr>
              <w:t>Unrealized net gains (losses) arising during the period</w:t>
            </w:r>
          </w:p>
        </w:tc>
        <w:tc>
          <w:tcPr>
            <w:tcW w:w="2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7"/>
        </w:trPr>
        <w:tc>
          <w:tcPr>
            <w:tcW w:w="56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current period other comprehensive income (loss)</w:t>
            </w:r>
          </w:p>
        </w:tc>
        <w:tc>
          <w:tcPr>
            <w:tcW w:w="2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w:t>
            </w:r>
          </w:p>
        </w:tc>
      </w:tr>
      <w:tr>
        <w:trPr>
          <w:trHeight w:val="257"/>
        </w:trPr>
        <w:tc>
          <w:tcPr>
            <w:tcW w:w="5620" w:type="dxa"/>
            <w:vAlign w:val="bottom"/>
          </w:tcPr>
          <w:p>
            <w:pPr>
              <w:ind w:left="40"/>
              <w:spacing w:after="0"/>
              <w:rPr>
                <w:sz w:val="20"/>
                <w:szCs w:val="20"/>
                <w:color w:val="auto"/>
              </w:rPr>
            </w:pPr>
            <w:r>
              <w:rPr>
                <w:rFonts w:ascii="Arial" w:cs="Arial" w:eastAsia="Arial" w:hAnsi="Arial"/>
                <w:sz w:val="18"/>
                <w:szCs w:val="18"/>
                <w:color w:val="auto"/>
              </w:rPr>
              <w:t>Balance at June 30, 2018</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(27.6)</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(0.6)</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(38.1)</w:t>
            </w:r>
          </w:p>
        </w:tc>
      </w:tr>
      <w:tr>
        <w:trPr>
          <w:trHeight w:val="20"/>
        </w:trPr>
        <w:tc>
          <w:tcPr>
            <w:tcW w:w="56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 xml:space="preserve">See </w:t>
      </w:r>
      <w:hyperlink w:anchor="page21">
        <w:r>
          <w:rPr>
            <w:rFonts w:ascii="Arial" w:cs="Arial" w:eastAsia="Arial" w:hAnsi="Arial"/>
            <w:sz w:val="18"/>
            <w:szCs w:val="18"/>
            <w:u w:val="single" w:color="auto"/>
            <w:color w:val="0000EE"/>
          </w:rPr>
          <w:t>Note 6, Income Taxes</w:t>
        </w:r>
      </w:hyperlink>
      <w:r>
        <w:rPr>
          <w:rFonts w:ascii="Arial" w:cs="Arial" w:eastAsia="Arial" w:hAnsi="Arial"/>
          <w:sz w:val="18"/>
          <w:szCs w:val="18"/>
          <w:color w:val="auto"/>
        </w:rPr>
        <w:t>, for information related to the Company's adoption of ASU 2018-02 in January 2018.</w:t>
      </w: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12. COMMITMENTS AND CONTINGENCIES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29"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From time to time, the Company is involved in various lawsuits, claims and regulatory and administrative proceedings arising out of its business relating to general commercial and contractual matters, governmental regulations, intellectual property rights, labor and employment matters, tax and other actions.</w:t>
      </w:r>
    </w:p>
    <w:p>
      <w:pPr>
        <w:spacing w:after="0" w:line="181" w:lineRule="exact"/>
        <w:rPr>
          <w:sz w:val="20"/>
          <w:szCs w:val="20"/>
          <w:color w:val="auto"/>
        </w:rPr>
      </w:pPr>
    </w:p>
    <w:p>
      <w:pPr>
        <w:ind w:right="180" w:firstLine="648"/>
        <w:spacing w:after="0" w:line="286" w:lineRule="auto"/>
        <w:rPr>
          <w:sz w:val="20"/>
          <w:szCs w:val="20"/>
          <w:color w:val="auto"/>
        </w:rPr>
      </w:pPr>
      <w:r>
        <w:rPr>
          <w:rFonts w:ascii="Arial" w:cs="Arial" w:eastAsia="Arial" w:hAnsi="Arial"/>
          <w:sz w:val="17"/>
          <w:szCs w:val="17"/>
          <w:color w:val="auto"/>
        </w:rPr>
        <w:t>Although the ultimate outcome of any legal proceeding or investigation cannot be predicted with certainty, based on present information, including the Company's assessment of the merits of the particular claim, the Company does not expect that any asserted or unasserted legal claims or proceedings, individually or in the aggregate, will have a material adverse effect on its results of operations, financial condition or cash flows.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Escheat Audit</w:t>
      </w:r>
    </w:p>
    <w:p>
      <w:pPr>
        <w:spacing w:after="0" w:line="229"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In 2013, Unisource was notified by the State of Delaware that it intended to examine the books and records of Unisource to determine compliance with Delaware escheat laws. Since that date, seven other states have joined with Delaware in the audit process, which is conducted by an outside firm on behalf of the states.</w:t>
      </w:r>
    </w:p>
    <w:p>
      <w:pPr>
        <w:spacing w:after="0" w:line="181" w:lineRule="exact"/>
        <w:rPr>
          <w:sz w:val="20"/>
          <w:szCs w:val="20"/>
          <w:color w:val="auto"/>
        </w:rPr>
      </w:pPr>
    </w:p>
    <w:p>
      <w:pPr>
        <w:ind w:right="180" w:firstLine="648"/>
        <w:spacing w:after="0" w:line="279" w:lineRule="auto"/>
        <w:rPr>
          <w:sz w:val="20"/>
          <w:szCs w:val="20"/>
          <w:color w:val="auto"/>
        </w:rPr>
      </w:pPr>
      <w:r>
        <w:rPr>
          <w:rFonts w:ascii="Arial" w:cs="Arial" w:eastAsia="Arial" w:hAnsi="Arial"/>
          <w:sz w:val="17"/>
          <w:szCs w:val="17"/>
          <w:color w:val="auto"/>
        </w:rPr>
        <w:t>During the fourth quarter of 2017, the Company filed an election to convert the Delaware portion of the audit into a review under the State of Delaware’s Voluntary Disclosure Agreement Program (“VDA”). Under the VDA, the Company will continue to identify source documents that support the historical treatment of the transactions at issue to determine the amount it believes is owed to Delaware. Similarly, the Company will continue to identify source documents that support the historical treatment of the transactions under audit by the other participating states.</w:t>
      </w:r>
    </w:p>
    <w:p>
      <w:pPr>
        <w:spacing w:after="0" w:line="171"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As of June 30, 2019 and December 31, 2018, the Company has recognized an estimated liability of approximately $17.0 million and $10.0 million, respectively, based upon the information available to date. The Company currently expects to complete the VDA and audit no later than mid-2020. Due to the inherent uncertainties with respect to the ultimate outcome of these matters, any updates to this estimate of loss could have a material impact on the Company's results of operations, financial condition or cash flows.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Western Pennsylvania Teamsters and Employers Pension Fund</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In April 2019, in the course of negotiations for a collective bargaining agreement, the Company negotiated a partial withdrawal from the Western Pennsylvania Teamsters and Employers Pension Fund (the "Fund"), a multi-employer pension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341"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plan. During the second quarter of 2019, the Company recorded an estimated withdrawal liability of $6.5 million. The withdrawal charge was recorded in distribution expenses as it was not related to a restructuring activity. To date, Veritiv has not received a final determination letter from the Fund for the partial withdrawal. The Company expects that payments will occur over an approximate 20-year period.</w:t>
      </w:r>
    </w:p>
    <w:p>
      <w:pPr>
        <w:spacing w:after="0" w:line="1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13. SEGMENT INFORMATION</w:t>
      </w:r>
    </w:p>
    <w:p>
      <w:pPr>
        <w:spacing w:after="0" w:line="224"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Veritiv's business is organized under four reportable segments: Packaging, Facility Solutions, Print, and Publishing and Print Management ("Publishing"). This segment structure is consistent with the way the Chief Operating Decision Maker, who is Veritiv's Chief Executive Officer, makes operating decisions and manages the growth and profitability of the Company’s business. The Company also has a Corporate &amp; Other category, which includes certain assets and costs not primarily attributable to any of the reportable segments, as well as the Veritiv logistics solutions business which provides transportation and warehousing solutions.</w:t>
      </w:r>
    </w:p>
    <w:p>
      <w:pPr>
        <w:spacing w:after="0" w:line="188" w:lineRule="exact"/>
        <w:rPr>
          <w:sz w:val="20"/>
          <w:szCs w:val="20"/>
          <w:color w:val="auto"/>
        </w:rPr>
      </w:pPr>
    </w:p>
    <w:p>
      <w:pPr>
        <w:ind w:right="60" w:firstLine="648"/>
        <w:spacing w:after="0" w:line="293" w:lineRule="auto"/>
        <w:rPr>
          <w:sz w:val="20"/>
          <w:szCs w:val="20"/>
          <w:color w:val="auto"/>
        </w:rPr>
      </w:pPr>
      <w:r>
        <w:rPr>
          <w:rFonts w:ascii="Arial" w:cs="Arial" w:eastAsia="Arial" w:hAnsi="Arial"/>
          <w:sz w:val="16"/>
          <w:szCs w:val="16"/>
          <w:color w:val="auto"/>
        </w:rPr>
        <w:t>The following tables present net sales, Adjusted EBITDA (earnings before interest, income taxes, depreciation and amortization, restructuring charges, net, integration and acquisition expenses and other similar charges including any severance costs, costs associated with warehouse and office openings or closings, consolidation, and relocation and other business optimization expenses, stock-based compensation expense, changes in the LIFO reserve, non-restructuring asset impairment charges, non-restructuring severance charges, non-restructuring pension charges, net, fair value adjustments related to contingent liabilities assumed in mergers and acquisitions and certain other adjustments), which is the metric management uses to assess operating performance of the segments, and certain other measures for each of the reportable segments and Corporate &amp; Other for the periods presented:</w:t>
      </w:r>
    </w:p>
    <w:p>
      <w:pPr>
        <w:spacing w:after="0" w:line="200" w:lineRule="exact"/>
        <w:rPr>
          <w:sz w:val="20"/>
          <w:szCs w:val="20"/>
          <w:color w:val="auto"/>
        </w:rPr>
      </w:pPr>
    </w:p>
    <w:p>
      <w:pPr>
        <w:spacing w:after="0" w:line="20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40"/>
          </w:cols>
          <w:pgMar w:left="240" w:top="341" w:right="319" w:bottom="1440" w:gutter="0" w:footer="0" w:header="0"/>
        </w:sectPr>
      </w:pPr>
    </w:p>
    <w:bookmarkStart w:id="28" w:name="page29"/>
    <w:bookmarkEnd w:id="28"/>
    <w:tbl>
      <w:tblPr>
        <w:tblLayout w:type="fixed"/>
        <w:tblInd w:w="0" w:type="dxa"/>
        <w:tblCellMar>
          <w:top w:w="0" w:type="dxa"/>
          <w:left w:w="0" w:type="dxa"/>
          <w:bottom w:w="0" w:type="dxa"/>
          <w:right w:w="0" w:type="dxa"/>
        </w:tblCellMar>
      </w:tblPr>
      <w:tr>
        <w:trPr>
          <w:trHeight w:val="207"/>
        </w:trPr>
        <w:tc>
          <w:tcPr>
            <w:tcW w:w="1940" w:type="dxa"/>
            <w:vAlign w:val="bottom"/>
            <w:gridSpan w:val="2"/>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Table of Contents</w:t>
              </w:r>
            </w:hyperlink>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623"/>
        </w:trPr>
        <w:tc>
          <w:tcPr>
            <w:tcW w:w="1280" w:type="dxa"/>
            <w:vAlign w:val="bottom"/>
            <w:tcBorders>
              <w:top w:val="single" w:sz="8" w:color="0000EE"/>
            </w:tcBorders>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2"/>
              </w:rPr>
              <w:t>Total</w:t>
            </w: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16"/>
        </w:trPr>
        <w:tc>
          <w:tcPr>
            <w:tcW w:w="1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3"/>
              </w:rPr>
              <w:t>Facility</w:t>
            </w: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Reportable</w:t>
            </w:r>
          </w:p>
        </w:tc>
        <w:tc>
          <w:tcPr>
            <w:tcW w:w="120" w:type="dxa"/>
            <w:vAlign w:val="bottom"/>
          </w:tcPr>
          <w:p>
            <w:pPr>
              <w:spacing w:after="0"/>
              <w:rPr>
                <w:sz w:val="18"/>
                <w:szCs w:val="18"/>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6"/>
              </w:rPr>
              <w:t>Corporate &amp;</w:t>
            </w: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34"/>
        </w:trPr>
        <w:tc>
          <w:tcPr>
            <w:tcW w:w="1940" w:type="dxa"/>
            <w:vAlign w:val="bottom"/>
            <w:gridSpan w:val="2"/>
          </w:tcPr>
          <w:p>
            <w:pPr>
              <w:ind w:left="40"/>
              <w:spacing w:after="0"/>
              <w:rPr>
                <w:sz w:val="20"/>
                <w:szCs w:val="20"/>
                <w:color w:val="auto"/>
              </w:rPr>
            </w:pPr>
            <w:r>
              <w:rPr>
                <w:rFonts w:ascii="Arial" w:cs="Arial" w:eastAsia="Arial" w:hAnsi="Arial"/>
                <w:sz w:val="18"/>
                <w:szCs w:val="18"/>
                <w:i w:val="1"/>
                <w:iCs w:val="1"/>
                <w:color w:val="auto"/>
              </w:rPr>
              <w:t>(in millions)</w:t>
            </w:r>
          </w:p>
        </w:tc>
        <w:tc>
          <w:tcPr>
            <w:tcW w:w="180" w:type="dxa"/>
            <w:vAlign w:val="bottom"/>
          </w:tcPr>
          <w:p>
            <w:pPr>
              <w:spacing w:after="0"/>
              <w:rPr>
                <w:sz w:val="20"/>
                <w:szCs w:val="20"/>
                <w:color w:val="auto"/>
              </w:rPr>
            </w:pPr>
          </w:p>
        </w:tc>
        <w:tc>
          <w:tcPr>
            <w:tcW w:w="1180" w:type="dxa"/>
            <w:vAlign w:val="bottom"/>
            <w:gridSpan w:val="2"/>
          </w:tcPr>
          <w:p>
            <w:pPr>
              <w:ind w:left="40"/>
              <w:spacing w:after="0"/>
              <w:rPr>
                <w:sz w:val="20"/>
                <w:szCs w:val="20"/>
                <w:color w:val="auto"/>
              </w:rPr>
            </w:pPr>
            <w:r>
              <w:rPr>
                <w:rFonts w:ascii="Arial" w:cs="Arial" w:eastAsia="Arial" w:hAnsi="Arial"/>
                <w:sz w:val="18"/>
                <w:szCs w:val="18"/>
                <w:b w:val="1"/>
                <w:bCs w:val="1"/>
                <w:color w:val="auto"/>
              </w:rPr>
              <w:t>Packaging</w:t>
            </w:r>
          </w:p>
        </w:tc>
        <w:tc>
          <w:tcPr>
            <w:tcW w:w="200" w:type="dxa"/>
            <w:vAlign w:val="bottom"/>
          </w:tcPr>
          <w:p>
            <w:pPr>
              <w:spacing w:after="0"/>
              <w:rPr>
                <w:sz w:val="20"/>
                <w:szCs w:val="20"/>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7"/>
              </w:rPr>
              <w:t>Solutions</w:t>
            </w:r>
          </w:p>
        </w:tc>
        <w:tc>
          <w:tcPr>
            <w:tcW w:w="260" w:type="dxa"/>
            <w:vAlign w:val="bottom"/>
          </w:tcPr>
          <w:p>
            <w:pPr>
              <w:spacing w:after="0"/>
              <w:rPr>
                <w:sz w:val="20"/>
                <w:szCs w:val="20"/>
                <w:color w:val="auto"/>
              </w:rPr>
            </w:pPr>
          </w:p>
        </w:tc>
        <w:tc>
          <w:tcPr>
            <w:tcW w:w="1080" w:type="dxa"/>
            <w:vAlign w:val="bottom"/>
            <w:gridSpan w:val="2"/>
          </w:tcPr>
          <w:p>
            <w:pPr>
              <w:ind w:left="160"/>
              <w:spacing w:after="0"/>
              <w:rPr>
                <w:sz w:val="20"/>
                <w:szCs w:val="20"/>
                <w:color w:val="auto"/>
              </w:rPr>
            </w:pPr>
            <w:r>
              <w:rPr>
                <w:rFonts w:ascii="Arial" w:cs="Arial" w:eastAsia="Arial" w:hAnsi="Arial"/>
                <w:sz w:val="18"/>
                <w:szCs w:val="18"/>
                <w:b w:val="1"/>
                <w:bCs w:val="1"/>
                <w:color w:val="auto"/>
              </w:rPr>
              <w:t>Print</w:t>
            </w:r>
          </w:p>
        </w:tc>
        <w:tc>
          <w:tcPr>
            <w:tcW w:w="160" w:type="dxa"/>
            <w:vAlign w:val="bottom"/>
          </w:tcPr>
          <w:p>
            <w:pPr>
              <w:spacing w:after="0"/>
              <w:rPr>
                <w:sz w:val="20"/>
                <w:szCs w:val="20"/>
                <w:color w:val="auto"/>
              </w:rPr>
            </w:pPr>
          </w:p>
        </w:tc>
        <w:tc>
          <w:tcPr>
            <w:tcW w:w="1200" w:type="dxa"/>
            <w:vAlign w:val="bottom"/>
            <w:gridSpan w:val="2"/>
          </w:tcPr>
          <w:p>
            <w:pPr>
              <w:ind w:left="60"/>
              <w:spacing w:after="0"/>
              <w:rPr>
                <w:sz w:val="20"/>
                <w:szCs w:val="20"/>
                <w:color w:val="auto"/>
              </w:rPr>
            </w:pPr>
            <w:r>
              <w:rPr>
                <w:rFonts w:ascii="Arial" w:cs="Arial" w:eastAsia="Arial" w:hAnsi="Arial"/>
                <w:sz w:val="18"/>
                <w:szCs w:val="18"/>
                <w:b w:val="1"/>
                <w:bCs w:val="1"/>
                <w:color w:val="auto"/>
              </w:rPr>
              <w:t>Publishing</w:t>
            </w:r>
          </w:p>
        </w:tc>
        <w:tc>
          <w:tcPr>
            <w:tcW w:w="140" w:type="dxa"/>
            <w:vAlign w:val="bottom"/>
          </w:tcPr>
          <w:p>
            <w:pPr>
              <w:spacing w:after="0"/>
              <w:rPr>
                <w:sz w:val="20"/>
                <w:szCs w:val="20"/>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3"/>
              </w:rPr>
              <w:t>Segments</w:t>
            </w:r>
          </w:p>
        </w:tc>
        <w:tc>
          <w:tcPr>
            <w:tcW w:w="120" w:type="dxa"/>
            <w:vAlign w:val="bottom"/>
          </w:tcPr>
          <w:p>
            <w:pPr>
              <w:spacing w:after="0"/>
              <w:rPr>
                <w:sz w:val="20"/>
                <w:szCs w:val="20"/>
                <w:color w:val="auto"/>
              </w:rPr>
            </w:pPr>
          </w:p>
        </w:tc>
        <w:tc>
          <w:tcPr>
            <w:tcW w:w="12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5"/>
              </w:rPr>
              <w:t>Other</w:t>
            </w:r>
          </w:p>
        </w:tc>
        <w:tc>
          <w:tcPr>
            <w:tcW w:w="260" w:type="dxa"/>
            <w:vAlign w:val="bottom"/>
          </w:tcPr>
          <w:p>
            <w:pPr>
              <w:spacing w:after="0"/>
              <w:rPr>
                <w:sz w:val="20"/>
                <w:szCs w:val="20"/>
                <w:color w:val="auto"/>
              </w:rPr>
            </w:pPr>
          </w:p>
        </w:tc>
        <w:tc>
          <w:tcPr>
            <w:tcW w:w="980" w:type="dxa"/>
            <w:vAlign w:val="bottom"/>
          </w:tcPr>
          <w:p>
            <w:pPr>
              <w:jc w:val="right"/>
              <w:ind w:right="330"/>
              <w:spacing w:after="0"/>
              <w:rPr>
                <w:sz w:val="20"/>
                <w:szCs w:val="20"/>
                <w:color w:val="auto"/>
              </w:rPr>
            </w:pPr>
            <w:r>
              <w:rPr>
                <w:rFonts w:ascii="Arial" w:cs="Arial" w:eastAsia="Arial" w:hAnsi="Arial"/>
                <w:sz w:val="18"/>
                <w:szCs w:val="18"/>
                <w:b w:val="1"/>
                <w:bCs w:val="1"/>
                <w:color w:val="auto"/>
              </w:rPr>
              <w:t>Total</w:t>
            </w:r>
          </w:p>
        </w:tc>
      </w:tr>
      <w:tr>
        <w:trPr>
          <w:trHeight w:val="27"/>
        </w:trPr>
        <w:tc>
          <w:tcPr>
            <w:tcW w:w="1280" w:type="dxa"/>
            <w:vAlign w:val="bottom"/>
            <w:tcBorders>
              <w:bottom w:val="single" w:sz="8" w:color="CCEEFF"/>
            </w:tcBorders>
          </w:tcPr>
          <w:p>
            <w:pPr>
              <w:spacing w:after="0"/>
              <w:rPr>
                <w:sz w:val="2"/>
                <w:szCs w:val="2"/>
                <w:color w:val="auto"/>
              </w:rPr>
            </w:pPr>
          </w:p>
        </w:tc>
        <w:tc>
          <w:tcPr>
            <w:tcW w:w="6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5"/>
        </w:trPr>
        <w:tc>
          <w:tcPr>
            <w:tcW w:w="1940" w:type="dxa"/>
            <w:vAlign w:val="bottom"/>
            <w:gridSpan w:val="2"/>
            <w:shd w:val="clear" w:color="auto" w:fill="CCEEFF"/>
          </w:tcPr>
          <w:p>
            <w:pPr>
              <w:ind w:left="40"/>
              <w:spacing w:after="0" w:line="205" w:lineRule="exact"/>
              <w:rPr>
                <w:sz w:val="20"/>
                <w:szCs w:val="20"/>
                <w:color w:val="auto"/>
              </w:rPr>
            </w:pPr>
            <w:r>
              <w:rPr>
                <w:rFonts w:ascii="Arial" w:cs="Arial" w:eastAsia="Arial" w:hAnsi="Arial"/>
                <w:sz w:val="18"/>
                <w:szCs w:val="18"/>
                <w:b w:val="1"/>
                <w:bCs w:val="1"/>
                <w:color w:val="auto"/>
              </w:rPr>
              <w:t>Three Months Ended</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41"/>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June 30, 2019</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43"/>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Net sales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881.5</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311.7</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528.6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203.5</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1,925.3</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32.9</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1,958.2</w:t>
            </w:r>
          </w:p>
        </w:tc>
      </w:tr>
      <w:tr>
        <w:trPr>
          <w:trHeight w:val="27"/>
        </w:trPr>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Adjusted EBITDA</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91.7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(48.4)</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29"/>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Depreciation and</w:t>
            </w: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30"/>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amortization</w:t>
            </w:r>
          </w:p>
        </w:tc>
        <w:tc>
          <w:tcPr>
            <w:tcW w:w="180" w:type="dxa"/>
            <w:vAlign w:val="bottom"/>
          </w:tcPr>
          <w:p>
            <w:pPr>
              <w:spacing w:after="0"/>
              <w:rPr>
                <w:sz w:val="20"/>
                <w:szCs w:val="20"/>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4.7</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8.8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4.6</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13.4</w:t>
            </w:r>
          </w:p>
        </w:tc>
      </w:tr>
      <w:tr>
        <w:trPr>
          <w:trHeight w:val="27"/>
        </w:trPr>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29"/>
        </w:trPr>
        <w:tc>
          <w:tcPr>
            <w:tcW w:w="1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Restructuring charges,</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37"/>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w:t>
            </w:r>
          </w:p>
        </w:tc>
      </w:tr>
      <w:tr>
        <w:trPr>
          <w:trHeight w:val="297"/>
        </w:trPr>
        <w:tc>
          <w:tcPr>
            <w:tcW w:w="1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25"/>
        </w:trPr>
        <w:tc>
          <w:tcPr>
            <w:tcW w:w="1940" w:type="dxa"/>
            <w:vAlign w:val="bottom"/>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Three Months Ended</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41"/>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June 30, 2018</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43"/>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Net sales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887.1</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334.4</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679.1</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238.3</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2,138.9</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33.0</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2,171.9</w:t>
            </w:r>
          </w:p>
        </w:tc>
      </w:tr>
      <w:tr>
        <w:trPr>
          <w:trHeight w:val="27"/>
        </w:trPr>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Adjusted EBITDA</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29"/>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Depreciation and</w:t>
            </w: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30"/>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amortization</w:t>
            </w:r>
          </w:p>
        </w:tc>
        <w:tc>
          <w:tcPr>
            <w:tcW w:w="180" w:type="dxa"/>
            <w:vAlign w:val="bottom"/>
          </w:tcPr>
          <w:p>
            <w:pPr>
              <w:spacing w:after="0"/>
              <w:rPr>
                <w:sz w:val="20"/>
                <w:szCs w:val="20"/>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5.3</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9.5</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4.5</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14.0</w:t>
            </w:r>
          </w:p>
        </w:tc>
      </w:tr>
      <w:tr>
        <w:trPr>
          <w:trHeight w:val="27"/>
        </w:trPr>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29"/>
        </w:trPr>
        <w:tc>
          <w:tcPr>
            <w:tcW w:w="1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Restructuring charges,</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37"/>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5.0</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11.3</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11.4</w:t>
            </w:r>
          </w:p>
        </w:tc>
      </w:tr>
      <w:tr>
        <w:trPr>
          <w:trHeight w:val="297"/>
        </w:trPr>
        <w:tc>
          <w:tcPr>
            <w:tcW w:w="1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25"/>
        </w:trPr>
        <w:tc>
          <w:tcPr>
            <w:tcW w:w="1940" w:type="dxa"/>
            <w:vAlign w:val="bottom"/>
            <w:gridSpan w:val="2"/>
            <w:shd w:val="clear" w:color="auto" w:fill="CCEEFF"/>
          </w:tcPr>
          <w:p>
            <w:pPr>
              <w:ind w:left="40"/>
              <w:spacing w:after="0"/>
              <w:rPr>
                <w:sz w:val="20"/>
                <w:szCs w:val="20"/>
                <w:color w:val="auto"/>
              </w:rPr>
            </w:pPr>
            <w:r>
              <w:rPr>
                <w:rFonts w:ascii="Arial" w:cs="Arial" w:eastAsia="Arial" w:hAnsi="Arial"/>
                <w:sz w:val="18"/>
                <w:szCs w:val="18"/>
                <w:b w:val="1"/>
                <w:bCs w:val="1"/>
                <w:color w:val="auto"/>
                <w:w w:val="92"/>
              </w:rPr>
              <w:t>Six Months Ended June</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41"/>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30, 2019</w:t>
            </w:r>
          </w:p>
        </w:tc>
        <w:tc>
          <w:tcPr>
            <w:tcW w:w="6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43"/>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Net sales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1,726.9</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610.2</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1,082.5</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413.6</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3,833.2</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66.5</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3,899.7</w:t>
            </w:r>
          </w:p>
        </w:tc>
      </w:tr>
      <w:tr>
        <w:trPr>
          <w:trHeight w:val="27"/>
        </w:trPr>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Adjusted EBITDA</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113.7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156.1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(92.4)</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29"/>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Depreciation and</w:t>
            </w: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30"/>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amortization</w:t>
            </w:r>
          </w:p>
        </w:tc>
        <w:tc>
          <w:tcPr>
            <w:tcW w:w="180" w:type="dxa"/>
            <w:vAlign w:val="bottom"/>
          </w:tcPr>
          <w:p>
            <w:pPr>
              <w:spacing w:after="0"/>
              <w:rPr>
                <w:sz w:val="20"/>
                <w:szCs w:val="20"/>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9.2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17.3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8.9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26.2</w:t>
            </w:r>
          </w:p>
        </w:tc>
      </w:tr>
      <w:tr>
        <w:trPr>
          <w:trHeight w:val="27"/>
        </w:trPr>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29"/>
        </w:trPr>
        <w:tc>
          <w:tcPr>
            <w:tcW w:w="1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Restructuring charges,</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37"/>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6.1</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w:t>
            </w:r>
          </w:p>
        </w:tc>
      </w:tr>
      <w:tr>
        <w:trPr>
          <w:trHeight w:val="297"/>
        </w:trPr>
        <w:tc>
          <w:tcPr>
            <w:tcW w:w="1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25"/>
        </w:trPr>
        <w:tc>
          <w:tcPr>
            <w:tcW w:w="1940" w:type="dxa"/>
            <w:vAlign w:val="bottom"/>
            <w:gridSpan w:val="2"/>
            <w:shd w:val="clear" w:color="auto" w:fill="CCEEFF"/>
          </w:tcPr>
          <w:p>
            <w:pPr>
              <w:ind w:left="40"/>
              <w:spacing w:after="0"/>
              <w:rPr>
                <w:sz w:val="20"/>
                <w:szCs w:val="20"/>
                <w:color w:val="auto"/>
              </w:rPr>
            </w:pPr>
            <w:r>
              <w:rPr>
                <w:rFonts w:ascii="Arial" w:cs="Arial" w:eastAsia="Arial" w:hAnsi="Arial"/>
                <w:sz w:val="18"/>
                <w:szCs w:val="18"/>
                <w:b w:val="1"/>
                <w:bCs w:val="1"/>
                <w:color w:val="auto"/>
                <w:w w:val="92"/>
              </w:rPr>
              <w:t>Six Months Ended June</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41"/>
        </w:trPr>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30, 2018</w:t>
            </w:r>
          </w:p>
        </w:tc>
        <w:tc>
          <w:tcPr>
            <w:tcW w:w="66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43"/>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Net sales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1,732.3</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655.0</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1,339.9</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476.4</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4,203.6</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69.3</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4,272.9</w:t>
            </w:r>
          </w:p>
        </w:tc>
      </w:tr>
      <w:tr>
        <w:trPr>
          <w:trHeight w:val="27"/>
        </w:trPr>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Adjusted EBITDA</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118.0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174.4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r>
      <w:tr>
        <w:trPr>
          <w:trHeight w:val="229"/>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Depreciation and</w:t>
            </w: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30"/>
        </w:trPr>
        <w:tc>
          <w:tcPr>
            <w:tcW w:w="1940" w:type="dxa"/>
            <w:vAlign w:val="bottom"/>
            <w:gridSpan w:val="2"/>
          </w:tcPr>
          <w:p>
            <w:pPr>
              <w:ind w:left="40"/>
              <w:spacing w:after="0"/>
              <w:rPr>
                <w:sz w:val="20"/>
                <w:szCs w:val="20"/>
                <w:color w:val="auto"/>
              </w:rPr>
            </w:pPr>
            <w:r>
              <w:rPr>
                <w:rFonts w:ascii="Arial" w:cs="Arial" w:eastAsia="Arial" w:hAnsi="Arial"/>
                <w:sz w:val="18"/>
                <w:szCs w:val="18"/>
                <w:color w:val="auto"/>
              </w:rPr>
              <w:t>amortization</w:t>
            </w:r>
          </w:p>
        </w:tc>
        <w:tc>
          <w:tcPr>
            <w:tcW w:w="180" w:type="dxa"/>
            <w:vAlign w:val="bottom"/>
          </w:tcPr>
          <w:p>
            <w:pPr>
              <w:spacing w:after="0"/>
              <w:rPr>
                <w:sz w:val="20"/>
                <w:szCs w:val="20"/>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19.3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9.1</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28.4</w:t>
            </w:r>
          </w:p>
        </w:tc>
      </w:tr>
      <w:tr>
        <w:trPr>
          <w:trHeight w:val="27"/>
        </w:trPr>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29"/>
        </w:trPr>
        <w:tc>
          <w:tcPr>
            <w:tcW w:w="19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Restructuring charges,</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r>
      <w:tr>
        <w:trPr>
          <w:trHeight w:val="237"/>
        </w:trPr>
        <w:tc>
          <w:tcPr>
            <w:tcW w:w="1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5.9</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23.0</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23.3</w:t>
            </w:r>
          </w:p>
        </w:tc>
      </w:tr>
      <w:tr>
        <w:trPr>
          <w:trHeight w:val="675"/>
        </w:trPr>
        <w:tc>
          <w:tcPr>
            <w:tcW w:w="1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r>
    </w:tbl>
    <w:p>
      <w:pPr>
        <w:sectPr>
          <w:pgSz w:w="11900" w:h="16838" w:orient="portrait"/>
          <w:cols w:equalWidth="0" w:num="1">
            <w:col w:w="11300"/>
          </w:cols>
          <w:pgMar w:left="240" w:top="324" w:right="35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table below presents a reconciliation of loss before income taxes as reflected in the Condensed Consolidated Statements of Operations to</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Adjusted EBITDA for the reportable segments:</w:t>
      </w:r>
    </w:p>
    <w:p>
      <w:pPr>
        <w:spacing w:after="0" w:line="153" w:lineRule="exact"/>
        <w:rPr>
          <w:sz w:val="20"/>
          <w:szCs w:val="20"/>
          <w:color w:val="auto"/>
        </w:rPr>
      </w:pPr>
    </w:p>
    <w:tbl>
      <w:tblPr>
        <w:tblLayout w:type="fixed"/>
        <w:tblInd w:w="500" w:type="dxa"/>
        <w:tblCellMar>
          <w:top w:w="0" w:type="dxa"/>
          <w:left w:w="0" w:type="dxa"/>
          <w:bottom w:w="0" w:type="dxa"/>
          <w:right w:w="0" w:type="dxa"/>
        </w:tblCellMar>
      </w:tblPr>
      <w:tr>
        <w:trPr>
          <w:trHeight w:val="216"/>
        </w:trPr>
        <w:tc>
          <w:tcPr>
            <w:tcW w:w="46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360" w:type="dxa"/>
            <w:vAlign w:val="bottom"/>
            <w:gridSpan w:val="5"/>
          </w:tcPr>
          <w:p>
            <w:pPr>
              <w:jc w:val="right"/>
              <w:ind w:right="600"/>
              <w:spacing w:after="0"/>
              <w:rPr>
                <w:sz w:val="20"/>
                <w:szCs w:val="20"/>
                <w:color w:val="auto"/>
              </w:rPr>
            </w:pPr>
            <w:r>
              <w:rPr>
                <w:rFonts w:ascii="Arial" w:cs="Arial" w:eastAsia="Arial" w:hAnsi="Arial"/>
                <w:sz w:val="18"/>
                <w:szCs w:val="18"/>
                <w:b w:val="1"/>
                <w:bCs w:val="1"/>
                <w:color w:val="auto"/>
                <w:w w:val="97"/>
              </w:rPr>
              <w:t>Three Months Ended</w:t>
            </w:r>
          </w:p>
        </w:tc>
        <w:tc>
          <w:tcPr>
            <w:tcW w:w="260" w:type="dxa"/>
            <w:vAlign w:val="bottom"/>
          </w:tcPr>
          <w:p>
            <w:pPr>
              <w:spacing w:after="0"/>
              <w:rPr>
                <w:sz w:val="18"/>
                <w:szCs w:val="18"/>
                <w:color w:val="auto"/>
              </w:rPr>
            </w:pPr>
          </w:p>
        </w:tc>
        <w:tc>
          <w:tcPr>
            <w:tcW w:w="2160" w:type="dxa"/>
            <w:vAlign w:val="bottom"/>
            <w:gridSpan w:val="4"/>
          </w:tcPr>
          <w:p>
            <w:pPr>
              <w:jc w:val="right"/>
              <w:ind w:right="430"/>
              <w:spacing w:after="0"/>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234"/>
        </w:trPr>
        <w:tc>
          <w:tcPr>
            <w:tcW w:w="4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6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68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7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jc w:val="right"/>
              <w:ind w:right="31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jc w:val="right"/>
              <w:ind w:right="310"/>
              <w:spacing w:after="0"/>
              <w:rPr>
                <w:sz w:val="20"/>
                <w:szCs w:val="20"/>
                <w:color w:val="auto"/>
              </w:rPr>
            </w:pPr>
            <w:r>
              <w:rPr>
                <w:rFonts w:ascii="Arial" w:cs="Arial" w:eastAsia="Arial" w:hAnsi="Arial"/>
                <w:sz w:val="18"/>
                <w:szCs w:val="18"/>
                <w:b w:val="1"/>
                <w:bCs w:val="1"/>
                <w:color w:val="auto"/>
                <w:w w:val="94"/>
              </w:rPr>
              <w:t>2018</w:t>
            </w: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20" w:type="dxa"/>
            <w:vAlign w:val="bottom"/>
          </w:tcPr>
          <w:p>
            <w:pPr>
              <w:jc w:val="right"/>
              <w:ind w:right="310"/>
              <w:spacing w:after="0"/>
              <w:rPr>
                <w:sz w:val="20"/>
                <w:szCs w:val="20"/>
                <w:color w:val="auto"/>
              </w:rPr>
            </w:pPr>
            <w:r>
              <w:rPr>
                <w:rFonts w:ascii="Arial" w:cs="Arial" w:eastAsia="Arial" w:hAnsi="Arial"/>
                <w:sz w:val="18"/>
                <w:szCs w:val="18"/>
                <w:b w:val="1"/>
                <w:bCs w:val="1"/>
                <w:color w:val="auto"/>
                <w:w w:val="99"/>
              </w:rPr>
              <w:t>2018</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7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before income taxes</w:t>
            </w:r>
          </w:p>
        </w:tc>
        <w:tc>
          <w:tcPr>
            <w:tcW w:w="9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w:t>
            </w:r>
          </w:p>
        </w:tc>
        <w:tc>
          <w:tcPr>
            <w:tcW w:w="0" w:type="dxa"/>
            <w:vAlign w:val="bottom"/>
          </w:tcPr>
          <w:p>
            <w:pPr>
              <w:spacing w:after="0"/>
              <w:rPr>
                <w:sz w:val="1"/>
                <w:szCs w:val="1"/>
                <w:color w:val="auto"/>
              </w:rPr>
            </w:pP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Interest expense, net</w:t>
            </w:r>
          </w:p>
        </w:tc>
        <w:tc>
          <w:tcPr>
            <w:tcW w:w="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10.2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10.2</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21.6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Depreciation and amortization</w:t>
            </w:r>
          </w:p>
        </w:tc>
        <w:tc>
          <w:tcPr>
            <w:tcW w:w="7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28.4</w:t>
            </w:r>
          </w:p>
        </w:tc>
        <w:tc>
          <w:tcPr>
            <w:tcW w:w="0" w:type="dxa"/>
            <w:vAlign w:val="bottom"/>
          </w:tcPr>
          <w:p>
            <w:pPr>
              <w:spacing w:after="0"/>
              <w:rPr>
                <w:sz w:val="1"/>
                <w:szCs w:val="1"/>
                <w:color w:val="auto"/>
              </w:rPr>
            </w:pP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Restructuring charges, net</w:t>
            </w:r>
          </w:p>
        </w:tc>
        <w:tc>
          <w:tcPr>
            <w:tcW w:w="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6.9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11.4</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9.3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Stock-based compensation</w:t>
            </w:r>
          </w:p>
        </w:tc>
        <w:tc>
          <w:tcPr>
            <w:tcW w:w="7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LIFO reserve (decrease) increase</w:t>
            </w:r>
          </w:p>
        </w:tc>
        <w:tc>
          <w:tcPr>
            <w:tcW w:w="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8.7</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14.4</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Non-restructuring severance charges</w:t>
            </w:r>
          </w:p>
        </w:tc>
        <w:tc>
          <w:tcPr>
            <w:tcW w:w="7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0.5</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Non-restructuring pension charges, net</w:t>
            </w:r>
          </w:p>
        </w:tc>
        <w:tc>
          <w:tcPr>
            <w:tcW w:w="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0.0</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Integration and acquisition expenses</w:t>
            </w:r>
          </w:p>
        </w:tc>
        <w:tc>
          <w:tcPr>
            <w:tcW w:w="7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16.7</w:t>
            </w:r>
          </w:p>
        </w:tc>
        <w:tc>
          <w:tcPr>
            <w:tcW w:w="0" w:type="dxa"/>
            <w:vAlign w:val="bottom"/>
          </w:tcPr>
          <w:p>
            <w:pPr>
              <w:spacing w:after="0"/>
              <w:rPr>
                <w:sz w:val="1"/>
                <w:szCs w:val="1"/>
                <w:color w:val="auto"/>
              </w:rPr>
            </w:pP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Fair value adjustment on TRA contingent liability</w:t>
            </w:r>
          </w:p>
        </w:tc>
        <w:tc>
          <w:tcPr>
            <w:tcW w:w="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0.6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(0.2)</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Fair value adjustment on contingent consideration liability</w:t>
            </w:r>
          </w:p>
        </w:tc>
        <w:tc>
          <w:tcPr>
            <w:tcW w:w="7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Escheat audit contingent liability</w:t>
            </w:r>
          </w:p>
        </w:tc>
        <w:tc>
          <w:tcPr>
            <w:tcW w:w="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7.0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7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w:t>
            </w:r>
          </w:p>
        </w:tc>
        <w:tc>
          <w:tcPr>
            <w:tcW w:w="2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43"/>
        </w:trPr>
        <w:tc>
          <w:tcPr>
            <w:tcW w:w="4680" w:type="dxa"/>
            <w:vAlign w:val="bottom"/>
          </w:tcPr>
          <w:p>
            <w:pPr>
              <w:ind w:left="20"/>
              <w:spacing w:after="0"/>
              <w:rPr>
                <w:sz w:val="20"/>
                <w:szCs w:val="20"/>
                <w:color w:val="auto"/>
              </w:rPr>
            </w:pPr>
            <w:r>
              <w:rPr>
                <w:rFonts w:ascii="Arial" w:cs="Arial" w:eastAsia="Arial" w:hAnsi="Arial"/>
                <w:sz w:val="18"/>
                <w:szCs w:val="18"/>
                <w:color w:val="auto"/>
              </w:rPr>
              <w:t>Adjustment for Corporate &amp; Other</w:t>
            </w:r>
          </w:p>
        </w:tc>
        <w:tc>
          <w:tcPr>
            <w:tcW w:w="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48.4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50.8</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92.4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99.3</w:t>
            </w:r>
          </w:p>
        </w:tc>
        <w:tc>
          <w:tcPr>
            <w:tcW w:w="0" w:type="dxa"/>
            <w:vAlign w:val="bottom"/>
          </w:tcPr>
          <w:p>
            <w:pPr>
              <w:spacing w:after="0"/>
              <w:rPr>
                <w:sz w:val="1"/>
                <w:szCs w:val="1"/>
                <w:color w:val="auto"/>
              </w:rPr>
            </w:pPr>
          </w:p>
        </w:tc>
      </w:tr>
      <w:tr>
        <w:trPr>
          <w:trHeight w:val="27"/>
        </w:trPr>
        <w:tc>
          <w:tcPr>
            <w:tcW w:w="4680" w:type="dxa"/>
            <w:vAlign w:val="bottom"/>
            <w:tcBorders>
              <w:bottom w:val="single" w:sz="8" w:color="CCEEFF"/>
            </w:tcBorders>
          </w:tcPr>
          <w:p>
            <w:pPr>
              <w:spacing w:after="0"/>
              <w:rPr>
                <w:sz w:val="2"/>
                <w:szCs w:val="2"/>
                <w:color w:val="auto"/>
              </w:rPr>
            </w:pPr>
          </w:p>
        </w:tc>
        <w:tc>
          <w:tcPr>
            <w:tcW w:w="7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Adjusted EBITDA for reportable segments</w:t>
            </w: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91.7</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96.2</w:t>
            </w:r>
          </w:p>
        </w:tc>
        <w:tc>
          <w:tcPr>
            <w:tcW w:w="2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156.1</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8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174.4</w:t>
            </w:r>
          </w:p>
        </w:tc>
        <w:tc>
          <w:tcPr>
            <w:tcW w:w="0" w:type="dxa"/>
            <w:vAlign w:val="bottom"/>
          </w:tcPr>
          <w:p>
            <w:pPr>
              <w:spacing w:after="0"/>
              <w:rPr>
                <w:sz w:val="1"/>
                <w:szCs w:val="1"/>
                <w:color w:val="auto"/>
              </w:rPr>
            </w:pPr>
          </w:p>
        </w:tc>
      </w:tr>
      <w:tr>
        <w:trPr>
          <w:trHeight w:val="20"/>
        </w:trPr>
        <w:tc>
          <w:tcPr>
            <w:tcW w:w="468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bottom w:val="single" w:sz="8" w:color="CCEEFF"/>
            </w:tcBorders>
            <w:vMerge w:val="restart"/>
          </w:tcPr>
          <w:p>
            <w:pPr>
              <w:jc w:val="right"/>
              <w:ind w:right="30"/>
              <w:spacing w:after="0"/>
              <w:rPr>
                <w:sz w:val="20"/>
                <w:szCs w:val="20"/>
                <w:color w:val="auto"/>
              </w:rPr>
            </w:pPr>
            <w:r>
              <w:rPr>
                <w:rFonts w:ascii="Arial" w:cs="Arial" w:eastAsia="Arial" w:hAnsi="Arial"/>
                <w:sz w:val="18"/>
                <w:szCs w:val="18"/>
                <w:color w:val="auto"/>
              </w:rPr>
              <w:t>27</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4680" w:type="dxa"/>
            <w:vAlign w:val="bottom"/>
          </w:tcPr>
          <w:p>
            <w:pPr>
              <w:spacing w:after="0"/>
              <w:rPr>
                <w:sz w:val="24"/>
                <w:szCs w:val="24"/>
                <w:color w:val="auto"/>
              </w:rPr>
            </w:pPr>
          </w:p>
        </w:tc>
        <w:tc>
          <w:tcPr>
            <w:tcW w:w="7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940"/>
          </w:cols>
          <w:pgMar w:left="240" w:top="341" w:right="71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2. MANAGEMENT’S DISCUSSION AND ANALYSIS OF FINANCIAL CONDITION AND RESULTS OF OPERATIONS</w:t>
      </w:r>
    </w:p>
    <w:p>
      <w:pPr>
        <w:spacing w:after="0" w:line="224"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i w:val="1"/>
          <w:iCs w:val="1"/>
          <w:color w:val="auto"/>
        </w:rPr>
        <w:t>Certain statements contained in this report regarding the Company’s future operating results, performance, business plans, prospects, guidance and any other statements not constituting historical fact are "forward-looking statements" subject to the safe harbor created by the Private Securities Litigation Reform Act of 1995. Where possible, the words "believe," "expect," "anticipate," "continue," "intend," "should," "will," "would," "planned," "estimated," "potential," "goal," "outlook," "may," "predicts," "could," or the negative of such terms, or other comparable expressions, as they relate to the Company or its business, have been used to identify such forward-looking statements. All forward-looking statements reflect only the Company’s current beliefs and assumptions with respect to future operating results, performance, business plans, prospects, guidance and other matters, and are based on information currently available to the Company. Accordingly, the statements are subject to significant risks, uncertainties and contingencies, which could cause the Company’s actual operating results, performance, business plans or prospects to differ materially from those expressed in, or implied by, these statements.</w:t>
      </w:r>
    </w:p>
    <w:p>
      <w:pPr>
        <w:spacing w:after="0" w:line="166" w:lineRule="exact"/>
        <w:rPr>
          <w:sz w:val="20"/>
          <w:szCs w:val="20"/>
          <w:color w:val="auto"/>
        </w:rPr>
      </w:pPr>
    </w:p>
    <w:p>
      <w:pPr>
        <w:ind w:right="20" w:firstLine="648"/>
        <w:spacing w:after="0" w:line="267" w:lineRule="auto"/>
        <w:rPr>
          <w:sz w:val="20"/>
          <w:szCs w:val="20"/>
          <w:color w:val="auto"/>
        </w:rPr>
      </w:pPr>
      <w:r>
        <w:rPr>
          <w:rFonts w:ascii="Arial" w:cs="Arial" w:eastAsia="Arial" w:hAnsi="Arial"/>
          <w:sz w:val="17"/>
          <w:szCs w:val="17"/>
          <w:i w:val="1"/>
          <w:iCs w:val="1"/>
          <w:color w:val="auto"/>
        </w:rPr>
        <w:t>Factors that could cause actual results to differ materially from current expectations include risks and other factors described under "Risk Factors" in our Annual Report on Form 10-K and elsewhere in the Company’s publicly available reports filed with the Securities and Exchange Commission ("SEC"), which contain a discussion of various factors that may affect the Company’s business or financial results. Such risks and other factors, which in some instances are beyond the Company’s control, include: the industry-wide decline in demand for paper and related products; increased competition from existing and non-traditional sources; adverse developments in general business and economic conditions as well as conditions in the global capital and credit markets impacting our Company and our customers; foreign currency fluctuations; our ability to attract, train and retain highly qualified employees; the effects of work stoppages, union negotiations and labor disputes; the loss of any of our significant customers; changes in business conditions in our international operations; procurement and other risks in obtaining packaging, paper and facility products from our suppliers for resale to our customers; changes in prices for raw materials; increases in the cost of fuel and third-party freight and the availability of third-party freight providers; changes in trade policies and regulations; inclement weather, anti-terrorism measures and other disruptions to the transportation network; our dependence on a variety of information technology and telecommunications systems and the Internet; our reliance on third-party vendors for various services; cyber-security risks; costs to comply with laws, rules and regulations, including environmental, health and safety laws, and to satisfy any liability or obligation imposed under such laws; regulatory changes and judicial rulings impacting our business; adverse results from litigation, governmental investigations or audits, or tax-related proceedings or audits; our inability to renew existing leases on acceptable terms, negotiate rent decreases or concessions and identify affordable real estate; our ability to adequately protect our material intellectual property and other proprietary rights, or to defend successfully against intellectual property infringement claims by third parties; our pension and health care costs and participation in multi-employer pension, health and welfare plans; increasing interest rates; our ability to generate sufficient cash to service our debt; our ability to comply with the covenants contained in our debt agreements; our ability to refinance or restructure our debt on reasonable terms and conditions as might be necessary from time to time; changes in accounting standards and methodologies; our ability to realize the full benefit of the anticipated synergies, cost savings and growth opportunities from the merger transaction and our ability to integrate the xpedx business with the Unisource business; the possibility of incurring expenditures in excess of those currently budgeted in connection with the integration, and other events of which we are presently unaware or that we currently deem immaterial that may result in unexpected adverse operating results.</w:t>
      </w:r>
    </w:p>
    <w:p>
      <w:pPr>
        <w:spacing w:after="0" w:line="186"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i w:val="1"/>
          <w:iCs w:val="1"/>
          <w:color w:val="auto"/>
        </w:rPr>
        <w:t>For a more detailed discussion of these factors, see the information under the heading "Risk Factors" in our Annual Report on Form 10-K and in other filings we make with the SEC. Forward-looking statements are made only as of the date hereof, and the Company undertakes no obligation to update or revise the forward-looking statements, whether as a result of new information, future events or otherwise, except as required by law. In addition, historical information should not be considered as an indicator of future performance.</w:t>
      </w:r>
    </w:p>
    <w:p>
      <w:pPr>
        <w:spacing w:after="0" w:line="187"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i w:val="1"/>
          <w:iCs w:val="1"/>
          <w:color w:val="auto"/>
        </w:rPr>
        <w:t>The following discussion of the Company’s results of operations for the three and six months ended June 30, 2019 should be read in conjunction with the Condensed Consolidated Financial Statements and Notes thereto, included elsewhere in this report.</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341"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Overview</w:t>
      </w:r>
    </w:p>
    <w:p>
      <w:pPr>
        <w:spacing w:after="0" w:line="225"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Veritiv Corporation ("Veritiv" or the "Company") is a leading North American business-to-business distributor of packaging, facility solutions, print and publishing products and services. Additionally, Veritiv provides logistics and supply chain management solutions to its customers. Veritiv was established in 2014, following the merger (the "Merger") of International Paper Company's xpedx distribution solutions business and UWW Holdings, Inc., the parent company of Unisource Worldwide, Inc. Veritiv operates from approximately 160 distribution centers primarily throughout the U.S., Canada and Mexico.</w:t>
      </w:r>
    </w:p>
    <w:p>
      <w:pPr>
        <w:spacing w:after="0" w:line="154" w:lineRule="exact"/>
        <w:rPr>
          <w:sz w:val="20"/>
          <w:szCs w:val="20"/>
          <w:color w:val="auto"/>
        </w:rPr>
      </w:pPr>
    </w:p>
    <w:p>
      <w:pPr>
        <w:ind w:right="60" w:firstLine="648"/>
        <w:spacing w:after="0" w:line="297" w:lineRule="auto"/>
        <w:rPr>
          <w:sz w:val="20"/>
          <w:szCs w:val="20"/>
          <w:color w:val="auto"/>
        </w:rPr>
      </w:pPr>
      <w:r>
        <w:rPr>
          <w:rFonts w:ascii="Arial" w:cs="Arial" w:eastAsia="Arial" w:hAnsi="Arial"/>
          <w:sz w:val="16"/>
          <w:szCs w:val="16"/>
          <w:color w:val="auto"/>
        </w:rPr>
        <w:t>Veritiv's business is organized under four reportable segments: Packaging, Facility Solutions, Print, and Publishing and Print Management ("Publishing"). This segment structure is consistent with the way the Chief Operating Decision Maker, who is Veritiv's Chief Executive Officer, makes operating decisions and manages the growth and profitability of the Company’s business. The Company also has a Corporate &amp; Other category, which includes certain assets and costs not primarily attributable to any of the reportable segments as well as the Veritiv logistics solutions business, which provides transportation and warehousing solutions. The following summary describes the products and services offered in each of the reportable segments:</w:t>
      </w:r>
    </w:p>
    <w:p>
      <w:pPr>
        <w:spacing w:after="0" w:line="158" w:lineRule="exact"/>
        <w:rPr>
          <w:sz w:val="20"/>
          <w:szCs w:val="20"/>
          <w:color w:val="auto"/>
        </w:rPr>
      </w:pPr>
    </w:p>
    <w:p>
      <w:pPr>
        <w:ind w:left="660" w:right="40" w:hanging="328"/>
        <w:spacing w:after="0" w:line="257" w:lineRule="auto"/>
        <w:tabs>
          <w:tab w:leader="none" w:pos="66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Packaging </w:t>
      </w:r>
      <w:r>
        <w:rPr>
          <w:rFonts w:ascii="Arial" w:cs="Arial" w:eastAsia="Arial" w:hAnsi="Arial"/>
          <w:sz w:val="18"/>
          <w:szCs w:val="18"/>
          <w:color w:val="auto"/>
        </w:rPr>
        <w:t>– The Packaging segment provides standard as well as custom and comprehensive packaging solutions for customers based in North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America and in key global markets. The business is strategically focused on higher growth industries including light industrial/general manufacturing, food processing, fulfillment and internet retail, as well as niche verticals based on geographical and functional expertise. Veritiv’s packaging professionals create customer value through supply chain solutions, structural and graphic packaging design and engineering, automation, workflow and equipment services and kitting and fulfillment.</w:t>
      </w:r>
    </w:p>
    <w:p>
      <w:pPr>
        <w:spacing w:after="0" w:line="188" w:lineRule="exact"/>
        <w:rPr>
          <w:rFonts w:ascii="Arial" w:cs="Arial" w:eastAsia="Arial" w:hAnsi="Arial"/>
          <w:sz w:val="18"/>
          <w:szCs w:val="18"/>
          <w:b w:val="1"/>
          <w:bCs w:val="1"/>
          <w:color w:val="auto"/>
        </w:rPr>
      </w:pPr>
    </w:p>
    <w:p>
      <w:pPr>
        <w:ind w:left="660" w:right="40" w:hanging="328"/>
        <w:spacing w:after="0" w:line="273" w:lineRule="auto"/>
        <w:tabs>
          <w:tab w:leader="none" w:pos="660" w:val="left"/>
        </w:tabs>
        <w:numPr>
          <w:ilvl w:val="0"/>
          <w:numId w:val="10"/>
        </w:numPr>
        <w:rPr>
          <w:rFonts w:ascii="Arial" w:cs="Arial" w:eastAsia="Arial" w:hAnsi="Arial"/>
          <w:sz w:val="17"/>
          <w:szCs w:val="17"/>
          <w:b w:val="1"/>
          <w:bCs w:val="1"/>
          <w:i w:val="1"/>
          <w:iCs w:val="1"/>
          <w:color w:val="auto"/>
        </w:rPr>
      </w:pPr>
      <w:r>
        <w:rPr>
          <w:rFonts w:ascii="Arial" w:cs="Arial" w:eastAsia="Arial" w:hAnsi="Arial"/>
          <w:sz w:val="17"/>
          <w:szCs w:val="17"/>
          <w:b w:val="1"/>
          <w:bCs w:val="1"/>
          <w:i w:val="1"/>
          <w:iCs w:val="1"/>
          <w:color w:val="auto"/>
        </w:rPr>
        <w:t xml:space="preserve">Facility Solutions </w:t>
      </w:r>
      <w:r>
        <w:rPr>
          <w:rFonts w:ascii="Arial" w:cs="Arial" w:eastAsia="Arial" w:hAnsi="Arial"/>
          <w:sz w:val="17"/>
          <w:szCs w:val="17"/>
          <w:color w:val="auto"/>
        </w:rPr>
        <w:t>– The Facility Solutions segment sources and sells cleaning, break-room and other supplies such as towels, tissues, wipers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dispensers, can liners, commercial cleaning chemicals, soaps and sanitizers, sanitary maintenance supplies and equipment, safety and hazard supplies, and shampoos and amenities primarily in the U.S., Canada and Mexico. Veritiv is a leading distributor in the Facility Solutions segment. Through this segment, Veritiv manages a world class network of leading suppliers in most facilities solutions categories. Additionally, the Company offers total cost of ownership solutions with re-merchandising, budgeting and compliance reporting, inventory management and a sales-force trained to bring leading vertical expertise to the major North American geographies.</w:t>
      </w:r>
    </w:p>
    <w:p>
      <w:pPr>
        <w:spacing w:after="0" w:line="178" w:lineRule="exact"/>
        <w:rPr>
          <w:rFonts w:ascii="Arial" w:cs="Arial" w:eastAsia="Arial" w:hAnsi="Arial"/>
          <w:sz w:val="17"/>
          <w:szCs w:val="17"/>
          <w:b w:val="1"/>
          <w:bCs w:val="1"/>
          <w:i w:val="1"/>
          <w:iCs w:val="1"/>
          <w:color w:val="auto"/>
        </w:rPr>
      </w:pPr>
    </w:p>
    <w:p>
      <w:pPr>
        <w:ind w:left="660" w:right="160" w:hanging="328"/>
        <w:spacing w:after="0" w:line="257" w:lineRule="auto"/>
        <w:tabs>
          <w:tab w:leader="none" w:pos="660" w:val="left"/>
        </w:tabs>
        <w:numPr>
          <w:ilvl w:val="0"/>
          <w:numId w:val="10"/>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 xml:space="preserve">Print </w:t>
      </w:r>
      <w:r>
        <w:rPr>
          <w:rFonts w:ascii="Arial" w:cs="Arial" w:eastAsia="Arial" w:hAnsi="Arial"/>
          <w:sz w:val="18"/>
          <w:szCs w:val="18"/>
          <w:color w:val="auto"/>
        </w:rPr>
        <w:t>– The Print segment sells and distributes commercial printing, writing, copying, digital, paper-based wide format and specialty products,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graphics consumables and graphics equipment primarily in the U.S., Canada and Mexico. This segment also includes customized paper conversion services of commercial printing paper for distribution to document centers and form printers. Veritiv's broad geographic platform of operations coupled with the breadth of paper and graphics products, including exclusive private brand offerings, provides a foundation to service national, regional and local customers across North America.</w:t>
      </w:r>
    </w:p>
    <w:p>
      <w:pPr>
        <w:spacing w:after="0" w:line="188" w:lineRule="exact"/>
        <w:rPr>
          <w:rFonts w:ascii="Arial" w:cs="Arial" w:eastAsia="Arial" w:hAnsi="Arial"/>
          <w:sz w:val="18"/>
          <w:szCs w:val="18"/>
          <w:b w:val="1"/>
          <w:bCs w:val="1"/>
          <w:i w:val="1"/>
          <w:iCs w:val="1"/>
          <w:color w:val="auto"/>
        </w:rPr>
      </w:pPr>
    </w:p>
    <w:p>
      <w:pPr>
        <w:ind w:left="660" w:right="180" w:hanging="328"/>
        <w:spacing w:after="0" w:line="259" w:lineRule="auto"/>
        <w:tabs>
          <w:tab w:leader="none" w:pos="66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Publishing </w:t>
      </w:r>
      <w:r>
        <w:rPr>
          <w:rFonts w:ascii="Arial" w:cs="Arial" w:eastAsia="Arial" w:hAnsi="Arial"/>
          <w:sz w:val="18"/>
          <w:szCs w:val="18"/>
          <w:color w:val="auto"/>
        </w:rPr>
        <w:t>– The Publishing segment sells and distributes coated and uncoated commercial printing papers to publishers, retailers, converters,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printers and specialty businesses for use in magazines, catalogs, books, directories, gaming, couponing, retail inserts and direct mail. This segment also provides print management, procurement and supply chain management solutions to simplify paper and print procurement processes for Veritiv's customers.</w:t>
      </w:r>
    </w:p>
    <w:p>
      <w:pPr>
        <w:spacing w:after="0" w:line="187" w:lineRule="exact"/>
        <w:rPr>
          <w:sz w:val="20"/>
          <w:szCs w:val="20"/>
          <w:color w:val="auto"/>
        </w:rPr>
      </w:pPr>
    </w:p>
    <w:p>
      <w:pPr>
        <w:jc w:val="both"/>
        <w:ind w:right="520" w:firstLine="648"/>
        <w:spacing w:after="0" w:line="286" w:lineRule="auto"/>
        <w:rPr>
          <w:sz w:val="20"/>
          <w:szCs w:val="20"/>
          <w:color w:val="auto"/>
        </w:rPr>
      </w:pPr>
      <w:r>
        <w:rPr>
          <w:rFonts w:ascii="Arial" w:cs="Arial" w:eastAsia="Arial" w:hAnsi="Arial"/>
          <w:sz w:val="17"/>
          <w:szCs w:val="17"/>
          <w:color w:val="auto"/>
        </w:rPr>
        <w:t>On August 31, 2017, Veritiv completed its acquisition of 100% of the equity interest in various All American Containers entities (collectively, "AAC") through additional borrowings under the Company's asset-based lending facility (the "ABL Facility"). AAC was a family owned and operated distributor of rigid packaging products, including plastic, glass and metal containers, caps, closures and plastic pouches.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Seasonality</w:t>
      </w:r>
    </w:p>
    <w:p>
      <w:pPr>
        <w:spacing w:after="0" w:line="225"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The Company’s operating results are subject to seasonal influences. Historically, the Company's higher consolidated net sales occur during the third and fourth quarters while the lowest consolidated net sales occur during the first quarter. The Packaging segment net sales tend to increase each quarter throughout the year and net sales for the first quarter are typically less than net sales for the fourth quarter of the preceding year. Production schedules for non-durable goods that build up to the holidays and peak in the fourth quarter drive this seasonal net sales pattern. Net sales for the Facility Solutions segment tend to peak in the third quarter due to increased summer demand in the away-from-home resort, cruise and hospitality markets and from back-to-school activities. Within the Print and Publishing segments, seasonality is driven by increased magazine advertising page</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341" w:right="25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counts, retail inserts, catalogs and direct mail primarily due to back-to-school, political election and holiday-related advertising and promotions in the second half of the year.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Including Business Segments</w:t>
      </w:r>
    </w:p>
    <w:p>
      <w:pPr>
        <w:spacing w:after="0" w:line="22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following discussion compares the consolidated operating results of Veritiv for the three and six months ended June 30, 2019 and 2018:</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140" w:type="dxa"/>
            <w:vAlign w:val="bottom"/>
            <w:gridSpan w:val="5"/>
          </w:tcPr>
          <w:p>
            <w:pPr>
              <w:ind w:left="80"/>
              <w:spacing w:after="0"/>
              <w:rPr>
                <w:sz w:val="20"/>
                <w:szCs w:val="20"/>
                <w:color w:val="auto"/>
              </w:rPr>
            </w:pPr>
            <w:r>
              <w:rPr>
                <w:rFonts w:ascii="Arial" w:cs="Arial" w:eastAsia="Arial" w:hAnsi="Arial"/>
                <w:sz w:val="18"/>
                <w:szCs w:val="18"/>
                <w:b w:val="1"/>
                <w:bCs w:val="1"/>
                <w:color w:val="auto"/>
              </w:rPr>
              <w:t>Three Months Ended</w:t>
            </w: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20" w:type="dxa"/>
            <w:vAlign w:val="bottom"/>
            <w:gridSpan w:val="5"/>
          </w:tcPr>
          <w:p>
            <w:pPr>
              <w:ind w:left="120"/>
              <w:spacing w:after="0"/>
              <w:rPr>
                <w:sz w:val="20"/>
                <w:szCs w:val="20"/>
                <w:color w:val="auto"/>
              </w:rPr>
            </w:pPr>
            <w:r>
              <w:rPr>
                <w:rFonts w:ascii="Arial" w:cs="Arial" w:eastAsia="Arial" w:hAnsi="Arial"/>
                <w:sz w:val="18"/>
                <w:szCs w:val="18"/>
                <w:b w:val="1"/>
                <w:bCs w:val="1"/>
                <w:color w:val="auto"/>
              </w:rPr>
              <w:t>Six Months Ended</w:t>
            </w: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20" w:type="dxa"/>
            <w:vAlign w:val="bottom"/>
            <w:gridSpan w:val="4"/>
          </w:tcPr>
          <w:p>
            <w:pPr>
              <w:ind w:left="100"/>
              <w:spacing w:after="0"/>
              <w:rPr>
                <w:sz w:val="20"/>
                <w:szCs w:val="20"/>
                <w:color w:val="auto"/>
              </w:rPr>
            </w:pPr>
            <w:r>
              <w:rPr>
                <w:rFonts w:ascii="Arial" w:cs="Arial" w:eastAsia="Arial" w:hAnsi="Arial"/>
                <w:sz w:val="18"/>
                <w:szCs w:val="18"/>
                <w:b w:val="1"/>
                <w:bCs w:val="1"/>
                <w:color w:val="auto"/>
              </w:rPr>
              <w:t>Increase (Decrease)</w:t>
            </w:r>
          </w:p>
        </w:tc>
        <w:tc>
          <w:tcPr>
            <w:tcW w:w="220" w:type="dxa"/>
            <w:vAlign w:val="bottom"/>
          </w:tcPr>
          <w:p>
            <w:pPr>
              <w:spacing w:after="0"/>
              <w:rPr>
                <w:sz w:val="20"/>
                <w:szCs w:val="20"/>
                <w:color w:val="auto"/>
              </w:rPr>
            </w:pPr>
          </w:p>
        </w:tc>
        <w:tc>
          <w:tcPr>
            <w:tcW w:w="122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4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w w:val="91"/>
              </w:rPr>
              <w:t>Increase (Decrease)</w:t>
            </w:r>
          </w:p>
        </w:tc>
        <w:tc>
          <w:tcPr>
            <w:tcW w:w="0" w:type="dxa"/>
            <w:vAlign w:val="bottom"/>
          </w:tcPr>
          <w:p>
            <w:pPr>
              <w:spacing w:after="0"/>
              <w:rPr>
                <w:sz w:val="1"/>
                <w:szCs w:val="1"/>
                <w:color w:val="auto"/>
              </w:rPr>
            </w:pPr>
          </w:p>
        </w:tc>
      </w:tr>
      <w:tr>
        <w:trPr>
          <w:trHeight w:val="27"/>
        </w:trPr>
        <w:tc>
          <w:tcPr>
            <w:tcW w:w="25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54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00" w:type="dxa"/>
            <w:vAlign w:val="bottom"/>
          </w:tcPr>
          <w:p>
            <w:pPr>
              <w:spacing w:after="0"/>
              <w:rPr>
                <w:sz w:val="20"/>
                <w:szCs w:val="20"/>
                <w:color w:val="auto"/>
              </w:rPr>
            </w:pPr>
          </w:p>
        </w:tc>
        <w:tc>
          <w:tcPr>
            <w:tcW w:w="800" w:type="dxa"/>
            <w:vAlign w:val="bottom"/>
          </w:tcPr>
          <w:p>
            <w:pPr>
              <w:jc w:val="right"/>
              <w:ind w:right="23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ind w:right="290"/>
              <w:spacing w:after="0"/>
              <w:rPr>
                <w:sz w:val="20"/>
                <w:szCs w:val="20"/>
                <w:color w:val="auto"/>
              </w:rPr>
            </w:pPr>
            <w:r>
              <w:rPr>
                <w:rFonts w:ascii="Arial" w:cs="Arial" w:eastAsia="Arial" w:hAnsi="Arial"/>
                <w:sz w:val="18"/>
                <w:szCs w:val="18"/>
                <w:b w:val="1"/>
                <w:bCs w:val="1"/>
                <w:color w:val="auto"/>
                <w:w w:val="89"/>
              </w:rPr>
              <w:t>2018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ind w:right="370"/>
              <w:spacing w:after="0"/>
              <w:rPr>
                <w:sz w:val="20"/>
                <w:szCs w:val="20"/>
                <w:color w:val="auto"/>
              </w:rPr>
            </w:pPr>
            <w:r>
              <w:rPr>
                <w:rFonts w:ascii="Arial" w:cs="Arial" w:eastAsia="Arial" w:hAnsi="Arial"/>
                <w:sz w:val="18"/>
                <w:szCs w:val="18"/>
                <w:b w:val="1"/>
                <w:bCs w:val="1"/>
                <w:color w:val="auto"/>
              </w:rPr>
              <w:t>$</w:t>
            </w:r>
          </w:p>
        </w:tc>
        <w:tc>
          <w:tcPr>
            <w:tcW w:w="114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ind w:right="250"/>
              <w:spacing w:after="0"/>
              <w:rPr>
                <w:sz w:val="20"/>
                <w:szCs w:val="20"/>
                <w:color w:val="auto"/>
              </w:rPr>
            </w:pPr>
            <w:r>
              <w:rPr>
                <w:rFonts w:ascii="Arial" w:cs="Arial" w:eastAsia="Arial" w:hAnsi="Arial"/>
                <w:sz w:val="18"/>
                <w:szCs w:val="18"/>
                <w:b w:val="1"/>
                <w:bCs w:val="1"/>
                <w:color w:val="auto"/>
                <w:w w:val="84"/>
              </w:rPr>
              <w:t>2018</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ind w:right="310"/>
              <w:spacing w:after="0"/>
              <w:rPr>
                <w:sz w:val="20"/>
                <w:szCs w:val="20"/>
                <w:color w:val="auto"/>
              </w:rPr>
            </w:pPr>
            <w:r>
              <w:rPr>
                <w:rFonts w:ascii="Arial" w:cs="Arial" w:eastAsia="Arial" w:hAnsi="Arial"/>
                <w:sz w:val="18"/>
                <w:szCs w:val="18"/>
                <w:b w:val="1"/>
                <w:bCs w:val="1"/>
                <w:color w:val="auto"/>
              </w:rPr>
              <w:t>$</w:t>
            </w:r>
          </w:p>
        </w:tc>
        <w:tc>
          <w:tcPr>
            <w:tcW w:w="114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7"/>
        </w:trPr>
        <w:tc>
          <w:tcPr>
            <w:tcW w:w="25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1,958.2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2,171.9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(213.7)</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3,899.7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3"/>
              </w:rPr>
              <w:t>4,272.9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(373.2)</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229"/>
        </w:trPr>
        <w:tc>
          <w:tcPr>
            <w:tcW w:w="2540" w:type="dxa"/>
            <w:vAlign w:val="bottom"/>
          </w:tcPr>
          <w:p>
            <w:pPr>
              <w:ind w:left="40"/>
              <w:spacing w:after="0"/>
              <w:rPr>
                <w:sz w:val="20"/>
                <w:szCs w:val="20"/>
                <w:color w:val="auto"/>
              </w:rPr>
            </w:pPr>
            <w:r>
              <w:rPr>
                <w:rFonts w:ascii="Arial" w:cs="Arial" w:eastAsia="Arial" w:hAnsi="Arial"/>
                <w:sz w:val="18"/>
                <w:szCs w:val="18"/>
                <w:color w:val="auto"/>
                <w:w w:val="97"/>
              </w:rPr>
              <w:t>Cost of products sold (exclusive</w:t>
            </w:r>
          </w:p>
        </w:tc>
        <w:tc>
          <w:tcPr>
            <w:tcW w:w="2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540" w:type="dxa"/>
            <w:vAlign w:val="bottom"/>
          </w:tcPr>
          <w:p>
            <w:pPr>
              <w:ind w:left="200"/>
              <w:spacing w:after="0"/>
              <w:rPr>
                <w:sz w:val="20"/>
                <w:szCs w:val="20"/>
                <w:color w:val="auto"/>
              </w:rPr>
            </w:pPr>
            <w:r>
              <w:rPr>
                <w:rFonts w:ascii="Arial" w:cs="Arial" w:eastAsia="Arial" w:hAnsi="Arial"/>
                <w:sz w:val="18"/>
                <w:szCs w:val="18"/>
                <w:color w:val="auto"/>
              </w:rPr>
              <w:t>of depreciation and</w:t>
            </w: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40" w:type="dxa"/>
            <w:vAlign w:val="bottom"/>
          </w:tcPr>
          <w:p>
            <w:pPr>
              <w:ind w:left="200"/>
              <w:spacing w:after="0"/>
              <w:rPr>
                <w:sz w:val="20"/>
                <w:szCs w:val="20"/>
                <w:color w:val="auto"/>
              </w:rPr>
            </w:pPr>
            <w:r>
              <w:rPr>
                <w:rFonts w:ascii="Arial" w:cs="Arial" w:eastAsia="Arial" w:hAnsi="Arial"/>
                <w:sz w:val="18"/>
                <w:szCs w:val="18"/>
                <w:color w:val="auto"/>
                <w:w w:val="95"/>
              </w:rPr>
              <w:t>amortization shown separately</w:t>
            </w: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540" w:type="dxa"/>
            <w:vAlign w:val="bottom"/>
          </w:tcPr>
          <w:p>
            <w:pPr>
              <w:ind w:left="200"/>
              <w:spacing w:after="0"/>
              <w:rPr>
                <w:sz w:val="20"/>
                <w:szCs w:val="20"/>
                <w:color w:val="auto"/>
              </w:rPr>
            </w:pPr>
            <w:r>
              <w:rPr>
                <w:rFonts w:ascii="Arial" w:cs="Arial" w:eastAsia="Arial" w:hAnsi="Arial"/>
                <w:sz w:val="18"/>
                <w:szCs w:val="18"/>
                <w:color w:val="auto"/>
              </w:rPr>
              <w:t>below)</w:t>
            </w:r>
          </w:p>
        </w:tc>
        <w:tc>
          <w:tcPr>
            <w:tcW w:w="200" w:type="dxa"/>
            <w:vAlign w:val="bottom"/>
          </w:tcPr>
          <w:p>
            <w:pPr>
              <w:spacing w:after="0"/>
              <w:rPr>
                <w:sz w:val="20"/>
                <w:szCs w:val="20"/>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1,584.3</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1,788.5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(204.2)</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3,175.7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w w:val="93"/>
              </w:rPr>
              <w:t>3,518.0</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(342.3)</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7"/>
        </w:trPr>
        <w:tc>
          <w:tcPr>
            <w:tcW w:w="2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Distribution expenses</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132.0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0.0</w:t>
            </w:r>
          </w:p>
        </w:tc>
        <w:tc>
          <w:tcPr>
            <w:tcW w:w="114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0.0 %</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262.4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265.1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29"/>
        </w:trPr>
        <w:tc>
          <w:tcPr>
            <w:tcW w:w="2540" w:type="dxa"/>
            <w:vAlign w:val="bottom"/>
          </w:tcPr>
          <w:p>
            <w:pPr>
              <w:ind w:left="40"/>
              <w:spacing w:after="0"/>
              <w:rPr>
                <w:sz w:val="20"/>
                <w:szCs w:val="20"/>
                <w:color w:val="auto"/>
              </w:rPr>
            </w:pPr>
            <w:r>
              <w:rPr>
                <w:rFonts w:ascii="Arial" w:cs="Arial" w:eastAsia="Arial" w:hAnsi="Arial"/>
                <w:sz w:val="18"/>
                <w:szCs w:val="18"/>
                <w:color w:val="auto"/>
              </w:rPr>
              <w:t>Selling and administrative</w:t>
            </w:r>
          </w:p>
        </w:tc>
        <w:tc>
          <w:tcPr>
            <w:tcW w:w="2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540" w:type="dxa"/>
            <w:vAlign w:val="bottom"/>
          </w:tcPr>
          <w:p>
            <w:pPr>
              <w:ind w:left="200"/>
              <w:spacing w:after="0"/>
              <w:rPr>
                <w:sz w:val="20"/>
                <w:szCs w:val="20"/>
                <w:color w:val="auto"/>
              </w:rPr>
            </w:pPr>
            <w:r>
              <w:rPr>
                <w:rFonts w:ascii="Arial" w:cs="Arial" w:eastAsia="Arial" w:hAnsi="Arial"/>
                <w:sz w:val="18"/>
                <w:szCs w:val="18"/>
                <w:color w:val="auto"/>
              </w:rPr>
              <w:t>expenses</w:t>
            </w:r>
          </w:p>
        </w:tc>
        <w:tc>
          <w:tcPr>
            <w:tcW w:w="200" w:type="dxa"/>
            <w:vAlign w:val="bottom"/>
          </w:tcPr>
          <w:p>
            <w:pPr>
              <w:spacing w:after="0"/>
              <w:rPr>
                <w:sz w:val="20"/>
                <w:szCs w:val="20"/>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211.2</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223.6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(12.4)</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(5.5)%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427.3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446.3</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(19.0)</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7"/>
        </w:trPr>
        <w:tc>
          <w:tcPr>
            <w:tcW w:w="2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Depreciation and amortization</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29"/>
        </w:trPr>
        <w:tc>
          <w:tcPr>
            <w:tcW w:w="2540" w:type="dxa"/>
            <w:vAlign w:val="bottom"/>
          </w:tcPr>
          <w:p>
            <w:pPr>
              <w:ind w:left="40"/>
              <w:spacing w:after="0"/>
              <w:rPr>
                <w:sz w:val="20"/>
                <w:szCs w:val="20"/>
                <w:color w:val="auto"/>
              </w:rPr>
            </w:pPr>
            <w:r>
              <w:rPr>
                <w:rFonts w:ascii="Arial" w:cs="Arial" w:eastAsia="Arial" w:hAnsi="Arial"/>
                <w:sz w:val="18"/>
                <w:szCs w:val="18"/>
                <w:color w:val="auto"/>
              </w:rPr>
              <w:t>Integration and acquisition</w:t>
            </w:r>
          </w:p>
        </w:tc>
        <w:tc>
          <w:tcPr>
            <w:tcW w:w="2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540" w:type="dxa"/>
            <w:vAlign w:val="bottom"/>
          </w:tcPr>
          <w:p>
            <w:pPr>
              <w:ind w:left="200"/>
              <w:spacing w:after="0"/>
              <w:rPr>
                <w:sz w:val="20"/>
                <w:szCs w:val="20"/>
                <w:color w:val="auto"/>
              </w:rPr>
            </w:pPr>
            <w:r>
              <w:rPr>
                <w:rFonts w:ascii="Arial" w:cs="Arial" w:eastAsia="Arial" w:hAnsi="Arial"/>
                <w:sz w:val="18"/>
                <w:szCs w:val="18"/>
                <w:color w:val="auto"/>
              </w:rPr>
              <w:t>expenses</w:t>
            </w:r>
          </w:p>
        </w:tc>
        <w:tc>
          <w:tcPr>
            <w:tcW w:w="200" w:type="dxa"/>
            <w:vAlign w:val="bottom"/>
          </w:tcPr>
          <w:p>
            <w:pPr>
              <w:spacing w:after="0"/>
              <w:rPr>
                <w:sz w:val="20"/>
                <w:szCs w:val="20"/>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4.5</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8.4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(3.9)</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(46.4)%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8.8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16.7</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(7.9)</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(47.3)%</w:t>
            </w:r>
          </w:p>
        </w:tc>
        <w:tc>
          <w:tcPr>
            <w:tcW w:w="0" w:type="dxa"/>
            <w:vAlign w:val="bottom"/>
          </w:tcPr>
          <w:p>
            <w:pPr>
              <w:spacing w:after="0"/>
              <w:rPr>
                <w:sz w:val="1"/>
                <w:szCs w:val="1"/>
                <w:color w:val="auto"/>
              </w:rPr>
            </w:pPr>
          </w:p>
        </w:tc>
      </w:tr>
      <w:tr>
        <w:trPr>
          <w:trHeight w:val="27"/>
        </w:trPr>
        <w:tc>
          <w:tcPr>
            <w:tcW w:w="2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Restructuring charges, net</w:t>
            </w:r>
          </w:p>
        </w:tc>
        <w:tc>
          <w:tcPr>
            <w:tcW w:w="2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(39.5)%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9.3</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(60.1)%</w:t>
            </w:r>
          </w:p>
        </w:tc>
        <w:tc>
          <w:tcPr>
            <w:tcW w:w="0" w:type="dxa"/>
            <w:vAlign w:val="bottom"/>
          </w:tcPr>
          <w:p>
            <w:pPr>
              <w:spacing w:after="0"/>
              <w:rPr>
                <w:sz w:val="1"/>
                <w:szCs w:val="1"/>
                <w:color w:val="auto"/>
              </w:rPr>
            </w:pPr>
          </w:p>
        </w:tc>
      </w:tr>
      <w:tr>
        <w:trPr>
          <w:trHeight w:val="237"/>
        </w:trPr>
        <w:tc>
          <w:tcPr>
            <w:tcW w:w="2540" w:type="dxa"/>
            <w:vAlign w:val="bottom"/>
          </w:tcPr>
          <w:p>
            <w:pPr>
              <w:ind w:left="40"/>
              <w:spacing w:after="0"/>
              <w:rPr>
                <w:sz w:val="20"/>
                <w:szCs w:val="20"/>
                <w:color w:val="auto"/>
              </w:rPr>
            </w:pPr>
            <w:r>
              <w:rPr>
                <w:rFonts w:ascii="Arial" w:cs="Arial" w:eastAsia="Arial" w:hAnsi="Arial"/>
                <w:sz w:val="18"/>
                <w:szCs w:val="18"/>
                <w:color w:val="auto"/>
              </w:rPr>
              <w:t>Operating income (loss)</w:t>
            </w:r>
          </w:p>
        </w:tc>
        <w:tc>
          <w:tcPr>
            <w:tcW w:w="20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5.9</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11.9</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(198.3)%</w:t>
            </w:r>
          </w:p>
        </w:tc>
        <w:tc>
          <w:tcPr>
            <w:tcW w:w="10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(24.9)</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14.9</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(59.8)%</w:t>
            </w:r>
          </w:p>
        </w:tc>
        <w:tc>
          <w:tcPr>
            <w:tcW w:w="0" w:type="dxa"/>
            <w:vAlign w:val="bottom"/>
          </w:tcPr>
          <w:p>
            <w:pPr>
              <w:spacing w:after="0"/>
              <w:rPr>
                <w:sz w:val="1"/>
                <w:szCs w:val="1"/>
                <w:color w:val="auto"/>
              </w:rPr>
            </w:pPr>
          </w:p>
        </w:tc>
      </w:tr>
      <w:tr>
        <w:trPr>
          <w:trHeight w:val="27"/>
        </w:trPr>
        <w:tc>
          <w:tcPr>
            <w:tcW w:w="2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 net</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0.0</w:t>
            </w:r>
          </w:p>
        </w:tc>
        <w:tc>
          <w:tcPr>
            <w:tcW w:w="114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0.0 %</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10.8 %</w:t>
            </w:r>
          </w:p>
        </w:tc>
        <w:tc>
          <w:tcPr>
            <w:tcW w:w="0" w:type="dxa"/>
            <w:vAlign w:val="bottom"/>
          </w:tcPr>
          <w:p>
            <w:pPr>
              <w:spacing w:after="0"/>
              <w:rPr>
                <w:sz w:val="1"/>
                <w:szCs w:val="1"/>
                <w:color w:val="auto"/>
              </w:rPr>
            </w:pPr>
          </w:p>
        </w:tc>
      </w:tr>
      <w:tr>
        <w:trPr>
          <w:trHeight w:val="243"/>
        </w:trPr>
        <w:tc>
          <w:tcPr>
            <w:tcW w:w="2540" w:type="dxa"/>
            <w:vAlign w:val="bottom"/>
          </w:tcPr>
          <w:p>
            <w:pPr>
              <w:ind w:left="40"/>
              <w:spacing w:after="0"/>
              <w:rPr>
                <w:sz w:val="20"/>
                <w:szCs w:val="20"/>
                <w:color w:val="auto"/>
              </w:rPr>
            </w:pPr>
            <w:r>
              <w:rPr>
                <w:rFonts w:ascii="Arial" w:cs="Arial" w:eastAsia="Arial" w:hAnsi="Arial"/>
                <w:sz w:val="18"/>
                <w:szCs w:val="18"/>
                <w:color w:val="auto"/>
              </w:rPr>
              <w:t>Other (income) expense, net</w:t>
            </w:r>
          </w:p>
        </w:tc>
        <w:tc>
          <w:tcPr>
            <w:tcW w:w="20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7.6</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10.5</w:t>
            </w: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13.8</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(13.4)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27.2</w:t>
            </w:r>
          </w:p>
        </w:tc>
        <w:tc>
          <w:tcPr>
            <w:tcW w:w="11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5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before income taxes</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46.5 %</w:t>
            </w:r>
          </w:p>
        </w:tc>
        <w:tc>
          <w:tcPr>
            <w:tcW w:w="0" w:type="dxa"/>
            <w:vAlign w:val="bottom"/>
          </w:tcPr>
          <w:p>
            <w:pPr>
              <w:spacing w:after="0"/>
              <w:rPr>
                <w:sz w:val="1"/>
                <w:szCs w:val="1"/>
                <w:color w:val="auto"/>
              </w:rPr>
            </w:pPr>
          </w:p>
        </w:tc>
      </w:tr>
      <w:tr>
        <w:trPr>
          <w:trHeight w:val="243"/>
        </w:trPr>
        <w:tc>
          <w:tcPr>
            <w:tcW w:w="2540" w:type="dxa"/>
            <w:vAlign w:val="bottom"/>
          </w:tcPr>
          <w:p>
            <w:pPr>
              <w:ind w:left="40"/>
              <w:spacing w:after="0"/>
              <w:rPr>
                <w:sz w:val="20"/>
                <w:szCs w:val="20"/>
                <w:color w:val="auto"/>
              </w:rPr>
            </w:pPr>
            <w:r>
              <w:rPr>
                <w:rFonts w:ascii="Arial" w:cs="Arial" w:eastAsia="Arial" w:hAnsi="Arial"/>
                <w:sz w:val="18"/>
                <w:szCs w:val="18"/>
                <w:color w:val="auto"/>
              </w:rPr>
              <w:t>Income tax benefit</w:t>
            </w:r>
          </w:p>
        </w:tc>
        <w:tc>
          <w:tcPr>
            <w:tcW w:w="20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2.1</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(77.8)%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60.9 %</w:t>
            </w:r>
          </w:p>
        </w:tc>
        <w:tc>
          <w:tcPr>
            <w:tcW w:w="0" w:type="dxa"/>
            <w:vAlign w:val="bottom"/>
          </w:tcPr>
          <w:p>
            <w:pPr>
              <w:spacing w:after="0"/>
              <w:rPr>
                <w:sz w:val="1"/>
                <w:szCs w:val="1"/>
                <w:color w:val="auto"/>
              </w:rPr>
            </w:pPr>
          </w:p>
        </w:tc>
      </w:tr>
      <w:tr>
        <w:trPr>
          <w:trHeight w:val="27"/>
        </w:trPr>
        <w:tc>
          <w:tcPr>
            <w:tcW w:w="25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loss</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14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6.6 %</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(26.4)</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w:t>
            </w:r>
          </w:p>
        </w:tc>
        <w:tc>
          <w:tcPr>
            <w:tcW w:w="114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43.9 %</w:t>
            </w:r>
          </w:p>
        </w:tc>
        <w:tc>
          <w:tcPr>
            <w:tcW w:w="0" w:type="dxa"/>
            <w:vAlign w:val="bottom"/>
          </w:tcPr>
          <w:p>
            <w:pPr>
              <w:spacing w:after="0"/>
              <w:rPr>
                <w:sz w:val="1"/>
                <w:szCs w:val="1"/>
                <w:color w:val="auto"/>
              </w:rPr>
            </w:pPr>
          </w:p>
        </w:tc>
      </w:tr>
      <w:tr>
        <w:trPr>
          <w:trHeight w:val="20"/>
        </w:trPr>
        <w:tc>
          <w:tcPr>
            <w:tcW w:w="2540" w:type="dxa"/>
            <w:vAlign w:val="bottom"/>
            <w:vMerge w:val="restart"/>
          </w:tcPr>
          <w:p>
            <w:pPr>
              <w:spacing w:after="0"/>
              <w:rPr>
                <w:sz w:val="20"/>
                <w:szCs w:val="20"/>
                <w:color w:val="auto"/>
              </w:rPr>
            </w:pPr>
            <w:r>
              <w:rPr>
                <w:rFonts w:ascii="Arial" w:cs="Arial" w:eastAsia="Arial" w:hAnsi="Arial"/>
                <w:sz w:val="18"/>
                <w:szCs w:val="18"/>
                <w:i w:val="1"/>
                <w:iCs w:val="1"/>
                <w:color w:val="auto"/>
              </w:rPr>
              <w:t>* - not meaningful</w:t>
            </w: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54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4"/>
        </w:trPr>
        <w:tc>
          <w:tcPr>
            <w:tcW w:w="2540" w:type="dxa"/>
            <w:vAlign w:val="bottom"/>
          </w:tcPr>
          <w:p>
            <w:pPr>
              <w:spacing w:after="0"/>
              <w:rPr>
                <w:sz w:val="20"/>
                <w:szCs w:val="20"/>
                <w:color w:val="auto"/>
              </w:rPr>
            </w:pPr>
            <w:r>
              <w:rPr>
                <w:rFonts w:ascii="Arial" w:cs="Arial" w:eastAsia="Arial" w:hAnsi="Arial"/>
                <w:sz w:val="18"/>
                <w:szCs w:val="18"/>
                <w:i w:val="1"/>
                <w:iCs w:val="1"/>
                <w:color w:val="auto"/>
              </w:rPr>
              <w:t>Net Sales</w:t>
            </w: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For the three and six months ended June 30, 2019, net sales decreased primarily due to the decline in the Print, Publishing and Facility Solutions segments. See the “Segment Results” section for additional discussion.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Products Sold (exclusive of depreciation and amortization shown separately below)</w:t>
      </w:r>
    </w:p>
    <w:p>
      <w:pPr>
        <w:spacing w:after="0" w:line="11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 the three and six months ended June 30, 2019, cost of products sold decreased primarily due to lower net sales.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Distribution Expenses</w:t>
      </w:r>
    </w:p>
    <w:p>
      <w:pPr>
        <w:spacing w:after="0" w:line="117" w:lineRule="exact"/>
        <w:rPr>
          <w:sz w:val="20"/>
          <w:szCs w:val="20"/>
          <w:color w:val="auto"/>
        </w:rPr>
      </w:pPr>
    </w:p>
    <w:p>
      <w:pPr>
        <w:ind w:right="100" w:firstLine="648"/>
        <w:spacing w:after="0" w:line="279" w:lineRule="auto"/>
        <w:rPr>
          <w:sz w:val="20"/>
          <w:szCs w:val="20"/>
          <w:color w:val="auto"/>
        </w:rPr>
      </w:pPr>
      <w:r>
        <w:rPr>
          <w:rFonts w:ascii="Arial" w:cs="Arial" w:eastAsia="Arial" w:hAnsi="Arial"/>
          <w:sz w:val="17"/>
          <w:szCs w:val="17"/>
          <w:color w:val="auto"/>
        </w:rPr>
        <w:t>For the three months ended June 30, 2019, distribution expenses were flat primarily due to a $4.7 million decrease in freight and logistics expense offset by a $3.5 million increase in personnel expense. The decrease in freight and logistics expense was primarily driven by a decrease in third-party freight, fuel and transfer expenses. The increase in personnel expense was primarily due to the partial withdrawal from a multi-employer pension plan in the three month period ended June 30, 2019, partially offset by lower wages and temporary employee expenses.</w:t>
      </w:r>
    </w:p>
    <w:p>
      <w:pPr>
        <w:spacing w:after="0" w:line="185" w:lineRule="exact"/>
        <w:rPr>
          <w:sz w:val="20"/>
          <w:szCs w:val="20"/>
          <w:color w:val="auto"/>
        </w:rPr>
      </w:pPr>
    </w:p>
    <w:p>
      <w:pPr>
        <w:ind w:right="200" w:firstLine="648"/>
        <w:spacing w:after="0" w:line="290" w:lineRule="auto"/>
        <w:rPr>
          <w:sz w:val="20"/>
          <w:szCs w:val="20"/>
          <w:color w:val="auto"/>
        </w:rPr>
      </w:pPr>
      <w:r>
        <w:rPr>
          <w:rFonts w:ascii="Arial" w:cs="Arial" w:eastAsia="Arial" w:hAnsi="Arial"/>
          <w:sz w:val="17"/>
          <w:szCs w:val="17"/>
          <w:color w:val="auto"/>
        </w:rPr>
        <w:t>For the six months ended June 30, 2019, distribution expenses decreased by $2.7 million, or 1.0%. The decrease was primarily due to (i) a $9.9 million decrease in freight and logistics expense, primarily driven by a decrease in third-party freight, fuel and transfer expenses and (ii) a $2.0 million decrease related to replacing certain equipment leases, previously treated as operating leases (expenses included in distribution expense), with capital leases (expenses included in depreciation and amortization and interest expense, net). The decrease was partially offset by (i) a $6.1 million increase in storage expenses, primarily due to replacing certain property leases, previously treated as financing arrangements (expenses included in depreciation and amortization and interest expense, net), with operating leases (expenses included in distribution expense) and (ii) a $2.8</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341"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million increase in personnel expense due primarily to the partial withdrawal from a multi-employer pension plan in the three month period ended June 30, 2019, partially offset by lower wages and temporary employee expenses.</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Selling and Administrative Expenses</w:t>
      </w:r>
    </w:p>
    <w:p>
      <w:pPr>
        <w:spacing w:after="0" w:line="117" w:lineRule="exact"/>
        <w:rPr>
          <w:sz w:val="20"/>
          <w:szCs w:val="20"/>
          <w:color w:val="auto"/>
        </w:rPr>
      </w:pPr>
    </w:p>
    <w:p>
      <w:pPr>
        <w:jc w:val="both"/>
        <w:ind w:right="40" w:firstLine="648"/>
        <w:spacing w:after="0" w:line="264" w:lineRule="auto"/>
        <w:rPr>
          <w:sz w:val="20"/>
          <w:szCs w:val="20"/>
          <w:color w:val="auto"/>
        </w:rPr>
      </w:pPr>
      <w:r>
        <w:rPr>
          <w:rFonts w:ascii="Arial" w:cs="Arial" w:eastAsia="Arial" w:hAnsi="Arial"/>
          <w:sz w:val="18"/>
          <w:szCs w:val="18"/>
          <w:color w:val="auto"/>
        </w:rPr>
        <w:t>For the three months ended June 30, 2019, selling and administrative expenses decreased by $12.4 million, or 5.5%. The decrease was primarily due to (i) a $5.2 million decrease in compensation expense, mainly driven by a decrease in commission expenses primarily related to the Print segment, (ii) a $4.8 million decrease in professional fees expense and (iii) a $1.6 million decrease in bad debt expense.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the six months ended June 30, 2019, selling and administrative expenses decreased by $19.0 million, or 4.3%. The decrease was primarily due to</w:t>
      </w:r>
    </w:p>
    <w:p>
      <w:pPr>
        <w:spacing w:after="0" w:line="46" w:lineRule="exact"/>
        <w:rPr>
          <w:sz w:val="20"/>
          <w:szCs w:val="20"/>
          <w:color w:val="auto"/>
        </w:rPr>
      </w:pPr>
    </w:p>
    <w:p>
      <w:pPr>
        <w:ind w:right="60" w:firstLine="8"/>
        <w:spacing w:after="0" w:line="273" w:lineRule="auto"/>
        <w:tabs>
          <w:tab w:leader="none" w:pos="215" w:val="left"/>
        </w:tabs>
        <w:numPr>
          <w:ilvl w:val="0"/>
          <w:numId w:val="11"/>
        </w:numPr>
        <w:rPr>
          <w:rFonts w:ascii="Arial" w:cs="Arial" w:eastAsia="Arial" w:hAnsi="Arial"/>
          <w:sz w:val="17"/>
          <w:szCs w:val="17"/>
          <w:color w:val="auto"/>
        </w:rPr>
      </w:pPr>
      <w:r>
        <w:rPr>
          <w:rFonts w:ascii="Arial" w:cs="Arial" w:eastAsia="Arial" w:hAnsi="Arial"/>
          <w:sz w:val="17"/>
          <w:szCs w:val="17"/>
          <w:color w:val="auto"/>
        </w:rPr>
        <w:t xml:space="preserve">a $19.4 million decrease in compensation expense, mainly driven by a decrease in commission expenses primarily related to the Print segment as well as a decrease in incentive compensation expense, (ii) a $4.6 million decrease in professional fees expense and (iii) a $1.5 million decrease in marketing and communications expense, partially offset by a $7.0 million increase primarily related to the change in the Escheat Audit liability. See </w:t>
      </w:r>
      <w:hyperlink w:anchor="page27">
        <w:r>
          <w:rPr>
            <w:rFonts w:ascii="Arial" w:cs="Arial" w:eastAsia="Arial" w:hAnsi="Arial"/>
            <w:sz w:val="17"/>
            <w:szCs w:val="17"/>
            <w:u w:val="single" w:color="auto"/>
            <w:color w:val="0000EE"/>
          </w:rPr>
          <w:t>Note 12</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of the Notes to Condensed Consolidated Financial Statements for information regarding the Escheat Audit liability.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and Amortization</w:t>
      </w:r>
    </w:p>
    <w:p>
      <w:pPr>
        <w:spacing w:after="0" w:line="117"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For the three and six months ended June 30, 2019, depreciation and amortization decreased by $0.6 million and $2.2 million, respectively. The decreases were primarily attributable to replacing certain property leases, previously treated as financing arrangements (expenses included in depreciation and amortization and interest expense, net), with operating leases (expenses included in distribution expense).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Integration and Acquisition Expenses</w:t>
      </w:r>
    </w:p>
    <w:p>
      <w:pPr>
        <w:spacing w:after="0" w:line="117" w:lineRule="exact"/>
        <w:rPr>
          <w:sz w:val="20"/>
          <w:szCs w:val="20"/>
          <w:color w:val="auto"/>
        </w:rPr>
      </w:pPr>
    </w:p>
    <w:p>
      <w:pPr>
        <w:ind w:right="180" w:firstLine="648"/>
        <w:spacing w:after="0" w:line="277" w:lineRule="auto"/>
        <w:rPr>
          <w:rFonts w:ascii="Arial" w:cs="Arial" w:eastAsia="Arial" w:hAnsi="Arial"/>
          <w:sz w:val="18"/>
          <w:szCs w:val="18"/>
          <w:color w:val="auto"/>
        </w:rPr>
      </w:pPr>
      <w:r>
        <w:rPr>
          <w:rFonts w:ascii="Arial" w:cs="Arial" w:eastAsia="Arial" w:hAnsi="Arial"/>
          <w:sz w:val="18"/>
          <w:szCs w:val="18"/>
          <w:color w:val="auto"/>
        </w:rPr>
        <w:t xml:space="preserve">See </w:t>
      </w:r>
      <w:hyperlink w:anchor="page18">
        <w:r>
          <w:rPr>
            <w:rFonts w:ascii="Arial" w:cs="Arial" w:eastAsia="Arial" w:hAnsi="Arial"/>
            <w:sz w:val="18"/>
            <w:szCs w:val="18"/>
            <w:u w:val="single" w:color="auto"/>
            <w:color w:val="0000EE"/>
          </w:rPr>
          <w:t>Note 4</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of the Notes to Condensed Consolidated Financial Statements for information related to the Company's integration efforts as well as its 2018 AAC acquisition expenses.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Restructuring Charges, Net</w:t>
      </w:r>
    </w:p>
    <w:p>
      <w:pPr>
        <w:spacing w:after="0" w:line="117" w:lineRule="exact"/>
        <w:rPr>
          <w:sz w:val="20"/>
          <w:szCs w:val="20"/>
          <w:color w:val="auto"/>
        </w:rPr>
      </w:pPr>
    </w:p>
    <w:p>
      <w:pPr>
        <w:jc w:val="both"/>
        <w:ind w:right="160" w:firstLine="648"/>
        <w:spacing w:after="0" w:line="312" w:lineRule="auto"/>
        <w:rPr>
          <w:rFonts w:ascii="Arial" w:cs="Arial" w:eastAsia="Arial" w:hAnsi="Arial"/>
          <w:sz w:val="16"/>
          <w:szCs w:val="16"/>
          <w:color w:val="auto"/>
        </w:rPr>
      </w:pPr>
      <w:r>
        <w:rPr>
          <w:rFonts w:ascii="Arial" w:cs="Arial" w:eastAsia="Arial" w:hAnsi="Arial"/>
          <w:sz w:val="16"/>
          <w:szCs w:val="16"/>
          <w:color w:val="auto"/>
        </w:rPr>
        <w:t xml:space="preserve">For the three and six months ended June 30, 2019, restructuring charges, net, decreased by $4.5 million and $14.0 million, respectively. See </w:t>
      </w:r>
      <w:hyperlink w:anchor="page18">
        <w:r>
          <w:rPr>
            <w:rFonts w:ascii="Arial" w:cs="Arial" w:eastAsia="Arial" w:hAnsi="Arial"/>
            <w:sz w:val="16"/>
            <w:szCs w:val="16"/>
            <w:u w:val="single" w:color="auto"/>
            <w:color w:val="0000EE"/>
          </w:rPr>
          <w:t>Note 4</w:t>
        </w:r>
      </w:hyperlink>
      <w:r>
        <w:rPr>
          <w:rFonts w:ascii="Arial" w:cs="Arial" w:eastAsia="Arial" w:hAnsi="Arial"/>
          <w:sz w:val="16"/>
          <w:szCs w:val="16"/>
          <w:color w:val="auto"/>
        </w:rPr>
        <w:t xml:space="preserve"> of the Notes to Condensed Consolidated Financial Statements for additional information related to the Company's restructuring efforts. The Company may continue to record restructuring charges in the future as restructuring activities progress, which may include gains or losses from the disposition of assets.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 Net</w:t>
      </w:r>
    </w:p>
    <w:p>
      <w:pPr>
        <w:spacing w:after="0" w:line="117" w:lineRule="exact"/>
        <w:rPr>
          <w:sz w:val="20"/>
          <w:szCs w:val="20"/>
          <w:color w:val="auto"/>
        </w:rPr>
      </w:pPr>
    </w:p>
    <w:p>
      <w:pPr>
        <w:ind w:firstLine="648"/>
        <w:spacing w:after="0" w:line="264" w:lineRule="auto"/>
        <w:rPr>
          <w:rFonts w:ascii="Arial" w:cs="Arial" w:eastAsia="Arial" w:hAnsi="Arial"/>
          <w:sz w:val="18"/>
          <w:szCs w:val="18"/>
          <w:color w:val="auto"/>
        </w:rPr>
      </w:pPr>
      <w:r>
        <w:rPr>
          <w:rFonts w:ascii="Arial" w:cs="Arial" w:eastAsia="Arial" w:hAnsi="Arial"/>
          <w:sz w:val="18"/>
          <w:szCs w:val="18"/>
          <w:color w:val="auto"/>
        </w:rPr>
        <w:t xml:space="preserve">For the three months ended June 30, 2019, interest expense, net was flat. Higher interest rates due primarily to an increase in LIBOR were offset by a decreased average balance on the Company's ABL Facility. See </w:t>
      </w:r>
      <w:hyperlink w:anchor="page20">
        <w:r>
          <w:rPr>
            <w:rFonts w:ascii="Arial" w:cs="Arial" w:eastAsia="Arial" w:hAnsi="Arial"/>
            <w:sz w:val="18"/>
            <w:szCs w:val="18"/>
            <w:u w:val="single" w:color="auto"/>
            <w:color w:val="0000EE"/>
          </w:rPr>
          <w:t>Note 5</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of the Notes to Condensed Consolidated Financial Statements for information related to the ABL Facility.</w:t>
      </w:r>
    </w:p>
    <w:p>
      <w:pPr>
        <w:spacing w:after="0" w:line="181" w:lineRule="exact"/>
        <w:rPr>
          <w:sz w:val="20"/>
          <w:szCs w:val="20"/>
          <w:color w:val="auto"/>
        </w:rPr>
      </w:pPr>
    </w:p>
    <w:p>
      <w:pPr>
        <w:jc w:val="both"/>
        <w:ind w:firstLine="648"/>
        <w:spacing w:after="0" w:line="264" w:lineRule="auto"/>
        <w:rPr>
          <w:rFonts w:ascii="Arial" w:cs="Arial" w:eastAsia="Arial" w:hAnsi="Arial"/>
          <w:sz w:val="18"/>
          <w:szCs w:val="18"/>
          <w:color w:val="auto"/>
        </w:rPr>
      </w:pPr>
      <w:r>
        <w:rPr>
          <w:rFonts w:ascii="Arial" w:cs="Arial" w:eastAsia="Arial" w:hAnsi="Arial"/>
          <w:sz w:val="18"/>
          <w:szCs w:val="18"/>
          <w:color w:val="auto"/>
        </w:rPr>
        <w:t xml:space="preserve">For the six months ended June 30, 2019, interest expense, net increased by $2.1 million, or 10.8%. Higher interest rates due primarily to an increase in LIBOR were partially offset by a decreased average balance on the Company's ABL Facility. See </w:t>
      </w:r>
      <w:hyperlink w:anchor="page20">
        <w:r>
          <w:rPr>
            <w:rFonts w:ascii="Arial" w:cs="Arial" w:eastAsia="Arial" w:hAnsi="Arial"/>
            <w:sz w:val="18"/>
            <w:szCs w:val="18"/>
            <w:u w:val="single" w:color="auto"/>
            <w:color w:val="0000EE"/>
          </w:rPr>
          <w:t>Note 5</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of the Notes to Condensed Consolidated Financial Statements for information related to the ABL Facility.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(Income) Expense, Net</w:t>
      </w:r>
    </w:p>
    <w:p>
      <w:pPr>
        <w:spacing w:after="0" w:line="117" w:lineRule="exact"/>
        <w:rPr>
          <w:sz w:val="20"/>
          <w:szCs w:val="20"/>
          <w:color w:val="auto"/>
        </w:rPr>
      </w:pPr>
    </w:p>
    <w:p>
      <w:pPr>
        <w:ind w:right="20" w:firstLine="648"/>
        <w:spacing w:after="0" w:line="259" w:lineRule="auto"/>
        <w:rPr>
          <w:rFonts w:ascii="Arial" w:cs="Arial" w:eastAsia="Arial" w:hAnsi="Arial"/>
          <w:sz w:val="18"/>
          <w:szCs w:val="18"/>
          <w:color w:val="auto"/>
        </w:rPr>
      </w:pPr>
      <w:r>
        <w:rPr>
          <w:rFonts w:ascii="Arial" w:cs="Arial" w:eastAsia="Arial" w:hAnsi="Arial"/>
          <w:sz w:val="18"/>
          <w:szCs w:val="18"/>
          <w:color w:val="auto"/>
        </w:rPr>
        <w:t xml:space="preserve">For the three months ended June 30, 2019, other (income) expense, net, was expense of $7.6 million. This was a net other expense increase of $10.5 million as compared to the same period in 2018. For the three months ended June 30, 2019, there was a $7.7 million increase in the estimated fair value of the AAC contingent consideration as compared to a reduction of $3.0 million in the same period in 2018. See </w:t>
      </w:r>
      <w:hyperlink w:anchor="page23">
        <w:r>
          <w:rPr>
            <w:rFonts w:ascii="Arial" w:cs="Arial" w:eastAsia="Arial" w:hAnsi="Arial"/>
            <w:sz w:val="18"/>
            <w:szCs w:val="18"/>
            <w:u w:val="single" w:color="auto"/>
            <w:color w:val="0000EE"/>
          </w:rPr>
          <w:t>Note 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of the Notes to Condensed Consolidated Financial Statements for information related to the AAC contingent consideration.</w:t>
      </w:r>
    </w:p>
    <w:p>
      <w:pPr>
        <w:spacing w:after="0" w:line="187" w:lineRule="exact"/>
        <w:rPr>
          <w:sz w:val="20"/>
          <w:szCs w:val="20"/>
          <w:color w:val="auto"/>
        </w:rPr>
      </w:pPr>
    </w:p>
    <w:p>
      <w:pPr>
        <w:jc w:val="both"/>
        <w:ind w:right="80" w:firstLine="648"/>
        <w:spacing w:after="0" w:line="257" w:lineRule="auto"/>
        <w:rPr>
          <w:rFonts w:ascii="Arial" w:cs="Arial" w:eastAsia="Arial" w:hAnsi="Arial"/>
          <w:sz w:val="18"/>
          <w:szCs w:val="18"/>
          <w:color w:val="auto"/>
        </w:rPr>
      </w:pPr>
      <w:r>
        <w:rPr>
          <w:rFonts w:ascii="Arial" w:cs="Arial" w:eastAsia="Arial" w:hAnsi="Arial"/>
          <w:sz w:val="18"/>
          <w:szCs w:val="18"/>
          <w:color w:val="auto"/>
        </w:rPr>
        <w:t xml:space="preserve">For the six months ended June 30, 2019, other (income) expense, net, was expense of $13.8 million. This was a net other expense increase of $27.2 million as compared to the same period in 2018. For the six months ended June 30, 2019, there was a $13.1 million increase in the estimated fair value of the AAC contingent consideration as compared to a reduction of $11.3 million in the same period in 2018. The remaining expense increase was primarily driven by changes associated with the Tax Receivable Agreement. See </w:t>
      </w:r>
      <w:hyperlink w:anchor="page23">
        <w:r>
          <w:rPr>
            <w:rFonts w:ascii="Arial" w:cs="Arial" w:eastAsia="Arial" w:hAnsi="Arial"/>
            <w:sz w:val="18"/>
            <w:szCs w:val="18"/>
            <w:u w:val="single" w:color="auto"/>
            <w:color w:val="0000EE"/>
          </w:rPr>
          <w:t>Note 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of the Notes to Condensed Consolidated Financial Statements for information related to the AAC contingent consideration.</w:t>
      </w: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341" w:right="25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Effective Tax Rate</w:t>
      </w:r>
    </w:p>
    <w:p>
      <w:pPr>
        <w:spacing w:after="0" w:line="117" w:lineRule="exact"/>
        <w:rPr>
          <w:sz w:val="20"/>
          <w:szCs w:val="20"/>
          <w:color w:val="auto"/>
        </w:rPr>
      </w:pPr>
    </w:p>
    <w:p>
      <w:pPr>
        <w:ind w:right="140" w:firstLine="648"/>
        <w:spacing w:after="0" w:line="279" w:lineRule="auto"/>
        <w:rPr>
          <w:sz w:val="20"/>
          <w:szCs w:val="20"/>
          <w:color w:val="auto"/>
        </w:rPr>
      </w:pPr>
      <w:r>
        <w:rPr>
          <w:rFonts w:ascii="Arial" w:cs="Arial" w:eastAsia="Arial" w:hAnsi="Arial"/>
          <w:sz w:val="17"/>
          <w:szCs w:val="17"/>
          <w:color w:val="auto"/>
        </w:rPr>
        <w:t>Veritiv's effective tax rates were 5.0% and 20.3% for the three months ended June 30, 2019 and 2018, respectively. Veritiv's effective tax rates were 16.3% and 14.8% for the six months ended June 30, 2019 and 2018, respectively. The difference between the Company’s effective tax rates and the U.S. statutory tax rate of 21.0% primarily relates to state income taxes (net of federal income tax benefit), tax expense for stock compensation vesting, Global Intangible Low-Taxed Income, non-deductible expenses, tax credits and the Company's income (loss) by jurisdiction.</w:t>
      </w:r>
    </w:p>
    <w:p>
      <w:pPr>
        <w:spacing w:after="0" w:line="63"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The volatility of the Company's effective tax rate has been primarily due to both the level of pre-tax income as well as variations in the Company's income (loss) by jurisdiction. For the six months ended June 30, 2019, the Company’s provision for income taxes continued to be highly sensitive to changes in certain estimates of ordinary income (loss) or permanent items resulting in the use of an actual year-to-date effective tax rate method. The Company expects a volatile effective tax rate for the full year 2019, significantly different than the June 30, 2019 rate. The effective tax rate may continue to vary significantly due to potential fluctuations in the amount and source, including both foreign and domestic, of pre-tax income and changes in amounts of non-deductible expenses, and other items that could impact the effective tax rate.</w:t>
      </w: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225" w:lineRule="exact"/>
        <w:rPr>
          <w:sz w:val="20"/>
          <w:szCs w:val="20"/>
          <w:color w:val="auto"/>
        </w:rPr>
      </w:pPr>
    </w:p>
    <w:p>
      <w:pPr>
        <w:ind w:right="320" w:firstLine="648"/>
        <w:spacing w:after="0" w:line="293" w:lineRule="auto"/>
        <w:rPr>
          <w:sz w:val="20"/>
          <w:szCs w:val="20"/>
          <w:color w:val="auto"/>
        </w:rPr>
      </w:pPr>
      <w:r>
        <w:rPr>
          <w:rFonts w:ascii="Arial" w:cs="Arial" w:eastAsia="Arial" w:hAnsi="Arial"/>
          <w:sz w:val="16"/>
          <w:szCs w:val="16"/>
          <w:color w:val="auto"/>
        </w:rPr>
        <w:t>Adjusted EBITDA (earnings before interest, income taxes, depreciation and amortization, restructuring charges, net, integration and acquisition expenses and other similar charges including any severance costs, costs associated with warehouse and office openings or closings, consolidation, and relocation and other business optimization expenses, stock-based compensation expense, changes in the LIFO reserve, non-restructuring asset impairment charges, non-restructuring severance charges, non-restructuring pension charges, net, fair value adjustments related to contingent liabilities assumed in mergers and acquisitions and certain other adjustments) is the primary financial performance measure Veritiv uses to manage its businesses, to monitor its results of operations, to measure its performance against the ABL Facility and to incentivize its management.</w:t>
      </w:r>
    </w:p>
    <w:p>
      <w:pPr>
        <w:spacing w:after="0" w:line="57" w:lineRule="exact"/>
        <w:rPr>
          <w:sz w:val="20"/>
          <w:szCs w:val="20"/>
          <w:color w:val="auto"/>
        </w:rPr>
      </w:pPr>
    </w:p>
    <w:p>
      <w:pPr>
        <w:ind w:right="280" w:firstLine="648"/>
        <w:spacing w:after="0" w:line="302" w:lineRule="auto"/>
        <w:rPr>
          <w:sz w:val="20"/>
          <w:szCs w:val="20"/>
          <w:color w:val="auto"/>
        </w:rPr>
      </w:pPr>
      <w:r>
        <w:rPr>
          <w:rFonts w:ascii="Arial" w:cs="Arial" w:eastAsia="Arial" w:hAnsi="Arial"/>
          <w:sz w:val="16"/>
          <w:szCs w:val="16"/>
          <w:color w:val="auto"/>
        </w:rPr>
        <w:t>Veritiv believes investors commonly use Adjusted EBITDA as a key financial metric for valuing companies. In addition, the credit agreement governing the ABL Facility permits the Company to exclude these and other charges in calculating Consolidated EBITDA, as defined in the ABL Facility. This common metric is intended to align shareholders, debt holders and management. Adjusted EBITDA is a non-GAAP financial measure and is not an alternative to net income, operating income or any other measure prescribed by U.S. generally accepted accounting principles ("U.S. GAAP").</w:t>
      </w:r>
    </w:p>
    <w:p>
      <w:pPr>
        <w:spacing w:after="0" w:line="127"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Adjusted EBITDA has limitations as an analytical tool and should not be considered in isolation or as a substitute for analysis of Veritiv’s results as reported under U.S. GAAP. For example, Adjusted EBITDA:</w:t>
      </w:r>
    </w:p>
    <w:p>
      <w:pPr>
        <w:spacing w:after="0" w:line="170" w:lineRule="exact"/>
        <w:rPr>
          <w:sz w:val="20"/>
          <w:szCs w:val="20"/>
          <w:color w:val="auto"/>
        </w:rPr>
      </w:pPr>
    </w:p>
    <w:p>
      <w:pPr>
        <w:ind w:left="980" w:hanging="324"/>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Does not reflect the Company’s income tax expenses or the cash requirements to pay its taxes; and</w:t>
      </w:r>
    </w:p>
    <w:p>
      <w:pPr>
        <w:spacing w:after="0" w:line="23" w:lineRule="exact"/>
        <w:rPr>
          <w:rFonts w:ascii="Arial" w:cs="Arial" w:eastAsia="Arial" w:hAnsi="Arial"/>
          <w:sz w:val="18"/>
          <w:szCs w:val="18"/>
          <w:color w:val="auto"/>
        </w:rPr>
      </w:pPr>
    </w:p>
    <w:p>
      <w:pPr>
        <w:ind w:left="980" w:right="320" w:hanging="324"/>
        <w:spacing w:after="0" w:line="323" w:lineRule="auto"/>
        <w:tabs>
          <w:tab w:leader="none" w:pos="9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Although depreciation and amortization charges are non-cash charges, it does not reflect that the assets being depreciated and amortized will often have to be replaced in the future and the foregoing metric does not reflect any cash requirements for such replacements.</w:t>
      </w:r>
    </w:p>
    <w:p>
      <w:pPr>
        <w:spacing w:after="0" w:line="139"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Other companies in the industry may calculate Adjusted EBITDA differently than Veritiv does, limiting its usefulness as a comparative measure. Because of these limitations, Adjusted EBITDA should not be considered as a measure of discretionary cash available to Veritiv to invest in the growth of its business. Veritiv compensates for these limitations by relying on the Company's U.S. GAAP results and by using Adjusted EBITDA for supplemental purposes. Additionally, Adjusted EBITDA is not an alternative measure of financial performance under U.S. GAAP and therefore should be considered in conjunction with net income and other performance measures such as operating income or net cash provided by operating activities and not as an alternative to such U.S. GAAP measures.</w:t>
      </w:r>
    </w:p>
    <w:p>
      <w:pPr>
        <w:spacing w:after="0" w:line="8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Due to the shared nature of the distribution network, distribution expenses are not a specific charge to each segment, but are instead allocated to each segment based primarily on operational metrics that correlate with changes in volume. Accordingly, distribution expenses allocated to each segment are highly interdependent on the results of other segments. Lower volume in any segment that is not offset by a reduction in distribution expenses can result in the other segments absorbing a larger share of distribution expenses. Conversely, higher volume in any segment can result in the other segments absorbing a smaller share of distribution expenses. The impact of this at the segment level is that the changes in distribution expense trends may not correspond with volume trends within a particular segment.</w:t>
      </w:r>
    </w:p>
    <w:p>
      <w:pPr>
        <w:spacing w:after="0" w:line="85"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The Company sells thousands of products. In the Packaging and Facility Solutions segments, Veritiv is unable to compute the impact of changes in sales volume based on changes in sales of each individual product. Rather, the Company assumes that the margin stays constant and estimates the volume impact based on changes in cost of products sold as a proxy for the change in sales volume. After any other significant sales variances are identified, the remaining sales variance is attributed to price/mix.</w:t>
      </w: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341" w:right="23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The Company approximates foreign currency effects by applying the foreign currency exchange rate for the prior period to the local currency results for the current period. The Company believes the elimination of the foreign currency translation impact provides better year-to-year comparability without the distortion of foreign currency fluctuations.</w:t>
      </w:r>
    </w:p>
    <w:p>
      <w:pPr>
        <w:spacing w:after="0" w:line="73"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The Company believes that the decline in demand for paper and related products is due to the widespread use of electronic media and permanent product substitution, more e-commerce, less print advertising, fewer catalogs and a reduced volume of direct mail, among other factors. This trend is expected to continue and will place continued pressure on the Company’s revenues and profit margins and make it more difficult to maintain or grow Adjusted EBITDA within the Print and Publishing segments.</w:t>
      </w:r>
    </w:p>
    <w:p>
      <w:pPr>
        <w:spacing w:after="0" w:line="7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Included in the following table are net sales and Adjusted EBITDA for each of the reportable segments and Corporate &amp; Other:</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3"/>
              </w:rPr>
              <w:t>Facility</w:t>
            </w:r>
          </w:p>
        </w:tc>
        <w:tc>
          <w:tcPr>
            <w:tcW w:w="2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b w:val="1"/>
                <w:bCs w:val="1"/>
                <w:color w:val="auto"/>
                <w:w w:val="94"/>
              </w:rPr>
              <w:t>Corporate &amp;</w:t>
            </w:r>
          </w:p>
        </w:tc>
      </w:tr>
      <w:tr>
        <w:trPr>
          <w:trHeight w:val="234"/>
        </w:trPr>
        <w:tc>
          <w:tcPr>
            <w:tcW w:w="20" w:type="dxa"/>
            <w:vAlign w:val="bottom"/>
          </w:tcPr>
          <w:p>
            <w:pPr>
              <w:spacing w:after="0"/>
              <w:rPr>
                <w:sz w:val="20"/>
                <w:szCs w:val="20"/>
                <w:color w:val="auto"/>
              </w:rPr>
            </w:pPr>
          </w:p>
        </w:tc>
        <w:tc>
          <w:tcPr>
            <w:tcW w:w="444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180" w:type="dxa"/>
            <w:vAlign w:val="bottom"/>
          </w:tcPr>
          <w:p>
            <w:pPr>
              <w:spacing w:after="0"/>
              <w:rPr>
                <w:sz w:val="20"/>
                <w:szCs w:val="20"/>
                <w:color w:val="auto"/>
              </w:rPr>
            </w:pPr>
          </w:p>
        </w:tc>
        <w:tc>
          <w:tcPr>
            <w:tcW w:w="1240" w:type="dxa"/>
            <w:vAlign w:val="bottom"/>
            <w:gridSpan w:val="2"/>
          </w:tcPr>
          <w:p>
            <w:pPr>
              <w:ind w:left="80"/>
              <w:spacing w:after="0"/>
              <w:rPr>
                <w:sz w:val="20"/>
                <w:szCs w:val="20"/>
                <w:color w:val="auto"/>
              </w:rPr>
            </w:pPr>
            <w:r>
              <w:rPr>
                <w:rFonts w:ascii="Arial" w:cs="Arial" w:eastAsia="Arial" w:hAnsi="Arial"/>
                <w:sz w:val="18"/>
                <w:szCs w:val="18"/>
                <w:b w:val="1"/>
                <w:bCs w:val="1"/>
                <w:color w:val="auto"/>
              </w:rPr>
              <w:t>Packaging</w:t>
            </w:r>
          </w:p>
        </w:tc>
        <w:tc>
          <w:tcPr>
            <w:tcW w:w="220" w:type="dxa"/>
            <w:vAlign w:val="bottom"/>
          </w:tcPr>
          <w:p>
            <w:pPr>
              <w:spacing w:after="0"/>
              <w:rPr>
                <w:sz w:val="20"/>
                <w:szCs w:val="20"/>
                <w:color w:val="auto"/>
              </w:rPr>
            </w:pPr>
          </w:p>
        </w:tc>
        <w:tc>
          <w:tcPr>
            <w:tcW w:w="12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Solutions</w:t>
            </w:r>
          </w:p>
        </w:tc>
        <w:tc>
          <w:tcPr>
            <w:tcW w:w="280" w:type="dxa"/>
            <w:vAlign w:val="bottom"/>
          </w:tcPr>
          <w:p>
            <w:pPr>
              <w:spacing w:after="0"/>
              <w:rPr>
                <w:sz w:val="20"/>
                <w:szCs w:val="20"/>
                <w:color w:val="auto"/>
              </w:rPr>
            </w:pPr>
          </w:p>
        </w:tc>
        <w:tc>
          <w:tcPr>
            <w:tcW w:w="1140" w:type="dxa"/>
            <w:vAlign w:val="bottom"/>
            <w:gridSpan w:val="2"/>
          </w:tcPr>
          <w:p>
            <w:pPr>
              <w:ind w:left="180"/>
              <w:spacing w:after="0"/>
              <w:rPr>
                <w:sz w:val="20"/>
                <w:szCs w:val="20"/>
                <w:color w:val="auto"/>
              </w:rPr>
            </w:pPr>
            <w:r>
              <w:rPr>
                <w:rFonts w:ascii="Arial" w:cs="Arial" w:eastAsia="Arial" w:hAnsi="Arial"/>
                <w:sz w:val="18"/>
                <w:szCs w:val="18"/>
                <w:b w:val="1"/>
                <w:bCs w:val="1"/>
                <w:color w:val="auto"/>
              </w:rPr>
              <w:t>Print</w:t>
            </w:r>
          </w:p>
        </w:tc>
        <w:tc>
          <w:tcPr>
            <w:tcW w:w="200" w:type="dxa"/>
            <w:vAlign w:val="bottom"/>
          </w:tcPr>
          <w:p>
            <w:pPr>
              <w:spacing w:after="0"/>
              <w:rPr>
                <w:sz w:val="20"/>
                <w:szCs w:val="20"/>
                <w:color w:val="auto"/>
              </w:rPr>
            </w:pPr>
          </w:p>
        </w:tc>
        <w:tc>
          <w:tcPr>
            <w:tcW w:w="1240" w:type="dxa"/>
            <w:vAlign w:val="bottom"/>
            <w:gridSpan w:val="2"/>
          </w:tcPr>
          <w:p>
            <w:pPr>
              <w:ind w:left="60"/>
              <w:spacing w:after="0"/>
              <w:rPr>
                <w:sz w:val="20"/>
                <w:szCs w:val="20"/>
                <w:color w:val="auto"/>
              </w:rPr>
            </w:pPr>
            <w:r>
              <w:rPr>
                <w:rFonts w:ascii="Arial" w:cs="Arial" w:eastAsia="Arial" w:hAnsi="Arial"/>
                <w:sz w:val="18"/>
                <w:szCs w:val="18"/>
                <w:b w:val="1"/>
                <w:bCs w:val="1"/>
                <w:color w:val="auto"/>
              </w:rPr>
              <w:t>Publishing</w:t>
            </w:r>
          </w:p>
        </w:tc>
        <w:tc>
          <w:tcPr>
            <w:tcW w:w="120" w:type="dxa"/>
            <w:vAlign w:val="bottom"/>
          </w:tcPr>
          <w:p>
            <w:pPr>
              <w:spacing w:after="0"/>
              <w:rPr>
                <w:sz w:val="20"/>
                <w:szCs w:val="20"/>
                <w:color w:val="auto"/>
              </w:rPr>
            </w:pPr>
          </w:p>
        </w:tc>
        <w:tc>
          <w:tcPr>
            <w:tcW w:w="1120" w:type="dxa"/>
            <w:vAlign w:val="bottom"/>
          </w:tcPr>
          <w:p>
            <w:pPr>
              <w:jc w:val="right"/>
              <w:ind w:right="310"/>
              <w:spacing w:after="0"/>
              <w:rPr>
                <w:sz w:val="20"/>
                <w:szCs w:val="20"/>
                <w:color w:val="auto"/>
              </w:rPr>
            </w:pPr>
            <w:r>
              <w:rPr>
                <w:rFonts w:ascii="Arial" w:cs="Arial" w:eastAsia="Arial" w:hAnsi="Arial"/>
                <w:sz w:val="18"/>
                <w:szCs w:val="18"/>
                <w:b w:val="1"/>
                <w:bCs w:val="1"/>
                <w:color w:val="auto"/>
              </w:rPr>
              <w:t>Other</w:t>
            </w:r>
          </w:p>
        </w:tc>
      </w:tr>
      <w:tr>
        <w:trPr>
          <w:trHeight w:val="27"/>
        </w:trPr>
        <w:tc>
          <w:tcPr>
            <w:tcW w:w="20" w:type="dxa"/>
            <w:vAlign w:val="bottom"/>
          </w:tcPr>
          <w:p>
            <w:pPr>
              <w:spacing w:after="0"/>
              <w:rPr>
                <w:sz w:val="2"/>
                <w:szCs w:val="2"/>
                <w:color w:val="auto"/>
              </w:rPr>
            </w:pPr>
          </w:p>
        </w:tc>
        <w:tc>
          <w:tcPr>
            <w:tcW w:w="4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20" w:type="dxa"/>
            <w:vAlign w:val="bottom"/>
          </w:tcPr>
          <w:p>
            <w:pPr>
              <w:spacing w:after="0"/>
              <w:rPr>
                <w:sz w:val="21"/>
                <w:szCs w:val="21"/>
                <w:color w:val="auto"/>
              </w:rPr>
            </w:pPr>
          </w:p>
        </w:tc>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Three Months Ended June 30, 2019</w:t>
            </w: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4440" w:type="dxa"/>
            <w:vAlign w:val="bottom"/>
          </w:tcPr>
          <w:p>
            <w:pPr>
              <w:ind w:left="20"/>
              <w:spacing w:after="0"/>
              <w:rPr>
                <w:sz w:val="20"/>
                <w:szCs w:val="20"/>
                <w:color w:val="auto"/>
              </w:rPr>
            </w:pPr>
            <w:r>
              <w:rPr>
                <w:rFonts w:ascii="Arial" w:cs="Arial" w:eastAsia="Arial" w:hAnsi="Arial"/>
                <w:sz w:val="18"/>
                <w:szCs w:val="18"/>
                <w:color w:val="auto"/>
              </w:rPr>
              <w:t>Net sales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110"/>
              <w:spacing w:after="0"/>
              <w:rPr>
                <w:sz w:val="20"/>
                <w:szCs w:val="20"/>
                <w:color w:val="auto"/>
              </w:rPr>
            </w:pPr>
            <w:r>
              <w:rPr>
                <w:rFonts w:ascii="Arial" w:cs="Arial" w:eastAsia="Arial" w:hAnsi="Arial"/>
                <w:sz w:val="18"/>
                <w:szCs w:val="18"/>
                <w:color w:val="auto"/>
              </w:rPr>
              <w:t>881.5</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311.7</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528.6</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203.5</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32.9</w:t>
            </w:r>
          </w:p>
        </w:tc>
      </w:tr>
      <w:tr>
        <w:trPr>
          <w:trHeight w:val="27"/>
        </w:trPr>
        <w:tc>
          <w:tcPr>
            <w:tcW w:w="2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w:t>
            </w: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65.5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12.3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(48.4)</w:t>
            </w:r>
          </w:p>
        </w:tc>
      </w:tr>
      <w:tr>
        <w:trPr>
          <w:trHeight w:val="243"/>
        </w:trPr>
        <w:tc>
          <w:tcPr>
            <w:tcW w:w="20" w:type="dxa"/>
            <w:vAlign w:val="bottom"/>
          </w:tcPr>
          <w:p>
            <w:pPr>
              <w:spacing w:after="0"/>
              <w:rPr>
                <w:sz w:val="21"/>
                <w:szCs w:val="21"/>
                <w:color w:val="auto"/>
              </w:rPr>
            </w:pPr>
          </w:p>
        </w:tc>
        <w:tc>
          <w:tcPr>
            <w:tcW w:w="4440" w:type="dxa"/>
            <w:vAlign w:val="bottom"/>
          </w:tcPr>
          <w:p>
            <w:pPr>
              <w:ind w:left="20"/>
              <w:spacing w:after="0"/>
              <w:rPr>
                <w:sz w:val="20"/>
                <w:szCs w:val="20"/>
                <w:color w:val="auto"/>
              </w:rPr>
            </w:pPr>
            <w:r>
              <w:rPr>
                <w:rFonts w:ascii="Arial" w:cs="Arial" w:eastAsia="Arial" w:hAnsi="Arial"/>
                <w:sz w:val="18"/>
                <w:szCs w:val="18"/>
                <w:color w:val="auto"/>
              </w:rPr>
              <w:t>Adjusted EBITDA as a % of net sales</w:t>
            </w:r>
          </w:p>
        </w:tc>
        <w:tc>
          <w:tcPr>
            <w:tcW w:w="1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2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97"/>
        </w:trPr>
        <w:tc>
          <w:tcPr>
            <w:tcW w:w="20" w:type="dxa"/>
            <w:vAlign w:val="bottom"/>
          </w:tcPr>
          <w:p>
            <w:pPr>
              <w:spacing w:after="0"/>
              <w:rPr>
                <w:sz w:val="24"/>
                <w:szCs w:val="24"/>
                <w:color w:val="auto"/>
              </w:rPr>
            </w:pPr>
          </w:p>
        </w:tc>
        <w:tc>
          <w:tcPr>
            <w:tcW w:w="44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43"/>
        </w:trPr>
        <w:tc>
          <w:tcPr>
            <w:tcW w:w="20" w:type="dxa"/>
            <w:vAlign w:val="bottom"/>
          </w:tcPr>
          <w:p>
            <w:pPr>
              <w:spacing w:after="0"/>
              <w:rPr>
                <w:sz w:val="21"/>
                <w:szCs w:val="21"/>
                <w:color w:val="auto"/>
              </w:rPr>
            </w:pPr>
          </w:p>
        </w:tc>
        <w:tc>
          <w:tcPr>
            <w:tcW w:w="4440" w:type="dxa"/>
            <w:vAlign w:val="bottom"/>
          </w:tcPr>
          <w:p>
            <w:pPr>
              <w:ind w:left="20"/>
              <w:spacing w:after="0"/>
              <w:rPr>
                <w:sz w:val="20"/>
                <w:szCs w:val="20"/>
                <w:color w:val="auto"/>
              </w:rPr>
            </w:pPr>
            <w:r>
              <w:rPr>
                <w:rFonts w:ascii="Arial" w:cs="Arial" w:eastAsia="Arial" w:hAnsi="Arial"/>
                <w:sz w:val="18"/>
                <w:szCs w:val="18"/>
                <w:b w:val="1"/>
                <w:bCs w:val="1"/>
                <w:color w:val="auto"/>
              </w:rPr>
              <w:t>Three Months Ended June 30, 2018</w:t>
            </w:r>
          </w:p>
        </w:tc>
        <w:tc>
          <w:tcPr>
            <w:tcW w:w="1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887.1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334.4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679.1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238.3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33.0</w:t>
            </w:r>
          </w:p>
        </w:tc>
      </w:tr>
      <w:tr>
        <w:trPr>
          <w:trHeight w:val="243"/>
        </w:trPr>
        <w:tc>
          <w:tcPr>
            <w:tcW w:w="20" w:type="dxa"/>
            <w:vAlign w:val="bottom"/>
          </w:tcPr>
          <w:p>
            <w:pPr>
              <w:spacing w:after="0"/>
              <w:rPr>
                <w:sz w:val="21"/>
                <w:szCs w:val="21"/>
                <w:color w:val="auto"/>
              </w:rPr>
            </w:pPr>
          </w:p>
        </w:tc>
        <w:tc>
          <w:tcPr>
            <w:tcW w:w="4440" w:type="dxa"/>
            <w:vAlign w:val="bottom"/>
          </w:tcPr>
          <w:p>
            <w:pPr>
              <w:ind w:left="20"/>
              <w:spacing w:after="0"/>
              <w:rPr>
                <w:sz w:val="20"/>
                <w:szCs w:val="20"/>
                <w:color w:val="auto"/>
              </w:rPr>
            </w:pPr>
            <w:r>
              <w:rPr>
                <w:rFonts w:ascii="Arial" w:cs="Arial" w:eastAsia="Arial" w:hAnsi="Arial"/>
                <w:sz w:val="18"/>
                <w:szCs w:val="18"/>
                <w:color w:val="auto"/>
              </w:rPr>
              <w:t>Adjusted EBITDA</w:t>
            </w:r>
          </w:p>
        </w:tc>
        <w:tc>
          <w:tcPr>
            <w:tcW w:w="180" w:type="dxa"/>
            <w:vAlign w:val="bottom"/>
          </w:tcPr>
          <w:p>
            <w:pPr>
              <w:spacing w:after="0"/>
              <w:rPr>
                <w:sz w:val="21"/>
                <w:szCs w:val="21"/>
                <w:color w:val="auto"/>
              </w:rPr>
            </w:pPr>
          </w:p>
        </w:tc>
        <w:tc>
          <w:tcPr>
            <w:tcW w:w="1140" w:type="dxa"/>
            <w:vAlign w:val="bottom"/>
          </w:tcPr>
          <w:p>
            <w:pPr>
              <w:jc w:val="right"/>
              <w:ind w:right="110"/>
              <w:spacing w:after="0"/>
              <w:rPr>
                <w:sz w:val="20"/>
                <w:szCs w:val="20"/>
                <w:color w:val="auto"/>
              </w:rPr>
            </w:pPr>
            <w:r>
              <w:rPr>
                <w:rFonts w:ascii="Arial" w:cs="Arial" w:eastAsia="Arial" w:hAnsi="Arial"/>
                <w:sz w:val="18"/>
                <w:szCs w:val="18"/>
                <w:color w:val="auto"/>
              </w:rPr>
              <w:t>64.4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7.6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19.4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4.8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(50.8)</w:t>
            </w:r>
          </w:p>
        </w:tc>
      </w:tr>
      <w:tr>
        <w:trPr>
          <w:trHeight w:val="27"/>
        </w:trPr>
        <w:tc>
          <w:tcPr>
            <w:tcW w:w="2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 as a % of net sales</w:t>
            </w: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97"/>
        </w:trPr>
        <w:tc>
          <w:tcPr>
            <w:tcW w:w="2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50"/>
        </w:trPr>
        <w:tc>
          <w:tcPr>
            <w:tcW w:w="20" w:type="dxa"/>
            <w:vAlign w:val="bottom"/>
          </w:tcPr>
          <w:p>
            <w:pPr>
              <w:spacing w:after="0"/>
              <w:rPr>
                <w:sz w:val="21"/>
                <w:szCs w:val="21"/>
                <w:color w:val="auto"/>
              </w:rPr>
            </w:pPr>
          </w:p>
        </w:tc>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Six Months Ended June 30, 2019</w:t>
            </w: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4440" w:type="dxa"/>
            <w:vAlign w:val="bottom"/>
          </w:tcPr>
          <w:p>
            <w:pPr>
              <w:ind w:left="20"/>
              <w:spacing w:after="0"/>
              <w:rPr>
                <w:sz w:val="20"/>
                <w:szCs w:val="20"/>
                <w:color w:val="auto"/>
              </w:rPr>
            </w:pPr>
            <w:r>
              <w:rPr>
                <w:rFonts w:ascii="Arial" w:cs="Arial" w:eastAsia="Arial" w:hAnsi="Arial"/>
                <w:sz w:val="18"/>
                <w:szCs w:val="18"/>
                <w:color w:val="auto"/>
              </w:rPr>
              <w:t>Net sales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110"/>
              <w:spacing w:after="0"/>
              <w:rPr>
                <w:sz w:val="20"/>
                <w:szCs w:val="20"/>
                <w:color w:val="auto"/>
              </w:rPr>
            </w:pPr>
            <w:r>
              <w:rPr>
                <w:rFonts w:ascii="Arial" w:cs="Arial" w:eastAsia="Arial" w:hAnsi="Arial"/>
                <w:sz w:val="18"/>
                <w:szCs w:val="18"/>
                <w:color w:val="auto"/>
              </w:rPr>
              <w:t>1,726.9</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610.2</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1,082.5</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413.6</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66.5</w:t>
            </w:r>
          </w:p>
        </w:tc>
      </w:tr>
      <w:tr>
        <w:trPr>
          <w:trHeight w:val="27"/>
        </w:trPr>
        <w:tc>
          <w:tcPr>
            <w:tcW w:w="2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w:t>
            </w: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113.7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12.5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(92.4)</w:t>
            </w:r>
          </w:p>
        </w:tc>
      </w:tr>
      <w:tr>
        <w:trPr>
          <w:trHeight w:val="243"/>
        </w:trPr>
        <w:tc>
          <w:tcPr>
            <w:tcW w:w="20" w:type="dxa"/>
            <w:vAlign w:val="bottom"/>
          </w:tcPr>
          <w:p>
            <w:pPr>
              <w:spacing w:after="0"/>
              <w:rPr>
                <w:sz w:val="21"/>
                <w:szCs w:val="21"/>
                <w:color w:val="auto"/>
              </w:rPr>
            </w:pPr>
          </w:p>
        </w:tc>
        <w:tc>
          <w:tcPr>
            <w:tcW w:w="4440" w:type="dxa"/>
            <w:vAlign w:val="bottom"/>
          </w:tcPr>
          <w:p>
            <w:pPr>
              <w:ind w:left="20"/>
              <w:spacing w:after="0"/>
              <w:rPr>
                <w:sz w:val="20"/>
                <w:szCs w:val="20"/>
                <w:color w:val="auto"/>
              </w:rPr>
            </w:pPr>
            <w:r>
              <w:rPr>
                <w:rFonts w:ascii="Arial" w:cs="Arial" w:eastAsia="Arial" w:hAnsi="Arial"/>
                <w:sz w:val="18"/>
                <w:szCs w:val="18"/>
                <w:color w:val="auto"/>
              </w:rPr>
              <w:t>Adjusted EBITDA as a % of net sales</w:t>
            </w:r>
          </w:p>
        </w:tc>
        <w:tc>
          <w:tcPr>
            <w:tcW w:w="1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2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97"/>
        </w:trPr>
        <w:tc>
          <w:tcPr>
            <w:tcW w:w="20" w:type="dxa"/>
            <w:vAlign w:val="bottom"/>
          </w:tcPr>
          <w:p>
            <w:pPr>
              <w:spacing w:after="0"/>
              <w:rPr>
                <w:sz w:val="24"/>
                <w:szCs w:val="24"/>
                <w:color w:val="auto"/>
              </w:rPr>
            </w:pPr>
          </w:p>
        </w:tc>
        <w:tc>
          <w:tcPr>
            <w:tcW w:w="44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43"/>
        </w:trPr>
        <w:tc>
          <w:tcPr>
            <w:tcW w:w="20" w:type="dxa"/>
            <w:vAlign w:val="bottom"/>
          </w:tcPr>
          <w:p>
            <w:pPr>
              <w:spacing w:after="0"/>
              <w:rPr>
                <w:sz w:val="21"/>
                <w:szCs w:val="21"/>
                <w:color w:val="auto"/>
              </w:rPr>
            </w:pPr>
          </w:p>
        </w:tc>
        <w:tc>
          <w:tcPr>
            <w:tcW w:w="4440" w:type="dxa"/>
            <w:vAlign w:val="bottom"/>
          </w:tcPr>
          <w:p>
            <w:pPr>
              <w:ind w:left="20"/>
              <w:spacing w:after="0"/>
              <w:rPr>
                <w:sz w:val="20"/>
                <w:szCs w:val="20"/>
                <w:color w:val="auto"/>
              </w:rPr>
            </w:pPr>
            <w:r>
              <w:rPr>
                <w:rFonts w:ascii="Arial" w:cs="Arial" w:eastAsia="Arial" w:hAnsi="Arial"/>
                <w:sz w:val="18"/>
                <w:szCs w:val="18"/>
                <w:b w:val="1"/>
                <w:bCs w:val="1"/>
                <w:color w:val="auto"/>
              </w:rPr>
              <w:t>Six Months Ended June 30, 2018</w:t>
            </w:r>
          </w:p>
        </w:tc>
        <w:tc>
          <w:tcPr>
            <w:tcW w:w="1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1,732.3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655.0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1,339.9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476.4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69.3</w:t>
            </w:r>
          </w:p>
        </w:tc>
      </w:tr>
      <w:tr>
        <w:trPr>
          <w:trHeight w:val="243"/>
        </w:trPr>
        <w:tc>
          <w:tcPr>
            <w:tcW w:w="20" w:type="dxa"/>
            <w:vAlign w:val="bottom"/>
          </w:tcPr>
          <w:p>
            <w:pPr>
              <w:spacing w:after="0"/>
              <w:rPr>
                <w:sz w:val="21"/>
                <w:szCs w:val="21"/>
                <w:color w:val="auto"/>
              </w:rPr>
            </w:pPr>
          </w:p>
        </w:tc>
        <w:tc>
          <w:tcPr>
            <w:tcW w:w="4440" w:type="dxa"/>
            <w:vAlign w:val="bottom"/>
          </w:tcPr>
          <w:p>
            <w:pPr>
              <w:ind w:left="20"/>
              <w:spacing w:after="0"/>
              <w:rPr>
                <w:sz w:val="20"/>
                <w:szCs w:val="20"/>
                <w:color w:val="auto"/>
              </w:rPr>
            </w:pPr>
            <w:r>
              <w:rPr>
                <w:rFonts w:ascii="Arial" w:cs="Arial" w:eastAsia="Arial" w:hAnsi="Arial"/>
                <w:sz w:val="18"/>
                <w:szCs w:val="18"/>
                <w:color w:val="auto"/>
              </w:rPr>
              <w:t>Adjusted EBITDA</w:t>
            </w:r>
          </w:p>
        </w:tc>
        <w:tc>
          <w:tcPr>
            <w:tcW w:w="180" w:type="dxa"/>
            <w:vAlign w:val="bottom"/>
          </w:tcPr>
          <w:p>
            <w:pPr>
              <w:spacing w:after="0"/>
              <w:rPr>
                <w:sz w:val="21"/>
                <w:szCs w:val="21"/>
                <w:color w:val="auto"/>
              </w:rPr>
            </w:pPr>
          </w:p>
        </w:tc>
        <w:tc>
          <w:tcPr>
            <w:tcW w:w="1140" w:type="dxa"/>
            <w:vAlign w:val="bottom"/>
          </w:tcPr>
          <w:p>
            <w:pPr>
              <w:jc w:val="right"/>
              <w:ind w:right="110"/>
              <w:spacing w:after="0"/>
              <w:rPr>
                <w:sz w:val="20"/>
                <w:szCs w:val="20"/>
                <w:color w:val="auto"/>
              </w:rPr>
            </w:pPr>
            <w:r>
              <w:rPr>
                <w:rFonts w:ascii="Arial" w:cs="Arial" w:eastAsia="Arial" w:hAnsi="Arial"/>
                <w:sz w:val="18"/>
                <w:szCs w:val="18"/>
                <w:color w:val="auto"/>
              </w:rPr>
              <w:t>118.0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00" w:type="dxa"/>
            <w:vAlign w:val="bottom"/>
          </w:tcPr>
          <w:p>
            <w:pPr>
              <w:jc w:val="right"/>
              <w:ind w:right="90"/>
              <w:spacing w:after="0"/>
              <w:rPr>
                <w:sz w:val="20"/>
                <w:szCs w:val="20"/>
                <w:color w:val="auto"/>
              </w:rPr>
            </w:pPr>
            <w:r>
              <w:rPr>
                <w:rFonts w:ascii="Arial" w:cs="Arial" w:eastAsia="Arial" w:hAnsi="Arial"/>
                <w:sz w:val="18"/>
                <w:szCs w:val="18"/>
                <w:color w:val="auto"/>
              </w:rPr>
              <w:t>11.7</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33.1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ind w:right="90"/>
              <w:spacing w:after="0"/>
              <w:rPr>
                <w:sz w:val="20"/>
                <w:szCs w:val="20"/>
                <w:color w:val="auto"/>
              </w:rPr>
            </w:pPr>
            <w:r>
              <w:rPr>
                <w:rFonts w:ascii="Arial" w:cs="Arial" w:eastAsia="Arial" w:hAnsi="Arial"/>
                <w:sz w:val="18"/>
                <w:szCs w:val="18"/>
                <w:color w:val="auto"/>
              </w:rPr>
              <w:t>11.6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(99.3)</w:t>
            </w:r>
          </w:p>
        </w:tc>
      </w:tr>
      <w:tr>
        <w:trPr>
          <w:trHeight w:val="27"/>
        </w:trPr>
        <w:tc>
          <w:tcPr>
            <w:tcW w:w="2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4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 as a % of net sales</w:t>
            </w: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20"/>
                <w:szCs w:val="20"/>
                <w:color w:val="auto"/>
              </w:rPr>
            </w:pPr>
          </w:p>
        </w:tc>
        <w:tc>
          <w:tcPr>
            <w:tcW w:w="4440" w:type="dxa"/>
            <w:vAlign w:val="bottom"/>
          </w:tcPr>
          <w:p>
            <w:pPr>
              <w:spacing w:after="0"/>
              <w:rPr>
                <w:sz w:val="20"/>
                <w:szCs w:val="20"/>
                <w:color w:val="auto"/>
              </w:rPr>
            </w:pPr>
            <w:r>
              <w:rPr>
                <w:rFonts w:ascii="Arial" w:cs="Arial" w:eastAsia="Arial" w:hAnsi="Arial"/>
                <w:sz w:val="18"/>
                <w:szCs w:val="18"/>
                <w:i w:val="1"/>
                <w:iCs w:val="1"/>
                <w:color w:val="auto"/>
              </w:rPr>
              <w:t>* - not meaningful</w:t>
            </w:r>
          </w:p>
        </w:tc>
        <w:tc>
          <w:tcPr>
            <w:tcW w:w="1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r>
    </w:tbl>
    <w:p>
      <w:pPr>
        <w:spacing w:after="0" w:line="79" w:lineRule="exact"/>
        <w:rPr>
          <w:sz w:val="20"/>
          <w:szCs w:val="20"/>
          <w:color w:val="auto"/>
        </w:rPr>
      </w:pPr>
    </w:p>
    <w:p>
      <w:pPr>
        <w:jc w:val="both"/>
        <w:ind w:right="20" w:firstLine="648"/>
        <w:spacing w:after="0" w:line="342" w:lineRule="auto"/>
        <w:rPr>
          <w:rFonts w:ascii="Arial" w:cs="Arial" w:eastAsia="Arial" w:hAnsi="Arial"/>
          <w:sz w:val="16"/>
          <w:szCs w:val="16"/>
          <w:color w:val="auto"/>
        </w:rPr>
      </w:pPr>
      <w:r>
        <w:rPr>
          <w:rFonts w:ascii="Arial" w:cs="Arial" w:eastAsia="Arial" w:hAnsi="Arial"/>
          <w:sz w:val="16"/>
          <w:szCs w:val="16"/>
          <w:color w:val="auto"/>
        </w:rPr>
        <w:t xml:space="preserve">See </w:t>
      </w:r>
      <w:hyperlink w:anchor="page28">
        <w:r>
          <w:rPr>
            <w:rFonts w:ascii="Arial" w:cs="Arial" w:eastAsia="Arial" w:hAnsi="Arial"/>
            <w:sz w:val="16"/>
            <w:szCs w:val="16"/>
            <w:u w:val="single" w:color="auto"/>
            <w:color w:val="0000EE"/>
          </w:rPr>
          <w:t>Note 13</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of the Notes to Condensed Consolidated Financial Statements for additional information related to Adjusted EBITDA, including a reconciliation of loss before income taxes as reflected in the Condensed Consolidated Statements of Operations to Adjusted EBITDA for reportable segments.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Packaging</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selected data for the Packaging segment:</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300" w:type="dxa"/>
            <w:vAlign w:val="bottom"/>
            <w:gridSpan w:val="5"/>
          </w:tcPr>
          <w:p>
            <w:pPr>
              <w:ind w:left="20"/>
              <w:spacing w:after="0"/>
              <w:rPr>
                <w:sz w:val="20"/>
                <w:szCs w:val="20"/>
                <w:color w:val="auto"/>
              </w:rPr>
            </w:pPr>
            <w:r>
              <w:rPr>
                <w:rFonts w:ascii="Arial" w:cs="Arial" w:eastAsia="Arial" w:hAnsi="Arial"/>
                <w:sz w:val="18"/>
                <w:szCs w:val="18"/>
                <w:b w:val="1"/>
                <w:bCs w:val="1"/>
                <w:color w:val="auto"/>
              </w:rPr>
              <w:t>Three Months Ended June</w:t>
            </w: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80" w:type="dxa"/>
            <w:vAlign w:val="bottom"/>
          </w:tcPr>
          <w:p>
            <w:pPr>
              <w:spacing w:after="0"/>
              <w:rPr>
                <w:sz w:val="18"/>
                <w:szCs w:val="18"/>
                <w:color w:val="auto"/>
              </w:rPr>
            </w:pPr>
          </w:p>
        </w:tc>
      </w:tr>
      <w:tr>
        <w:trPr>
          <w:trHeight w:val="234"/>
        </w:trPr>
        <w:tc>
          <w:tcPr>
            <w:tcW w:w="23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3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w w:val="87"/>
              </w:rPr>
              <w:t>30,</w:t>
            </w: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80" w:type="dxa"/>
            <w:vAlign w:val="bottom"/>
            <w:gridSpan w:val="3"/>
          </w:tcPr>
          <w:p>
            <w:pPr>
              <w:ind w:left="100"/>
              <w:spacing w:after="0"/>
              <w:rPr>
                <w:sz w:val="20"/>
                <w:szCs w:val="20"/>
                <w:color w:val="auto"/>
              </w:rPr>
            </w:pPr>
            <w:r>
              <w:rPr>
                <w:rFonts w:ascii="Arial" w:cs="Arial" w:eastAsia="Arial" w:hAnsi="Arial"/>
                <w:sz w:val="18"/>
                <w:szCs w:val="18"/>
                <w:b w:val="1"/>
                <w:bCs w:val="1"/>
                <w:color w:val="auto"/>
              </w:rPr>
              <w:t>Increase (Decrease)</w:t>
            </w:r>
          </w:p>
        </w:tc>
        <w:tc>
          <w:tcPr>
            <w:tcW w:w="2400" w:type="dxa"/>
            <w:vAlign w:val="bottom"/>
            <w:gridSpan w:val="4"/>
          </w:tcPr>
          <w:p>
            <w:pPr>
              <w:ind w:left="100"/>
              <w:spacing w:after="0"/>
              <w:rPr>
                <w:sz w:val="20"/>
                <w:szCs w:val="20"/>
                <w:color w:val="auto"/>
              </w:rPr>
            </w:pPr>
            <w:r>
              <w:rPr>
                <w:rFonts w:ascii="Arial" w:cs="Arial" w:eastAsia="Arial" w:hAnsi="Arial"/>
                <w:sz w:val="18"/>
                <w:szCs w:val="18"/>
                <w:b w:val="1"/>
                <w:bCs w:val="1"/>
                <w:color w:val="auto"/>
                <w:w w:val="97"/>
              </w:rPr>
              <w:t>Six Months Ended June 30,</w:t>
            </w:r>
          </w:p>
        </w:tc>
        <w:tc>
          <w:tcPr>
            <w:tcW w:w="220" w:type="dxa"/>
            <w:vAlign w:val="bottom"/>
          </w:tcPr>
          <w:p>
            <w:pPr>
              <w:spacing w:after="0"/>
              <w:rPr>
                <w:sz w:val="20"/>
                <w:szCs w:val="20"/>
                <w:color w:val="auto"/>
              </w:rPr>
            </w:pPr>
          </w:p>
        </w:tc>
        <w:tc>
          <w:tcPr>
            <w:tcW w:w="186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w w:val="91"/>
              </w:rPr>
              <w:t>Increase (Decrease)</w:t>
            </w:r>
          </w:p>
        </w:tc>
      </w:tr>
      <w:tr>
        <w:trPr>
          <w:trHeight w:val="27"/>
        </w:trPr>
        <w:tc>
          <w:tcPr>
            <w:tcW w:w="23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232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140" w:type="dxa"/>
            <w:vAlign w:val="bottom"/>
          </w:tcPr>
          <w:p>
            <w:pPr>
              <w:spacing w:after="0"/>
              <w:rPr>
                <w:sz w:val="20"/>
                <w:szCs w:val="20"/>
                <w:color w:val="auto"/>
              </w:rPr>
            </w:pPr>
          </w:p>
        </w:tc>
        <w:tc>
          <w:tcPr>
            <w:tcW w:w="92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610"/>
              <w:spacing w:after="0"/>
              <w:rPr>
                <w:sz w:val="20"/>
                <w:szCs w:val="20"/>
                <w:color w:val="auto"/>
              </w:rPr>
            </w:pPr>
            <w:r>
              <w:rPr>
                <w:rFonts w:ascii="Arial" w:cs="Arial" w:eastAsia="Arial" w:hAnsi="Arial"/>
                <w:sz w:val="18"/>
                <w:szCs w:val="18"/>
                <w:b w:val="1"/>
                <w:bCs w:val="1"/>
                <w:color w:val="auto"/>
              </w:rPr>
              <w:t>$</w:t>
            </w:r>
          </w:p>
        </w:tc>
        <w:tc>
          <w:tcPr>
            <w:tcW w:w="820" w:type="dxa"/>
            <w:vAlign w:val="bottom"/>
          </w:tcPr>
          <w:p>
            <w:pPr>
              <w:jc w:val="right"/>
              <w:ind w:right="35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100" w:type="dxa"/>
            <w:vAlign w:val="bottom"/>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100" w:type="dxa"/>
            <w:vAlign w:val="bottom"/>
          </w:tcPr>
          <w:p>
            <w:pPr>
              <w:jc w:val="right"/>
              <w:ind w:right="2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jc w:val="right"/>
              <w:ind w:right="570"/>
              <w:spacing w:after="0"/>
              <w:rPr>
                <w:sz w:val="20"/>
                <w:szCs w:val="20"/>
                <w:color w:val="auto"/>
              </w:rPr>
            </w:pPr>
            <w:r>
              <w:rPr>
                <w:rFonts w:ascii="Arial" w:cs="Arial" w:eastAsia="Arial" w:hAnsi="Arial"/>
                <w:sz w:val="18"/>
                <w:szCs w:val="18"/>
                <w:b w:val="1"/>
                <w:bCs w:val="1"/>
                <w:color w:val="auto"/>
              </w:rPr>
              <w:t>$</w:t>
            </w:r>
          </w:p>
        </w:tc>
        <w:tc>
          <w:tcPr>
            <w:tcW w:w="880" w:type="dxa"/>
            <w:vAlign w:val="bottom"/>
          </w:tcPr>
          <w:p>
            <w:pPr>
              <w:jc w:val="right"/>
              <w:ind w:right="370"/>
              <w:spacing w:after="0"/>
              <w:rPr>
                <w:sz w:val="20"/>
                <w:szCs w:val="20"/>
                <w:color w:val="auto"/>
              </w:rPr>
            </w:pPr>
            <w:r>
              <w:rPr>
                <w:rFonts w:ascii="Arial" w:cs="Arial" w:eastAsia="Arial" w:hAnsi="Arial"/>
                <w:sz w:val="18"/>
                <w:szCs w:val="18"/>
                <w:b w:val="1"/>
                <w:bCs w:val="1"/>
                <w:color w:val="auto"/>
              </w:rPr>
              <w:t>%</w:t>
            </w:r>
          </w:p>
        </w:tc>
      </w:tr>
      <w:tr>
        <w:trPr>
          <w:trHeight w:val="27"/>
        </w:trPr>
        <w:tc>
          <w:tcPr>
            <w:tcW w:w="23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44"/>
        </w:trPr>
        <w:tc>
          <w:tcPr>
            <w:tcW w:w="2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881.5</w:t>
            </w:r>
          </w:p>
        </w:tc>
        <w:tc>
          <w:tcPr>
            <w:tcW w:w="3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887.1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(5.6)</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   1,726.9</w:t>
            </w: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   1,732.3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(5.4)</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r>
      <w:tr>
        <w:trPr>
          <w:trHeight w:val="243"/>
        </w:trPr>
        <w:tc>
          <w:tcPr>
            <w:tcW w:w="2320" w:type="dxa"/>
            <w:vAlign w:val="bottom"/>
          </w:tcPr>
          <w:p>
            <w:pPr>
              <w:ind w:left="40"/>
              <w:spacing w:after="0"/>
              <w:rPr>
                <w:sz w:val="20"/>
                <w:szCs w:val="20"/>
                <w:color w:val="auto"/>
              </w:rPr>
            </w:pPr>
            <w:r>
              <w:rPr>
                <w:rFonts w:ascii="Arial" w:cs="Arial" w:eastAsia="Arial" w:hAnsi="Arial"/>
                <w:sz w:val="18"/>
                <w:szCs w:val="18"/>
                <w:color w:val="auto"/>
              </w:rPr>
              <w:t>Adjusted EBITDA</w:t>
            </w:r>
          </w:p>
        </w:tc>
        <w:tc>
          <w:tcPr>
            <w:tcW w:w="140" w:type="dxa"/>
            <w:vAlign w:val="bottom"/>
          </w:tcPr>
          <w:p>
            <w:pPr>
              <w:spacing w:after="0"/>
              <w:rPr>
                <w:sz w:val="21"/>
                <w:szCs w:val="21"/>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65.5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110"/>
              <w:spacing w:after="0"/>
              <w:rPr>
                <w:sz w:val="20"/>
                <w:szCs w:val="20"/>
                <w:color w:val="auto"/>
              </w:rPr>
            </w:pPr>
            <w:r>
              <w:rPr>
                <w:rFonts w:ascii="Arial" w:cs="Arial" w:eastAsia="Arial" w:hAnsi="Arial"/>
                <w:sz w:val="18"/>
                <w:szCs w:val="18"/>
                <w:color w:val="auto"/>
              </w:rPr>
              <w:t>64.4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290"/>
              <w:spacing w:after="0"/>
              <w:rPr>
                <w:sz w:val="20"/>
                <w:szCs w:val="20"/>
                <w:color w:val="auto"/>
              </w:rPr>
            </w:pPr>
            <w:r>
              <w:rPr>
                <w:rFonts w:ascii="Arial" w:cs="Arial" w:eastAsia="Arial" w:hAnsi="Arial"/>
                <w:sz w:val="18"/>
                <w:szCs w:val="18"/>
                <w:color w:val="auto"/>
              </w:rPr>
              <w:t>1.1</w:t>
            </w:r>
          </w:p>
        </w:tc>
        <w:tc>
          <w:tcPr>
            <w:tcW w:w="820" w:type="dxa"/>
            <w:vAlign w:val="bottom"/>
          </w:tcPr>
          <w:p>
            <w:pPr>
              <w:jc w:val="right"/>
              <w:spacing w:after="0"/>
              <w:rPr>
                <w:sz w:val="20"/>
                <w:szCs w:val="20"/>
                <w:color w:val="auto"/>
              </w:rPr>
            </w:pPr>
            <w:r>
              <w:rPr>
                <w:rFonts w:ascii="Arial" w:cs="Arial" w:eastAsia="Arial" w:hAnsi="Arial"/>
                <w:sz w:val="18"/>
                <w:szCs w:val="18"/>
                <w:color w:val="auto"/>
              </w:rPr>
              <w:t>1.7 %</w:t>
            </w:r>
          </w:p>
        </w:tc>
        <w:tc>
          <w:tcPr>
            <w:tcW w:w="120" w:type="dxa"/>
            <w:vAlign w:val="bottom"/>
          </w:tcPr>
          <w:p>
            <w:pPr>
              <w:spacing w:after="0"/>
              <w:rPr>
                <w:sz w:val="21"/>
                <w:szCs w:val="21"/>
                <w:color w:val="auto"/>
              </w:rPr>
            </w:pPr>
          </w:p>
        </w:tc>
        <w:tc>
          <w:tcPr>
            <w:tcW w:w="1100" w:type="dxa"/>
            <w:vAlign w:val="bottom"/>
          </w:tcPr>
          <w:p>
            <w:pPr>
              <w:jc w:val="right"/>
              <w:ind w:right="110"/>
              <w:spacing w:after="0"/>
              <w:rPr>
                <w:sz w:val="20"/>
                <w:szCs w:val="20"/>
                <w:color w:val="auto"/>
              </w:rPr>
            </w:pPr>
            <w:r>
              <w:rPr>
                <w:rFonts w:ascii="Arial" w:cs="Arial" w:eastAsia="Arial" w:hAnsi="Arial"/>
                <w:sz w:val="18"/>
                <w:szCs w:val="18"/>
                <w:color w:val="auto"/>
              </w:rPr>
              <w:t>113.7</w:t>
            </w:r>
          </w:p>
        </w:tc>
        <w:tc>
          <w:tcPr>
            <w:tcW w:w="100" w:type="dxa"/>
            <w:vAlign w:val="bottom"/>
          </w:tcPr>
          <w:p>
            <w:pPr>
              <w:spacing w:after="0"/>
              <w:rPr>
                <w:sz w:val="21"/>
                <w:szCs w:val="21"/>
                <w:color w:val="auto"/>
              </w:rPr>
            </w:pPr>
          </w:p>
        </w:tc>
        <w:tc>
          <w:tcPr>
            <w:tcW w:w="1100" w:type="dxa"/>
            <w:vAlign w:val="bottom"/>
          </w:tcPr>
          <w:p>
            <w:pPr>
              <w:jc w:val="right"/>
              <w:ind w:right="110"/>
              <w:spacing w:after="0"/>
              <w:rPr>
                <w:sz w:val="20"/>
                <w:szCs w:val="20"/>
                <w:color w:val="auto"/>
              </w:rPr>
            </w:pPr>
            <w:r>
              <w:rPr>
                <w:rFonts w:ascii="Arial" w:cs="Arial" w:eastAsia="Arial" w:hAnsi="Arial"/>
                <w:sz w:val="18"/>
                <w:szCs w:val="18"/>
                <w:color w:val="auto"/>
              </w:rPr>
              <w:t>118.0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(4.3)</w:t>
            </w:r>
          </w:p>
        </w:tc>
        <w:tc>
          <w:tcPr>
            <w:tcW w:w="88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7"/>
        </w:trPr>
        <w:tc>
          <w:tcPr>
            <w:tcW w:w="2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29"/>
        </w:trPr>
        <w:tc>
          <w:tcPr>
            <w:tcW w:w="2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Adjusted EBITDA as a % of</w:t>
            </w: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r>
      <w:tr>
        <w:trPr>
          <w:trHeight w:val="237"/>
        </w:trPr>
        <w:tc>
          <w:tcPr>
            <w:tcW w:w="2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sales</w:t>
            </w:r>
          </w:p>
        </w:tc>
        <w:tc>
          <w:tcPr>
            <w:tcW w:w="14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r>
      <w:tr>
        <w:trPr>
          <w:trHeight w:val="675"/>
        </w:trPr>
        <w:tc>
          <w:tcPr>
            <w:tcW w:w="2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33</w:t>
            </w: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8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the components of the net sales change compared to the prior year:</w:t>
      </w:r>
    </w:p>
    <w:p>
      <w:pPr>
        <w:spacing w:after="0" w:line="167" w:lineRule="exact"/>
        <w:rPr>
          <w:sz w:val="20"/>
          <w:szCs w:val="20"/>
          <w:color w:val="auto"/>
        </w:rPr>
      </w:pPr>
    </w:p>
    <w:tbl>
      <w:tblPr>
        <w:tblLayout w:type="fixed"/>
        <w:tblInd w:w="1460" w:type="dxa"/>
        <w:tblCellMar>
          <w:top w:w="0" w:type="dxa"/>
          <w:left w:w="0" w:type="dxa"/>
          <w:bottom w:w="0" w:type="dxa"/>
          <w:right w:w="0" w:type="dxa"/>
        </w:tblCellMar>
      </w:tblP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40" w:type="dxa"/>
            <w:vAlign w:val="bottom"/>
            <w:gridSpan w:val="4"/>
          </w:tcPr>
          <w:p>
            <w:pPr>
              <w:jc w:val="right"/>
              <w:ind w:right="1490"/>
              <w:spacing w:after="0"/>
              <w:rPr>
                <w:sz w:val="20"/>
                <w:szCs w:val="20"/>
                <w:color w:val="auto"/>
              </w:rPr>
            </w:pPr>
            <w:r>
              <w:rPr>
                <w:rFonts w:ascii="Arial" w:cs="Arial" w:eastAsia="Arial" w:hAnsi="Arial"/>
                <w:sz w:val="18"/>
                <w:szCs w:val="18"/>
                <w:b w:val="1"/>
                <w:bCs w:val="1"/>
                <w:color w:val="auto"/>
              </w:rPr>
              <w:t>Increase (Decrease)</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18"/>
        </w:trPr>
        <w:tc>
          <w:tcPr>
            <w:tcW w:w="3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8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2"/>
              </w:rPr>
              <w:t>Three Months Ended</w:t>
            </w:r>
          </w:p>
        </w:tc>
        <w:tc>
          <w:tcPr>
            <w:tcW w:w="240" w:type="dxa"/>
            <w:vAlign w:val="bottom"/>
          </w:tcPr>
          <w:p>
            <w:pPr>
              <w:spacing w:after="0"/>
              <w:rPr>
                <w:sz w:val="18"/>
                <w:szCs w:val="18"/>
                <w:color w:val="auto"/>
              </w:rPr>
            </w:pPr>
          </w:p>
        </w:tc>
        <w:tc>
          <w:tcPr>
            <w:tcW w:w="1920" w:type="dxa"/>
            <w:vAlign w:val="bottom"/>
          </w:tcPr>
          <w:p>
            <w:pPr>
              <w:jc w:val="right"/>
              <w:ind w:right="310"/>
              <w:spacing w:after="0"/>
              <w:rPr>
                <w:sz w:val="20"/>
                <w:szCs w:val="20"/>
                <w:color w:val="auto"/>
              </w:rPr>
            </w:pPr>
            <w:r>
              <w:rPr>
                <w:rFonts w:ascii="Arial" w:cs="Arial" w:eastAsia="Arial" w:hAnsi="Arial"/>
                <w:sz w:val="18"/>
                <w:szCs w:val="18"/>
                <w:b w:val="1"/>
                <w:bCs w:val="1"/>
                <w:color w:val="auto"/>
                <w:w w:val="96"/>
              </w:rPr>
              <w:t>Six Months Ended</w:t>
            </w:r>
          </w:p>
        </w:tc>
      </w:t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80" w:type="dxa"/>
            <w:vAlign w:val="bottom"/>
            <w:gridSpan w:val="2"/>
          </w:tcPr>
          <w:p>
            <w:pPr>
              <w:ind w:left="680"/>
              <w:spacing w:after="0"/>
              <w:rPr>
                <w:sz w:val="20"/>
                <w:szCs w:val="20"/>
                <w:color w:val="auto"/>
              </w:rPr>
            </w:pPr>
            <w:r>
              <w:rPr>
                <w:rFonts w:ascii="Arial" w:cs="Arial" w:eastAsia="Arial" w:hAnsi="Arial"/>
                <w:sz w:val="18"/>
                <w:szCs w:val="18"/>
                <w:b w:val="1"/>
                <w:bCs w:val="1"/>
                <w:color w:val="auto"/>
              </w:rPr>
              <w:t>June 30,</w:t>
            </w:r>
          </w:p>
        </w:tc>
        <w:tc>
          <w:tcPr>
            <w:tcW w:w="240" w:type="dxa"/>
            <w:vAlign w:val="bottom"/>
          </w:tcPr>
          <w:p>
            <w:pPr>
              <w:spacing w:after="0"/>
              <w:rPr>
                <w:sz w:val="20"/>
                <w:szCs w:val="20"/>
                <w:color w:val="auto"/>
              </w:rPr>
            </w:pPr>
          </w:p>
        </w:tc>
        <w:tc>
          <w:tcPr>
            <w:tcW w:w="1920" w:type="dxa"/>
            <w:vAlign w:val="bottom"/>
          </w:tcPr>
          <w:p>
            <w:pPr>
              <w:jc w:val="right"/>
              <w:ind w:right="650"/>
              <w:spacing w:after="0"/>
              <w:rPr>
                <w:sz w:val="20"/>
                <w:szCs w:val="20"/>
                <w:color w:val="auto"/>
              </w:rPr>
            </w:pPr>
            <w:r>
              <w:rPr>
                <w:rFonts w:ascii="Arial" w:cs="Arial" w:eastAsia="Arial" w:hAnsi="Arial"/>
                <w:sz w:val="18"/>
                <w:szCs w:val="18"/>
                <w:b w:val="1"/>
                <w:bCs w:val="1"/>
                <w:color w:val="auto"/>
              </w:rPr>
              <w:t>June 30,</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37"/>
        </w:trPr>
        <w:tc>
          <w:tcPr>
            <w:tcW w:w="386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2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2019 vs. 2018</w:t>
            </w:r>
          </w:p>
        </w:tc>
        <w:tc>
          <w:tcPr>
            <w:tcW w:w="240" w:type="dxa"/>
            <w:vAlign w:val="bottom"/>
          </w:tcPr>
          <w:p>
            <w:pPr>
              <w:spacing w:after="0"/>
              <w:rPr>
                <w:sz w:val="20"/>
                <w:szCs w:val="20"/>
                <w:color w:val="auto"/>
              </w:rPr>
            </w:pPr>
          </w:p>
        </w:tc>
        <w:tc>
          <w:tcPr>
            <w:tcW w:w="1920" w:type="dxa"/>
            <w:vAlign w:val="bottom"/>
          </w:tcPr>
          <w:p>
            <w:pPr>
              <w:jc w:val="right"/>
              <w:ind w:right="490"/>
              <w:spacing w:after="0"/>
              <w:rPr>
                <w:sz w:val="20"/>
                <w:szCs w:val="20"/>
                <w:color w:val="auto"/>
              </w:rPr>
            </w:pPr>
            <w:r>
              <w:rPr>
                <w:rFonts w:ascii="Arial" w:cs="Arial" w:eastAsia="Arial" w:hAnsi="Arial"/>
                <w:sz w:val="18"/>
                <w:szCs w:val="18"/>
                <w:b w:val="1"/>
                <w:bCs w:val="1"/>
                <w:color w:val="auto"/>
              </w:rPr>
              <w:t>2019 vs. 2018</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44"/>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Volume</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2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w:t>
            </w:r>
          </w:p>
        </w:tc>
      </w:tr>
      <w:tr>
        <w:trPr>
          <w:trHeight w:val="243"/>
        </w:trPr>
        <w:tc>
          <w:tcPr>
            <w:tcW w:w="3860" w:type="dxa"/>
            <w:vAlign w:val="bottom"/>
          </w:tcPr>
          <w:p>
            <w:pPr>
              <w:ind w:left="20"/>
              <w:spacing w:after="0"/>
              <w:rPr>
                <w:sz w:val="20"/>
                <w:szCs w:val="20"/>
                <w:color w:val="auto"/>
              </w:rPr>
            </w:pPr>
            <w:r>
              <w:rPr>
                <w:rFonts w:ascii="Arial" w:cs="Arial" w:eastAsia="Arial" w:hAnsi="Arial"/>
                <w:sz w:val="18"/>
                <w:szCs w:val="18"/>
                <w:color w:val="auto"/>
              </w:rPr>
              <w:t>Foreign currency</w:t>
            </w:r>
          </w:p>
        </w:tc>
        <w:tc>
          <w:tcPr>
            <w:tcW w:w="220" w:type="dxa"/>
            <w:vAlign w:val="bottom"/>
          </w:tcPr>
          <w:p>
            <w:pPr>
              <w:spacing w:after="0"/>
              <w:rPr>
                <w:sz w:val="21"/>
                <w:szCs w:val="21"/>
                <w:color w:val="auto"/>
              </w:rPr>
            </w:pPr>
          </w:p>
        </w:tc>
        <w:tc>
          <w:tcPr>
            <w:tcW w:w="2180" w:type="dxa"/>
            <w:vAlign w:val="bottom"/>
          </w:tcPr>
          <w:p>
            <w:pPr>
              <w:jc w:val="right"/>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Price/Mix</w:t>
            </w:r>
          </w:p>
        </w:tc>
        <w:tc>
          <w:tcPr>
            <w:tcW w:w="220" w:type="dxa"/>
            <w:vAlign w:val="bottom"/>
            <w:tcBorders>
              <w:bottom w:val="single" w:sz="8" w:color="CCEEFF"/>
            </w:tcBorders>
            <w:shd w:val="clear" w:color="auto" w:fill="CCEEFF"/>
          </w:tcPr>
          <w:p>
            <w:pPr>
              <w:spacing w:after="0"/>
              <w:rPr>
                <w:sz w:val="23"/>
                <w:szCs w:val="23"/>
                <w:color w:val="auto"/>
              </w:rPr>
            </w:pPr>
          </w:p>
        </w:tc>
        <w:tc>
          <w:tcPr>
            <w:tcW w:w="2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w:t>
            </w:r>
          </w:p>
        </w:tc>
      </w:tr>
      <w:tr>
        <w:trPr>
          <w:trHeight w:val="257"/>
        </w:trPr>
        <w:tc>
          <w:tcPr>
            <w:tcW w:w="3860" w:type="dxa"/>
            <w:vAlign w:val="bottom"/>
          </w:tcPr>
          <w:p>
            <w:pPr>
              <w:ind w:left="20"/>
              <w:spacing w:after="0"/>
              <w:rPr>
                <w:sz w:val="20"/>
                <w:szCs w:val="20"/>
                <w:color w:val="auto"/>
              </w:rPr>
            </w:pPr>
            <w:r>
              <w:rPr>
                <w:rFonts w:ascii="Arial" w:cs="Arial" w:eastAsia="Arial" w:hAnsi="Arial"/>
                <w:sz w:val="18"/>
                <w:szCs w:val="18"/>
                <w:color w:val="auto"/>
              </w:rPr>
              <w:t>Total change</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2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w:t>
            </w: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Three Months Ended June 30, 2019 and June 30, 2018</w:t>
      </w:r>
    </w:p>
    <w:p>
      <w:pPr>
        <w:spacing w:after="0" w:line="225" w:lineRule="exact"/>
        <w:rPr>
          <w:sz w:val="20"/>
          <w:szCs w:val="20"/>
          <w:color w:val="auto"/>
        </w:rPr>
      </w:pPr>
    </w:p>
    <w:p>
      <w:pPr>
        <w:ind w:right="280" w:firstLine="648"/>
        <w:spacing w:after="0" w:line="308" w:lineRule="auto"/>
        <w:rPr>
          <w:sz w:val="20"/>
          <w:szCs w:val="20"/>
          <w:color w:val="auto"/>
        </w:rPr>
      </w:pPr>
      <w:r>
        <w:rPr>
          <w:rFonts w:ascii="Arial" w:cs="Arial" w:eastAsia="Arial" w:hAnsi="Arial"/>
          <w:sz w:val="17"/>
          <w:szCs w:val="17"/>
          <w:color w:val="auto"/>
        </w:rPr>
        <w:t>Net sales decreased $5.6 million, or 0.6%, as compared to the same period in 2018. The net sales decrease was primarily attributable to decreased sales of corrugated products, food packaging products and films, partially offset by increased sales of rigid packaging products.</w:t>
      </w:r>
    </w:p>
    <w:p>
      <w:pPr>
        <w:spacing w:after="0" w:line="160" w:lineRule="exact"/>
        <w:rPr>
          <w:sz w:val="20"/>
          <w:szCs w:val="20"/>
          <w:color w:val="auto"/>
        </w:rPr>
      </w:pPr>
    </w:p>
    <w:p>
      <w:pPr>
        <w:ind w:firstLine="648"/>
        <w:spacing w:after="0" w:line="270" w:lineRule="auto"/>
        <w:rPr>
          <w:sz w:val="20"/>
          <w:szCs w:val="20"/>
          <w:color w:val="auto"/>
        </w:rPr>
      </w:pPr>
      <w:r>
        <w:rPr>
          <w:rFonts w:ascii="Arial" w:cs="Arial" w:eastAsia="Arial" w:hAnsi="Arial"/>
          <w:sz w:val="18"/>
          <w:szCs w:val="18"/>
          <w:color w:val="auto"/>
        </w:rPr>
        <w:t>Adjusted EBITDA increased $1.1 million, or 1.7%, as compared to the same period in 2018. The increase in Adjusted EBITDA was primarily attributable to cost of products sold decreasing at a faster rate than net sales, partially offset by (i) a $3.7 million increase in selling and administrative expenses, (ii) a $2.3 million increase in distribution expenses and (iii) a slight decline in net sales. The increase in selling and administrative expenses was primarily driven by a $3.3 million increase in personnel expenses associated with increased headcount to support the Company's Packaging growth strategy. The increase in distribution expenses was primarily due to an increase in facility rent related to replacing certain property leases, previously treated as financing arrangements (expenses included in depreciation and amortization and interest expense, net) with operating leases (expenses included in distribution expense).</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Six Months Ended June 30, 2019 and June 30, 2018</w:t>
      </w:r>
    </w:p>
    <w:p>
      <w:pPr>
        <w:spacing w:after="0" w:line="225" w:lineRule="exact"/>
        <w:rPr>
          <w:sz w:val="20"/>
          <w:szCs w:val="20"/>
          <w:color w:val="auto"/>
        </w:rPr>
      </w:pPr>
    </w:p>
    <w:p>
      <w:pPr>
        <w:jc w:val="both"/>
        <w:ind w:right="280" w:firstLine="648"/>
        <w:spacing w:after="0" w:line="286" w:lineRule="auto"/>
        <w:rPr>
          <w:sz w:val="20"/>
          <w:szCs w:val="20"/>
          <w:color w:val="auto"/>
        </w:rPr>
      </w:pPr>
      <w:r>
        <w:rPr>
          <w:rFonts w:ascii="Arial" w:cs="Arial" w:eastAsia="Arial" w:hAnsi="Arial"/>
          <w:sz w:val="17"/>
          <w:szCs w:val="17"/>
          <w:color w:val="auto"/>
        </w:rPr>
        <w:t>Net sales decreased $5.4 million, or 0.3%, as compared to the same period in 2018. The net sales decrease was primarily attributable to decreased sales of corrugated products, food packaging products and films, partially offset by increased sales of rigid packaging products. Net sales were negatively impacted by the Company's non-U.S. businesses primarily due to the timing of certain customer programs.</w:t>
      </w:r>
    </w:p>
    <w:p>
      <w:pPr>
        <w:spacing w:after="0" w:line="179" w:lineRule="exact"/>
        <w:rPr>
          <w:sz w:val="20"/>
          <w:szCs w:val="20"/>
          <w:color w:val="auto"/>
        </w:rPr>
      </w:pPr>
    </w:p>
    <w:p>
      <w:pPr>
        <w:ind w:right="40" w:firstLine="648"/>
        <w:spacing w:after="0" w:line="270" w:lineRule="auto"/>
        <w:rPr>
          <w:sz w:val="20"/>
          <w:szCs w:val="20"/>
          <w:color w:val="auto"/>
        </w:rPr>
      </w:pPr>
      <w:r>
        <w:rPr>
          <w:rFonts w:ascii="Arial" w:cs="Arial" w:eastAsia="Arial" w:hAnsi="Arial"/>
          <w:sz w:val="18"/>
          <w:szCs w:val="18"/>
          <w:color w:val="auto"/>
        </w:rPr>
        <w:t>Adjusted EBITDA decreased $4.3 million, or 3.6%, as compared to the same period in 2018. The decrease in Adjusted EBITDA was primarily attributable to (i) a $7.4 million increase in selling and administrative expenses, (ii) a $5.1 million increase in distribution expenses and (iii) a slight decline in net sales, partially offset by cost of products sold decreasing at a faster rate than net sales. The increase in selling and administrative expenses was primarily driven by a $6.4 million increase in personnel expenses associated with increased headcount to support the Company's Packaging growth strategy. The increase in distribution expenses was primarily due to an increase in facility rent related to replacing certain property leases, previously treated as financing arrangements (expenses included in depreciation and amortization and interest expense, net) with operating leases (expenses included in distribution expense).</w:t>
      </w:r>
    </w:p>
    <w:p>
      <w:pPr>
        <w:spacing w:after="0" w:line="3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Facility Solutions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selected data for the Facility Solutions segment:</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320" w:type="dxa"/>
            <w:vAlign w:val="bottom"/>
          </w:tcPr>
          <w:p>
            <w:pPr>
              <w:spacing w:after="0"/>
              <w:rPr>
                <w:sz w:val="20"/>
                <w:szCs w:val="20"/>
                <w:color w:val="auto"/>
              </w:rPr>
            </w:pPr>
          </w:p>
        </w:tc>
        <w:tc>
          <w:tcPr>
            <w:tcW w:w="2460" w:type="dxa"/>
            <w:vAlign w:val="bottom"/>
            <w:gridSpan w:val="6"/>
          </w:tcPr>
          <w:p>
            <w:pPr>
              <w:ind w:left="20"/>
              <w:spacing w:after="0"/>
              <w:rPr>
                <w:sz w:val="20"/>
                <w:szCs w:val="20"/>
                <w:color w:val="auto"/>
              </w:rPr>
            </w:pPr>
            <w:r>
              <w:rPr>
                <w:rFonts w:ascii="Arial" w:cs="Arial" w:eastAsia="Arial" w:hAnsi="Arial"/>
                <w:sz w:val="18"/>
                <w:szCs w:val="18"/>
                <w:b w:val="1"/>
                <w:bCs w:val="1"/>
                <w:color w:val="auto"/>
                <w:w w:val="94"/>
              </w:rPr>
              <w:t>Three Months Ended June 30,</w:t>
            </w:r>
          </w:p>
        </w:tc>
        <w:tc>
          <w:tcPr>
            <w:tcW w:w="200" w:type="dxa"/>
            <w:vAlign w:val="bottom"/>
          </w:tcPr>
          <w:p>
            <w:pPr>
              <w:spacing w:after="0"/>
              <w:rPr>
                <w:sz w:val="20"/>
                <w:szCs w:val="20"/>
                <w:color w:val="auto"/>
              </w:rPr>
            </w:pPr>
          </w:p>
        </w:tc>
        <w:tc>
          <w:tcPr>
            <w:tcW w:w="1980" w:type="dxa"/>
            <w:vAlign w:val="bottom"/>
            <w:gridSpan w:val="3"/>
          </w:tcPr>
          <w:p>
            <w:pPr>
              <w:ind w:left="100"/>
              <w:spacing w:after="0"/>
              <w:rPr>
                <w:sz w:val="20"/>
                <w:szCs w:val="20"/>
                <w:color w:val="auto"/>
              </w:rPr>
            </w:pPr>
            <w:r>
              <w:rPr>
                <w:rFonts w:ascii="Arial" w:cs="Arial" w:eastAsia="Arial" w:hAnsi="Arial"/>
                <w:sz w:val="18"/>
                <w:szCs w:val="18"/>
                <w:b w:val="1"/>
                <w:bCs w:val="1"/>
                <w:color w:val="auto"/>
              </w:rPr>
              <w:t>Increase (Decrease)</w:t>
            </w:r>
          </w:p>
        </w:tc>
        <w:tc>
          <w:tcPr>
            <w:tcW w:w="2380" w:type="dxa"/>
            <w:vAlign w:val="bottom"/>
            <w:gridSpan w:val="6"/>
          </w:tcPr>
          <w:p>
            <w:pPr>
              <w:ind w:left="100"/>
              <w:spacing w:after="0"/>
              <w:rPr>
                <w:sz w:val="20"/>
                <w:szCs w:val="20"/>
                <w:color w:val="auto"/>
              </w:rPr>
            </w:pPr>
            <w:r>
              <w:rPr>
                <w:rFonts w:ascii="Arial" w:cs="Arial" w:eastAsia="Arial" w:hAnsi="Arial"/>
                <w:sz w:val="18"/>
                <w:szCs w:val="18"/>
                <w:b w:val="1"/>
                <w:bCs w:val="1"/>
                <w:color w:val="auto"/>
                <w:w w:val="96"/>
              </w:rPr>
              <w:t>Six Months Ended June 30,</w:t>
            </w:r>
          </w:p>
        </w:tc>
        <w:tc>
          <w:tcPr>
            <w:tcW w:w="220" w:type="dxa"/>
            <w:vAlign w:val="bottom"/>
          </w:tcPr>
          <w:p>
            <w:pPr>
              <w:spacing w:after="0"/>
              <w:rPr>
                <w:sz w:val="20"/>
                <w:szCs w:val="20"/>
                <w:color w:val="auto"/>
              </w:rPr>
            </w:pPr>
          </w:p>
        </w:tc>
        <w:tc>
          <w:tcPr>
            <w:tcW w:w="1860" w:type="dxa"/>
            <w:vAlign w:val="bottom"/>
            <w:gridSpan w:val="2"/>
          </w:tcPr>
          <w:p>
            <w:pPr>
              <w:jc w:val="right"/>
              <w:ind w:right="190"/>
              <w:spacing w:after="0"/>
              <w:rPr>
                <w:sz w:val="20"/>
                <w:szCs w:val="20"/>
                <w:color w:val="auto"/>
              </w:rPr>
            </w:pPr>
            <w:r>
              <w:rPr>
                <w:rFonts w:ascii="Arial" w:cs="Arial" w:eastAsia="Arial" w:hAnsi="Arial"/>
                <w:sz w:val="18"/>
                <w:szCs w:val="18"/>
                <w:b w:val="1"/>
                <w:bCs w:val="1"/>
                <w:color w:val="auto"/>
                <w:w w:val="91"/>
              </w:rPr>
              <w:t>Increase (Decrease)</w:t>
            </w:r>
          </w:p>
        </w:tc>
      </w:tr>
      <w:tr>
        <w:trPr>
          <w:trHeight w:val="27"/>
        </w:trPr>
        <w:tc>
          <w:tcPr>
            <w:tcW w:w="23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232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240" w:type="dxa"/>
            <w:vAlign w:val="bottom"/>
          </w:tcPr>
          <w:p>
            <w:pPr>
              <w:spacing w:after="0"/>
              <w:rPr>
                <w:sz w:val="20"/>
                <w:szCs w:val="20"/>
                <w:color w:val="auto"/>
              </w:rPr>
            </w:pPr>
          </w:p>
        </w:tc>
        <w:tc>
          <w:tcPr>
            <w:tcW w:w="82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610"/>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ind w:right="37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jc w:val="right"/>
              <w:ind w:right="27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80" w:type="dxa"/>
            <w:vAlign w:val="bottom"/>
          </w:tcPr>
          <w:p>
            <w:pPr>
              <w:jc w:val="right"/>
              <w:ind w:right="570"/>
              <w:spacing w:after="0"/>
              <w:rPr>
                <w:sz w:val="20"/>
                <w:szCs w:val="20"/>
                <w:color w:val="auto"/>
              </w:rPr>
            </w:pPr>
            <w:r>
              <w:rPr>
                <w:rFonts w:ascii="Arial" w:cs="Arial" w:eastAsia="Arial" w:hAnsi="Arial"/>
                <w:sz w:val="18"/>
                <w:szCs w:val="18"/>
                <w:b w:val="1"/>
                <w:bCs w:val="1"/>
                <w:color w:val="auto"/>
              </w:rPr>
              <w:t>$</w:t>
            </w:r>
          </w:p>
        </w:tc>
        <w:tc>
          <w:tcPr>
            <w:tcW w:w="880" w:type="dxa"/>
            <w:vAlign w:val="bottom"/>
          </w:tcPr>
          <w:p>
            <w:pPr>
              <w:jc w:val="right"/>
              <w:ind w:right="370"/>
              <w:spacing w:after="0"/>
              <w:rPr>
                <w:sz w:val="20"/>
                <w:szCs w:val="20"/>
                <w:color w:val="auto"/>
              </w:rPr>
            </w:pPr>
            <w:r>
              <w:rPr>
                <w:rFonts w:ascii="Arial" w:cs="Arial" w:eastAsia="Arial" w:hAnsi="Arial"/>
                <w:sz w:val="18"/>
                <w:szCs w:val="18"/>
                <w:b w:val="1"/>
                <w:bCs w:val="1"/>
                <w:color w:val="auto"/>
              </w:rPr>
              <w:t>%</w:t>
            </w:r>
          </w:p>
        </w:tc>
      </w:tr>
      <w:tr>
        <w:trPr>
          <w:trHeight w:val="27"/>
        </w:trPr>
        <w:tc>
          <w:tcPr>
            <w:tcW w:w="23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44"/>
        </w:trPr>
        <w:tc>
          <w:tcPr>
            <w:tcW w:w="2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311.7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334.4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(22.7)</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610.2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655.0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(44.8)</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w:t>
            </w:r>
          </w:p>
        </w:tc>
      </w:tr>
      <w:tr>
        <w:trPr>
          <w:trHeight w:val="243"/>
        </w:trPr>
        <w:tc>
          <w:tcPr>
            <w:tcW w:w="2320" w:type="dxa"/>
            <w:vAlign w:val="bottom"/>
          </w:tcPr>
          <w:p>
            <w:pPr>
              <w:ind w:left="40"/>
              <w:spacing w:after="0"/>
              <w:rPr>
                <w:sz w:val="20"/>
                <w:szCs w:val="20"/>
                <w:color w:val="auto"/>
              </w:rPr>
            </w:pPr>
            <w:r>
              <w:rPr>
                <w:rFonts w:ascii="Arial" w:cs="Arial" w:eastAsia="Arial" w:hAnsi="Arial"/>
                <w:sz w:val="18"/>
                <w:szCs w:val="18"/>
                <w:color w:val="auto"/>
              </w:rPr>
              <w:t>Adjusted EBITDA</w:t>
            </w:r>
          </w:p>
        </w:tc>
        <w:tc>
          <w:tcPr>
            <w:tcW w:w="2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8.3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90"/>
              <w:spacing w:after="0"/>
              <w:rPr>
                <w:sz w:val="20"/>
                <w:szCs w:val="20"/>
                <w:color w:val="auto"/>
              </w:rPr>
            </w:pPr>
            <w:r>
              <w:rPr>
                <w:rFonts w:ascii="Arial" w:cs="Arial" w:eastAsia="Arial" w:hAnsi="Arial"/>
                <w:sz w:val="18"/>
                <w:szCs w:val="18"/>
                <w:color w:val="auto"/>
              </w:rPr>
              <w:t>7.6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270"/>
              <w:spacing w:after="0"/>
              <w:rPr>
                <w:sz w:val="20"/>
                <w:szCs w:val="20"/>
                <w:color w:val="auto"/>
              </w:rPr>
            </w:pPr>
            <w:r>
              <w:rPr>
                <w:rFonts w:ascii="Arial" w:cs="Arial" w:eastAsia="Arial" w:hAnsi="Arial"/>
                <w:sz w:val="18"/>
                <w:szCs w:val="18"/>
                <w:color w:val="auto"/>
              </w:rPr>
              <w:t>0.7</w:t>
            </w:r>
          </w:p>
        </w:tc>
        <w:tc>
          <w:tcPr>
            <w:tcW w:w="840" w:type="dxa"/>
            <w:vAlign w:val="bottom"/>
          </w:tcPr>
          <w:p>
            <w:pPr>
              <w:jc w:val="right"/>
              <w:spacing w:after="0"/>
              <w:rPr>
                <w:sz w:val="20"/>
                <w:szCs w:val="20"/>
                <w:color w:val="auto"/>
              </w:rPr>
            </w:pPr>
            <w:r>
              <w:rPr>
                <w:rFonts w:ascii="Arial" w:cs="Arial" w:eastAsia="Arial" w:hAnsi="Arial"/>
                <w:sz w:val="18"/>
                <w:szCs w:val="18"/>
                <w:color w:val="auto"/>
              </w:rPr>
              <w:t>9.2 %</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12.5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40" w:type="dxa"/>
            <w:vAlign w:val="bottom"/>
          </w:tcPr>
          <w:p>
            <w:pPr>
              <w:jc w:val="right"/>
              <w:ind w:right="110"/>
              <w:spacing w:after="0"/>
              <w:rPr>
                <w:sz w:val="20"/>
                <w:szCs w:val="20"/>
                <w:color w:val="auto"/>
              </w:rPr>
            </w:pPr>
            <w:r>
              <w:rPr>
                <w:rFonts w:ascii="Arial" w:cs="Arial" w:eastAsia="Arial" w:hAnsi="Arial"/>
                <w:sz w:val="18"/>
                <w:szCs w:val="18"/>
                <w:color w:val="auto"/>
              </w:rPr>
              <w:t>11.7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80" w:type="dxa"/>
            <w:vAlign w:val="bottom"/>
          </w:tcPr>
          <w:p>
            <w:pPr>
              <w:jc w:val="right"/>
              <w:ind w:right="230"/>
              <w:spacing w:after="0"/>
              <w:rPr>
                <w:sz w:val="20"/>
                <w:szCs w:val="20"/>
                <w:color w:val="auto"/>
              </w:rPr>
            </w:pPr>
            <w:r>
              <w:rPr>
                <w:rFonts w:ascii="Arial" w:cs="Arial" w:eastAsia="Arial" w:hAnsi="Arial"/>
                <w:sz w:val="18"/>
                <w:szCs w:val="18"/>
                <w:color w:val="auto"/>
              </w:rPr>
              <w:t>0.8</w:t>
            </w:r>
          </w:p>
        </w:tc>
        <w:tc>
          <w:tcPr>
            <w:tcW w:w="880" w:type="dxa"/>
            <w:vAlign w:val="bottom"/>
          </w:tcPr>
          <w:p>
            <w:pPr>
              <w:jc w:val="right"/>
              <w:spacing w:after="0"/>
              <w:rPr>
                <w:sz w:val="20"/>
                <w:szCs w:val="20"/>
                <w:color w:val="auto"/>
              </w:rPr>
            </w:pPr>
            <w:r>
              <w:rPr>
                <w:rFonts w:ascii="Arial" w:cs="Arial" w:eastAsia="Arial" w:hAnsi="Arial"/>
                <w:sz w:val="18"/>
                <w:szCs w:val="18"/>
                <w:color w:val="auto"/>
              </w:rPr>
              <w:t>6.8 %</w:t>
            </w:r>
          </w:p>
        </w:tc>
      </w:tr>
      <w:tr>
        <w:trPr>
          <w:trHeight w:val="27"/>
        </w:trPr>
        <w:tc>
          <w:tcPr>
            <w:tcW w:w="2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29"/>
        </w:trPr>
        <w:tc>
          <w:tcPr>
            <w:tcW w:w="2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Adjusted EBITDA as a % of</w:t>
            </w: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r>
      <w:tr>
        <w:trPr>
          <w:trHeight w:val="237"/>
        </w:trPr>
        <w:tc>
          <w:tcPr>
            <w:tcW w:w="2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sales</w:t>
            </w:r>
          </w:p>
        </w:tc>
        <w:tc>
          <w:tcPr>
            <w:tcW w:w="24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r>
      <w:tr>
        <w:trPr>
          <w:trHeight w:val="783"/>
        </w:trPr>
        <w:tc>
          <w:tcPr>
            <w:tcW w:w="2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34</w:t>
            </w: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8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the components of the net sales change compared to the prior year:</w:t>
      </w:r>
    </w:p>
    <w:p>
      <w:pPr>
        <w:spacing w:after="0" w:line="167" w:lineRule="exact"/>
        <w:rPr>
          <w:sz w:val="20"/>
          <w:szCs w:val="20"/>
          <w:color w:val="auto"/>
        </w:rPr>
      </w:pPr>
    </w:p>
    <w:tbl>
      <w:tblPr>
        <w:tblLayout w:type="fixed"/>
        <w:tblInd w:w="1440" w:type="dxa"/>
        <w:tblCellMar>
          <w:top w:w="0" w:type="dxa"/>
          <w:left w:w="0" w:type="dxa"/>
          <w:bottom w:w="0" w:type="dxa"/>
          <w:right w:w="0" w:type="dxa"/>
        </w:tblCellMar>
      </w:tblP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80" w:type="dxa"/>
            <w:vAlign w:val="bottom"/>
            <w:gridSpan w:val="4"/>
          </w:tcPr>
          <w:p>
            <w:pPr>
              <w:jc w:val="right"/>
              <w:ind w:right="1510"/>
              <w:spacing w:after="0"/>
              <w:rPr>
                <w:sz w:val="20"/>
                <w:szCs w:val="20"/>
                <w:color w:val="auto"/>
              </w:rPr>
            </w:pPr>
            <w:r>
              <w:rPr>
                <w:rFonts w:ascii="Arial" w:cs="Arial" w:eastAsia="Arial" w:hAnsi="Arial"/>
                <w:sz w:val="18"/>
                <w:szCs w:val="18"/>
                <w:b w:val="1"/>
                <w:bCs w:val="1"/>
                <w:color w:val="auto"/>
              </w:rPr>
              <w:t>Increase (Decrease)</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2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18"/>
        </w:trPr>
        <w:tc>
          <w:tcPr>
            <w:tcW w:w="3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2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2"/>
              </w:rPr>
              <w:t>Three Months Ended</w:t>
            </w:r>
          </w:p>
        </w:tc>
        <w:tc>
          <w:tcPr>
            <w:tcW w:w="260" w:type="dxa"/>
            <w:vAlign w:val="bottom"/>
          </w:tcPr>
          <w:p>
            <w:pPr>
              <w:spacing w:after="0"/>
              <w:rPr>
                <w:sz w:val="18"/>
                <w:szCs w:val="18"/>
                <w:color w:val="auto"/>
              </w:rPr>
            </w:pPr>
          </w:p>
        </w:tc>
        <w:tc>
          <w:tcPr>
            <w:tcW w:w="2000" w:type="dxa"/>
            <w:vAlign w:val="bottom"/>
          </w:tcPr>
          <w:p>
            <w:pPr>
              <w:jc w:val="right"/>
              <w:ind w:right="350"/>
              <w:spacing w:after="0"/>
              <w:rPr>
                <w:sz w:val="20"/>
                <w:szCs w:val="20"/>
                <w:color w:val="auto"/>
              </w:rPr>
            </w:pPr>
            <w:r>
              <w:rPr>
                <w:rFonts w:ascii="Arial" w:cs="Arial" w:eastAsia="Arial" w:hAnsi="Arial"/>
                <w:sz w:val="18"/>
                <w:szCs w:val="18"/>
                <w:b w:val="1"/>
                <w:bCs w:val="1"/>
                <w:color w:val="auto"/>
                <w:w w:val="98"/>
              </w:rPr>
              <w:t>Six Months Ended</w:t>
            </w:r>
          </w:p>
        </w:tc>
      </w:t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20" w:type="dxa"/>
            <w:vAlign w:val="bottom"/>
            <w:gridSpan w:val="2"/>
          </w:tcPr>
          <w:p>
            <w:pPr>
              <w:ind w:left="640"/>
              <w:spacing w:after="0"/>
              <w:rPr>
                <w:sz w:val="20"/>
                <w:szCs w:val="20"/>
                <w:color w:val="auto"/>
              </w:rPr>
            </w:pPr>
            <w:r>
              <w:rPr>
                <w:rFonts w:ascii="Arial" w:cs="Arial" w:eastAsia="Arial" w:hAnsi="Arial"/>
                <w:sz w:val="18"/>
                <w:szCs w:val="18"/>
                <w:b w:val="1"/>
                <w:bCs w:val="1"/>
                <w:color w:val="auto"/>
              </w:rPr>
              <w:t>June 30,</w:t>
            </w:r>
          </w:p>
        </w:tc>
        <w:tc>
          <w:tcPr>
            <w:tcW w:w="260" w:type="dxa"/>
            <w:vAlign w:val="bottom"/>
          </w:tcPr>
          <w:p>
            <w:pPr>
              <w:spacing w:after="0"/>
              <w:rPr>
                <w:sz w:val="20"/>
                <w:szCs w:val="20"/>
                <w:color w:val="auto"/>
              </w:rPr>
            </w:pPr>
          </w:p>
        </w:tc>
        <w:tc>
          <w:tcPr>
            <w:tcW w:w="2000" w:type="dxa"/>
            <w:vAlign w:val="bottom"/>
          </w:tcPr>
          <w:p>
            <w:pPr>
              <w:jc w:val="right"/>
              <w:ind w:right="690"/>
              <w:spacing w:after="0"/>
              <w:rPr>
                <w:sz w:val="20"/>
                <w:szCs w:val="20"/>
                <w:color w:val="auto"/>
              </w:rPr>
            </w:pPr>
            <w:r>
              <w:rPr>
                <w:rFonts w:ascii="Arial" w:cs="Arial" w:eastAsia="Arial" w:hAnsi="Arial"/>
                <w:sz w:val="18"/>
                <w:szCs w:val="18"/>
                <w:b w:val="1"/>
                <w:bCs w:val="1"/>
                <w:color w:val="auto"/>
              </w:rPr>
              <w:t>June 30,</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37"/>
        </w:trPr>
        <w:tc>
          <w:tcPr>
            <w:tcW w:w="386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2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2019 vs. 2018</w:t>
            </w:r>
          </w:p>
        </w:tc>
        <w:tc>
          <w:tcPr>
            <w:tcW w:w="260" w:type="dxa"/>
            <w:vAlign w:val="bottom"/>
          </w:tcPr>
          <w:p>
            <w:pPr>
              <w:spacing w:after="0"/>
              <w:rPr>
                <w:sz w:val="20"/>
                <w:szCs w:val="20"/>
                <w:color w:val="auto"/>
              </w:rPr>
            </w:pPr>
          </w:p>
        </w:tc>
        <w:tc>
          <w:tcPr>
            <w:tcW w:w="2000" w:type="dxa"/>
            <w:vAlign w:val="bottom"/>
          </w:tcPr>
          <w:p>
            <w:pPr>
              <w:jc w:val="right"/>
              <w:ind w:right="530"/>
              <w:spacing w:after="0"/>
              <w:rPr>
                <w:sz w:val="20"/>
                <w:szCs w:val="20"/>
                <w:color w:val="auto"/>
              </w:rPr>
            </w:pPr>
            <w:r>
              <w:rPr>
                <w:rFonts w:ascii="Arial" w:cs="Arial" w:eastAsia="Arial" w:hAnsi="Arial"/>
                <w:sz w:val="18"/>
                <w:szCs w:val="18"/>
                <w:b w:val="1"/>
                <w:bCs w:val="1"/>
                <w:color w:val="auto"/>
              </w:rPr>
              <w:t>2019 vs. 2018</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44"/>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Volume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2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(40.0)</w:t>
            </w:r>
          </w:p>
        </w:tc>
      </w:tr>
      <w:tr>
        <w:trPr>
          <w:trHeight w:val="243"/>
        </w:trPr>
        <w:tc>
          <w:tcPr>
            <w:tcW w:w="3860" w:type="dxa"/>
            <w:vAlign w:val="bottom"/>
          </w:tcPr>
          <w:p>
            <w:pPr>
              <w:ind w:left="20"/>
              <w:spacing w:after="0"/>
              <w:rPr>
                <w:sz w:val="20"/>
                <w:szCs w:val="20"/>
                <w:color w:val="auto"/>
              </w:rPr>
            </w:pPr>
            <w:r>
              <w:rPr>
                <w:rFonts w:ascii="Arial" w:cs="Arial" w:eastAsia="Arial" w:hAnsi="Arial"/>
                <w:sz w:val="18"/>
                <w:szCs w:val="18"/>
                <w:color w:val="auto"/>
              </w:rPr>
              <w:t>Foreign currency</w:t>
            </w:r>
          </w:p>
        </w:tc>
        <w:tc>
          <w:tcPr>
            <w:tcW w:w="220" w:type="dxa"/>
            <w:vAlign w:val="bottom"/>
          </w:tcPr>
          <w:p>
            <w:pPr>
              <w:spacing w:after="0"/>
              <w:rPr>
                <w:sz w:val="21"/>
                <w:szCs w:val="21"/>
                <w:color w:val="auto"/>
              </w:rPr>
            </w:pPr>
          </w:p>
        </w:tc>
        <w:tc>
          <w:tcPr>
            <w:tcW w:w="2120" w:type="dxa"/>
            <w:vAlign w:val="bottom"/>
          </w:tcPr>
          <w:p>
            <w:pPr>
              <w:jc w:val="right"/>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Price/Mix</w:t>
            </w:r>
          </w:p>
        </w:tc>
        <w:tc>
          <w:tcPr>
            <w:tcW w:w="220" w:type="dxa"/>
            <w:vAlign w:val="bottom"/>
            <w:tcBorders>
              <w:bottom w:val="single" w:sz="8" w:color="CCEEFF"/>
            </w:tcBorders>
            <w:shd w:val="clear" w:color="auto" w:fill="CCEEFF"/>
          </w:tcPr>
          <w:p>
            <w:pPr>
              <w:spacing w:after="0"/>
              <w:rPr>
                <w:sz w:val="23"/>
                <w:szCs w:val="23"/>
                <w:color w:val="auto"/>
              </w:rPr>
            </w:pPr>
          </w:p>
        </w:tc>
        <w:tc>
          <w:tcPr>
            <w:tcW w:w="2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w:t>
            </w:r>
          </w:p>
        </w:tc>
      </w:tr>
      <w:tr>
        <w:trPr>
          <w:trHeight w:val="257"/>
        </w:trPr>
        <w:tc>
          <w:tcPr>
            <w:tcW w:w="3860" w:type="dxa"/>
            <w:vAlign w:val="bottom"/>
          </w:tcPr>
          <w:p>
            <w:pPr>
              <w:ind w:left="20"/>
              <w:spacing w:after="0"/>
              <w:rPr>
                <w:sz w:val="20"/>
                <w:szCs w:val="20"/>
                <w:color w:val="auto"/>
              </w:rPr>
            </w:pPr>
            <w:r>
              <w:rPr>
                <w:rFonts w:ascii="Arial" w:cs="Arial" w:eastAsia="Arial" w:hAnsi="Arial"/>
                <w:sz w:val="18"/>
                <w:szCs w:val="18"/>
                <w:color w:val="auto"/>
              </w:rPr>
              <w:t>Total change</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2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(22.7)</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2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(44.8)</w:t>
            </w: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Three Months Ended June 30, 2019 and June 30, 2018</w:t>
      </w:r>
    </w:p>
    <w:p>
      <w:pPr>
        <w:spacing w:after="0" w:line="225"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Net sales decreased $22.7 million, or 6.8%, as compared to the same period in 2018. The net sales decrease was primarily attributable to decreased sales of food service products, chemicals and janitorial supplies. The decrease in net sales was also due to strategic decisions to exit certain customer relationships that were not aligned with the Company's product and service capabilities.</w:t>
      </w:r>
    </w:p>
    <w:p>
      <w:pPr>
        <w:spacing w:after="0" w:line="181"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Adjusted EBITDA increased $0.7 million, or 9.2%, as compared to the same period in 2018. The increase in Adjusted EBITDA was primarily attributable to (i) a $3.2 million decrease in distribution expenses and (ii) a $1.6 million decrease in selling and administrative expenses, partially offset by a decline in net sales. The decrease in distribution expenses was primarily driven by decreased utilization of the distribution network and was evidenced by (i) a $1.4 million decrease in freight and logistics expense primarily driven by a decrease in fuel expense and third-party freight and (ii) a $1.1 million decrease in personnel expense. The decrease in selling and administrative expenses was primarily driven by a $1.2 million decrease in personnel expense.</w:t>
      </w:r>
    </w:p>
    <w:p>
      <w:pPr>
        <w:spacing w:after="0" w:line="15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Six Months Ended June 30, 2019 and June 30, 2018</w:t>
      </w:r>
    </w:p>
    <w:p>
      <w:pPr>
        <w:spacing w:after="0" w:line="225"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Net sales decreased $44.8 million, or 6.8%, as compared to the same period in 2018. The net sales decrease was primarily attributable to decreased sales of food service products, retail, office and school supplies and chemicals. The decrease in net sales was also due to strategic decisions to exit certain customer relationships that were not aligned with the Company's product and service capabilities.</w:t>
      </w:r>
    </w:p>
    <w:p>
      <w:pPr>
        <w:spacing w:after="0" w:line="181"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Adjusted EBITDA increased $0.8 million, or 6.8%, as compared to the same period in 2018. The increase in Adjusted EBITDA was primarily attributable to (i) a $6.5 million decrease in distribution expenses and (ii) a $3.2 million decrease in selling and administrative expenses, partially offset by a decline in net sales. The decrease in distribution expenses was primarily driven by decreased utilization of the distribution network and was evidenced by (i) a $2.9 million decrease in freight and logistics expense primarily driven by a decrease in third-party freight and fuel expense, (ii) a $2.0 million decrease in personnel expense and (iii) a $1.6 million decrease in facilities rent and other related expenses. The decrease in selling and administrative expenses was primarily driven by a $2.1 million decrease in personnel expense.</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selected data for the Print segment:</w:t>
      </w:r>
    </w:p>
    <w:p>
      <w:pPr>
        <w:spacing w:after="0" w:line="167" w:lineRule="exact"/>
        <w:rPr>
          <w:sz w:val="20"/>
          <w:szCs w:val="20"/>
          <w:color w:val="auto"/>
        </w:rPr>
      </w:pPr>
    </w:p>
    <w:tbl>
      <w:tblPr>
        <w:tblLayout w:type="fixed"/>
        <w:tblInd w:w="180" w:type="dxa"/>
        <w:tblCellMar>
          <w:top w:w="0" w:type="dxa"/>
          <w:left w:w="0" w:type="dxa"/>
          <w:bottom w:w="0" w:type="dxa"/>
          <w:right w:w="0" w:type="dxa"/>
        </w:tblCellMar>
      </w:tblPr>
      <w:tr>
        <w:trPr>
          <w:trHeight w:val="216"/>
        </w:trPr>
        <w:tc>
          <w:tcPr>
            <w:tcW w:w="2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60" w:type="dxa"/>
            <w:vAlign w:val="bottom"/>
            <w:gridSpan w:val="6"/>
          </w:tcPr>
          <w:p>
            <w:pPr>
              <w:spacing w:after="0"/>
              <w:rPr>
                <w:sz w:val="20"/>
                <w:szCs w:val="20"/>
                <w:color w:val="auto"/>
              </w:rPr>
            </w:pPr>
            <w:r>
              <w:rPr>
                <w:rFonts w:ascii="Arial" w:cs="Arial" w:eastAsia="Arial" w:hAnsi="Arial"/>
                <w:sz w:val="18"/>
                <w:szCs w:val="18"/>
                <w:b w:val="1"/>
                <w:bCs w:val="1"/>
                <w:color w:val="auto"/>
                <w:w w:val="99"/>
              </w:rPr>
              <w:t>Three Months Ended June</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34"/>
        </w:trPr>
        <w:tc>
          <w:tcPr>
            <w:tcW w:w="2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w w:val="87"/>
              </w:rPr>
              <w:t>30,</w:t>
            </w: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0" w:type="dxa"/>
            <w:vAlign w:val="bottom"/>
            <w:gridSpan w:val="3"/>
          </w:tcPr>
          <w:p>
            <w:pPr>
              <w:ind w:left="100"/>
              <w:spacing w:after="0"/>
              <w:rPr>
                <w:sz w:val="20"/>
                <w:szCs w:val="20"/>
                <w:color w:val="auto"/>
              </w:rPr>
            </w:pPr>
            <w:r>
              <w:rPr>
                <w:rFonts w:ascii="Arial" w:cs="Arial" w:eastAsia="Arial" w:hAnsi="Arial"/>
                <w:sz w:val="18"/>
                <w:szCs w:val="18"/>
                <w:b w:val="1"/>
                <w:bCs w:val="1"/>
                <w:color w:val="auto"/>
              </w:rPr>
              <w:t>Increase (Decrease)</w:t>
            </w:r>
          </w:p>
        </w:tc>
        <w:tc>
          <w:tcPr>
            <w:tcW w:w="2340" w:type="dxa"/>
            <w:vAlign w:val="bottom"/>
            <w:gridSpan w:val="4"/>
          </w:tcPr>
          <w:p>
            <w:pPr>
              <w:ind w:left="80"/>
              <w:spacing w:after="0"/>
              <w:rPr>
                <w:sz w:val="20"/>
                <w:szCs w:val="20"/>
                <w:color w:val="auto"/>
              </w:rPr>
            </w:pPr>
            <w:r>
              <w:rPr>
                <w:rFonts w:ascii="Arial" w:cs="Arial" w:eastAsia="Arial" w:hAnsi="Arial"/>
                <w:sz w:val="18"/>
                <w:szCs w:val="18"/>
                <w:b w:val="1"/>
                <w:bCs w:val="1"/>
                <w:color w:val="auto"/>
                <w:w w:val="96"/>
              </w:rPr>
              <w:t>Six Months Ended June 30,</w:t>
            </w:r>
          </w:p>
        </w:tc>
        <w:tc>
          <w:tcPr>
            <w:tcW w:w="220" w:type="dxa"/>
            <w:vAlign w:val="bottom"/>
          </w:tcPr>
          <w:p>
            <w:pPr>
              <w:spacing w:after="0"/>
              <w:rPr>
                <w:sz w:val="20"/>
                <w:szCs w:val="20"/>
                <w:color w:val="auto"/>
              </w:rPr>
            </w:pPr>
          </w:p>
        </w:tc>
        <w:tc>
          <w:tcPr>
            <w:tcW w:w="1900" w:type="dxa"/>
            <w:vAlign w:val="bottom"/>
            <w:gridSpan w:val="2"/>
          </w:tcPr>
          <w:p>
            <w:pPr>
              <w:jc w:val="right"/>
              <w:ind w:right="210"/>
              <w:spacing w:after="0"/>
              <w:rPr>
                <w:sz w:val="20"/>
                <w:szCs w:val="20"/>
                <w:color w:val="auto"/>
              </w:rPr>
            </w:pPr>
            <w:r>
              <w:rPr>
                <w:rFonts w:ascii="Arial" w:cs="Arial" w:eastAsia="Arial" w:hAnsi="Arial"/>
                <w:sz w:val="18"/>
                <w:szCs w:val="18"/>
                <w:b w:val="1"/>
                <w:bCs w:val="1"/>
                <w:color w:val="auto"/>
                <w:w w:val="92"/>
              </w:rPr>
              <w:t>Increase (Decrease)</w:t>
            </w:r>
          </w:p>
        </w:tc>
      </w:tr>
      <w:tr>
        <w:trPr>
          <w:trHeight w:val="27"/>
        </w:trPr>
        <w:tc>
          <w:tcPr>
            <w:tcW w:w="20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7"/>
        </w:trPr>
        <w:tc>
          <w:tcPr>
            <w:tcW w:w="2000" w:type="dxa"/>
            <w:vAlign w:val="bottom"/>
          </w:tcPr>
          <w:p>
            <w:pPr>
              <w:ind w:left="40"/>
              <w:spacing w:after="0"/>
              <w:rPr>
                <w:sz w:val="20"/>
                <w:szCs w:val="20"/>
                <w:color w:val="auto"/>
              </w:rPr>
            </w:pPr>
            <w:r>
              <w:rPr>
                <w:rFonts w:ascii="Arial" w:cs="Arial" w:eastAsia="Arial" w:hAnsi="Arial"/>
                <w:sz w:val="18"/>
                <w:szCs w:val="18"/>
                <w:i w:val="1"/>
                <w:iCs w:val="1"/>
                <w:color w:val="auto"/>
              </w:rPr>
              <w:t>(in millions)</w:t>
            </w:r>
          </w:p>
        </w:tc>
        <w:tc>
          <w:tcPr>
            <w:tcW w:w="120" w:type="dxa"/>
            <w:vAlign w:val="bottom"/>
          </w:tcPr>
          <w:p>
            <w:pPr>
              <w:spacing w:after="0"/>
              <w:rPr>
                <w:sz w:val="20"/>
                <w:szCs w:val="20"/>
                <w:color w:val="auto"/>
              </w:rPr>
            </w:pPr>
          </w:p>
        </w:tc>
        <w:tc>
          <w:tcPr>
            <w:tcW w:w="900" w:type="dxa"/>
            <w:vAlign w:val="bottom"/>
          </w:tcPr>
          <w:p>
            <w:pPr>
              <w:jc w:val="right"/>
              <w:ind w:right="230"/>
              <w:spacing w:after="0"/>
              <w:rPr>
                <w:sz w:val="20"/>
                <w:szCs w:val="20"/>
                <w:color w:val="auto"/>
              </w:rPr>
            </w:pPr>
            <w:r>
              <w:rPr>
                <w:rFonts w:ascii="Arial" w:cs="Arial" w:eastAsia="Arial" w:hAnsi="Arial"/>
                <w:sz w:val="18"/>
                <w:szCs w:val="18"/>
                <w:b w:val="1"/>
                <w:bCs w:val="1"/>
                <w:color w:val="auto"/>
              </w:rPr>
              <w:t>2019</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ind w:right="370"/>
              <w:spacing w:after="0"/>
              <w:rPr>
                <w:sz w:val="20"/>
                <w:szCs w:val="20"/>
                <w:color w:val="auto"/>
              </w:rPr>
            </w:pPr>
            <w:r>
              <w:rPr>
                <w:rFonts w:ascii="Arial" w:cs="Arial" w:eastAsia="Arial" w:hAnsi="Arial"/>
                <w:sz w:val="18"/>
                <w:szCs w:val="18"/>
                <w:b w:val="1"/>
                <w:bCs w:val="1"/>
                <w:color w:val="auto"/>
              </w:rPr>
              <w:t>$</w:t>
            </w:r>
          </w:p>
        </w:tc>
        <w:tc>
          <w:tcPr>
            <w:tcW w:w="114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06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1060" w:type="dxa"/>
            <w:vAlign w:val="bottom"/>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jc w:val="right"/>
              <w:ind w:right="570"/>
              <w:spacing w:after="0"/>
              <w:rPr>
                <w:sz w:val="20"/>
                <w:szCs w:val="20"/>
                <w:color w:val="auto"/>
              </w:rPr>
            </w:pPr>
            <w:r>
              <w:rPr>
                <w:rFonts w:ascii="Arial" w:cs="Arial" w:eastAsia="Arial" w:hAnsi="Arial"/>
                <w:sz w:val="18"/>
                <w:szCs w:val="18"/>
                <w:b w:val="1"/>
                <w:bCs w:val="1"/>
                <w:color w:val="auto"/>
              </w:rPr>
              <w:t>$</w:t>
            </w:r>
          </w:p>
        </w:tc>
        <w:tc>
          <w:tcPr>
            <w:tcW w:w="94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r>
      <w:tr>
        <w:trPr>
          <w:trHeight w:val="27"/>
        </w:trPr>
        <w:tc>
          <w:tcPr>
            <w:tcW w:w="20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2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528.6</w:t>
            </w:r>
          </w:p>
        </w:tc>
        <w:tc>
          <w:tcPr>
            <w:tcW w:w="38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679.1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(150.5)</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(22.2)%</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   1,082.5</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   1,339.9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(257.4)</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(19.2)%</w:t>
            </w:r>
          </w:p>
        </w:tc>
      </w:tr>
      <w:tr>
        <w:trPr>
          <w:trHeight w:val="243"/>
        </w:trPr>
        <w:tc>
          <w:tcPr>
            <w:tcW w:w="2000" w:type="dxa"/>
            <w:vAlign w:val="bottom"/>
          </w:tcPr>
          <w:p>
            <w:pPr>
              <w:ind w:left="40"/>
              <w:spacing w:after="0"/>
              <w:rPr>
                <w:sz w:val="20"/>
                <w:szCs w:val="20"/>
                <w:color w:val="auto"/>
              </w:rPr>
            </w:pPr>
            <w:r>
              <w:rPr>
                <w:rFonts w:ascii="Arial" w:cs="Arial" w:eastAsia="Arial" w:hAnsi="Arial"/>
                <w:sz w:val="18"/>
                <w:szCs w:val="18"/>
                <w:color w:val="auto"/>
              </w:rPr>
              <w:t>Adjusted EBITDA</w:t>
            </w:r>
          </w:p>
        </w:tc>
        <w:tc>
          <w:tcPr>
            <w:tcW w:w="120" w:type="dxa"/>
            <w:vAlign w:val="bottom"/>
          </w:tcPr>
          <w:p>
            <w:pPr>
              <w:spacing w:after="0"/>
              <w:rPr>
                <w:sz w:val="21"/>
                <w:szCs w:val="21"/>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12.3</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110"/>
              <w:spacing w:after="0"/>
              <w:rPr>
                <w:sz w:val="20"/>
                <w:szCs w:val="20"/>
                <w:color w:val="auto"/>
              </w:rPr>
            </w:pPr>
            <w:r>
              <w:rPr>
                <w:rFonts w:ascii="Arial" w:cs="Arial" w:eastAsia="Arial" w:hAnsi="Arial"/>
                <w:sz w:val="18"/>
                <w:szCs w:val="18"/>
                <w:color w:val="auto"/>
              </w:rPr>
              <w:t>19.4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(7.1)</w:t>
            </w:r>
          </w:p>
        </w:tc>
        <w:tc>
          <w:tcPr>
            <w:tcW w:w="1140" w:type="dxa"/>
            <w:vAlign w:val="bottom"/>
          </w:tcPr>
          <w:p>
            <w:pPr>
              <w:jc w:val="right"/>
              <w:spacing w:after="0"/>
              <w:rPr>
                <w:sz w:val="20"/>
                <w:szCs w:val="20"/>
                <w:color w:val="auto"/>
              </w:rPr>
            </w:pPr>
            <w:r>
              <w:rPr>
                <w:rFonts w:ascii="Arial" w:cs="Arial" w:eastAsia="Arial" w:hAnsi="Arial"/>
                <w:sz w:val="18"/>
                <w:szCs w:val="18"/>
                <w:color w:val="auto"/>
              </w:rPr>
              <w:t>(36.6)%</w:t>
            </w:r>
          </w:p>
        </w:tc>
        <w:tc>
          <w:tcPr>
            <w:tcW w:w="100" w:type="dxa"/>
            <w:vAlign w:val="bottom"/>
          </w:tcPr>
          <w:p>
            <w:pPr>
              <w:spacing w:after="0"/>
              <w:rPr>
                <w:sz w:val="21"/>
                <w:szCs w:val="21"/>
                <w:color w:val="auto"/>
              </w:rPr>
            </w:pPr>
          </w:p>
        </w:tc>
        <w:tc>
          <w:tcPr>
            <w:tcW w:w="1060" w:type="dxa"/>
            <w:vAlign w:val="bottom"/>
          </w:tcPr>
          <w:p>
            <w:pPr>
              <w:jc w:val="right"/>
              <w:ind w:right="90"/>
              <w:spacing w:after="0"/>
              <w:rPr>
                <w:sz w:val="20"/>
                <w:szCs w:val="20"/>
                <w:color w:val="auto"/>
              </w:rPr>
            </w:pPr>
            <w:r>
              <w:rPr>
                <w:rFonts w:ascii="Arial" w:cs="Arial" w:eastAsia="Arial" w:hAnsi="Arial"/>
                <w:sz w:val="18"/>
                <w:szCs w:val="18"/>
                <w:color w:val="auto"/>
              </w:rPr>
              <w:t>19.5</w:t>
            </w:r>
          </w:p>
        </w:tc>
        <w:tc>
          <w:tcPr>
            <w:tcW w:w="100" w:type="dxa"/>
            <w:vAlign w:val="bottom"/>
          </w:tcPr>
          <w:p>
            <w:pPr>
              <w:spacing w:after="0"/>
              <w:rPr>
                <w:sz w:val="21"/>
                <w:szCs w:val="21"/>
                <w:color w:val="auto"/>
              </w:rPr>
            </w:pPr>
          </w:p>
        </w:tc>
        <w:tc>
          <w:tcPr>
            <w:tcW w:w="1060" w:type="dxa"/>
            <w:vAlign w:val="bottom"/>
          </w:tcPr>
          <w:p>
            <w:pPr>
              <w:jc w:val="right"/>
              <w:ind w:right="90"/>
              <w:spacing w:after="0"/>
              <w:rPr>
                <w:sz w:val="20"/>
                <w:szCs w:val="20"/>
                <w:color w:val="auto"/>
              </w:rPr>
            </w:pPr>
            <w:r>
              <w:rPr>
                <w:rFonts w:ascii="Arial" w:cs="Arial" w:eastAsia="Arial" w:hAnsi="Arial"/>
                <w:sz w:val="18"/>
                <w:szCs w:val="18"/>
                <w:color w:val="auto"/>
              </w:rPr>
              <w:t>33.1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60" w:type="dxa"/>
            <w:vAlign w:val="bottom"/>
          </w:tcPr>
          <w:p>
            <w:pPr>
              <w:jc w:val="right"/>
              <w:ind w:right="170"/>
              <w:spacing w:after="0"/>
              <w:rPr>
                <w:sz w:val="20"/>
                <w:szCs w:val="20"/>
                <w:color w:val="auto"/>
              </w:rPr>
            </w:pPr>
            <w:r>
              <w:rPr>
                <w:rFonts w:ascii="Arial" w:cs="Arial" w:eastAsia="Arial" w:hAnsi="Arial"/>
                <w:sz w:val="18"/>
                <w:szCs w:val="18"/>
                <w:color w:val="auto"/>
              </w:rPr>
              <w:t>(13.6)</w:t>
            </w:r>
          </w:p>
        </w:tc>
        <w:tc>
          <w:tcPr>
            <w:tcW w:w="940" w:type="dxa"/>
            <w:vAlign w:val="bottom"/>
          </w:tcPr>
          <w:p>
            <w:pPr>
              <w:jc w:val="right"/>
              <w:spacing w:after="0"/>
              <w:rPr>
                <w:sz w:val="20"/>
                <w:szCs w:val="20"/>
                <w:color w:val="auto"/>
              </w:rPr>
            </w:pPr>
            <w:r>
              <w:rPr>
                <w:rFonts w:ascii="Arial" w:cs="Arial" w:eastAsia="Arial" w:hAnsi="Arial"/>
                <w:sz w:val="18"/>
                <w:szCs w:val="18"/>
                <w:color w:val="auto"/>
              </w:rPr>
              <w:t>(41.1)%</w:t>
            </w:r>
          </w:p>
        </w:tc>
      </w:tr>
      <w:tr>
        <w:trPr>
          <w:trHeight w:val="27"/>
        </w:trPr>
        <w:tc>
          <w:tcPr>
            <w:tcW w:w="2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29"/>
        </w:trPr>
        <w:tc>
          <w:tcPr>
            <w:tcW w:w="20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6"/>
              </w:rPr>
              <w:t>Adjusted EBITDA as a %</w:t>
            </w: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r>
      <w:tr>
        <w:trPr>
          <w:trHeight w:val="237"/>
        </w:trPr>
        <w:tc>
          <w:tcPr>
            <w:tcW w:w="20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of net sales</w:t>
            </w: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r>
      <w:tr>
        <w:trPr>
          <w:trHeight w:val="891"/>
        </w:trPr>
        <w:tc>
          <w:tcPr>
            <w:tcW w:w="2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140" w:type="dxa"/>
            <w:vAlign w:val="bottom"/>
          </w:tcPr>
          <w:p>
            <w:pPr>
              <w:jc w:val="right"/>
              <w:ind w:right="790"/>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r>
    </w:tbl>
    <w:p>
      <w:pPr>
        <w:sectPr>
          <w:pgSz w:w="11900" w:h="16838" w:orient="portrait"/>
          <w:cols w:equalWidth="0" w:num="1">
            <w:col w:w="11400"/>
          </w:cols>
          <w:pgMar w:left="240" w:top="341" w:right="25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the components of the net sales change compared to the prior year:</w:t>
      </w:r>
    </w:p>
    <w:p>
      <w:pPr>
        <w:spacing w:after="0" w:line="167" w:lineRule="exact"/>
        <w:rPr>
          <w:sz w:val="20"/>
          <w:szCs w:val="20"/>
          <w:color w:val="auto"/>
        </w:rPr>
      </w:pPr>
    </w:p>
    <w:tbl>
      <w:tblPr>
        <w:tblLayout w:type="fixed"/>
        <w:tblInd w:w="1460" w:type="dxa"/>
        <w:tblCellMar>
          <w:top w:w="0" w:type="dxa"/>
          <w:left w:w="0" w:type="dxa"/>
          <w:bottom w:w="0" w:type="dxa"/>
          <w:right w:w="0" w:type="dxa"/>
        </w:tblCellMar>
      </w:tblP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40" w:type="dxa"/>
            <w:vAlign w:val="bottom"/>
            <w:gridSpan w:val="4"/>
          </w:tcPr>
          <w:p>
            <w:pPr>
              <w:jc w:val="right"/>
              <w:ind w:right="1490"/>
              <w:spacing w:after="0"/>
              <w:rPr>
                <w:sz w:val="20"/>
                <w:szCs w:val="20"/>
                <w:color w:val="auto"/>
              </w:rPr>
            </w:pPr>
            <w:r>
              <w:rPr>
                <w:rFonts w:ascii="Arial" w:cs="Arial" w:eastAsia="Arial" w:hAnsi="Arial"/>
                <w:sz w:val="18"/>
                <w:szCs w:val="18"/>
                <w:b w:val="1"/>
                <w:bCs w:val="1"/>
                <w:color w:val="auto"/>
              </w:rPr>
              <w:t>Increase (Decrease)</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18"/>
        </w:trPr>
        <w:tc>
          <w:tcPr>
            <w:tcW w:w="3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8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2"/>
              </w:rPr>
              <w:t>Three Months Ended</w:t>
            </w:r>
          </w:p>
        </w:tc>
        <w:tc>
          <w:tcPr>
            <w:tcW w:w="240" w:type="dxa"/>
            <w:vAlign w:val="bottom"/>
          </w:tcPr>
          <w:p>
            <w:pPr>
              <w:spacing w:after="0"/>
              <w:rPr>
                <w:sz w:val="18"/>
                <w:szCs w:val="18"/>
                <w:color w:val="auto"/>
              </w:rPr>
            </w:pPr>
          </w:p>
        </w:tc>
        <w:tc>
          <w:tcPr>
            <w:tcW w:w="1920" w:type="dxa"/>
            <w:vAlign w:val="bottom"/>
          </w:tcPr>
          <w:p>
            <w:pPr>
              <w:jc w:val="right"/>
              <w:ind w:right="310"/>
              <w:spacing w:after="0"/>
              <w:rPr>
                <w:sz w:val="20"/>
                <w:szCs w:val="20"/>
                <w:color w:val="auto"/>
              </w:rPr>
            </w:pPr>
            <w:r>
              <w:rPr>
                <w:rFonts w:ascii="Arial" w:cs="Arial" w:eastAsia="Arial" w:hAnsi="Arial"/>
                <w:sz w:val="18"/>
                <w:szCs w:val="18"/>
                <w:b w:val="1"/>
                <w:bCs w:val="1"/>
                <w:color w:val="auto"/>
                <w:w w:val="96"/>
              </w:rPr>
              <w:t>Six Months Ended</w:t>
            </w:r>
          </w:p>
        </w:tc>
      </w:t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80" w:type="dxa"/>
            <w:vAlign w:val="bottom"/>
            <w:gridSpan w:val="2"/>
          </w:tcPr>
          <w:p>
            <w:pPr>
              <w:ind w:left="680"/>
              <w:spacing w:after="0"/>
              <w:rPr>
                <w:sz w:val="20"/>
                <w:szCs w:val="20"/>
                <w:color w:val="auto"/>
              </w:rPr>
            </w:pPr>
            <w:r>
              <w:rPr>
                <w:rFonts w:ascii="Arial" w:cs="Arial" w:eastAsia="Arial" w:hAnsi="Arial"/>
                <w:sz w:val="18"/>
                <w:szCs w:val="18"/>
                <w:b w:val="1"/>
                <w:bCs w:val="1"/>
                <w:color w:val="auto"/>
              </w:rPr>
              <w:t>June 30,</w:t>
            </w:r>
          </w:p>
        </w:tc>
        <w:tc>
          <w:tcPr>
            <w:tcW w:w="240" w:type="dxa"/>
            <w:vAlign w:val="bottom"/>
          </w:tcPr>
          <w:p>
            <w:pPr>
              <w:spacing w:after="0"/>
              <w:rPr>
                <w:sz w:val="20"/>
                <w:szCs w:val="20"/>
                <w:color w:val="auto"/>
              </w:rPr>
            </w:pPr>
          </w:p>
        </w:tc>
        <w:tc>
          <w:tcPr>
            <w:tcW w:w="1920" w:type="dxa"/>
            <w:vAlign w:val="bottom"/>
          </w:tcPr>
          <w:p>
            <w:pPr>
              <w:jc w:val="right"/>
              <w:ind w:right="650"/>
              <w:spacing w:after="0"/>
              <w:rPr>
                <w:sz w:val="20"/>
                <w:szCs w:val="20"/>
                <w:color w:val="auto"/>
              </w:rPr>
            </w:pPr>
            <w:r>
              <w:rPr>
                <w:rFonts w:ascii="Arial" w:cs="Arial" w:eastAsia="Arial" w:hAnsi="Arial"/>
                <w:sz w:val="18"/>
                <w:szCs w:val="18"/>
                <w:b w:val="1"/>
                <w:bCs w:val="1"/>
                <w:color w:val="auto"/>
              </w:rPr>
              <w:t>June 30,</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37"/>
        </w:trPr>
        <w:tc>
          <w:tcPr>
            <w:tcW w:w="386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2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2019 vs. 2018</w:t>
            </w:r>
          </w:p>
        </w:tc>
        <w:tc>
          <w:tcPr>
            <w:tcW w:w="240" w:type="dxa"/>
            <w:vAlign w:val="bottom"/>
          </w:tcPr>
          <w:p>
            <w:pPr>
              <w:spacing w:after="0"/>
              <w:rPr>
                <w:sz w:val="20"/>
                <w:szCs w:val="20"/>
                <w:color w:val="auto"/>
              </w:rPr>
            </w:pPr>
          </w:p>
        </w:tc>
        <w:tc>
          <w:tcPr>
            <w:tcW w:w="1920" w:type="dxa"/>
            <w:vAlign w:val="bottom"/>
          </w:tcPr>
          <w:p>
            <w:pPr>
              <w:jc w:val="right"/>
              <w:ind w:right="490"/>
              <w:spacing w:after="0"/>
              <w:rPr>
                <w:sz w:val="20"/>
                <w:szCs w:val="20"/>
                <w:color w:val="auto"/>
              </w:rPr>
            </w:pPr>
            <w:r>
              <w:rPr>
                <w:rFonts w:ascii="Arial" w:cs="Arial" w:eastAsia="Arial" w:hAnsi="Arial"/>
                <w:sz w:val="18"/>
                <w:szCs w:val="18"/>
                <w:b w:val="1"/>
                <w:bCs w:val="1"/>
                <w:color w:val="auto"/>
              </w:rPr>
              <w:t>2019 vs. 2018</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44"/>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Volume</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2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(189.3)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(341.2)</w:t>
            </w:r>
          </w:p>
        </w:tc>
      </w:tr>
      <w:tr>
        <w:trPr>
          <w:trHeight w:val="243"/>
        </w:trPr>
        <w:tc>
          <w:tcPr>
            <w:tcW w:w="3860" w:type="dxa"/>
            <w:vAlign w:val="bottom"/>
          </w:tcPr>
          <w:p>
            <w:pPr>
              <w:ind w:left="20"/>
              <w:spacing w:after="0"/>
              <w:rPr>
                <w:sz w:val="20"/>
                <w:szCs w:val="20"/>
                <w:color w:val="auto"/>
              </w:rPr>
            </w:pPr>
            <w:r>
              <w:rPr>
                <w:rFonts w:ascii="Arial" w:cs="Arial" w:eastAsia="Arial" w:hAnsi="Arial"/>
                <w:sz w:val="18"/>
                <w:szCs w:val="18"/>
                <w:color w:val="auto"/>
              </w:rPr>
              <w:t>Foreign currency</w:t>
            </w:r>
          </w:p>
        </w:tc>
        <w:tc>
          <w:tcPr>
            <w:tcW w:w="220" w:type="dxa"/>
            <w:vAlign w:val="bottom"/>
          </w:tcPr>
          <w:p>
            <w:pPr>
              <w:spacing w:after="0"/>
              <w:rPr>
                <w:sz w:val="21"/>
                <w:szCs w:val="21"/>
                <w:color w:val="auto"/>
              </w:rPr>
            </w:pPr>
          </w:p>
        </w:tc>
        <w:tc>
          <w:tcPr>
            <w:tcW w:w="2180" w:type="dxa"/>
            <w:vAlign w:val="bottom"/>
          </w:tcPr>
          <w:p>
            <w:pPr>
              <w:jc w:val="right"/>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Price/Mix</w:t>
            </w:r>
          </w:p>
        </w:tc>
        <w:tc>
          <w:tcPr>
            <w:tcW w:w="220" w:type="dxa"/>
            <w:vAlign w:val="bottom"/>
            <w:tcBorders>
              <w:bottom w:val="single" w:sz="8" w:color="CCEEFF"/>
            </w:tcBorders>
            <w:shd w:val="clear" w:color="auto" w:fill="CCEEFF"/>
          </w:tcPr>
          <w:p>
            <w:pPr>
              <w:spacing w:after="0"/>
              <w:rPr>
                <w:sz w:val="23"/>
                <w:szCs w:val="23"/>
                <w:color w:val="auto"/>
              </w:rPr>
            </w:pPr>
          </w:p>
        </w:tc>
        <w:tc>
          <w:tcPr>
            <w:tcW w:w="2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87.9</w:t>
            </w:r>
          </w:p>
        </w:tc>
      </w:tr>
      <w:tr>
        <w:trPr>
          <w:trHeight w:val="257"/>
        </w:trPr>
        <w:tc>
          <w:tcPr>
            <w:tcW w:w="3860" w:type="dxa"/>
            <w:vAlign w:val="bottom"/>
          </w:tcPr>
          <w:p>
            <w:pPr>
              <w:ind w:left="20"/>
              <w:spacing w:after="0"/>
              <w:rPr>
                <w:sz w:val="20"/>
                <w:szCs w:val="20"/>
                <w:color w:val="auto"/>
              </w:rPr>
            </w:pPr>
            <w:r>
              <w:rPr>
                <w:rFonts w:ascii="Arial" w:cs="Arial" w:eastAsia="Arial" w:hAnsi="Arial"/>
                <w:sz w:val="18"/>
                <w:szCs w:val="18"/>
                <w:color w:val="auto"/>
              </w:rPr>
              <w:t>Total change</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2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(150.5)</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(257.4)</w:t>
            </w: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Three Months Ended June 30, 2019 and June 30, 2018</w:t>
      </w:r>
    </w:p>
    <w:p>
      <w:pPr>
        <w:spacing w:after="0" w:line="225"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Net sales decreased $150.5 million, or 22.2%, as compared to the same period in 2018. The net sales decrease was primarily attributable to the continued secular decline in the paper industry as well as managing risk in the Print segment through strategic adjustments to the Company's customer base and product offerings, partially offset by higher market prices.</w:t>
      </w:r>
    </w:p>
    <w:p>
      <w:pPr>
        <w:spacing w:after="0" w:line="181" w:lineRule="exact"/>
        <w:rPr>
          <w:sz w:val="20"/>
          <w:szCs w:val="20"/>
          <w:color w:val="auto"/>
        </w:rPr>
      </w:pPr>
    </w:p>
    <w:p>
      <w:pPr>
        <w:ind w:right="20" w:firstLine="648"/>
        <w:spacing w:after="0" w:line="271" w:lineRule="auto"/>
        <w:rPr>
          <w:rFonts w:ascii="Arial" w:cs="Arial" w:eastAsia="Arial" w:hAnsi="Arial"/>
          <w:sz w:val="17"/>
          <w:szCs w:val="17"/>
          <w:color w:val="auto"/>
        </w:rPr>
      </w:pPr>
      <w:r>
        <w:rPr>
          <w:rFonts w:ascii="Arial" w:cs="Arial" w:eastAsia="Arial" w:hAnsi="Arial"/>
          <w:sz w:val="17"/>
          <w:szCs w:val="17"/>
          <w:color w:val="auto"/>
        </w:rPr>
        <w:t xml:space="preserve">Adjusted EBITDA decreased $7.1 million, or 36.6%, as compared to the same period in 2018. The Adjusted EBITDA decrease was primarily driven by the decline in net sales and cost of products sold decreasing at a slower rate than net sales, partially offset by a $10.1 million decrease in selling and administrative expenses and a $5.6 million decrease in distribution expenses. The decrease in selling and administration expenses was primarily due to (i) a $6.1 million decrease in personnel expenses due to a decrease in commission expense driven by lower net sales and a decrease in headcount and commission expense related to the Print segment restructuring plan and (ii) a $3.5 million decrease in bad debt expense. See </w:t>
      </w:r>
      <w:hyperlink w:anchor="page18">
        <w:r>
          <w:rPr>
            <w:rFonts w:ascii="Arial" w:cs="Arial" w:eastAsia="Arial" w:hAnsi="Arial"/>
            <w:sz w:val="17"/>
            <w:szCs w:val="17"/>
            <w:u w:val="single" w:color="auto"/>
            <w:color w:val="0000EE"/>
          </w:rPr>
          <w:t>Note 4</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of the Notes to Condensed Consolidated Financial Statements for information regarding the Print segment restructuring plan. The decrease in distribution expenses was driven by decreased utilization of the distribution network and was evidenced by (i) a $2.9 million decrease in freight and logistics expense primarily driven by a decrease in third-party freight and fuel expense and (ii) a $2.5 million decrease in personnel expenses.</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Six Months Ended June 30, 2019 and June 30, 2018</w:t>
      </w:r>
    </w:p>
    <w:p>
      <w:pPr>
        <w:spacing w:after="0" w:line="225"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Net sales decreased $257.4 million, or 19.2%, as compared to the same period in 2018. The net sales decrease was primarily attributable to the continued secular decline in the paper industry as well as managing risk in the Print segment through strategic adjustments to the Company's customer base and product offerings, partially offset by higher market prices.</w:t>
      </w:r>
    </w:p>
    <w:p>
      <w:pPr>
        <w:spacing w:after="0" w:line="181" w:lineRule="exact"/>
        <w:rPr>
          <w:sz w:val="20"/>
          <w:szCs w:val="20"/>
          <w:color w:val="auto"/>
        </w:rPr>
      </w:pPr>
    </w:p>
    <w:p>
      <w:pPr>
        <w:ind w:firstLine="648"/>
        <w:spacing w:after="0" w:line="290" w:lineRule="auto"/>
        <w:rPr>
          <w:rFonts w:ascii="Arial" w:cs="Arial" w:eastAsia="Arial" w:hAnsi="Arial"/>
          <w:sz w:val="16"/>
          <w:szCs w:val="16"/>
          <w:color w:val="auto"/>
        </w:rPr>
      </w:pPr>
      <w:r>
        <w:rPr>
          <w:rFonts w:ascii="Arial" w:cs="Arial" w:eastAsia="Arial" w:hAnsi="Arial"/>
          <w:sz w:val="16"/>
          <w:szCs w:val="16"/>
          <w:color w:val="auto"/>
        </w:rPr>
        <w:t xml:space="preserve">Adjusted EBITDA decreased $13.6 million, or 41.1%, as compared to the same period in 2018. The Adjusted EBITDA decrease was primarily driven by the decline in net sales and cost of products sold decreasing at a slower rate than net sales, partially offset by a $17.7 million decrease in selling and administrative expenses and an $8.7 million decrease in distribution expenses. The decrease in selling and administration expenses was primarily due to (i) a $13.6 million decrease in personnel expenses due to a decrease in commission expense driven by lower net sales and a decrease in headcount and commission expense related to the Print segment restructuring plan and (ii) a $2.9 million decrease in bad debt expense. See </w:t>
      </w:r>
      <w:hyperlink w:anchor="page18">
        <w:r>
          <w:rPr>
            <w:rFonts w:ascii="Arial" w:cs="Arial" w:eastAsia="Arial" w:hAnsi="Arial"/>
            <w:sz w:val="16"/>
            <w:szCs w:val="16"/>
            <w:u w:val="single" w:color="auto"/>
            <w:color w:val="0000EE"/>
          </w:rPr>
          <w:t>Note 4</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of the Notes to Condensed Consolidated Financial Statements for information regarding the Print segment restructuring plan. The decrease in distribution expenses was driven by decreased utilization of the distribution network and was evidenced by (i) a $5.3 million decrease in freight and logistics expense primarily driven by a decrease in third-party freight, transfer expenses and fuel expense and (ii) a $3.8 million decrease in personnel expenses.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Publishing</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selected data for the Publishing segment:</w:t>
      </w:r>
    </w:p>
    <w:p>
      <w:pPr>
        <w:spacing w:after="0" w:line="167" w:lineRule="exact"/>
        <w:rPr>
          <w:sz w:val="20"/>
          <w:szCs w:val="20"/>
          <w:color w:val="auto"/>
        </w:rPr>
      </w:pPr>
    </w:p>
    <w:tbl>
      <w:tblPr>
        <w:tblLayout w:type="fixed"/>
        <w:tblInd w:w="180" w:type="dxa"/>
        <w:tblCellMar>
          <w:top w:w="0" w:type="dxa"/>
          <w:left w:w="0" w:type="dxa"/>
          <w:bottom w:w="0" w:type="dxa"/>
          <w:right w:w="0" w:type="dxa"/>
        </w:tblCellMar>
      </w:tblPr>
      <w:tr>
        <w:trPr>
          <w:trHeight w:val="216"/>
        </w:trPr>
        <w:tc>
          <w:tcPr>
            <w:tcW w:w="2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80" w:type="dxa"/>
            <w:vAlign w:val="bottom"/>
            <w:gridSpan w:val="6"/>
          </w:tcPr>
          <w:p>
            <w:pPr>
              <w:spacing w:after="0"/>
              <w:rPr>
                <w:sz w:val="20"/>
                <w:szCs w:val="20"/>
                <w:color w:val="auto"/>
              </w:rPr>
            </w:pPr>
            <w:r>
              <w:rPr>
                <w:rFonts w:ascii="Arial" w:cs="Arial" w:eastAsia="Arial" w:hAnsi="Arial"/>
                <w:sz w:val="18"/>
                <w:szCs w:val="18"/>
                <w:b w:val="1"/>
                <w:bCs w:val="1"/>
                <w:color w:val="auto"/>
              </w:rPr>
              <w:t>Three Months Ended June</w:t>
            </w: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34"/>
        </w:trPr>
        <w:tc>
          <w:tcPr>
            <w:tcW w:w="2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8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w w:val="87"/>
              </w:rPr>
              <w:t>30,</w:t>
            </w:r>
          </w:p>
        </w:tc>
        <w:tc>
          <w:tcPr>
            <w:tcW w:w="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20" w:type="dxa"/>
            <w:vAlign w:val="bottom"/>
            <w:gridSpan w:val="3"/>
          </w:tcPr>
          <w:p>
            <w:pPr>
              <w:ind w:left="120"/>
              <w:spacing w:after="0"/>
              <w:rPr>
                <w:sz w:val="20"/>
                <w:szCs w:val="20"/>
                <w:color w:val="auto"/>
              </w:rPr>
            </w:pPr>
            <w:r>
              <w:rPr>
                <w:rFonts w:ascii="Arial" w:cs="Arial" w:eastAsia="Arial" w:hAnsi="Arial"/>
                <w:sz w:val="18"/>
                <w:szCs w:val="18"/>
                <w:b w:val="1"/>
                <w:bCs w:val="1"/>
                <w:color w:val="auto"/>
              </w:rPr>
              <w:t>Increase (Decrease)</w:t>
            </w:r>
          </w:p>
        </w:tc>
        <w:tc>
          <w:tcPr>
            <w:tcW w:w="2300" w:type="dxa"/>
            <w:vAlign w:val="bottom"/>
            <w:gridSpan w:val="6"/>
          </w:tcPr>
          <w:p>
            <w:pPr>
              <w:ind w:left="40"/>
              <w:spacing w:after="0"/>
              <w:rPr>
                <w:sz w:val="20"/>
                <w:szCs w:val="20"/>
                <w:color w:val="auto"/>
              </w:rPr>
            </w:pPr>
            <w:r>
              <w:rPr>
                <w:rFonts w:ascii="Arial" w:cs="Arial" w:eastAsia="Arial" w:hAnsi="Arial"/>
                <w:sz w:val="18"/>
                <w:szCs w:val="18"/>
                <w:b w:val="1"/>
                <w:bCs w:val="1"/>
                <w:color w:val="auto"/>
                <w:w w:val="96"/>
              </w:rPr>
              <w:t>Six Months Ended June 30,</w:t>
            </w:r>
          </w:p>
        </w:tc>
        <w:tc>
          <w:tcPr>
            <w:tcW w:w="220" w:type="dxa"/>
            <w:vAlign w:val="bottom"/>
          </w:tcPr>
          <w:p>
            <w:pPr>
              <w:spacing w:after="0"/>
              <w:rPr>
                <w:sz w:val="20"/>
                <w:szCs w:val="20"/>
                <w:color w:val="auto"/>
              </w:rPr>
            </w:pPr>
          </w:p>
        </w:tc>
        <w:tc>
          <w:tcPr>
            <w:tcW w:w="1900" w:type="dxa"/>
            <w:vAlign w:val="bottom"/>
            <w:gridSpan w:val="2"/>
          </w:tcPr>
          <w:p>
            <w:pPr>
              <w:jc w:val="right"/>
              <w:ind w:right="210"/>
              <w:spacing w:after="0"/>
              <w:rPr>
                <w:sz w:val="20"/>
                <w:szCs w:val="20"/>
                <w:color w:val="auto"/>
              </w:rPr>
            </w:pPr>
            <w:r>
              <w:rPr>
                <w:rFonts w:ascii="Arial" w:cs="Arial" w:eastAsia="Arial" w:hAnsi="Arial"/>
                <w:sz w:val="18"/>
                <w:szCs w:val="18"/>
                <w:b w:val="1"/>
                <w:bCs w:val="1"/>
                <w:color w:val="auto"/>
                <w:w w:val="92"/>
              </w:rPr>
              <w:t>Increase (Decrease)</w:t>
            </w:r>
          </w:p>
        </w:tc>
      </w:tr>
      <w:tr>
        <w:trPr>
          <w:trHeight w:val="27"/>
        </w:trPr>
        <w:tc>
          <w:tcPr>
            <w:tcW w:w="20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7"/>
        </w:trPr>
        <w:tc>
          <w:tcPr>
            <w:tcW w:w="204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120" w:type="dxa"/>
            <w:vAlign w:val="bottom"/>
          </w:tcPr>
          <w:p>
            <w:pPr>
              <w:spacing w:after="0"/>
              <w:rPr>
                <w:sz w:val="20"/>
                <w:szCs w:val="20"/>
                <w:color w:val="auto"/>
              </w:rPr>
            </w:pPr>
          </w:p>
        </w:tc>
        <w:tc>
          <w:tcPr>
            <w:tcW w:w="900" w:type="dxa"/>
            <w:vAlign w:val="bottom"/>
          </w:tcPr>
          <w:p>
            <w:pPr>
              <w:jc w:val="right"/>
              <w:ind w:right="230"/>
              <w:spacing w:after="0"/>
              <w:rPr>
                <w:sz w:val="20"/>
                <w:szCs w:val="20"/>
                <w:color w:val="auto"/>
              </w:rPr>
            </w:pPr>
            <w:r>
              <w:rPr>
                <w:rFonts w:ascii="Arial" w:cs="Arial" w:eastAsia="Arial" w:hAnsi="Arial"/>
                <w:sz w:val="18"/>
                <w:szCs w:val="18"/>
                <w:b w:val="1"/>
                <w:bCs w:val="1"/>
                <w:color w:val="auto"/>
              </w:rPr>
              <w:t>2019</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jc w:val="right"/>
              <w:ind w:right="350"/>
              <w:spacing w:after="0"/>
              <w:rPr>
                <w:sz w:val="20"/>
                <w:szCs w:val="20"/>
                <w:color w:val="auto"/>
              </w:rPr>
            </w:pPr>
            <w:r>
              <w:rPr>
                <w:rFonts w:ascii="Arial" w:cs="Arial" w:eastAsia="Arial" w:hAnsi="Arial"/>
                <w:sz w:val="18"/>
                <w:szCs w:val="18"/>
                <w:b w:val="1"/>
                <w:bCs w:val="1"/>
                <w:color w:val="auto"/>
              </w:rPr>
              <w:t>$</w:t>
            </w:r>
          </w:p>
        </w:tc>
        <w:tc>
          <w:tcPr>
            <w:tcW w:w="116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jc w:val="right"/>
              <w:ind w:right="570"/>
              <w:spacing w:after="0"/>
              <w:rPr>
                <w:sz w:val="20"/>
                <w:szCs w:val="20"/>
                <w:color w:val="auto"/>
              </w:rPr>
            </w:pPr>
            <w:r>
              <w:rPr>
                <w:rFonts w:ascii="Arial" w:cs="Arial" w:eastAsia="Arial" w:hAnsi="Arial"/>
                <w:sz w:val="18"/>
                <w:szCs w:val="18"/>
                <w:b w:val="1"/>
                <w:bCs w:val="1"/>
                <w:color w:val="auto"/>
              </w:rPr>
              <w:t>$</w:t>
            </w:r>
          </w:p>
        </w:tc>
        <w:tc>
          <w:tcPr>
            <w:tcW w:w="94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r>
      <w:tr>
        <w:trPr>
          <w:trHeight w:val="27"/>
        </w:trPr>
        <w:tc>
          <w:tcPr>
            <w:tcW w:w="20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2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203.5</w:t>
            </w:r>
          </w:p>
        </w:tc>
        <w:tc>
          <w:tcPr>
            <w:tcW w:w="38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238.3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(34.8)</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413.6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476.4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(62.8)</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w:t>
            </w:r>
          </w:p>
        </w:tc>
      </w:tr>
      <w:tr>
        <w:trPr>
          <w:trHeight w:val="243"/>
        </w:trPr>
        <w:tc>
          <w:tcPr>
            <w:tcW w:w="2040" w:type="dxa"/>
            <w:vAlign w:val="bottom"/>
          </w:tcPr>
          <w:p>
            <w:pPr>
              <w:ind w:left="20"/>
              <w:spacing w:after="0"/>
              <w:rPr>
                <w:sz w:val="20"/>
                <w:szCs w:val="20"/>
                <w:color w:val="auto"/>
              </w:rPr>
            </w:pPr>
            <w:r>
              <w:rPr>
                <w:rFonts w:ascii="Arial" w:cs="Arial" w:eastAsia="Arial" w:hAnsi="Arial"/>
                <w:sz w:val="18"/>
                <w:szCs w:val="18"/>
                <w:color w:val="auto"/>
              </w:rPr>
              <w:t>Adjusted EBITDA</w:t>
            </w:r>
          </w:p>
        </w:tc>
        <w:tc>
          <w:tcPr>
            <w:tcW w:w="120" w:type="dxa"/>
            <w:vAlign w:val="bottom"/>
          </w:tcPr>
          <w:p>
            <w:pPr>
              <w:spacing w:after="0"/>
              <w:rPr>
                <w:sz w:val="21"/>
                <w:szCs w:val="21"/>
                <w:color w:val="auto"/>
              </w:rPr>
            </w:pPr>
          </w:p>
        </w:tc>
        <w:tc>
          <w:tcPr>
            <w:tcW w:w="900" w:type="dxa"/>
            <w:vAlign w:val="bottom"/>
          </w:tcPr>
          <w:p>
            <w:pPr>
              <w:jc w:val="right"/>
              <w:ind w:right="90"/>
              <w:spacing w:after="0"/>
              <w:rPr>
                <w:sz w:val="20"/>
                <w:szCs w:val="20"/>
                <w:color w:val="auto"/>
              </w:rPr>
            </w:pPr>
            <w:r>
              <w:rPr>
                <w:rFonts w:ascii="Arial" w:cs="Arial" w:eastAsia="Arial" w:hAnsi="Arial"/>
                <w:sz w:val="18"/>
                <w:szCs w:val="18"/>
                <w:color w:val="auto"/>
              </w:rPr>
              <w:t>5.6</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ind w:right="110"/>
              <w:spacing w:after="0"/>
              <w:rPr>
                <w:sz w:val="20"/>
                <w:szCs w:val="20"/>
                <w:color w:val="auto"/>
              </w:rPr>
            </w:pPr>
            <w:r>
              <w:rPr>
                <w:rFonts w:ascii="Arial" w:cs="Arial" w:eastAsia="Arial" w:hAnsi="Arial"/>
                <w:sz w:val="18"/>
                <w:szCs w:val="18"/>
                <w:color w:val="auto"/>
              </w:rPr>
              <w:t>4.8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0.8</w:t>
            </w:r>
          </w:p>
        </w:tc>
        <w:tc>
          <w:tcPr>
            <w:tcW w:w="1160" w:type="dxa"/>
            <w:vAlign w:val="bottom"/>
          </w:tcPr>
          <w:p>
            <w:pPr>
              <w:jc w:val="right"/>
              <w:spacing w:after="0"/>
              <w:rPr>
                <w:sz w:val="20"/>
                <w:szCs w:val="20"/>
                <w:color w:val="auto"/>
              </w:rPr>
            </w:pPr>
            <w:r>
              <w:rPr>
                <w:rFonts w:ascii="Arial" w:cs="Arial" w:eastAsia="Arial" w:hAnsi="Arial"/>
                <w:sz w:val="18"/>
                <w:szCs w:val="18"/>
                <w:color w:val="auto"/>
              </w:rPr>
              <w:t>16.7 %</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90"/>
              <w:spacing w:after="0"/>
              <w:rPr>
                <w:sz w:val="20"/>
                <w:szCs w:val="20"/>
                <w:color w:val="auto"/>
              </w:rPr>
            </w:pPr>
            <w:r>
              <w:rPr>
                <w:rFonts w:ascii="Arial" w:cs="Arial" w:eastAsia="Arial" w:hAnsi="Arial"/>
                <w:sz w:val="18"/>
                <w:szCs w:val="18"/>
                <w:color w:val="auto"/>
              </w:rPr>
              <w:t>11.6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60" w:type="dxa"/>
            <w:vAlign w:val="bottom"/>
          </w:tcPr>
          <w:p>
            <w:pPr>
              <w:jc w:val="right"/>
              <w:ind w:right="190"/>
              <w:spacing w:after="0"/>
              <w:rPr>
                <w:sz w:val="20"/>
                <w:szCs w:val="20"/>
                <w:color w:val="auto"/>
              </w:rPr>
            </w:pPr>
            <w:r>
              <w:rPr>
                <w:rFonts w:ascii="Arial" w:cs="Arial" w:eastAsia="Arial" w:hAnsi="Arial"/>
                <w:sz w:val="18"/>
                <w:szCs w:val="18"/>
                <w:color w:val="auto"/>
              </w:rPr>
              <w:t>(1.2)</w:t>
            </w:r>
          </w:p>
        </w:tc>
        <w:tc>
          <w:tcPr>
            <w:tcW w:w="940" w:type="dxa"/>
            <w:vAlign w:val="bottom"/>
          </w:tcPr>
          <w:p>
            <w:pPr>
              <w:jc w:val="right"/>
              <w:spacing w:after="0"/>
              <w:rPr>
                <w:sz w:val="20"/>
                <w:szCs w:val="20"/>
                <w:color w:val="auto"/>
              </w:rPr>
            </w:pPr>
            <w:r>
              <w:rPr>
                <w:rFonts w:ascii="Arial" w:cs="Arial" w:eastAsia="Arial" w:hAnsi="Arial"/>
                <w:sz w:val="18"/>
                <w:szCs w:val="18"/>
                <w:color w:val="auto"/>
              </w:rPr>
              <w:t>(10.3)%</w:t>
            </w:r>
          </w:p>
        </w:tc>
      </w:tr>
      <w:tr>
        <w:trPr>
          <w:trHeight w:val="27"/>
        </w:trPr>
        <w:tc>
          <w:tcPr>
            <w:tcW w:w="2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29"/>
        </w:trPr>
        <w:tc>
          <w:tcPr>
            <w:tcW w:w="2040" w:type="dxa"/>
            <w:vAlign w:val="bottom"/>
            <w:shd w:val="clear" w:color="auto" w:fill="CCEEFF"/>
          </w:tcPr>
          <w:p>
            <w:pPr>
              <w:ind w:left="20"/>
              <w:spacing w:after="0"/>
              <w:rPr>
                <w:sz w:val="20"/>
                <w:szCs w:val="20"/>
                <w:color w:val="auto"/>
              </w:rPr>
            </w:pPr>
            <w:r>
              <w:rPr>
                <w:rFonts w:ascii="Arial" w:cs="Arial" w:eastAsia="Arial" w:hAnsi="Arial"/>
                <w:sz w:val="18"/>
                <w:szCs w:val="18"/>
                <w:color w:val="auto"/>
                <w:w w:val="99"/>
              </w:rPr>
              <w:t>Adjusted EBITDA as a %</w:t>
            </w: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r>
      <w:tr>
        <w:trPr>
          <w:trHeight w:val="237"/>
        </w:trPr>
        <w:tc>
          <w:tcPr>
            <w:tcW w:w="20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of net sales</w:t>
            </w: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r>
      <w:tr>
        <w:trPr>
          <w:trHeight w:val="459"/>
        </w:trPr>
        <w:tc>
          <w:tcPr>
            <w:tcW w:w="2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160" w:type="dxa"/>
            <w:vAlign w:val="bottom"/>
          </w:tcPr>
          <w:p>
            <w:pPr>
              <w:jc w:val="right"/>
              <w:ind w:right="850"/>
              <w:spacing w:after="0"/>
              <w:rPr>
                <w:sz w:val="20"/>
                <w:szCs w:val="20"/>
                <w:color w:val="auto"/>
              </w:rPr>
            </w:pPr>
            <w:r>
              <w:rPr>
                <w:rFonts w:ascii="Arial" w:cs="Arial" w:eastAsia="Arial" w:hAnsi="Arial"/>
                <w:sz w:val="18"/>
                <w:szCs w:val="18"/>
                <w:color w:val="auto"/>
                <w:w w:val="99"/>
              </w:rPr>
              <w:t>36</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40" w:type="dxa"/>
            <w:vAlign w:val="bottom"/>
          </w:tcPr>
          <w:p>
            <w:pPr>
              <w:spacing w:after="0"/>
              <w:rPr>
                <w:sz w:val="24"/>
                <w:szCs w:val="24"/>
                <w:color w:val="auto"/>
              </w:rPr>
            </w:pPr>
          </w:p>
        </w:tc>
      </w:tr>
    </w:tbl>
    <w:p>
      <w:pPr>
        <w:sectPr>
          <w:pgSz w:w="11900" w:h="16838" w:orient="portrait"/>
          <w:cols w:equalWidth="0" w:num="1">
            <w:col w:w="11400"/>
          </w:cols>
          <w:pgMar w:left="240" w:top="341" w:right="25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the components of the net sales change compared to the prior year:</w:t>
      </w:r>
    </w:p>
    <w:p>
      <w:pPr>
        <w:spacing w:after="0" w:line="167" w:lineRule="exact"/>
        <w:rPr>
          <w:sz w:val="20"/>
          <w:szCs w:val="20"/>
          <w:color w:val="auto"/>
        </w:rPr>
      </w:pPr>
    </w:p>
    <w:tbl>
      <w:tblPr>
        <w:tblLayout w:type="fixed"/>
        <w:tblInd w:w="1460" w:type="dxa"/>
        <w:tblCellMar>
          <w:top w:w="0" w:type="dxa"/>
          <w:left w:w="0" w:type="dxa"/>
          <w:bottom w:w="0" w:type="dxa"/>
          <w:right w:w="0" w:type="dxa"/>
        </w:tblCellMar>
      </w:tblP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40" w:type="dxa"/>
            <w:vAlign w:val="bottom"/>
            <w:gridSpan w:val="4"/>
          </w:tcPr>
          <w:p>
            <w:pPr>
              <w:jc w:val="right"/>
              <w:ind w:right="1490"/>
              <w:spacing w:after="0"/>
              <w:rPr>
                <w:sz w:val="20"/>
                <w:szCs w:val="20"/>
                <w:color w:val="auto"/>
              </w:rPr>
            </w:pPr>
            <w:r>
              <w:rPr>
                <w:rFonts w:ascii="Arial" w:cs="Arial" w:eastAsia="Arial" w:hAnsi="Arial"/>
                <w:sz w:val="18"/>
                <w:szCs w:val="18"/>
                <w:b w:val="1"/>
                <w:bCs w:val="1"/>
                <w:color w:val="auto"/>
              </w:rPr>
              <w:t>Increase (Decrease)</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18"/>
        </w:trPr>
        <w:tc>
          <w:tcPr>
            <w:tcW w:w="3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8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2"/>
              </w:rPr>
              <w:t>Three Months Ended</w:t>
            </w:r>
          </w:p>
        </w:tc>
        <w:tc>
          <w:tcPr>
            <w:tcW w:w="240" w:type="dxa"/>
            <w:vAlign w:val="bottom"/>
          </w:tcPr>
          <w:p>
            <w:pPr>
              <w:spacing w:after="0"/>
              <w:rPr>
                <w:sz w:val="18"/>
                <w:szCs w:val="18"/>
                <w:color w:val="auto"/>
              </w:rPr>
            </w:pPr>
          </w:p>
        </w:tc>
        <w:tc>
          <w:tcPr>
            <w:tcW w:w="1920" w:type="dxa"/>
            <w:vAlign w:val="bottom"/>
          </w:tcPr>
          <w:p>
            <w:pPr>
              <w:jc w:val="right"/>
              <w:ind w:right="310"/>
              <w:spacing w:after="0"/>
              <w:rPr>
                <w:sz w:val="20"/>
                <w:szCs w:val="20"/>
                <w:color w:val="auto"/>
              </w:rPr>
            </w:pPr>
            <w:r>
              <w:rPr>
                <w:rFonts w:ascii="Arial" w:cs="Arial" w:eastAsia="Arial" w:hAnsi="Arial"/>
                <w:sz w:val="18"/>
                <w:szCs w:val="18"/>
                <w:b w:val="1"/>
                <w:bCs w:val="1"/>
                <w:color w:val="auto"/>
                <w:w w:val="96"/>
              </w:rPr>
              <w:t>Six Months Ended</w:t>
            </w:r>
          </w:p>
        </w:tc>
      </w:tr>
      <w:tr>
        <w:trPr>
          <w:trHeight w:val="234"/>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80" w:type="dxa"/>
            <w:vAlign w:val="bottom"/>
            <w:gridSpan w:val="2"/>
          </w:tcPr>
          <w:p>
            <w:pPr>
              <w:ind w:left="680"/>
              <w:spacing w:after="0"/>
              <w:rPr>
                <w:sz w:val="20"/>
                <w:szCs w:val="20"/>
                <w:color w:val="auto"/>
              </w:rPr>
            </w:pPr>
            <w:r>
              <w:rPr>
                <w:rFonts w:ascii="Arial" w:cs="Arial" w:eastAsia="Arial" w:hAnsi="Arial"/>
                <w:sz w:val="18"/>
                <w:szCs w:val="18"/>
                <w:b w:val="1"/>
                <w:bCs w:val="1"/>
                <w:color w:val="auto"/>
              </w:rPr>
              <w:t>June 30,</w:t>
            </w:r>
          </w:p>
        </w:tc>
        <w:tc>
          <w:tcPr>
            <w:tcW w:w="240" w:type="dxa"/>
            <w:vAlign w:val="bottom"/>
          </w:tcPr>
          <w:p>
            <w:pPr>
              <w:spacing w:after="0"/>
              <w:rPr>
                <w:sz w:val="20"/>
                <w:szCs w:val="20"/>
                <w:color w:val="auto"/>
              </w:rPr>
            </w:pPr>
          </w:p>
        </w:tc>
        <w:tc>
          <w:tcPr>
            <w:tcW w:w="1920" w:type="dxa"/>
            <w:vAlign w:val="bottom"/>
          </w:tcPr>
          <w:p>
            <w:pPr>
              <w:jc w:val="right"/>
              <w:ind w:right="650"/>
              <w:spacing w:after="0"/>
              <w:rPr>
                <w:sz w:val="20"/>
                <w:szCs w:val="20"/>
                <w:color w:val="auto"/>
              </w:rPr>
            </w:pPr>
            <w:r>
              <w:rPr>
                <w:rFonts w:ascii="Arial" w:cs="Arial" w:eastAsia="Arial" w:hAnsi="Arial"/>
                <w:sz w:val="18"/>
                <w:szCs w:val="18"/>
                <w:b w:val="1"/>
                <w:bCs w:val="1"/>
                <w:color w:val="auto"/>
              </w:rPr>
              <w:t>June 30,</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37"/>
        </w:trPr>
        <w:tc>
          <w:tcPr>
            <w:tcW w:w="386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2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2019 vs. 2018</w:t>
            </w:r>
          </w:p>
        </w:tc>
        <w:tc>
          <w:tcPr>
            <w:tcW w:w="240" w:type="dxa"/>
            <w:vAlign w:val="bottom"/>
          </w:tcPr>
          <w:p>
            <w:pPr>
              <w:spacing w:after="0"/>
              <w:rPr>
                <w:sz w:val="20"/>
                <w:szCs w:val="20"/>
                <w:color w:val="auto"/>
              </w:rPr>
            </w:pPr>
          </w:p>
        </w:tc>
        <w:tc>
          <w:tcPr>
            <w:tcW w:w="1920" w:type="dxa"/>
            <w:vAlign w:val="bottom"/>
          </w:tcPr>
          <w:p>
            <w:pPr>
              <w:jc w:val="right"/>
              <w:ind w:right="490"/>
              <w:spacing w:after="0"/>
              <w:rPr>
                <w:sz w:val="20"/>
                <w:szCs w:val="20"/>
                <w:color w:val="auto"/>
              </w:rPr>
            </w:pPr>
            <w:r>
              <w:rPr>
                <w:rFonts w:ascii="Arial" w:cs="Arial" w:eastAsia="Arial" w:hAnsi="Arial"/>
                <w:sz w:val="18"/>
                <w:szCs w:val="18"/>
                <w:b w:val="1"/>
                <w:bCs w:val="1"/>
                <w:color w:val="auto"/>
              </w:rPr>
              <w:t>2019 vs. 2018</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44"/>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Volume</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2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(102.4)</w:t>
            </w:r>
          </w:p>
        </w:tc>
      </w:tr>
      <w:tr>
        <w:trPr>
          <w:trHeight w:val="243"/>
        </w:trPr>
        <w:tc>
          <w:tcPr>
            <w:tcW w:w="3860" w:type="dxa"/>
            <w:vAlign w:val="bottom"/>
          </w:tcPr>
          <w:p>
            <w:pPr>
              <w:ind w:left="20"/>
              <w:spacing w:after="0"/>
              <w:rPr>
                <w:sz w:val="20"/>
                <w:szCs w:val="20"/>
                <w:color w:val="auto"/>
              </w:rPr>
            </w:pPr>
            <w:r>
              <w:rPr>
                <w:rFonts w:ascii="Arial" w:cs="Arial" w:eastAsia="Arial" w:hAnsi="Arial"/>
                <w:sz w:val="18"/>
                <w:szCs w:val="18"/>
                <w:color w:val="auto"/>
              </w:rPr>
              <w:t>Foreign currency</w:t>
            </w:r>
          </w:p>
        </w:tc>
        <w:tc>
          <w:tcPr>
            <w:tcW w:w="220" w:type="dxa"/>
            <w:vAlign w:val="bottom"/>
          </w:tcPr>
          <w:p>
            <w:pPr>
              <w:spacing w:after="0"/>
              <w:rPr>
                <w:sz w:val="21"/>
                <w:szCs w:val="21"/>
                <w:color w:val="auto"/>
              </w:rPr>
            </w:pPr>
          </w:p>
        </w:tc>
        <w:tc>
          <w:tcPr>
            <w:tcW w:w="2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9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Price/Mix</w:t>
            </w:r>
          </w:p>
        </w:tc>
        <w:tc>
          <w:tcPr>
            <w:tcW w:w="220" w:type="dxa"/>
            <w:vAlign w:val="bottom"/>
            <w:tcBorders>
              <w:bottom w:val="single" w:sz="8" w:color="CCEEFF"/>
            </w:tcBorders>
            <w:shd w:val="clear" w:color="auto" w:fill="CCEEFF"/>
          </w:tcPr>
          <w:p>
            <w:pPr>
              <w:spacing w:after="0"/>
              <w:rPr>
                <w:sz w:val="23"/>
                <w:szCs w:val="23"/>
                <w:color w:val="auto"/>
              </w:rPr>
            </w:pPr>
          </w:p>
        </w:tc>
        <w:tc>
          <w:tcPr>
            <w:tcW w:w="2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39.6</w:t>
            </w:r>
          </w:p>
        </w:tc>
      </w:tr>
      <w:tr>
        <w:trPr>
          <w:trHeight w:val="257"/>
        </w:trPr>
        <w:tc>
          <w:tcPr>
            <w:tcW w:w="3860" w:type="dxa"/>
            <w:vAlign w:val="bottom"/>
          </w:tcPr>
          <w:p>
            <w:pPr>
              <w:ind w:left="20"/>
              <w:spacing w:after="0"/>
              <w:rPr>
                <w:sz w:val="20"/>
                <w:szCs w:val="20"/>
                <w:color w:val="auto"/>
              </w:rPr>
            </w:pPr>
            <w:r>
              <w:rPr>
                <w:rFonts w:ascii="Arial" w:cs="Arial" w:eastAsia="Arial" w:hAnsi="Arial"/>
                <w:sz w:val="18"/>
                <w:szCs w:val="18"/>
                <w:color w:val="auto"/>
              </w:rPr>
              <w:t>Total change</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2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(34.8)</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(62.8)</w:t>
            </w: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Three Months Ended June 30, 2019 and June 30, 2018</w:t>
      </w:r>
    </w:p>
    <w:p>
      <w:pPr>
        <w:spacing w:after="0" w:line="225"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Net sales decreased $34.8 million, or 14.6%, as compared to the same period in 2018. The net sales decrease was primarily attributable to the continued secular decline in the paper industry, partially offset by higher market prices.</w:t>
      </w:r>
    </w:p>
    <w:p>
      <w:pPr>
        <w:spacing w:after="0" w:line="170"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Adjusted EBITDA increased $0.8 million, or 16.7%, as compared to the same period in 2018. The Adjusted EBITDA increase was due in part to cost of products sold decreasing at a faster rate than net sales, partially offset by the decline in net sales.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Six Months Ended June 30, 2019 and June 30, 2018</w:t>
      </w:r>
    </w:p>
    <w:p>
      <w:pPr>
        <w:spacing w:after="0" w:line="225"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Net sales decreased $62.8 million, or 13.2%, as compared to the same period in 2018. The net sales decrease was primarily attributable to the continued secular decline in the paper industry, partially offset by higher market prices.</w:t>
      </w:r>
    </w:p>
    <w:p>
      <w:pPr>
        <w:spacing w:after="0" w:line="170" w:lineRule="exact"/>
        <w:rPr>
          <w:sz w:val="20"/>
          <w:szCs w:val="20"/>
          <w:color w:val="auto"/>
        </w:rPr>
      </w:pPr>
    </w:p>
    <w:p>
      <w:pPr>
        <w:jc w:val="both"/>
        <w:ind w:right="480" w:firstLine="648"/>
        <w:spacing w:after="0" w:line="264" w:lineRule="auto"/>
        <w:rPr>
          <w:sz w:val="20"/>
          <w:szCs w:val="20"/>
          <w:color w:val="auto"/>
        </w:rPr>
      </w:pPr>
      <w:r>
        <w:rPr>
          <w:rFonts w:ascii="Arial" w:cs="Arial" w:eastAsia="Arial" w:hAnsi="Arial"/>
          <w:sz w:val="18"/>
          <w:szCs w:val="18"/>
          <w:color w:val="auto"/>
        </w:rPr>
        <w:t>Adjusted EBITDA decreased $1.2 million, or 10.3%, as compared to the same period in 2018. The Adjusted EBITDA decrease was primarily attributable to a decline in net sales, partially offset by a $1.8 million decrease in selling and administrative expenses which was primarily driven by a decrease in personnel expense, and cost of products sold decreasing at a faster rate than net sales.</w:t>
      </w: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&amp; Other</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table below presents selected data for Corporate &amp; Other:</w:t>
      </w:r>
    </w:p>
    <w:p>
      <w:pPr>
        <w:spacing w:after="0" w:line="167" w:lineRule="exact"/>
        <w:rPr>
          <w:sz w:val="20"/>
          <w:szCs w:val="20"/>
          <w:color w:val="auto"/>
        </w:rPr>
      </w:pPr>
    </w:p>
    <w:tbl>
      <w:tblPr>
        <w:tblLayout w:type="fixed"/>
        <w:tblInd w:w="360" w:type="dxa"/>
        <w:tblCellMar>
          <w:top w:w="0" w:type="dxa"/>
          <w:left w:w="0" w:type="dxa"/>
          <w:bottom w:w="0" w:type="dxa"/>
          <w:right w:w="0" w:type="dxa"/>
        </w:tblCellMar>
      </w:tblPr>
      <w:tr>
        <w:trPr>
          <w:trHeight w:val="216"/>
        </w:trPr>
        <w:tc>
          <w:tcPr>
            <w:tcW w:w="1560" w:type="dxa"/>
            <w:vAlign w:val="bottom"/>
          </w:tcPr>
          <w:p>
            <w:pPr>
              <w:spacing w:after="0"/>
              <w:rPr>
                <w:sz w:val="18"/>
                <w:szCs w:val="18"/>
                <w:color w:val="auto"/>
              </w:rPr>
            </w:pPr>
          </w:p>
        </w:tc>
        <w:tc>
          <w:tcPr>
            <w:tcW w:w="2280" w:type="dxa"/>
            <w:vAlign w:val="bottom"/>
            <w:gridSpan w:val="7"/>
          </w:tcPr>
          <w:p>
            <w:pPr>
              <w:jc w:val="center"/>
              <w:ind w:right="100"/>
              <w:spacing w:after="0"/>
              <w:rPr>
                <w:sz w:val="20"/>
                <w:szCs w:val="20"/>
                <w:color w:val="auto"/>
              </w:rPr>
            </w:pPr>
            <w:r>
              <w:rPr>
                <w:rFonts w:ascii="Arial" w:cs="Arial" w:eastAsia="Arial" w:hAnsi="Arial"/>
                <w:sz w:val="18"/>
                <w:szCs w:val="18"/>
                <w:b w:val="1"/>
                <w:bCs w:val="1"/>
                <w:color w:val="auto"/>
                <w:w w:val="91"/>
              </w:rPr>
              <w:t>Three Months Ended June</w:t>
            </w: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80" w:type="dxa"/>
            <w:vAlign w:val="bottom"/>
            <w:gridSpan w:val="5"/>
          </w:tcPr>
          <w:p>
            <w:pPr>
              <w:jc w:val="center"/>
              <w:ind w:right="220"/>
              <w:spacing w:after="0"/>
              <w:rPr>
                <w:sz w:val="20"/>
                <w:szCs w:val="20"/>
                <w:color w:val="auto"/>
              </w:rPr>
            </w:pPr>
            <w:r>
              <w:rPr>
                <w:rFonts w:ascii="Arial" w:cs="Arial" w:eastAsia="Arial" w:hAnsi="Arial"/>
                <w:sz w:val="18"/>
                <w:szCs w:val="18"/>
                <w:b w:val="1"/>
                <w:bCs w:val="1"/>
                <w:color w:val="auto"/>
                <w:w w:val="89"/>
              </w:rPr>
              <w:t>Six Months Ended June</w:t>
            </w:r>
          </w:p>
        </w:tc>
        <w:tc>
          <w:tcPr>
            <w:tcW w:w="2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4"/>
        </w:trPr>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87"/>
              </w:rPr>
              <w:t>30,</w:t>
            </w: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20" w:type="dxa"/>
            <w:vAlign w:val="bottom"/>
            <w:gridSpan w:val="4"/>
          </w:tcPr>
          <w:p>
            <w:pPr>
              <w:jc w:val="right"/>
              <w:ind w:right="580"/>
              <w:spacing w:after="0"/>
              <w:rPr>
                <w:sz w:val="20"/>
                <w:szCs w:val="20"/>
                <w:color w:val="auto"/>
              </w:rPr>
            </w:pPr>
            <w:r>
              <w:rPr>
                <w:rFonts w:ascii="Arial" w:cs="Arial" w:eastAsia="Arial" w:hAnsi="Arial"/>
                <w:sz w:val="18"/>
                <w:szCs w:val="18"/>
                <w:b w:val="1"/>
                <w:bCs w:val="1"/>
                <w:color w:val="auto"/>
                <w:w w:val="95"/>
              </w:rPr>
              <w:t>Increase (Decrease)</w:t>
            </w:r>
          </w:p>
        </w:tc>
        <w:tc>
          <w:tcPr>
            <w:tcW w:w="1040" w:type="dxa"/>
            <w:vAlign w:val="bottom"/>
            <w:gridSpan w:val="2"/>
          </w:tcPr>
          <w:p>
            <w:pPr>
              <w:jc w:val="right"/>
              <w:spacing w:after="0"/>
              <w:rPr>
                <w:sz w:val="20"/>
                <w:szCs w:val="20"/>
                <w:color w:val="auto"/>
              </w:rPr>
            </w:pPr>
            <w:r>
              <w:rPr>
                <w:rFonts w:ascii="Arial" w:cs="Arial" w:eastAsia="Arial" w:hAnsi="Arial"/>
                <w:sz w:val="18"/>
                <w:szCs w:val="18"/>
                <w:b w:val="1"/>
                <w:bCs w:val="1"/>
                <w:color w:val="auto"/>
              </w:rPr>
              <w:t>30,</w:t>
            </w: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60" w:type="dxa"/>
            <w:vAlign w:val="bottom"/>
            <w:gridSpan w:val="2"/>
          </w:tcPr>
          <w:p>
            <w:pPr>
              <w:jc w:val="right"/>
              <w:ind w:right="330"/>
              <w:spacing w:after="0"/>
              <w:rPr>
                <w:sz w:val="20"/>
                <w:szCs w:val="20"/>
                <w:color w:val="auto"/>
              </w:rPr>
            </w:pPr>
            <w:r>
              <w:rPr>
                <w:rFonts w:ascii="Arial" w:cs="Arial" w:eastAsia="Arial" w:hAnsi="Arial"/>
                <w:sz w:val="18"/>
                <w:szCs w:val="18"/>
                <w:b w:val="1"/>
                <w:bCs w:val="1"/>
                <w:color w:val="auto"/>
                <w:w w:val="95"/>
              </w:rPr>
              <w:t>Increase (Decrease)</w:t>
            </w:r>
          </w:p>
        </w:tc>
      </w:tr>
      <w:tr>
        <w:trPr>
          <w:trHeight w:val="27"/>
        </w:trPr>
        <w:tc>
          <w:tcPr>
            <w:tcW w:w="15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156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220" w:type="dxa"/>
            <w:vAlign w:val="bottom"/>
          </w:tcPr>
          <w:p>
            <w:pPr>
              <w:spacing w:after="0"/>
              <w:rPr>
                <w:sz w:val="20"/>
                <w:szCs w:val="20"/>
                <w:color w:val="auto"/>
              </w:rPr>
            </w:pPr>
          </w:p>
        </w:tc>
        <w:tc>
          <w:tcPr>
            <w:tcW w:w="740" w:type="dxa"/>
            <w:vAlign w:val="bottom"/>
          </w:tcPr>
          <w:p>
            <w:pPr>
              <w:jc w:val="right"/>
              <w:ind w:right="190"/>
              <w:spacing w:after="0"/>
              <w:rPr>
                <w:sz w:val="20"/>
                <w:szCs w:val="20"/>
                <w:color w:val="auto"/>
              </w:rPr>
            </w:pPr>
            <w:r>
              <w:rPr>
                <w:rFonts w:ascii="Arial" w:cs="Arial" w:eastAsia="Arial" w:hAnsi="Arial"/>
                <w:sz w:val="18"/>
                <w:szCs w:val="18"/>
                <w:b w:val="1"/>
                <w:bCs w:val="1"/>
                <w:color w:val="auto"/>
              </w:rPr>
              <w:t>2019</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ind w:right="630"/>
              <w:spacing w:after="0"/>
              <w:rPr>
                <w:sz w:val="20"/>
                <w:szCs w:val="20"/>
                <w:color w:val="auto"/>
              </w:rPr>
            </w:pPr>
            <w:r>
              <w:rPr>
                <w:rFonts w:ascii="Arial" w:cs="Arial" w:eastAsia="Arial" w:hAnsi="Arial"/>
                <w:sz w:val="18"/>
                <w:szCs w:val="18"/>
                <w:b w:val="1"/>
                <w:bCs w:val="1"/>
                <w:color w:val="auto"/>
              </w:rPr>
              <w:t>$</w:t>
            </w:r>
          </w:p>
        </w:tc>
        <w:tc>
          <w:tcPr>
            <w:tcW w:w="940" w:type="dxa"/>
            <w:vAlign w:val="bottom"/>
          </w:tcPr>
          <w:p>
            <w:pPr>
              <w:jc w:val="right"/>
              <w:ind w:right="41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jc w:val="right"/>
              <w:ind w:right="2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40" w:type="dxa"/>
            <w:vAlign w:val="bottom"/>
          </w:tcPr>
          <w:p>
            <w:pPr>
              <w:jc w:val="right"/>
              <w:ind w:right="650"/>
              <w:spacing w:after="0"/>
              <w:rPr>
                <w:sz w:val="20"/>
                <w:szCs w:val="20"/>
                <w:color w:val="auto"/>
              </w:rPr>
            </w:pPr>
            <w:r>
              <w:rPr>
                <w:rFonts w:ascii="Arial" w:cs="Arial" w:eastAsia="Arial" w:hAnsi="Arial"/>
                <w:sz w:val="18"/>
                <w:szCs w:val="18"/>
                <w:b w:val="1"/>
                <w:bCs w:val="1"/>
                <w:color w:val="auto"/>
              </w:rPr>
              <w:t>$</w:t>
            </w:r>
          </w:p>
        </w:tc>
        <w:tc>
          <w:tcPr>
            <w:tcW w:w="1020" w:type="dxa"/>
            <w:vAlign w:val="bottom"/>
          </w:tcPr>
          <w:p>
            <w:pPr>
              <w:jc w:val="right"/>
              <w:ind w:right="470"/>
              <w:spacing w:after="0"/>
              <w:rPr>
                <w:sz w:val="20"/>
                <w:szCs w:val="20"/>
                <w:color w:val="auto"/>
              </w:rPr>
            </w:pPr>
            <w:r>
              <w:rPr>
                <w:rFonts w:ascii="Arial" w:cs="Arial" w:eastAsia="Arial" w:hAnsi="Arial"/>
                <w:sz w:val="18"/>
                <w:szCs w:val="18"/>
                <w:b w:val="1"/>
                <w:bCs w:val="1"/>
                <w:color w:val="auto"/>
              </w:rPr>
              <w:t>%</w:t>
            </w:r>
          </w:p>
        </w:tc>
      </w:tr>
      <w:tr>
        <w:trPr>
          <w:trHeight w:val="27"/>
        </w:trPr>
        <w:tc>
          <w:tcPr>
            <w:tcW w:w="15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1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32.9</w:t>
            </w:r>
          </w:p>
        </w:tc>
        <w:tc>
          <w:tcPr>
            <w:tcW w:w="40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(0.1)</w:t>
            </w:r>
          </w:p>
        </w:tc>
        <w:tc>
          <w:tcPr>
            <w:tcW w:w="118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(0.3)%  $</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(2.8)</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w:t>
            </w:r>
          </w:p>
        </w:tc>
      </w:tr>
      <w:tr>
        <w:trPr>
          <w:trHeight w:val="243"/>
        </w:trPr>
        <w:tc>
          <w:tcPr>
            <w:tcW w:w="1560" w:type="dxa"/>
            <w:vAlign w:val="bottom"/>
          </w:tcPr>
          <w:p>
            <w:pPr>
              <w:ind w:left="20"/>
              <w:spacing w:after="0"/>
              <w:rPr>
                <w:sz w:val="20"/>
                <w:szCs w:val="20"/>
                <w:color w:val="auto"/>
              </w:rPr>
            </w:pPr>
            <w:r>
              <w:rPr>
                <w:rFonts w:ascii="Arial" w:cs="Arial" w:eastAsia="Arial" w:hAnsi="Arial"/>
                <w:sz w:val="18"/>
                <w:szCs w:val="18"/>
                <w:color w:val="auto"/>
              </w:rPr>
              <w:t>Adjusted EBITDA</w:t>
            </w:r>
          </w:p>
        </w:tc>
        <w:tc>
          <w:tcPr>
            <w:tcW w:w="220" w:type="dxa"/>
            <w:vAlign w:val="bottom"/>
          </w:tcPr>
          <w:p>
            <w:pPr>
              <w:spacing w:after="0"/>
              <w:rPr>
                <w:sz w:val="21"/>
                <w:szCs w:val="21"/>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(48.4)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(50.8)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40" w:type="dxa"/>
            <w:vAlign w:val="bottom"/>
          </w:tcPr>
          <w:p>
            <w:pPr>
              <w:jc w:val="right"/>
              <w:ind w:right="250"/>
              <w:spacing w:after="0"/>
              <w:rPr>
                <w:sz w:val="20"/>
                <w:szCs w:val="20"/>
                <w:color w:val="auto"/>
              </w:rPr>
            </w:pPr>
            <w:r>
              <w:rPr>
                <w:rFonts w:ascii="Arial" w:cs="Arial" w:eastAsia="Arial" w:hAnsi="Arial"/>
                <w:sz w:val="18"/>
                <w:szCs w:val="18"/>
                <w:color w:val="auto"/>
              </w:rPr>
              <w:t>2.4</w:t>
            </w:r>
          </w:p>
        </w:tc>
        <w:tc>
          <w:tcPr>
            <w:tcW w:w="940" w:type="dxa"/>
            <w:vAlign w:val="bottom"/>
          </w:tcPr>
          <w:p>
            <w:pPr>
              <w:jc w:val="right"/>
              <w:spacing w:after="0"/>
              <w:rPr>
                <w:sz w:val="20"/>
                <w:szCs w:val="20"/>
                <w:color w:val="auto"/>
              </w:rPr>
            </w:pPr>
            <w:r>
              <w:rPr>
                <w:rFonts w:ascii="Arial" w:cs="Arial" w:eastAsia="Arial" w:hAnsi="Arial"/>
                <w:sz w:val="18"/>
                <w:szCs w:val="18"/>
                <w:color w:val="auto"/>
              </w:rPr>
              <w:t>4.7 %</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(92.4)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(99.3)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ind w:right="270"/>
              <w:spacing w:after="0"/>
              <w:rPr>
                <w:sz w:val="20"/>
                <w:szCs w:val="20"/>
                <w:color w:val="auto"/>
              </w:rPr>
            </w:pPr>
            <w:r>
              <w:rPr>
                <w:rFonts w:ascii="Arial" w:cs="Arial" w:eastAsia="Arial" w:hAnsi="Arial"/>
                <w:sz w:val="18"/>
                <w:szCs w:val="18"/>
                <w:color w:val="auto"/>
              </w:rPr>
              <w:t>6.9</w:t>
            </w:r>
          </w:p>
        </w:tc>
        <w:tc>
          <w:tcPr>
            <w:tcW w:w="1020" w:type="dxa"/>
            <w:vAlign w:val="bottom"/>
          </w:tcPr>
          <w:p>
            <w:pPr>
              <w:jc w:val="right"/>
              <w:spacing w:after="0"/>
              <w:rPr>
                <w:sz w:val="20"/>
                <w:szCs w:val="20"/>
                <w:color w:val="auto"/>
              </w:rPr>
            </w:pPr>
            <w:r>
              <w:rPr>
                <w:rFonts w:ascii="Arial" w:cs="Arial" w:eastAsia="Arial" w:hAnsi="Arial"/>
                <w:sz w:val="18"/>
                <w:szCs w:val="18"/>
                <w:color w:val="auto"/>
              </w:rPr>
              <w:t>6.9 %</w:t>
            </w: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Three Months Ended June 30, 2019 and June 30, 2018</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sales were flat as compared to the same period in 2018.</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Adjusted EBITDA increased $2.4 million, or 4.7%, primarily driven by (i) a $1.2 million decrease in selling and administrative expenses which was due mainly to a decrease in professional fees and (ii) cost of products sold decreasing at a faster rate than net sales.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Comparison of the Six Months Ended June 30, 2019 and June 30, 2018</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Net sales decreased $2.8 million, or 4.0%, as compared to the same period in 2018 driven by a decrease in volume of freight brokerage services.</w:t>
      </w:r>
    </w:p>
    <w:p>
      <w:pPr>
        <w:spacing w:after="0" w:line="248"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Adjusted EBITDA increased $6.9 million, or 6.9%, primarily driven by a $6.2 million decrease in selling and administrative expenses which was due mainly to lower incentive compensation expense.</w:t>
      </w:r>
    </w:p>
    <w:p>
      <w:pPr>
        <w:spacing w:after="0" w:line="19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340"/>
          </w:cols>
          <w:pgMar w:left="240" w:top="341" w:right="31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The cash requirements of the Company are provided by cash flows from operations and borrowings under the ABL Facility. The following table sets forth a summary of cash flows:</w:t>
      </w:r>
    </w:p>
    <w:p>
      <w:pPr>
        <w:spacing w:after="0" w:line="112" w:lineRule="exact"/>
        <w:rPr>
          <w:sz w:val="20"/>
          <w:szCs w:val="20"/>
          <w:color w:val="auto"/>
        </w:rPr>
      </w:pPr>
    </w:p>
    <w:tbl>
      <w:tblPr>
        <w:tblLayout w:type="fixed"/>
        <w:tblInd w:w="760" w:type="dxa"/>
        <w:tblCellMar>
          <w:top w:w="0" w:type="dxa"/>
          <w:left w:w="0" w:type="dxa"/>
          <w:bottom w:w="0" w:type="dxa"/>
          <w:right w:w="0" w:type="dxa"/>
        </w:tblCellMar>
      </w:tblPr>
      <w:tr>
        <w:trPr>
          <w:trHeight w:val="234"/>
        </w:trPr>
        <w:tc>
          <w:tcPr>
            <w:tcW w:w="64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140" w:type="dxa"/>
            <w:vAlign w:val="bottom"/>
            <w:gridSpan w:val="4"/>
          </w:tcPr>
          <w:p>
            <w:pPr>
              <w:jc w:val="right"/>
              <w:ind w:right="610"/>
              <w:spacing w:after="0"/>
              <w:rPr>
                <w:sz w:val="20"/>
                <w:szCs w:val="20"/>
                <w:color w:val="auto"/>
              </w:rPr>
            </w:pPr>
            <w:r>
              <w:rPr>
                <w:rFonts w:ascii="Arial" w:cs="Arial" w:eastAsia="Arial" w:hAnsi="Arial"/>
                <w:sz w:val="18"/>
                <w:szCs w:val="18"/>
                <w:b w:val="1"/>
                <w:bCs w:val="1"/>
                <w:color w:val="auto"/>
              </w:rPr>
              <w:t>Six Months Ended June 30,</w:t>
            </w:r>
          </w:p>
        </w:tc>
      </w:tr>
      <w:tr>
        <w:trPr>
          <w:trHeight w:val="27"/>
        </w:trPr>
        <w:tc>
          <w:tcPr>
            <w:tcW w:w="642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7"/>
        </w:trPr>
        <w:tc>
          <w:tcPr>
            <w:tcW w:w="6420" w:type="dxa"/>
            <w:vAlign w:val="bottom"/>
          </w:tcPr>
          <w:p>
            <w:pPr>
              <w:ind w:left="20"/>
              <w:spacing w:after="0"/>
              <w:rPr>
                <w:sz w:val="20"/>
                <w:szCs w:val="20"/>
                <w:color w:val="auto"/>
              </w:rPr>
            </w:pPr>
            <w:r>
              <w:rPr>
                <w:rFonts w:ascii="Arial" w:cs="Arial" w:eastAsia="Arial" w:hAnsi="Arial"/>
                <w:sz w:val="18"/>
                <w:szCs w:val="18"/>
                <w:i w:val="1"/>
                <w:iCs w:val="1"/>
                <w:color w:val="auto"/>
              </w:rPr>
              <w:t>(in millions)</w:t>
            </w:r>
          </w:p>
        </w:tc>
        <w:tc>
          <w:tcPr>
            <w:tcW w:w="38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Arial" w:cs="Arial" w:eastAsia="Arial" w:hAnsi="Arial"/>
                <w:sz w:val="18"/>
                <w:szCs w:val="18"/>
                <w:b w:val="1"/>
                <w:bCs w:val="1"/>
                <w:color w:val="auto"/>
              </w:rPr>
              <w:t>2018</w:t>
            </w:r>
          </w:p>
        </w:tc>
      </w:tr>
      <w:tr>
        <w:trPr>
          <w:trHeight w:val="27"/>
        </w:trPr>
        <w:tc>
          <w:tcPr>
            <w:tcW w:w="64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6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(used for):</w:t>
            </w:r>
          </w:p>
        </w:tc>
        <w:tc>
          <w:tcPr>
            <w:tcW w:w="3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r>
      <w:tr>
        <w:trPr>
          <w:trHeight w:val="243"/>
        </w:trPr>
        <w:tc>
          <w:tcPr>
            <w:tcW w:w="6420" w:type="dxa"/>
            <w:vAlign w:val="bottom"/>
          </w:tcPr>
          <w:p>
            <w:pPr>
              <w:ind w:left="260"/>
              <w:spacing w:after="0"/>
              <w:rPr>
                <w:sz w:val="20"/>
                <w:szCs w:val="20"/>
                <w:color w:val="auto"/>
              </w:rPr>
            </w:pPr>
            <w:r>
              <w:rPr>
                <w:rFonts w:ascii="Arial" w:cs="Arial" w:eastAsia="Arial" w:hAnsi="Arial"/>
                <w:sz w:val="18"/>
                <w:szCs w:val="18"/>
                <w:color w:val="auto"/>
              </w:rPr>
              <w:t>Operating activities</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182.2</w:t>
            </w:r>
          </w:p>
        </w:tc>
        <w:tc>
          <w:tcPr>
            <w:tcW w:w="1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8.0</w:t>
            </w:r>
          </w:p>
        </w:tc>
      </w:tr>
      <w:tr>
        <w:trPr>
          <w:trHeight w:val="27"/>
        </w:trPr>
        <w:tc>
          <w:tcPr>
            <w:tcW w:w="64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Investing activities</w:t>
            </w:r>
          </w:p>
        </w:tc>
        <w:tc>
          <w:tcPr>
            <w:tcW w:w="3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w:t>
            </w:r>
          </w:p>
        </w:tc>
      </w:tr>
      <w:tr>
        <w:trPr>
          <w:trHeight w:val="243"/>
        </w:trPr>
        <w:tc>
          <w:tcPr>
            <w:tcW w:w="6420" w:type="dxa"/>
            <w:vAlign w:val="bottom"/>
          </w:tcPr>
          <w:p>
            <w:pPr>
              <w:ind w:left="260"/>
              <w:spacing w:after="0"/>
              <w:rPr>
                <w:sz w:val="20"/>
                <w:szCs w:val="20"/>
                <w:color w:val="auto"/>
              </w:rPr>
            </w:pPr>
            <w:r>
              <w:rPr>
                <w:rFonts w:ascii="Arial" w:cs="Arial" w:eastAsia="Arial" w:hAnsi="Arial"/>
                <w:sz w:val="18"/>
                <w:szCs w:val="18"/>
                <w:color w:val="auto"/>
              </w:rPr>
              <w:t>Financing activities</w:t>
            </w:r>
          </w:p>
        </w:tc>
        <w:tc>
          <w:tcPr>
            <w:tcW w:w="3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(176.0)</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(0.9)</w:t>
            </w:r>
          </w:p>
        </w:tc>
      </w:tr>
    </w:tbl>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17" w:lineRule="exact"/>
        <w:rPr>
          <w:sz w:val="20"/>
          <w:szCs w:val="20"/>
          <w:color w:val="auto"/>
        </w:rPr>
      </w:pPr>
    </w:p>
    <w:p>
      <w:pPr>
        <w:ind w:right="260" w:firstLine="648"/>
        <w:spacing w:after="0" w:line="302" w:lineRule="auto"/>
        <w:rPr>
          <w:sz w:val="20"/>
          <w:szCs w:val="20"/>
          <w:color w:val="auto"/>
        </w:rPr>
      </w:pPr>
      <w:r>
        <w:rPr>
          <w:rFonts w:ascii="Arial" w:cs="Arial" w:eastAsia="Arial" w:hAnsi="Arial"/>
          <w:sz w:val="16"/>
          <w:szCs w:val="16"/>
          <w:color w:val="auto"/>
        </w:rPr>
        <w:t>Net cash provided by operating activities improved by $174.2 million as compared to the prior year primarily as a result of the combination of improvements in the changes in operating assets and liabilities, partially offset by a decline in operating results. The improvements in changes in operating assets and liabilities were primarily due to a decrease in working capital, driven by the decline in net sales and management's focus on working capital improvement, which resulted in decreases in accounts receivable and inventory, which more than offset decreases in accounts payable.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117"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Net cash used for investing activities improved by $2.9 million as compared to the prior year primarily due to lower capital expenditures in the current period.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17" w:lineRule="exact"/>
        <w:rPr>
          <w:sz w:val="20"/>
          <w:szCs w:val="20"/>
          <w:color w:val="auto"/>
        </w:rPr>
      </w:pPr>
    </w:p>
    <w:p>
      <w:pPr>
        <w:ind w:right="400" w:firstLine="648"/>
        <w:spacing w:after="0" w:line="286" w:lineRule="auto"/>
        <w:rPr>
          <w:rFonts w:ascii="Arial" w:cs="Arial" w:eastAsia="Arial" w:hAnsi="Arial"/>
          <w:sz w:val="17"/>
          <w:szCs w:val="17"/>
          <w:color w:val="auto"/>
        </w:rPr>
      </w:pPr>
      <w:r>
        <w:rPr>
          <w:rFonts w:ascii="Arial" w:cs="Arial" w:eastAsia="Arial" w:hAnsi="Arial"/>
          <w:sz w:val="17"/>
          <w:szCs w:val="17"/>
          <w:color w:val="auto"/>
        </w:rPr>
        <w:t xml:space="preserve">Net cash for financing activities was a higher use of cash by $175.1 million as compared to the prior year primarily due to lower net borrowings under the Company's ABL Facility, partially offset by a favorable change in book overdrafts, due to the timing of payments. See </w:t>
      </w:r>
      <w:hyperlink w:anchor="page20">
        <w:r>
          <w:rPr>
            <w:rFonts w:ascii="Arial" w:cs="Arial" w:eastAsia="Arial" w:hAnsi="Arial"/>
            <w:sz w:val="17"/>
            <w:szCs w:val="17"/>
            <w:u w:val="single" w:color="auto"/>
            <w:color w:val="0000EE"/>
          </w:rPr>
          <w:t>Note 5</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of the Notes to Condensed Consolidated Financial Statements for additional information regarding the Company's debt position.</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Funding and Liquidity Strategy</w:t>
      </w:r>
    </w:p>
    <w:p>
      <w:pPr>
        <w:spacing w:after="0" w:line="229" w:lineRule="exact"/>
        <w:rPr>
          <w:sz w:val="20"/>
          <w:szCs w:val="20"/>
          <w:color w:val="auto"/>
        </w:rPr>
      </w:pPr>
    </w:p>
    <w:p>
      <w:pPr>
        <w:ind w:right="100" w:firstLine="648"/>
        <w:spacing w:after="0" w:line="302" w:lineRule="auto"/>
        <w:rPr>
          <w:rFonts w:ascii="Arial" w:cs="Arial" w:eastAsia="Arial" w:hAnsi="Arial"/>
          <w:sz w:val="16"/>
          <w:szCs w:val="16"/>
          <w:color w:val="auto"/>
        </w:rPr>
      </w:pPr>
      <w:r>
        <w:rPr>
          <w:rFonts w:ascii="Arial" w:cs="Arial" w:eastAsia="Arial" w:hAnsi="Arial"/>
          <w:sz w:val="16"/>
          <w:szCs w:val="16"/>
          <w:color w:val="auto"/>
        </w:rPr>
        <w:t xml:space="preserve">Availability under the ABL Facility is determined based upon a monthly borrowing base calculation which includes eligible customer receivables and inventory, less outstanding borrowings, letters of credit and certain designated reserves. As of June 30, 2019, the available additional borrowing capacity under the ABL Facility was approximately $321.3 million. As of June 30, 2019, the Company held $13.0 million in outstanding letters of credit. See </w:t>
      </w:r>
      <w:hyperlink w:anchor="page20">
        <w:r>
          <w:rPr>
            <w:rFonts w:ascii="Arial" w:cs="Arial" w:eastAsia="Arial" w:hAnsi="Arial"/>
            <w:sz w:val="16"/>
            <w:szCs w:val="16"/>
            <w:u w:val="single" w:color="auto"/>
            <w:color w:val="0000EE"/>
          </w:rPr>
          <w:t>Note 5</w:t>
        </w:r>
      </w:hyperlink>
      <w:r>
        <w:rPr>
          <w:rFonts w:ascii="Arial" w:cs="Arial" w:eastAsia="Arial" w:hAnsi="Arial"/>
          <w:sz w:val="16"/>
          <w:szCs w:val="16"/>
          <w:color w:val="auto"/>
        </w:rPr>
        <w:t xml:space="preserve"> of the Notes to Condensed Consolidated Financial Statements for additional information regarding the Company's debt position.</w:t>
      </w:r>
    </w:p>
    <w:p>
      <w:pPr>
        <w:spacing w:after="0" w:line="154"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The ABL Facility has a springing minimum fixed charge coverage ratio of at least 1.00 to 1.00 on a trailing four-quarter basis, which will be tested only when specified availability is less than the limits outlined under the ABL Facility. At June 30, 2019, the above test was not applicable and it is not expected to be applicable in the next 12 months.</w:t>
      </w:r>
    </w:p>
    <w:p>
      <w:pPr>
        <w:spacing w:after="0" w:line="181"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Veritiv's ability to fund its capital needs will depend on its ongoing ability to generate cash from operations, borrowings under the ABL Facility and funds received from capital market offerings. If Veritiv's cash flows from operating activities are lower than expected, the Company will need to borrow under the ABL Facility and may need to incur additional debt or issue additional equity. Although management believes that the arrangements currently in place will permit Veritiv to finance its operations on acceptable terms and conditions, the Company’s access to, and the availability of, financing on acceptable terms and conditions in the future will be impacted by many factors, including the liquidity of the overall capital markets and the current state of the economy.</w:t>
      </w:r>
    </w:p>
    <w:p>
      <w:pPr>
        <w:spacing w:after="0" w:line="158"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Veritiv's management expects that the Company's primary future cash needs will be for working capital, capital expenditures, contractual commitments and strategic investments. Additionally, management expects that cash provided by operating activities and available capacity under the ABL Facility will provide sufficient funds to operate the business and meet other liquidity needs.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341"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right="20" w:firstLine="648"/>
        <w:spacing w:after="0" w:line="279" w:lineRule="auto"/>
        <w:rPr>
          <w:rFonts w:ascii="Arial" w:cs="Arial" w:eastAsia="Arial" w:hAnsi="Arial"/>
          <w:sz w:val="17"/>
          <w:szCs w:val="17"/>
          <w:color w:val="auto"/>
        </w:rPr>
      </w:pPr>
      <w:r>
        <w:rPr>
          <w:rFonts w:ascii="Arial" w:cs="Arial" w:eastAsia="Arial" w:hAnsi="Arial"/>
          <w:sz w:val="17"/>
          <w:szCs w:val="17"/>
          <w:color w:val="auto"/>
        </w:rPr>
        <w:t xml:space="preserve">Veritiv does not have any off-balance sheet arrangements as of June 30, 2019, other than leases that have not yet commenced and the letters of credit under the ABL Facility (see </w:t>
      </w:r>
      <w:hyperlink w:anchor="page15">
        <w:r>
          <w:rPr>
            <w:rFonts w:ascii="Arial" w:cs="Arial" w:eastAsia="Arial" w:hAnsi="Arial"/>
            <w:sz w:val="17"/>
            <w:szCs w:val="17"/>
            <w:u w:val="single" w:color="auto"/>
            <w:color w:val="0000EE"/>
          </w:rPr>
          <w:t>Note 3</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 xml:space="preserve">and </w:t>
      </w:r>
      <w:hyperlink w:anchor="page20">
        <w:r>
          <w:rPr>
            <w:rFonts w:ascii="Arial" w:cs="Arial" w:eastAsia="Arial" w:hAnsi="Arial"/>
            <w:sz w:val="17"/>
            <w:szCs w:val="17"/>
            <w:u w:val="single" w:color="auto"/>
            <w:color w:val="0000EE"/>
          </w:rPr>
          <w:t>Note 5</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of the Notes to Condensed Consolidated Financial Statements, respectively, for additional information on these items). The Company does not have any off-balance sheet arrangements that have or are reasonably likely to have a material current or future effect on its financial condition, revenues or expenses, results of operations, liquidity, capital expenditures or capital resources.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229" w:lineRule="exact"/>
        <w:rPr>
          <w:sz w:val="20"/>
          <w:szCs w:val="20"/>
          <w:color w:val="auto"/>
        </w:rPr>
      </w:pPr>
    </w:p>
    <w:p>
      <w:pPr>
        <w:ind w:right="220" w:firstLine="648"/>
        <w:spacing w:after="0" w:line="312" w:lineRule="auto"/>
        <w:rPr>
          <w:sz w:val="20"/>
          <w:szCs w:val="20"/>
          <w:color w:val="auto"/>
        </w:rPr>
      </w:pPr>
      <w:r>
        <w:rPr>
          <w:rFonts w:ascii="Arial" w:cs="Arial" w:eastAsia="Arial" w:hAnsi="Arial"/>
          <w:sz w:val="16"/>
          <w:szCs w:val="16"/>
          <w:color w:val="auto"/>
        </w:rPr>
        <w:t>During the second quarter of 2019, the Company recorded charges related to the partial withdrawal from a multi-employer pension plan. A $6.5 million charge was recorded as distribution expense as it was unrelated to the Company's restructuring efforts. Final charges for the partial withdrawal will not be known until the plan issues its final determination. The Company expects payments will occur over an approximate 20-year period.</w:t>
      </w:r>
    </w:p>
    <w:p>
      <w:pPr>
        <w:spacing w:after="0" w:line="147"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There have been no other material changes to the Company's contractual obligations from those disclosed in Veritiv's Annual Report on Form 10-K for the year ended December 31, 2018.</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160" w:firstLine="648"/>
        <w:spacing w:after="0" w:line="312" w:lineRule="auto"/>
        <w:rPr>
          <w:rFonts w:ascii="Arial" w:cs="Arial" w:eastAsia="Arial" w:hAnsi="Arial"/>
          <w:sz w:val="16"/>
          <w:szCs w:val="16"/>
          <w:color w:val="auto"/>
        </w:rPr>
      </w:pPr>
      <w:r>
        <w:rPr>
          <w:rFonts w:ascii="Arial" w:cs="Arial" w:eastAsia="Arial" w:hAnsi="Arial"/>
          <w:sz w:val="16"/>
          <w:szCs w:val="16"/>
          <w:color w:val="auto"/>
        </w:rPr>
        <w:t xml:space="preserve">See </w:t>
      </w:r>
      <w:hyperlink w:anchor="page10">
        <w:r>
          <w:rPr>
            <w:rFonts w:ascii="Arial" w:cs="Arial" w:eastAsia="Arial" w:hAnsi="Arial"/>
            <w:sz w:val="16"/>
            <w:szCs w:val="16"/>
            <w:u w:val="single" w:color="auto"/>
            <w:color w:val="0000EE"/>
          </w:rPr>
          <w:t>Note 1</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 xml:space="preserve">and </w:t>
      </w:r>
      <w:hyperlink w:anchor="page15">
        <w:r>
          <w:rPr>
            <w:rFonts w:ascii="Arial" w:cs="Arial" w:eastAsia="Arial" w:hAnsi="Arial"/>
            <w:sz w:val="16"/>
            <w:szCs w:val="16"/>
            <w:u w:val="single" w:color="auto"/>
            <w:color w:val="0000EE"/>
          </w:rPr>
          <w:t>Note 3</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of the Notes to Condensed Consolidated Financial Statements for a description of the impact that adoption of Accounting Standards Update 2016-02</w:t>
      </w:r>
      <w:r>
        <w:rPr>
          <w:rFonts w:ascii="Arial" w:cs="Arial" w:eastAsia="Arial" w:hAnsi="Arial"/>
          <w:sz w:val="16"/>
          <w:szCs w:val="16"/>
          <w:i w:val="1"/>
          <w:iCs w:val="1"/>
          <w:color w:val="auto"/>
        </w:rPr>
        <w:t>, Leases (Topic 842)</w:t>
      </w:r>
      <w:r>
        <w:rPr>
          <w:rFonts w:ascii="Arial" w:cs="Arial" w:eastAsia="Arial" w:hAnsi="Arial"/>
          <w:sz w:val="16"/>
          <w:szCs w:val="16"/>
          <w:color w:val="auto"/>
        </w:rPr>
        <w:t xml:space="preserve"> had on the Company's financial results and related disclosures. There have been no material changes to the Company's critical accounting policies and estimates from those disclosed in Veritiv's Annual Report on Form 10-K for the year ended December 31, 2018.</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29" w:lineRule="exact"/>
        <w:rPr>
          <w:sz w:val="20"/>
          <w:szCs w:val="20"/>
          <w:color w:val="auto"/>
        </w:rPr>
      </w:pPr>
    </w:p>
    <w:p>
      <w:pPr>
        <w:ind w:left="660"/>
        <w:spacing w:after="0"/>
        <w:rPr>
          <w:rFonts w:ascii="Arial" w:cs="Arial" w:eastAsia="Arial" w:hAnsi="Arial"/>
          <w:sz w:val="17"/>
          <w:szCs w:val="17"/>
          <w:color w:val="auto"/>
        </w:rPr>
      </w:pPr>
      <w:r>
        <w:rPr>
          <w:rFonts w:ascii="Arial" w:cs="Arial" w:eastAsia="Arial" w:hAnsi="Arial"/>
          <w:sz w:val="17"/>
          <w:szCs w:val="17"/>
          <w:color w:val="auto"/>
        </w:rPr>
        <w:t xml:space="preserve">See </w:t>
      </w:r>
      <w:hyperlink w:anchor="page10">
        <w:r>
          <w:rPr>
            <w:rFonts w:ascii="Arial" w:cs="Arial" w:eastAsia="Arial" w:hAnsi="Arial"/>
            <w:sz w:val="17"/>
            <w:szCs w:val="17"/>
            <w:u w:val="single" w:color="auto"/>
            <w:color w:val="0000EE"/>
          </w:rPr>
          <w:t>Note 1</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of the Notes to Condensed Consolidated Financial Statements for information regarding recently issued accounting standards.</w:t>
      </w:r>
    </w:p>
    <w:p>
      <w:pPr>
        <w:spacing w:after="0" w:line="22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3. QUANTITATIVE AND QUALITATIVE DISCLOSURES ABOUT MARKET RISK</w:t>
      </w:r>
    </w:p>
    <w:p>
      <w:pPr>
        <w:spacing w:after="0" w:line="224"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There have been no material changes in market risk from the information provided in Item 7A "Quantitative and Qualitative Disclosures about Market Risk" of the Company's Annual Report on Form 10-K for the year ended December 31, 2018.</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CONTROLS AND PROCEDURES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243" w:lineRule="exact"/>
        <w:rPr>
          <w:sz w:val="20"/>
          <w:szCs w:val="20"/>
          <w:color w:val="auto"/>
        </w:rPr>
      </w:pPr>
    </w:p>
    <w:p>
      <w:pPr>
        <w:ind w:firstLine="648"/>
        <w:spacing w:after="0" w:line="312" w:lineRule="auto"/>
        <w:rPr>
          <w:sz w:val="20"/>
          <w:szCs w:val="20"/>
          <w:color w:val="auto"/>
        </w:rPr>
      </w:pPr>
      <w:r>
        <w:rPr>
          <w:rFonts w:ascii="Arial" w:cs="Arial" w:eastAsia="Arial" w:hAnsi="Arial"/>
          <w:sz w:val="16"/>
          <w:szCs w:val="16"/>
          <w:color w:val="auto"/>
        </w:rPr>
        <w:t>The Company’s management has carried out an evaluation, with the participation of its Chief Executive Officer and Chief Financial Officer, of the effectiveness of the Company’s disclosure controls and procedures as defined in Rules 13a-15(e) and 15d-15(e) of the Securities Exchange Act of 1934, as amended. Based upon such evaluation, management has concluded that the Company’s disclosure controls and procedures were effective as of June 30, 2019.</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There have been no changes in the Company's internal control over financial reporting that occurred during the quarter ended June 30, 2019 that has materially affected, or is reasonably likely to materially affect, the Company's internal control over financial reporting.</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380"/>
          </w:cols>
          <w:pgMar w:left="240" w:top="341" w:right="27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44" w:lineRule="exact"/>
        <w:rPr>
          <w:sz w:val="20"/>
          <w:szCs w:val="20"/>
          <w:color w:val="auto"/>
        </w:rPr>
      </w:pPr>
    </w:p>
    <w:p>
      <w:pPr>
        <w:jc w:val="center"/>
        <w:ind w:right="-239"/>
        <w:spacing w:after="0"/>
        <w:rPr>
          <w:sz w:val="20"/>
          <w:szCs w:val="20"/>
          <w:color w:val="auto"/>
        </w:rPr>
      </w:pPr>
      <w:r>
        <w:rPr>
          <w:rFonts w:ascii="Arial" w:cs="Arial" w:eastAsia="Arial" w:hAnsi="Arial"/>
          <w:sz w:val="20"/>
          <w:szCs w:val="20"/>
          <w:b w:val="1"/>
          <w:bCs w:val="1"/>
          <w:color w:val="auto"/>
        </w:rPr>
        <w:t>PART II.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 LEGAL PROCEEDINGS</w:t>
      </w:r>
    </w:p>
    <w:p>
      <w:pPr>
        <w:spacing w:after="0" w:line="224" w:lineRule="exact"/>
        <w:rPr>
          <w:sz w:val="20"/>
          <w:szCs w:val="20"/>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 xml:space="preserve">Refer to </w:t>
      </w:r>
      <w:hyperlink w:anchor="page27">
        <w:r>
          <w:rPr>
            <w:rFonts w:ascii="Arial" w:cs="Arial" w:eastAsia="Arial" w:hAnsi="Arial"/>
            <w:sz w:val="18"/>
            <w:szCs w:val="18"/>
            <w:u w:val="single" w:color="auto"/>
            <w:color w:val="0000EE"/>
          </w:rPr>
          <w:t>Note 12</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of the Notes to Condensed Consolidated Financial Statements.</w:t>
      </w: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1A. RISK FACTORS</w:t>
      </w:r>
    </w:p>
    <w:p>
      <w:pPr>
        <w:spacing w:after="0" w:line="224"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There have been no material changes from the risk factors previously disclosed in the Company's Annual Report on Form 10-K for the year ended December 31, 2018.</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EXHIBITS</w:t>
      </w:r>
    </w:p>
    <w:p>
      <w:pPr>
        <w:spacing w:after="0" w:line="369"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8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1"/>
              </w:rPr>
              <w:t>Exhibit No.</w:t>
            </w:r>
          </w:p>
        </w:tc>
        <w:tc>
          <w:tcPr>
            <w:tcW w:w="420" w:type="dxa"/>
            <w:vAlign w:val="bottom"/>
          </w:tcPr>
          <w:p>
            <w:pPr>
              <w:spacing w:after="0"/>
              <w:rPr>
                <w:sz w:val="17"/>
                <w:szCs w:val="17"/>
                <w:color w:val="auto"/>
              </w:rPr>
            </w:pPr>
          </w:p>
        </w:tc>
        <w:tc>
          <w:tcPr>
            <w:tcW w:w="9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88"/>
              </w:rPr>
              <w:t>Description</w:t>
            </w:r>
          </w:p>
        </w:tc>
        <w:tc>
          <w:tcPr>
            <w:tcW w:w="3640" w:type="dxa"/>
            <w:vAlign w:val="bottom"/>
            <w:gridSpan w:val="5"/>
          </w:tcPr>
          <w:p>
            <w:pPr>
              <w:spacing w:after="0"/>
              <w:rPr>
                <w:sz w:val="17"/>
                <w:szCs w:val="17"/>
                <w:color w:val="auto"/>
              </w:rPr>
            </w:pPr>
          </w:p>
        </w:tc>
      </w:tr>
      <w:tr>
        <w:trPr>
          <w:trHeight w:val="372"/>
        </w:trPr>
        <w:tc>
          <w:tcPr>
            <w:tcW w:w="880" w:type="dxa"/>
            <w:vAlign w:val="bottom"/>
          </w:tcPr>
          <w:p>
            <w:pPr>
              <w:spacing w:after="0"/>
              <w:rPr>
                <w:sz w:val="20"/>
                <w:szCs w:val="20"/>
                <w:color w:val="auto"/>
              </w:rPr>
            </w:pPr>
            <w:r>
              <w:rPr>
                <w:rFonts w:ascii="Arial" w:cs="Arial" w:eastAsia="Arial" w:hAnsi="Arial"/>
                <w:sz w:val="18"/>
                <w:szCs w:val="18"/>
                <w:color w:val="auto"/>
              </w:rPr>
              <w:t>31.1*</w:t>
            </w:r>
          </w:p>
        </w:tc>
        <w:tc>
          <w:tcPr>
            <w:tcW w:w="420" w:type="dxa"/>
            <w:vAlign w:val="bottom"/>
          </w:tcPr>
          <w:p>
            <w:pPr>
              <w:spacing w:after="0"/>
              <w:rPr>
                <w:sz w:val="24"/>
                <w:szCs w:val="24"/>
                <w:color w:val="auto"/>
              </w:rPr>
            </w:pPr>
          </w:p>
        </w:tc>
        <w:tc>
          <w:tcPr>
            <w:tcW w:w="4320" w:type="dxa"/>
            <w:vAlign w:val="bottom"/>
            <w:tcBorders>
              <w:bottom w:val="single" w:sz="8" w:color="0000FF"/>
            </w:tcBorders>
            <w:gridSpan w:val="5"/>
          </w:tcPr>
          <w:p>
            <w:pPr>
              <w:spacing w:after="0"/>
              <w:rPr>
                <w:sz w:val="20"/>
                <w:szCs w:val="20"/>
                <w:color w:val="auto"/>
              </w:rPr>
            </w:pPr>
            <w:r>
              <w:rPr>
                <w:rFonts w:ascii="Arial" w:cs="Arial" w:eastAsia="Arial" w:hAnsi="Arial"/>
                <w:sz w:val="18"/>
                <w:szCs w:val="18"/>
                <w:color w:val="0000FF"/>
                <w:w w:val="92"/>
              </w:rPr>
              <w:t>Rule 13a-14(a) Certification of the Chief Executive Officer.</w:t>
            </w:r>
          </w:p>
        </w:tc>
        <w:tc>
          <w:tcPr>
            <w:tcW w:w="220" w:type="dxa"/>
            <w:vAlign w:val="bottom"/>
          </w:tcPr>
          <w:p>
            <w:pPr>
              <w:spacing w:after="0"/>
              <w:rPr>
                <w:sz w:val="24"/>
                <w:szCs w:val="24"/>
                <w:color w:val="auto"/>
              </w:rPr>
            </w:pPr>
          </w:p>
        </w:tc>
      </w:tr>
      <w:tr>
        <w:trPr>
          <w:trHeight w:val="372"/>
        </w:trPr>
        <w:tc>
          <w:tcPr>
            <w:tcW w:w="880" w:type="dxa"/>
            <w:vAlign w:val="bottom"/>
          </w:tcPr>
          <w:p>
            <w:pPr>
              <w:spacing w:after="0"/>
              <w:rPr>
                <w:sz w:val="20"/>
                <w:szCs w:val="20"/>
                <w:color w:val="auto"/>
              </w:rPr>
            </w:pPr>
            <w:r>
              <w:rPr>
                <w:rFonts w:ascii="Arial" w:cs="Arial" w:eastAsia="Arial" w:hAnsi="Arial"/>
                <w:sz w:val="18"/>
                <w:szCs w:val="18"/>
                <w:color w:val="auto"/>
              </w:rPr>
              <w:t>31.2*</w:t>
            </w:r>
          </w:p>
        </w:tc>
        <w:tc>
          <w:tcPr>
            <w:tcW w:w="420" w:type="dxa"/>
            <w:vAlign w:val="bottom"/>
          </w:tcPr>
          <w:p>
            <w:pPr>
              <w:spacing w:after="0"/>
              <w:rPr>
                <w:sz w:val="24"/>
                <w:szCs w:val="24"/>
                <w:color w:val="auto"/>
              </w:rPr>
            </w:pPr>
          </w:p>
        </w:tc>
        <w:tc>
          <w:tcPr>
            <w:tcW w:w="4540" w:type="dxa"/>
            <w:vAlign w:val="bottom"/>
            <w:gridSpan w:val="6"/>
          </w:tcPr>
          <w:p>
            <w:pPr>
              <w:spacing w:after="0"/>
              <w:rPr>
                <w:sz w:val="20"/>
                <w:szCs w:val="20"/>
                <w:color w:val="auto"/>
              </w:rPr>
            </w:pPr>
            <w:r>
              <w:rPr>
                <w:rFonts w:ascii="Arial" w:cs="Arial" w:eastAsia="Arial" w:hAnsi="Arial"/>
                <w:sz w:val="18"/>
                <w:szCs w:val="18"/>
                <w:color w:val="0000FF"/>
                <w:w w:val="98"/>
              </w:rPr>
              <w:t>Rule 13a-14(a) Certification of the Chief Financial Officer.</w:t>
            </w:r>
          </w:p>
        </w:tc>
      </w:tr>
      <w:tr>
        <w:trPr>
          <w:trHeight w:val="372"/>
        </w:trPr>
        <w:tc>
          <w:tcPr>
            <w:tcW w:w="880" w:type="dxa"/>
            <w:vAlign w:val="bottom"/>
          </w:tcPr>
          <w:p>
            <w:pPr>
              <w:spacing w:after="0"/>
              <w:rPr>
                <w:sz w:val="20"/>
                <w:szCs w:val="20"/>
                <w:color w:val="auto"/>
              </w:rPr>
            </w:pPr>
            <w:r>
              <w:rPr>
                <w:rFonts w:ascii="Arial" w:cs="Arial" w:eastAsia="Arial" w:hAnsi="Arial"/>
                <w:sz w:val="18"/>
                <w:szCs w:val="18"/>
                <w:color w:val="auto"/>
              </w:rPr>
              <w:t>32.1*</w:t>
            </w:r>
          </w:p>
        </w:tc>
        <w:tc>
          <w:tcPr>
            <w:tcW w:w="420" w:type="dxa"/>
            <w:vAlign w:val="bottom"/>
          </w:tcPr>
          <w:p>
            <w:pPr>
              <w:spacing w:after="0"/>
              <w:rPr>
                <w:sz w:val="24"/>
                <w:szCs w:val="24"/>
                <w:color w:val="auto"/>
              </w:rPr>
            </w:pPr>
          </w:p>
        </w:tc>
        <w:tc>
          <w:tcPr>
            <w:tcW w:w="4180" w:type="dxa"/>
            <w:vAlign w:val="bottom"/>
            <w:tcBorders>
              <w:top w:val="single" w:sz="8" w:color="0000FF"/>
              <w:bottom w:val="single" w:sz="8" w:color="0000FF"/>
            </w:tcBorders>
            <w:gridSpan w:val="3"/>
          </w:tcPr>
          <w:p>
            <w:pPr>
              <w:spacing w:after="0"/>
              <w:rPr>
                <w:sz w:val="20"/>
                <w:szCs w:val="20"/>
                <w:color w:val="auto"/>
              </w:rPr>
            </w:pPr>
            <w:r>
              <w:rPr>
                <w:rFonts w:ascii="Arial" w:cs="Arial" w:eastAsia="Arial" w:hAnsi="Arial"/>
                <w:sz w:val="18"/>
                <w:szCs w:val="18"/>
                <w:color w:val="0000FF"/>
                <w:w w:val="92"/>
              </w:rPr>
              <w:t>Section 1350 Certification of the Chief Executive Officer.</w:t>
            </w:r>
          </w:p>
        </w:tc>
        <w:tc>
          <w:tcPr>
            <w:tcW w:w="80" w:type="dxa"/>
            <w:vAlign w:val="bottom"/>
            <w:tcBorders>
              <w:top w:val="single" w:sz="8" w:color="0000FF"/>
            </w:tcBorders>
          </w:tcPr>
          <w:p>
            <w:pPr>
              <w:spacing w:after="0"/>
              <w:rPr>
                <w:sz w:val="24"/>
                <w:szCs w:val="24"/>
                <w:color w:val="auto"/>
              </w:rPr>
            </w:pPr>
          </w:p>
        </w:tc>
        <w:tc>
          <w:tcPr>
            <w:tcW w:w="280" w:type="dxa"/>
            <w:vAlign w:val="bottom"/>
            <w:gridSpan w:val="2"/>
          </w:tcPr>
          <w:p>
            <w:pPr>
              <w:spacing w:after="0"/>
              <w:rPr>
                <w:sz w:val="24"/>
                <w:szCs w:val="24"/>
                <w:color w:val="auto"/>
              </w:rPr>
            </w:pPr>
          </w:p>
        </w:tc>
      </w:tr>
      <w:tr>
        <w:trPr>
          <w:trHeight w:val="372"/>
        </w:trPr>
        <w:tc>
          <w:tcPr>
            <w:tcW w:w="880" w:type="dxa"/>
            <w:vAlign w:val="bottom"/>
          </w:tcPr>
          <w:p>
            <w:pPr>
              <w:spacing w:after="0"/>
              <w:rPr>
                <w:sz w:val="20"/>
                <w:szCs w:val="20"/>
                <w:color w:val="auto"/>
              </w:rPr>
            </w:pPr>
            <w:r>
              <w:rPr>
                <w:rFonts w:ascii="Arial" w:cs="Arial" w:eastAsia="Arial" w:hAnsi="Arial"/>
                <w:sz w:val="18"/>
                <w:szCs w:val="18"/>
                <w:color w:val="auto"/>
              </w:rPr>
              <w:t>32.2*</w:t>
            </w:r>
          </w:p>
        </w:tc>
        <w:tc>
          <w:tcPr>
            <w:tcW w:w="420" w:type="dxa"/>
            <w:vAlign w:val="bottom"/>
          </w:tcPr>
          <w:p>
            <w:pPr>
              <w:spacing w:after="0"/>
              <w:rPr>
                <w:sz w:val="24"/>
                <w:szCs w:val="24"/>
                <w:color w:val="auto"/>
              </w:rPr>
            </w:pPr>
          </w:p>
        </w:tc>
        <w:tc>
          <w:tcPr>
            <w:tcW w:w="4540" w:type="dxa"/>
            <w:vAlign w:val="bottom"/>
            <w:gridSpan w:val="6"/>
          </w:tcPr>
          <w:p>
            <w:pPr>
              <w:spacing w:after="0"/>
              <w:rPr>
                <w:sz w:val="20"/>
                <w:szCs w:val="20"/>
                <w:color w:val="auto"/>
              </w:rPr>
            </w:pPr>
            <w:r>
              <w:rPr>
                <w:rFonts w:ascii="Arial" w:cs="Arial" w:eastAsia="Arial" w:hAnsi="Arial"/>
                <w:sz w:val="18"/>
                <w:szCs w:val="18"/>
                <w:color w:val="0000FF"/>
              </w:rPr>
              <w:t>Section 1350 Certification of the Chief Financial Officer.</w:t>
            </w:r>
          </w:p>
        </w:tc>
      </w:tr>
      <w:tr>
        <w:trPr>
          <w:trHeight w:val="412"/>
        </w:trPr>
        <w:tc>
          <w:tcPr>
            <w:tcW w:w="1300" w:type="dxa"/>
            <w:vAlign w:val="bottom"/>
            <w:gridSpan w:val="2"/>
          </w:tcPr>
          <w:p>
            <w:pPr>
              <w:spacing w:after="0"/>
              <w:rPr>
                <w:sz w:val="20"/>
                <w:szCs w:val="20"/>
                <w:color w:val="auto"/>
              </w:rPr>
            </w:pPr>
            <w:r>
              <w:rPr>
                <w:rFonts w:ascii="Arial" w:cs="Arial" w:eastAsia="Arial" w:hAnsi="Arial"/>
                <w:sz w:val="18"/>
                <w:szCs w:val="18"/>
                <w:color w:val="auto"/>
              </w:rPr>
              <w:t>101.INS*</w:t>
            </w:r>
          </w:p>
        </w:tc>
        <w:tc>
          <w:tcPr>
            <w:tcW w:w="4120" w:type="dxa"/>
            <w:vAlign w:val="bottom"/>
            <w:tcBorders>
              <w:top w:val="single" w:sz="8" w:color="0000FF"/>
            </w:tcBorders>
            <w:gridSpan w:val="2"/>
          </w:tcPr>
          <w:p>
            <w:pPr>
              <w:spacing w:after="0"/>
              <w:rPr>
                <w:sz w:val="20"/>
                <w:szCs w:val="20"/>
                <w:color w:val="auto"/>
              </w:rPr>
            </w:pPr>
            <w:r>
              <w:rPr>
                <w:rFonts w:ascii="Arial" w:cs="Arial" w:eastAsia="Arial" w:hAnsi="Arial"/>
                <w:sz w:val="18"/>
                <w:szCs w:val="18"/>
                <w:color w:val="auto"/>
              </w:rPr>
              <w:t>XBRL Instance Document.</w:t>
            </w:r>
          </w:p>
        </w:tc>
        <w:tc>
          <w:tcPr>
            <w:tcW w:w="420" w:type="dxa"/>
            <w:vAlign w:val="bottom"/>
            <w:gridSpan w:val="4"/>
          </w:tcPr>
          <w:p>
            <w:pPr>
              <w:spacing w:after="0"/>
              <w:rPr>
                <w:sz w:val="24"/>
                <w:szCs w:val="24"/>
                <w:color w:val="auto"/>
              </w:rPr>
            </w:pPr>
          </w:p>
        </w:tc>
      </w:tr>
      <w:tr>
        <w:trPr>
          <w:trHeight w:val="392"/>
        </w:trPr>
        <w:tc>
          <w:tcPr>
            <w:tcW w:w="1300" w:type="dxa"/>
            <w:vAlign w:val="bottom"/>
            <w:gridSpan w:val="2"/>
          </w:tcPr>
          <w:p>
            <w:pPr>
              <w:spacing w:after="0"/>
              <w:rPr>
                <w:sz w:val="20"/>
                <w:szCs w:val="20"/>
                <w:color w:val="auto"/>
              </w:rPr>
            </w:pPr>
            <w:r>
              <w:rPr>
                <w:rFonts w:ascii="Arial" w:cs="Arial" w:eastAsia="Arial" w:hAnsi="Arial"/>
                <w:sz w:val="18"/>
                <w:szCs w:val="18"/>
                <w:color w:val="auto"/>
              </w:rPr>
              <w:t>101.SCH*</w:t>
            </w:r>
          </w:p>
        </w:tc>
        <w:tc>
          <w:tcPr>
            <w:tcW w:w="4540" w:type="dxa"/>
            <w:vAlign w:val="bottom"/>
            <w:gridSpan w:val="6"/>
          </w:tcPr>
          <w:p>
            <w:pPr>
              <w:spacing w:after="0"/>
              <w:rPr>
                <w:sz w:val="20"/>
                <w:szCs w:val="20"/>
                <w:color w:val="auto"/>
              </w:rPr>
            </w:pPr>
            <w:r>
              <w:rPr>
                <w:rFonts w:ascii="Arial" w:cs="Arial" w:eastAsia="Arial" w:hAnsi="Arial"/>
                <w:sz w:val="18"/>
                <w:szCs w:val="18"/>
                <w:color w:val="auto"/>
              </w:rPr>
              <w:t>XBRL Taxonomy Extension Schema Document.</w:t>
            </w:r>
          </w:p>
        </w:tc>
      </w:tr>
      <w:tr>
        <w:trPr>
          <w:trHeight w:val="392"/>
        </w:trPr>
        <w:tc>
          <w:tcPr>
            <w:tcW w:w="1300" w:type="dxa"/>
            <w:vAlign w:val="bottom"/>
            <w:gridSpan w:val="2"/>
          </w:tcPr>
          <w:p>
            <w:pPr>
              <w:spacing w:after="0"/>
              <w:rPr>
                <w:sz w:val="20"/>
                <w:szCs w:val="20"/>
                <w:color w:val="auto"/>
              </w:rPr>
            </w:pPr>
            <w:r>
              <w:rPr>
                <w:rFonts w:ascii="Arial" w:cs="Arial" w:eastAsia="Arial" w:hAnsi="Arial"/>
                <w:sz w:val="18"/>
                <w:szCs w:val="18"/>
                <w:color w:val="auto"/>
              </w:rPr>
              <w:t>101.CAL*</w:t>
            </w:r>
          </w:p>
        </w:tc>
        <w:tc>
          <w:tcPr>
            <w:tcW w:w="4540" w:type="dxa"/>
            <w:vAlign w:val="bottom"/>
            <w:gridSpan w:val="6"/>
          </w:tcPr>
          <w:p>
            <w:pPr>
              <w:spacing w:after="0"/>
              <w:rPr>
                <w:sz w:val="20"/>
                <w:szCs w:val="20"/>
                <w:color w:val="auto"/>
              </w:rPr>
            </w:pPr>
            <w:r>
              <w:rPr>
                <w:rFonts w:ascii="Arial" w:cs="Arial" w:eastAsia="Arial" w:hAnsi="Arial"/>
                <w:sz w:val="18"/>
                <w:szCs w:val="18"/>
                <w:color w:val="auto"/>
                <w:w w:val="93"/>
              </w:rPr>
              <w:t>XBRL Taxonomy Extension Calculation Linkbase Document.</w:t>
            </w:r>
          </w:p>
        </w:tc>
      </w:tr>
      <w:tr>
        <w:trPr>
          <w:trHeight w:val="392"/>
        </w:trPr>
        <w:tc>
          <w:tcPr>
            <w:tcW w:w="1300" w:type="dxa"/>
            <w:vAlign w:val="bottom"/>
            <w:gridSpan w:val="2"/>
          </w:tcPr>
          <w:p>
            <w:pPr>
              <w:spacing w:after="0"/>
              <w:rPr>
                <w:sz w:val="20"/>
                <w:szCs w:val="20"/>
                <w:color w:val="auto"/>
              </w:rPr>
            </w:pPr>
            <w:r>
              <w:rPr>
                <w:rFonts w:ascii="Arial" w:cs="Arial" w:eastAsia="Arial" w:hAnsi="Arial"/>
                <w:sz w:val="18"/>
                <w:szCs w:val="18"/>
                <w:color w:val="auto"/>
              </w:rPr>
              <w:t>101.DEF*</w:t>
            </w:r>
          </w:p>
        </w:tc>
        <w:tc>
          <w:tcPr>
            <w:tcW w:w="4540" w:type="dxa"/>
            <w:vAlign w:val="bottom"/>
            <w:gridSpan w:val="6"/>
          </w:tcPr>
          <w:p>
            <w:pPr>
              <w:spacing w:after="0"/>
              <w:rPr>
                <w:sz w:val="20"/>
                <w:szCs w:val="20"/>
                <w:color w:val="auto"/>
              </w:rPr>
            </w:pPr>
            <w:r>
              <w:rPr>
                <w:rFonts w:ascii="Arial" w:cs="Arial" w:eastAsia="Arial" w:hAnsi="Arial"/>
                <w:sz w:val="18"/>
                <w:szCs w:val="18"/>
                <w:color w:val="auto"/>
                <w:w w:val="96"/>
              </w:rPr>
              <w:t>XBRL Taxonomy Extension Definition Linkbase Document.</w:t>
            </w:r>
          </w:p>
        </w:tc>
      </w:tr>
      <w:tr>
        <w:trPr>
          <w:trHeight w:val="392"/>
        </w:trPr>
        <w:tc>
          <w:tcPr>
            <w:tcW w:w="1300" w:type="dxa"/>
            <w:vAlign w:val="bottom"/>
            <w:gridSpan w:val="2"/>
          </w:tcPr>
          <w:p>
            <w:pPr>
              <w:spacing w:after="0"/>
              <w:rPr>
                <w:sz w:val="20"/>
                <w:szCs w:val="20"/>
                <w:color w:val="auto"/>
              </w:rPr>
            </w:pPr>
            <w:r>
              <w:rPr>
                <w:rFonts w:ascii="Arial" w:cs="Arial" w:eastAsia="Arial" w:hAnsi="Arial"/>
                <w:sz w:val="18"/>
                <w:szCs w:val="18"/>
                <w:color w:val="auto"/>
              </w:rPr>
              <w:t>101.LAB*</w:t>
            </w:r>
          </w:p>
        </w:tc>
        <w:tc>
          <w:tcPr>
            <w:tcW w:w="4540" w:type="dxa"/>
            <w:vAlign w:val="bottom"/>
            <w:gridSpan w:val="6"/>
          </w:tcPr>
          <w:p>
            <w:pPr>
              <w:spacing w:after="0"/>
              <w:rPr>
                <w:sz w:val="20"/>
                <w:szCs w:val="20"/>
                <w:color w:val="auto"/>
              </w:rPr>
            </w:pPr>
            <w:r>
              <w:rPr>
                <w:rFonts w:ascii="Arial" w:cs="Arial" w:eastAsia="Arial" w:hAnsi="Arial"/>
                <w:sz w:val="18"/>
                <w:szCs w:val="18"/>
                <w:color w:val="auto"/>
              </w:rPr>
              <w:t>XBRL Taxonomy Extension Label Linkbase Document.</w:t>
            </w:r>
          </w:p>
        </w:tc>
      </w:tr>
      <w:tr>
        <w:trPr>
          <w:trHeight w:val="392"/>
        </w:trPr>
        <w:tc>
          <w:tcPr>
            <w:tcW w:w="1300" w:type="dxa"/>
            <w:vAlign w:val="bottom"/>
            <w:gridSpan w:val="2"/>
          </w:tcPr>
          <w:p>
            <w:pPr>
              <w:spacing w:after="0"/>
              <w:rPr>
                <w:sz w:val="20"/>
                <w:szCs w:val="20"/>
                <w:color w:val="auto"/>
              </w:rPr>
            </w:pPr>
            <w:r>
              <w:rPr>
                <w:rFonts w:ascii="Arial" w:cs="Arial" w:eastAsia="Arial" w:hAnsi="Arial"/>
                <w:sz w:val="18"/>
                <w:szCs w:val="18"/>
                <w:color w:val="auto"/>
              </w:rPr>
              <w:t>101.PRE*</w:t>
            </w:r>
          </w:p>
        </w:tc>
        <w:tc>
          <w:tcPr>
            <w:tcW w:w="4540" w:type="dxa"/>
            <w:vAlign w:val="bottom"/>
            <w:gridSpan w:val="6"/>
          </w:tcPr>
          <w:p>
            <w:pPr>
              <w:spacing w:after="0"/>
              <w:rPr>
                <w:sz w:val="20"/>
                <w:szCs w:val="20"/>
                <w:color w:val="auto"/>
              </w:rPr>
            </w:pPr>
            <w:r>
              <w:rPr>
                <w:rFonts w:ascii="Arial" w:cs="Arial" w:eastAsia="Arial" w:hAnsi="Arial"/>
                <w:sz w:val="18"/>
                <w:szCs w:val="18"/>
                <w:color w:val="auto"/>
                <w:w w:val="91"/>
              </w:rPr>
              <w:t>XBRL Taxonomy Extension Presentation Linkbase Document.</w:t>
            </w:r>
          </w:p>
        </w:tc>
      </w:tr>
      <w:tr>
        <w:trPr>
          <w:trHeight w:val="594"/>
        </w:trPr>
        <w:tc>
          <w:tcPr>
            <w:tcW w:w="1300" w:type="dxa"/>
            <w:vAlign w:val="bottom"/>
            <w:gridSpan w:val="2"/>
          </w:tcPr>
          <w:p>
            <w:pPr>
              <w:spacing w:after="0"/>
              <w:rPr>
                <w:sz w:val="20"/>
                <w:szCs w:val="20"/>
                <w:color w:val="auto"/>
              </w:rPr>
            </w:pPr>
            <w:r>
              <w:rPr>
                <w:rFonts w:ascii="Arial" w:cs="Arial" w:eastAsia="Arial" w:hAnsi="Arial"/>
                <w:sz w:val="18"/>
                <w:szCs w:val="18"/>
                <w:color w:val="auto"/>
              </w:rPr>
              <w:t>* Filed herewith</w:t>
            </w:r>
          </w:p>
        </w:tc>
        <w:tc>
          <w:tcPr>
            <w:tcW w:w="90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r>
      <w:tr>
        <w:trPr>
          <w:trHeight w:val="702"/>
        </w:trPr>
        <w:tc>
          <w:tcPr>
            <w:tcW w:w="8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540" w:type="dxa"/>
            <w:vAlign w:val="bottom"/>
            <w:gridSpan w:val="6"/>
          </w:tcPr>
          <w:p>
            <w:pPr>
              <w:ind w:left="4280"/>
              <w:spacing w:after="0"/>
              <w:rPr>
                <w:sz w:val="20"/>
                <w:szCs w:val="20"/>
                <w:color w:val="auto"/>
              </w:rPr>
            </w:pPr>
            <w:r>
              <w:rPr>
                <w:rFonts w:ascii="Arial" w:cs="Arial" w:eastAsia="Arial" w:hAnsi="Arial"/>
                <w:sz w:val="18"/>
                <w:szCs w:val="18"/>
                <w:color w:val="auto"/>
              </w:rPr>
              <w:t>40</w:t>
            </w:r>
          </w:p>
        </w:tc>
      </w:tr>
    </w:tbl>
    <w:p>
      <w:pPr>
        <w:sectPr>
          <w:pgSz w:w="11900" w:h="16838" w:orient="portrait"/>
          <w:cols w:equalWidth="0" w:num="1">
            <w:col w:w="11200"/>
          </w:cols>
          <w:pgMar w:left="240" w:top="341" w:right="45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35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SIGNATURES</w:t>
      </w:r>
    </w:p>
    <w:p>
      <w:pPr>
        <w:spacing w:after="0" w:line="116"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16" w:lineRule="exact"/>
        <w:rPr>
          <w:sz w:val="20"/>
          <w:szCs w:val="20"/>
          <w:color w:val="auto"/>
        </w:rPr>
      </w:pPr>
    </w:p>
    <w:tbl>
      <w:tblPr>
        <w:tblLayout w:type="fixed"/>
        <w:tblInd w:w="40" w:type="dxa"/>
        <w:tblCellMar>
          <w:top w:w="0" w:type="dxa"/>
          <w:left w:w="0" w:type="dxa"/>
          <w:bottom w:w="0" w:type="dxa"/>
          <w:right w:w="0" w:type="dxa"/>
        </w:tblCellMar>
      </w:tblPr>
      <w:tr>
        <w:trPr>
          <w:trHeight w:val="256"/>
        </w:trPr>
        <w:tc>
          <w:tcPr>
            <w:tcW w:w="880" w:type="dxa"/>
            <w:vAlign w:val="bottom"/>
          </w:tcPr>
          <w:p>
            <w:pPr>
              <w:spacing w:after="0"/>
              <w:rPr>
                <w:sz w:val="22"/>
                <w:szCs w:val="22"/>
                <w:color w:val="auto"/>
              </w:rPr>
            </w:pPr>
          </w:p>
        </w:tc>
        <w:tc>
          <w:tcPr>
            <w:tcW w:w="36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6040" w:type="dxa"/>
            <w:vAlign w:val="bottom"/>
          </w:tcPr>
          <w:p>
            <w:pPr>
              <w:ind w:left="40"/>
              <w:spacing w:after="0"/>
              <w:rPr>
                <w:sz w:val="20"/>
                <w:szCs w:val="20"/>
                <w:color w:val="auto"/>
              </w:rPr>
            </w:pPr>
            <w:r>
              <w:rPr>
                <w:rFonts w:ascii="Arial" w:cs="Arial" w:eastAsia="Arial" w:hAnsi="Arial"/>
                <w:sz w:val="20"/>
                <w:szCs w:val="20"/>
                <w:b w:val="1"/>
                <w:bCs w:val="1"/>
                <w:color w:val="auto"/>
              </w:rPr>
              <w:t>VERITIV CORPORATION</w:t>
            </w:r>
          </w:p>
        </w:tc>
      </w:tr>
      <w:tr>
        <w:trPr>
          <w:trHeight w:val="266"/>
        </w:trPr>
        <w:tc>
          <w:tcPr>
            <w:tcW w:w="880" w:type="dxa"/>
            <w:vAlign w:val="bottom"/>
          </w:tcPr>
          <w:p>
            <w:pPr>
              <w:spacing w:after="0"/>
              <w:rPr>
                <w:sz w:val="23"/>
                <w:szCs w:val="23"/>
                <w:color w:val="auto"/>
              </w:rPr>
            </w:pPr>
          </w:p>
        </w:tc>
        <w:tc>
          <w:tcPr>
            <w:tcW w:w="36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(Registrant)</w:t>
            </w:r>
          </w:p>
        </w:tc>
      </w:tr>
      <w:tr>
        <w:trPr>
          <w:trHeight w:val="594"/>
        </w:trPr>
        <w:tc>
          <w:tcPr>
            <w:tcW w:w="880" w:type="dxa"/>
            <w:vAlign w:val="bottom"/>
          </w:tcPr>
          <w:p>
            <w:pPr>
              <w:spacing w:after="0"/>
              <w:rPr>
                <w:sz w:val="20"/>
                <w:szCs w:val="20"/>
                <w:color w:val="auto"/>
              </w:rPr>
            </w:pPr>
            <w:r>
              <w:rPr>
                <w:rFonts w:ascii="Arial" w:cs="Arial" w:eastAsia="Arial" w:hAnsi="Arial"/>
                <w:sz w:val="18"/>
                <w:szCs w:val="18"/>
                <w:color w:val="auto"/>
              </w:rPr>
              <w:t>Date:</w:t>
            </w:r>
          </w:p>
        </w:tc>
        <w:tc>
          <w:tcPr>
            <w:tcW w:w="4460" w:type="dxa"/>
            <w:vAlign w:val="bottom"/>
            <w:gridSpan w:val="2"/>
          </w:tcPr>
          <w:p>
            <w:pPr>
              <w:ind w:left="40"/>
              <w:spacing w:after="0"/>
              <w:rPr>
                <w:sz w:val="20"/>
                <w:szCs w:val="20"/>
                <w:color w:val="auto"/>
              </w:rPr>
            </w:pPr>
            <w:r>
              <w:rPr>
                <w:rFonts w:ascii="Arial" w:cs="Arial" w:eastAsia="Arial" w:hAnsi="Arial"/>
                <w:sz w:val="18"/>
                <w:szCs w:val="18"/>
                <w:color w:val="auto"/>
              </w:rPr>
              <w:t>August 6, 2019</w:t>
            </w:r>
          </w:p>
        </w:tc>
        <w:tc>
          <w:tcPr>
            <w:tcW w:w="6040" w:type="dxa"/>
            <w:vAlign w:val="bottom"/>
          </w:tcPr>
          <w:p>
            <w:pPr>
              <w:ind w:left="40"/>
              <w:spacing w:after="0"/>
              <w:rPr>
                <w:sz w:val="20"/>
                <w:szCs w:val="20"/>
                <w:color w:val="auto"/>
              </w:rPr>
            </w:pPr>
            <w:r>
              <w:rPr>
                <w:rFonts w:ascii="Arial" w:cs="Arial" w:eastAsia="Arial" w:hAnsi="Arial"/>
                <w:sz w:val="18"/>
                <w:szCs w:val="18"/>
                <w:color w:val="auto"/>
              </w:rPr>
              <w:t>By: /s/ Stephen J. Smith</w:t>
            </w:r>
          </w:p>
        </w:tc>
      </w:tr>
      <w:tr>
        <w:trPr>
          <w:trHeight w:val="27"/>
        </w:trPr>
        <w:tc>
          <w:tcPr>
            <w:tcW w:w="880" w:type="dxa"/>
            <w:vAlign w:val="bottom"/>
          </w:tcPr>
          <w:p>
            <w:pPr>
              <w:spacing w:after="0"/>
              <w:rPr>
                <w:sz w:val="2"/>
                <w:szCs w:val="2"/>
                <w:color w:val="auto"/>
              </w:rPr>
            </w:pPr>
          </w:p>
        </w:tc>
        <w:tc>
          <w:tcPr>
            <w:tcW w:w="3660" w:type="dxa"/>
            <w:vAlign w:val="bottom"/>
            <w:tcBorders>
              <w:bottom w:val="single" w:sz="8" w:color="auto"/>
            </w:tcBorders>
          </w:tcPr>
          <w:p>
            <w:pPr>
              <w:spacing w:after="0"/>
              <w:rPr>
                <w:sz w:val="2"/>
                <w:szCs w:val="2"/>
                <w:color w:val="auto"/>
              </w:rPr>
            </w:pPr>
          </w:p>
        </w:tc>
        <w:tc>
          <w:tcPr>
            <w:tcW w:w="800" w:type="dxa"/>
            <w:vAlign w:val="bottom"/>
          </w:tcPr>
          <w:p>
            <w:pPr>
              <w:spacing w:after="0"/>
              <w:rPr>
                <w:sz w:val="2"/>
                <w:szCs w:val="2"/>
                <w:color w:val="auto"/>
              </w:rPr>
            </w:pPr>
          </w:p>
        </w:tc>
        <w:tc>
          <w:tcPr>
            <w:tcW w:w="6040" w:type="dxa"/>
            <w:vAlign w:val="bottom"/>
            <w:tcBorders>
              <w:bottom w:val="single" w:sz="8" w:color="auto"/>
            </w:tcBorders>
          </w:tcPr>
          <w:p>
            <w:pPr>
              <w:spacing w:after="0"/>
              <w:rPr>
                <w:sz w:val="2"/>
                <w:szCs w:val="2"/>
                <w:color w:val="auto"/>
              </w:rPr>
            </w:pPr>
          </w:p>
        </w:tc>
      </w:tr>
      <w:tr>
        <w:trPr>
          <w:trHeight w:val="237"/>
        </w:trPr>
        <w:tc>
          <w:tcPr>
            <w:tcW w:w="88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Name: Stephen J. Smith</w:t>
            </w:r>
          </w:p>
        </w:tc>
      </w:tr>
      <w:tr>
        <w:trPr>
          <w:trHeight w:val="270"/>
        </w:trPr>
        <w:tc>
          <w:tcPr>
            <w:tcW w:w="880" w:type="dxa"/>
            <w:vAlign w:val="bottom"/>
          </w:tcPr>
          <w:p>
            <w:pPr>
              <w:spacing w:after="0"/>
              <w:rPr>
                <w:sz w:val="23"/>
                <w:szCs w:val="23"/>
                <w:color w:val="auto"/>
              </w:rPr>
            </w:pPr>
          </w:p>
        </w:tc>
        <w:tc>
          <w:tcPr>
            <w:tcW w:w="36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Title: Senior Vice President and Chief Financial Officer</w:t>
            </w:r>
          </w:p>
        </w:tc>
      </w:tr>
      <w:tr>
        <w:trPr>
          <w:trHeight w:val="270"/>
        </w:trPr>
        <w:tc>
          <w:tcPr>
            <w:tcW w:w="880" w:type="dxa"/>
            <w:vAlign w:val="bottom"/>
          </w:tcPr>
          <w:p>
            <w:pPr>
              <w:spacing w:after="0"/>
              <w:rPr>
                <w:sz w:val="23"/>
                <w:szCs w:val="23"/>
                <w:color w:val="auto"/>
              </w:rPr>
            </w:pPr>
          </w:p>
        </w:tc>
        <w:tc>
          <w:tcPr>
            <w:tcW w:w="36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(Principal Financial Officer)</w:t>
            </w:r>
          </w:p>
        </w:tc>
      </w:tr>
      <w:tr>
        <w:trPr>
          <w:trHeight w:val="594"/>
        </w:trPr>
        <w:tc>
          <w:tcPr>
            <w:tcW w:w="880" w:type="dxa"/>
            <w:vAlign w:val="bottom"/>
          </w:tcPr>
          <w:p>
            <w:pPr>
              <w:spacing w:after="0"/>
              <w:rPr>
                <w:sz w:val="20"/>
                <w:szCs w:val="20"/>
                <w:color w:val="auto"/>
              </w:rPr>
            </w:pPr>
            <w:r>
              <w:rPr>
                <w:rFonts w:ascii="Arial" w:cs="Arial" w:eastAsia="Arial" w:hAnsi="Arial"/>
                <w:sz w:val="18"/>
                <w:szCs w:val="18"/>
                <w:color w:val="auto"/>
              </w:rPr>
              <w:t>Date:</w:t>
            </w:r>
          </w:p>
        </w:tc>
        <w:tc>
          <w:tcPr>
            <w:tcW w:w="4460" w:type="dxa"/>
            <w:vAlign w:val="bottom"/>
            <w:gridSpan w:val="2"/>
          </w:tcPr>
          <w:p>
            <w:pPr>
              <w:ind w:left="40"/>
              <w:spacing w:after="0"/>
              <w:rPr>
                <w:sz w:val="20"/>
                <w:szCs w:val="20"/>
                <w:color w:val="auto"/>
              </w:rPr>
            </w:pPr>
            <w:r>
              <w:rPr>
                <w:rFonts w:ascii="Arial" w:cs="Arial" w:eastAsia="Arial" w:hAnsi="Arial"/>
                <w:sz w:val="18"/>
                <w:szCs w:val="18"/>
                <w:color w:val="auto"/>
              </w:rPr>
              <w:t>August 6, 2019</w:t>
            </w:r>
          </w:p>
        </w:tc>
        <w:tc>
          <w:tcPr>
            <w:tcW w:w="6040" w:type="dxa"/>
            <w:vAlign w:val="bottom"/>
          </w:tcPr>
          <w:p>
            <w:pPr>
              <w:ind w:left="40"/>
              <w:spacing w:after="0"/>
              <w:rPr>
                <w:sz w:val="20"/>
                <w:szCs w:val="20"/>
                <w:color w:val="auto"/>
              </w:rPr>
            </w:pPr>
            <w:r>
              <w:rPr>
                <w:rFonts w:ascii="Arial" w:cs="Arial" w:eastAsia="Arial" w:hAnsi="Arial"/>
                <w:sz w:val="18"/>
                <w:szCs w:val="18"/>
                <w:color w:val="auto"/>
              </w:rPr>
              <w:t>By: /s/ Andrew E. Magley</w:t>
            </w:r>
          </w:p>
        </w:tc>
      </w:tr>
      <w:tr>
        <w:trPr>
          <w:trHeight w:val="27"/>
        </w:trPr>
        <w:tc>
          <w:tcPr>
            <w:tcW w:w="880" w:type="dxa"/>
            <w:vAlign w:val="bottom"/>
          </w:tcPr>
          <w:p>
            <w:pPr>
              <w:spacing w:after="0"/>
              <w:rPr>
                <w:sz w:val="2"/>
                <w:szCs w:val="2"/>
                <w:color w:val="auto"/>
              </w:rPr>
            </w:pPr>
          </w:p>
        </w:tc>
        <w:tc>
          <w:tcPr>
            <w:tcW w:w="3660" w:type="dxa"/>
            <w:vAlign w:val="bottom"/>
            <w:tcBorders>
              <w:bottom w:val="single" w:sz="8" w:color="auto"/>
            </w:tcBorders>
          </w:tcPr>
          <w:p>
            <w:pPr>
              <w:spacing w:after="0"/>
              <w:rPr>
                <w:sz w:val="2"/>
                <w:szCs w:val="2"/>
                <w:color w:val="auto"/>
              </w:rPr>
            </w:pPr>
          </w:p>
        </w:tc>
        <w:tc>
          <w:tcPr>
            <w:tcW w:w="800" w:type="dxa"/>
            <w:vAlign w:val="bottom"/>
          </w:tcPr>
          <w:p>
            <w:pPr>
              <w:spacing w:after="0"/>
              <w:rPr>
                <w:sz w:val="2"/>
                <w:szCs w:val="2"/>
                <w:color w:val="auto"/>
              </w:rPr>
            </w:pPr>
          </w:p>
        </w:tc>
        <w:tc>
          <w:tcPr>
            <w:tcW w:w="6040" w:type="dxa"/>
            <w:vAlign w:val="bottom"/>
            <w:tcBorders>
              <w:bottom w:val="single" w:sz="8" w:color="auto"/>
            </w:tcBorders>
          </w:tcPr>
          <w:p>
            <w:pPr>
              <w:spacing w:after="0"/>
              <w:rPr>
                <w:sz w:val="2"/>
                <w:szCs w:val="2"/>
                <w:color w:val="auto"/>
              </w:rPr>
            </w:pPr>
          </w:p>
        </w:tc>
      </w:tr>
      <w:tr>
        <w:trPr>
          <w:trHeight w:val="237"/>
        </w:trPr>
        <w:tc>
          <w:tcPr>
            <w:tcW w:w="88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Name: Andrew E. Magley</w:t>
            </w:r>
          </w:p>
        </w:tc>
      </w:tr>
      <w:tr>
        <w:trPr>
          <w:trHeight w:val="270"/>
        </w:trPr>
        <w:tc>
          <w:tcPr>
            <w:tcW w:w="880" w:type="dxa"/>
            <w:vAlign w:val="bottom"/>
          </w:tcPr>
          <w:p>
            <w:pPr>
              <w:spacing w:after="0"/>
              <w:rPr>
                <w:sz w:val="23"/>
                <w:szCs w:val="23"/>
                <w:color w:val="auto"/>
              </w:rPr>
            </w:pPr>
          </w:p>
        </w:tc>
        <w:tc>
          <w:tcPr>
            <w:tcW w:w="36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Title: Chief Accounting Officer</w:t>
            </w:r>
          </w:p>
        </w:tc>
      </w:tr>
      <w:tr>
        <w:trPr>
          <w:trHeight w:val="270"/>
        </w:trPr>
        <w:tc>
          <w:tcPr>
            <w:tcW w:w="880" w:type="dxa"/>
            <w:vAlign w:val="bottom"/>
          </w:tcPr>
          <w:p>
            <w:pPr>
              <w:spacing w:after="0"/>
              <w:rPr>
                <w:sz w:val="23"/>
                <w:szCs w:val="23"/>
                <w:color w:val="auto"/>
              </w:rPr>
            </w:pPr>
          </w:p>
        </w:tc>
        <w:tc>
          <w:tcPr>
            <w:tcW w:w="36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(Principal Accounting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341" w:right="239" w:bottom="1440" w:gutter="0" w:footer="0" w:header="0"/>
        </w:sectPr>
      </w:pPr>
    </w:p>
    <w:bookmarkStart w:id="44" w:name="page45"/>
    <w:bookmarkEnd w:id="44"/>
    <w:p>
      <w:pPr>
        <w:jc w:val="right"/>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Mary A. Laschinger, certify that:</w:t>
      </w:r>
    </w:p>
    <w:p>
      <w:pPr>
        <w:spacing w:after="0" w:line="171" w:lineRule="exact"/>
        <w:rPr>
          <w:sz w:val="20"/>
          <w:szCs w:val="20"/>
          <w:color w:val="auto"/>
        </w:rPr>
      </w:pPr>
    </w:p>
    <w:p>
      <w:pPr>
        <w:ind w:left="620" w:hanging="585"/>
        <w:spacing w:after="0"/>
        <w:tabs>
          <w:tab w:leader="none" w:pos="6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Veritiv Corporation;</w:t>
      </w:r>
    </w:p>
    <w:p>
      <w:pPr>
        <w:spacing w:after="0" w:line="184" w:lineRule="exact"/>
        <w:rPr>
          <w:rFonts w:ascii="Arial" w:cs="Arial" w:eastAsia="Arial" w:hAnsi="Arial"/>
          <w:sz w:val="18"/>
          <w:szCs w:val="18"/>
          <w:color w:val="auto"/>
        </w:rPr>
      </w:pPr>
    </w:p>
    <w:p>
      <w:pPr>
        <w:jc w:val="both"/>
        <w:ind w:left="620" w:right="340" w:hanging="585"/>
        <w:spacing w:after="0" w:line="264" w:lineRule="auto"/>
        <w:tabs>
          <w:tab w:leader="none" w:pos="6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0" w:lineRule="exact"/>
        <w:rPr>
          <w:rFonts w:ascii="Arial" w:cs="Arial" w:eastAsia="Arial" w:hAnsi="Arial"/>
          <w:sz w:val="18"/>
          <w:szCs w:val="18"/>
          <w:color w:val="auto"/>
        </w:rPr>
      </w:pPr>
    </w:p>
    <w:p>
      <w:pPr>
        <w:ind w:left="620" w:right="300" w:hanging="585"/>
        <w:spacing w:after="0" w:line="308" w:lineRule="auto"/>
        <w:tabs>
          <w:tab w:leader="none" w:pos="6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6" w:lineRule="exact"/>
        <w:rPr>
          <w:rFonts w:ascii="Arial" w:cs="Arial" w:eastAsia="Arial" w:hAnsi="Arial"/>
          <w:sz w:val="17"/>
          <w:szCs w:val="17"/>
          <w:color w:val="auto"/>
        </w:rPr>
      </w:pPr>
    </w:p>
    <w:p>
      <w:pPr>
        <w:jc w:val="both"/>
        <w:ind w:left="620" w:right="320" w:hanging="585"/>
        <w:spacing w:after="0" w:line="264" w:lineRule="auto"/>
        <w:tabs>
          <w:tab w:leader="none" w:pos="6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0" w:lineRule="exact"/>
        <w:rPr>
          <w:rFonts w:ascii="Arial" w:cs="Arial" w:eastAsia="Arial" w:hAnsi="Arial"/>
          <w:sz w:val="18"/>
          <w:szCs w:val="18"/>
          <w:color w:val="auto"/>
        </w:rPr>
      </w:pPr>
    </w:p>
    <w:p>
      <w:pPr>
        <w:ind w:left="1080" w:right="140" w:hanging="464"/>
        <w:spacing w:after="0" w:line="264" w:lineRule="auto"/>
        <w:tabs>
          <w:tab w:leader="none" w:pos="10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0" w:lineRule="exact"/>
        <w:rPr>
          <w:rFonts w:ascii="Arial" w:cs="Arial" w:eastAsia="Arial" w:hAnsi="Arial"/>
          <w:sz w:val="18"/>
          <w:szCs w:val="18"/>
          <w:color w:val="auto"/>
        </w:rPr>
      </w:pPr>
    </w:p>
    <w:p>
      <w:pPr>
        <w:ind w:left="1080" w:right="440" w:hanging="464"/>
        <w:spacing w:after="0" w:line="264" w:lineRule="auto"/>
        <w:tabs>
          <w:tab w:leader="none" w:pos="10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0" w:lineRule="exact"/>
        <w:rPr>
          <w:rFonts w:ascii="Arial" w:cs="Arial" w:eastAsia="Arial" w:hAnsi="Arial"/>
          <w:sz w:val="18"/>
          <w:szCs w:val="18"/>
          <w:color w:val="auto"/>
        </w:rPr>
      </w:pPr>
    </w:p>
    <w:p>
      <w:pPr>
        <w:jc w:val="both"/>
        <w:ind w:left="1080" w:right="620" w:hanging="464"/>
        <w:spacing w:after="0" w:line="342" w:lineRule="auto"/>
        <w:tabs>
          <w:tab w:leader="none" w:pos="1080" w:val="left"/>
        </w:tabs>
        <w:numPr>
          <w:ilvl w:val="1"/>
          <w:numId w:val="1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3" w:lineRule="exact"/>
        <w:rPr>
          <w:rFonts w:ascii="Arial" w:cs="Arial" w:eastAsia="Arial" w:hAnsi="Arial"/>
          <w:sz w:val="16"/>
          <w:szCs w:val="16"/>
          <w:color w:val="auto"/>
        </w:rPr>
      </w:pPr>
    </w:p>
    <w:p>
      <w:pPr>
        <w:ind w:left="1080" w:right="120" w:hanging="464"/>
        <w:spacing w:after="0" w:line="264" w:lineRule="auto"/>
        <w:tabs>
          <w:tab w:leader="none" w:pos="10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0" w:lineRule="exact"/>
        <w:rPr>
          <w:rFonts w:ascii="Arial" w:cs="Arial" w:eastAsia="Arial" w:hAnsi="Arial"/>
          <w:sz w:val="18"/>
          <w:szCs w:val="18"/>
          <w:color w:val="auto"/>
        </w:rPr>
      </w:pPr>
    </w:p>
    <w:p>
      <w:pPr>
        <w:ind w:left="620" w:right="40" w:hanging="585"/>
        <w:spacing w:after="0" w:line="308" w:lineRule="auto"/>
        <w:tabs>
          <w:tab w:leader="none" w:pos="6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6" w:lineRule="exact"/>
        <w:rPr>
          <w:rFonts w:ascii="Arial" w:cs="Arial" w:eastAsia="Arial" w:hAnsi="Arial"/>
          <w:sz w:val="17"/>
          <w:szCs w:val="17"/>
          <w:color w:val="auto"/>
        </w:rPr>
      </w:pPr>
    </w:p>
    <w:p>
      <w:pPr>
        <w:ind w:left="1080" w:right="40" w:hanging="464"/>
        <w:spacing w:after="0" w:line="277" w:lineRule="auto"/>
        <w:tabs>
          <w:tab w:leader="none" w:pos="10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9" w:lineRule="exact"/>
        <w:rPr>
          <w:rFonts w:ascii="Arial" w:cs="Arial" w:eastAsia="Arial" w:hAnsi="Arial"/>
          <w:sz w:val="18"/>
          <w:szCs w:val="18"/>
          <w:color w:val="auto"/>
        </w:rPr>
      </w:pPr>
    </w:p>
    <w:p>
      <w:pPr>
        <w:ind w:left="1080" w:right="540" w:hanging="464"/>
        <w:spacing w:after="0" w:line="277" w:lineRule="auto"/>
        <w:tabs>
          <w:tab w:leader="none" w:pos="10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76" w:lineRule="exact"/>
        <w:rPr>
          <w:sz w:val="20"/>
          <w:szCs w:val="20"/>
          <w:color w:val="auto"/>
        </w:rPr>
      </w:pPr>
    </w:p>
    <w:p>
      <w:pPr>
        <w:ind w:left="40"/>
        <w:spacing w:after="0"/>
        <w:tabs>
          <w:tab w:leader="none" w:pos="72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6,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450850</wp:posOffset>
            </wp:positionH>
            <wp:positionV relativeFrom="paragraph">
              <wp:posOffset>31750</wp:posOffset>
            </wp:positionV>
            <wp:extent cx="140652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40652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/s/ Mary A. Laschinger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3735705</wp:posOffset>
            </wp:positionH>
            <wp:positionV relativeFrom="paragraph">
              <wp:posOffset>31750</wp:posOffset>
            </wp:positionV>
            <wp:extent cx="351599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515995" cy="8890"/>
                    </a:xfrm>
                    <a:prstGeom prst="rect">
                      <a:avLst/>
                    </a:prstGeom>
                    <a:noFill/>
                  </pic:spPr>
                </pic:pic>
              </a:graphicData>
            </a:graphic>
          </wp:anchor>
        </w:drawing>
      </w:r>
    </w:p>
    <w:p>
      <w:pPr>
        <w:spacing w:after="0" w:line="57"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Mary A. Laschinger</w:t>
      </w:r>
    </w:p>
    <w:p>
      <w:pPr>
        <w:spacing w:after="0" w:line="6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Chairman and Chief Executive Officer</w:t>
      </w:r>
    </w:p>
    <w:p>
      <w:pPr>
        <w:sectPr>
          <w:pgSz w:w="11900" w:h="16838" w:orient="portrait"/>
          <w:cols w:equalWidth="0" w:num="1">
            <w:col w:w="11420"/>
          </w:cols>
          <w:pgMar w:left="240" w:top="337" w:right="239" w:bottom="1440" w:gutter="0" w:footer="0" w:header="0"/>
        </w:sectPr>
      </w:pPr>
    </w:p>
    <w:bookmarkStart w:id="45" w:name="page46"/>
    <w:bookmarkEnd w:id="45"/>
    <w:p>
      <w:pPr>
        <w:jc w:val="right"/>
        <w:spacing w:after="0"/>
        <w:rPr>
          <w:sz w:val="20"/>
          <w:szCs w:val="20"/>
          <w:color w:val="auto"/>
        </w:rPr>
      </w:pPr>
      <w:r>
        <w:rPr>
          <w:rFonts w:ascii="Arial" w:cs="Arial" w:eastAsia="Arial" w:hAnsi="Arial"/>
          <w:sz w:val="18"/>
          <w:szCs w:val="18"/>
          <w:b w:val="1"/>
          <w:bCs w:val="1"/>
          <w:color w:val="auto"/>
        </w:rPr>
        <w:t>EXHIBIT 31.2</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Stephen J. Smith, certify that:</w:t>
      </w:r>
    </w:p>
    <w:p>
      <w:pPr>
        <w:spacing w:after="0" w:line="171" w:lineRule="exact"/>
        <w:rPr>
          <w:sz w:val="20"/>
          <w:szCs w:val="20"/>
          <w:color w:val="auto"/>
        </w:rPr>
      </w:pPr>
    </w:p>
    <w:p>
      <w:pPr>
        <w:ind w:left="620" w:hanging="585"/>
        <w:spacing w:after="0"/>
        <w:tabs>
          <w:tab w:leader="none" w:pos="6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Veritiv Corporation;</w:t>
      </w:r>
    </w:p>
    <w:p>
      <w:pPr>
        <w:spacing w:after="0" w:line="184" w:lineRule="exact"/>
        <w:rPr>
          <w:rFonts w:ascii="Arial" w:cs="Arial" w:eastAsia="Arial" w:hAnsi="Arial"/>
          <w:sz w:val="18"/>
          <w:szCs w:val="18"/>
          <w:color w:val="auto"/>
        </w:rPr>
      </w:pPr>
    </w:p>
    <w:p>
      <w:pPr>
        <w:jc w:val="both"/>
        <w:ind w:left="620" w:right="340" w:hanging="585"/>
        <w:spacing w:after="0" w:line="264" w:lineRule="auto"/>
        <w:tabs>
          <w:tab w:leader="none" w:pos="6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0" w:lineRule="exact"/>
        <w:rPr>
          <w:rFonts w:ascii="Arial" w:cs="Arial" w:eastAsia="Arial" w:hAnsi="Arial"/>
          <w:sz w:val="18"/>
          <w:szCs w:val="18"/>
          <w:color w:val="auto"/>
        </w:rPr>
      </w:pPr>
    </w:p>
    <w:p>
      <w:pPr>
        <w:ind w:left="620" w:right="300" w:hanging="585"/>
        <w:spacing w:after="0" w:line="308" w:lineRule="auto"/>
        <w:tabs>
          <w:tab w:leader="none" w:pos="6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6" w:lineRule="exact"/>
        <w:rPr>
          <w:rFonts w:ascii="Arial" w:cs="Arial" w:eastAsia="Arial" w:hAnsi="Arial"/>
          <w:sz w:val="17"/>
          <w:szCs w:val="17"/>
          <w:color w:val="auto"/>
        </w:rPr>
      </w:pPr>
    </w:p>
    <w:p>
      <w:pPr>
        <w:jc w:val="both"/>
        <w:ind w:left="620" w:right="320" w:hanging="585"/>
        <w:spacing w:after="0" w:line="264" w:lineRule="auto"/>
        <w:tabs>
          <w:tab w:leader="none" w:pos="6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0" w:lineRule="exact"/>
        <w:rPr>
          <w:rFonts w:ascii="Arial" w:cs="Arial" w:eastAsia="Arial" w:hAnsi="Arial"/>
          <w:sz w:val="18"/>
          <w:szCs w:val="18"/>
          <w:color w:val="auto"/>
        </w:rPr>
      </w:pPr>
    </w:p>
    <w:p>
      <w:pPr>
        <w:ind w:left="1080" w:right="140" w:hanging="464"/>
        <w:spacing w:after="0" w:line="264" w:lineRule="auto"/>
        <w:tabs>
          <w:tab w:leader="none" w:pos="10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0" w:lineRule="exact"/>
        <w:rPr>
          <w:rFonts w:ascii="Arial" w:cs="Arial" w:eastAsia="Arial" w:hAnsi="Arial"/>
          <w:sz w:val="18"/>
          <w:szCs w:val="18"/>
          <w:color w:val="auto"/>
        </w:rPr>
      </w:pPr>
    </w:p>
    <w:p>
      <w:pPr>
        <w:ind w:left="1080" w:right="440" w:hanging="464"/>
        <w:spacing w:after="0" w:line="264" w:lineRule="auto"/>
        <w:tabs>
          <w:tab w:leader="none" w:pos="10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0" w:lineRule="exact"/>
        <w:rPr>
          <w:rFonts w:ascii="Arial" w:cs="Arial" w:eastAsia="Arial" w:hAnsi="Arial"/>
          <w:sz w:val="18"/>
          <w:szCs w:val="18"/>
          <w:color w:val="auto"/>
        </w:rPr>
      </w:pPr>
    </w:p>
    <w:p>
      <w:pPr>
        <w:jc w:val="both"/>
        <w:ind w:left="1080" w:right="620" w:hanging="464"/>
        <w:spacing w:after="0" w:line="342" w:lineRule="auto"/>
        <w:tabs>
          <w:tab w:leader="none" w:pos="1080" w:val="left"/>
        </w:tabs>
        <w:numPr>
          <w:ilvl w:val="1"/>
          <w:numId w:val="1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3" w:lineRule="exact"/>
        <w:rPr>
          <w:rFonts w:ascii="Arial" w:cs="Arial" w:eastAsia="Arial" w:hAnsi="Arial"/>
          <w:sz w:val="16"/>
          <w:szCs w:val="16"/>
          <w:color w:val="auto"/>
        </w:rPr>
      </w:pPr>
    </w:p>
    <w:p>
      <w:pPr>
        <w:ind w:left="1080" w:right="120" w:hanging="464"/>
        <w:spacing w:after="0" w:line="264" w:lineRule="auto"/>
        <w:tabs>
          <w:tab w:leader="none" w:pos="10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0" w:lineRule="exact"/>
        <w:rPr>
          <w:rFonts w:ascii="Arial" w:cs="Arial" w:eastAsia="Arial" w:hAnsi="Arial"/>
          <w:sz w:val="18"/>
          <w:szCs w:val="18"/>
          <w:color w:val="auto"/>
        </w:rPr>
      </w:pPr>
    </w:p>
    <w:p>
      <w:pPr>
        <w:ind w:left="620" w:right="40" w:hanging="585"/>
        <w:spacing w:after="0" w:line="308" w:lineRule="auto"/>
        <w:tabs>
          <w:tab w:leader="none" w:pos="6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6" w:lineRule="exact"/>
        <w:rPr>
          <w:rFonts w:ascii="Arial" w:cs="Arial" w:eastAsia="Arial" w:hAnsi="Arial"/>
          <w:sz w:val="17"/>
          <w:szCs w:val="17"/>
          <w:color w:val="auto"/>
        </w:rPr>
      </w:pPr>
    </w:p>
    <w:p>
      <w:pPr>
        <w:ind w:left="1080" w:right="40" w:hanging="464"/>
        <w:spacing w:after="0" w:line="277" w:lineRule="auto"/>
        <w:tabs>
          <w:tab w:leader="none" w:pos="10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9" w:lineRule="exact"/>
        <w:rPr>
          <w:rFonts w:ascii="Arial" w:cs="Arial" w:eastAsia="Arial" w:hAnsi="Arial"/>
          <w:sz w:val="18"/>
          <w:szCs w:val="18"/>
          <w:color w:val="auto"/>
        </w:rPr>
      </w:pPr>
    </w:p>
    <w:p>
      <w:pPr>
        <w:ind w:left="1080" w:right="540" w:hanging="464"/>
        <w:spacing w:after="0" w:line="277" w:lineRule="auto"/>
        <w:tabs>
          <w:tab w:leader="none" w:pos="10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76" w:lineRule="exact"/>
        <w:rPr>
          <w:sz w:val="20"/>
          <w:szCs w:val="20"/>
          <w:color w:val="auto"/>
        </w:rPr>
      </w:pPr>
    </w:p>
    <w:p>
      <w:pPr>
        <w:ind w:left="40"/>
        <w:spacing w:after="0"/>
        <w:tabs>
          <w:tab w:leader="none" w:pos="5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6"/>
          <w:szCs w:val="16"/>
          <w:color w:val="auto"/>
        </w:rPr>
        <w:t>August 6,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356870</wp:posOffset>
            </wp:positionH>
            <wp:positionV relativeFrom="paragraph">
              <wp:posOffset>31750</wp:posOffset>
            </wp:positionV>
            <wp:extent cx="114046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140460" cy="8890"/>
                    </a:xfrm>
                    <a:prstGeom prst="rect">
                      <a:avLst/>
                    </a:prstGeom>
                    <a:noFill/>
                  </pic:spPr>
                </pic:pic>
              </a:graphicData>
            </a:graphic>
          </wp:anchor>
        </w:drawing>
      </w:r>
    </w:p>
    <w:p>
      <w:pPr>
        <w:spacing w:after="0" w:line="200" w:lineRule="exact"/>
        <w:rPr>
          <w:sz w:val="20"/>
          <w:szCs w:val="20"/>
          <w:color w:val="auto"/>
        </w:rPr>
      </w:pPr>
    </w:p>
    <w:p>
      <w:pPr>
        <w:spacing w:after="0" w:line="208" w:lineRule="exact"/>
        <w:rPr>
          <w:sz w:val="20"/>
          <w:szCs w:val="20"/>
          <w:color w:val="auto"/>
        </w:rPr>
      </w:pPr>
    </w:p>
    <w:p>
      <w:pPr>
        <w:ind w:left="6960"/>
        <w:spacing w:after="0"/>
        <w:rPr>
          <w:sz w:val="20"/>
          <w:szCs w:val="20"/>
          <w:color w:val="auto"/>
        </w:rPr>
      </w:pPr>
      <w:r>
        <w:rPr>
          <w:rFonts w:ascii="Arial" w:cs="Arial" w:eastAsia="Arial" w:hAnsi="Arial"/>
          <w:sz w:val="18"/>
          <w:szCs w:val="18"/>
          <w:color w:val="auto"/>
        </w:rPr>
        <w:t>/s/ Stephen J. Smith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4404360</wp:posOffset>
            </wp:positionH>
            <wp:positionV relativeFrom="paragraph">
              <wp:posOffset>31750</wp:posOffset>
            </wp:positionV>
            <wp:extent cx="284734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57" w:lineRule="exact"/>
        <w:rPr>
          <w:sz w:val="20"/>
          <w:szCs w:val="20"/>
          <w:color w:val="auto"/>
        </w:rPr>
      </w:pPr>
    </w:p>
    <w:p>
      <w:pPr>
        <w:ind w:left="6960"/>
        <w:spacing w:after="0"/>
        <w:rPr>
          <w:sz w:val="20"/>
          <w:szCs w:val="20"/>
          <w:color w:val="auto"/>
        </w:rPr>
      </w:pPr>
      <w:r>
        <w:rPr>
          <w:rFonts w:ascii="Arial" w:cs="Arial" w:eastAsia="Arial" w:hAnsi="Arial"/>
          <w:sz w:val="18"/>
          <w:szCs w:val="18"/>
          <w:color w:val="auto"/>
        </w:rPr>
        <w:t>Stephen J. Smith</w:t>
      </w:r>
    </w:p>
    <w:p>
      <w:pPr>
        <w:spacing w:after="0" w:line="63" w:lineRule="exact"/>
        <w:rPr>
          <w:sz w:val="20"/>
          <w:szCs w:val="20"/>
          <w:color w:val="auto"/>
        </w:rPr>
      </w:pPr>
    </w:p>
    <w:p>
      <w:pPr>
        <w:ind w:left="6960"/>
        <w:spacing w:after="0"/>
        <w:rPr>
          <w:sz w:val="20"/>
          <w:szCs w:val="20"/>
          <w:color w:val="auto"/>
        </w:rPr>
      </w:pPr>
      <w:r>
        <w:rPr>
          <w:rFonts w:ascii="Arial" w:cs="Arial" w:eastAsia="Arial" w:hAnsi="Arial"/>
          <w:sz w:val="18"/>
          <w:szCs w:val="18"/>
          <w:color w:val="auto"/>
        </w:rPr>
        <w:t>Senior Vice President and Chief Financial Officer</w:t>
      </w:r>
    </w:p>
    <w:p>
      <w:pPr>
        <w:sectPr>
          <w:pgSz w:w="11900" w:h="16838" w:orient="portrait"/>
          <w:cols w:equalWidth="0" w:num="1">
            <w:col w:w="11420"/>
          </w:cols>
          <w:pgMar w:left="240" w:top="337" w:right="23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32.1</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connection with the Quarterly Report on Form 10-Q of Veritiv Corporation (the “Company”) for the period ended June 30, 2019 as filed with the Securities and Exchange Commission on the date hereof (the “Report”), I, Mary A. Laschinger, Chairman and Chief Executive Officer of the Company, certify, pursuant to 18 U.S.C. § 1350, as adopted pursuant to § 906 of the Sarbanes-Oxley Act of 2002, to my knowledge, that:</w:t>
      </w:r>
    </w:p>
    <w:p>
      <w:pPr>
        <w:spacing w:after="0" w:line="343" w:lineRule="exact"/>
        <w:rPr>
          <w:sz w:val="20"/>
          <w:szCs w:val="20"/>
          <w:color w:val="auto"/>
        </w:rPr>
      </w:pPr>
    </w:p>
    <w:p>
      <w:pPr>
        <w:ind w:left="620" w:hanging="585"/>
        <w:spacing w:after="0"/>
        <w:tabs>
          <w:tab w:leader="none" w:pos="6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and</w:t>
      </w:r>
    </w:p>
    <w:p>
      <w:pPr>
        <w:spacing w:after="0" w:line="184" w:lineRule="exact"/>
        <w:rPr>
          <w:rFonts w:ascii="Arial" w:cs="Arial" w:eastAsia="Arial" w:hAnsi="Arial"/>
          <w:sz w:val="18"/>
          <w:szCs w:val="18"/>
          <w:color w:val="auto"/>
        </w:rPr>
      </w:pPr>
    </w:p>
    <w:p>
      <w:pPr>
        <w:ind w:left="620" w:hanging="585"/>
        <w:spacing w:after="0"/>
        <w:tabs>
          <w:tab w:leader="none" w:pos="62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3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Mary A. Laschinger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79031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79031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Mary A. Laschinger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Chairman and Chief Executive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August 6, 2019</w:t>
      </w:r>
    </w:p>
    <w:p>
      <w:pPr>
        <w:sectPr>
          <w:pgSz w:w="11900" w:h="16838" w:orient="portrait"/>
          <w:cols w:equalWidth="0" w:num="1">
            <w:col w:w="11420"/>
          </w:cols>
          <w:pgMar w:left="240" w:top="337" w:right="2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32.2</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In connection with the Quarterly Report on Form 10-Q of Veritiv Corporation (the “Company”) for the period ended June 30, 2019 as filed with the Securities and Exchange Commission on the date hereof (the “Report”), I, Stephen J. Smith, Senior Vice President and Chief Financial Officer of the Company, certify, pursuant to 18 U.S.C. § 1350, as adopted pursuant to § 906 of the Sarbanes-Oxley Act of 2002, to my knowledge, that:</w:t>
      </w:r>
    </w:p>
    <w:p>
      <w:pPr>
        <w:spacing w:after="0" w:line="328" w:lineRule="exact"/>
        <w:rPr>
          <w:sz w:val="20"/>
          <w:szCs w:val="20"/>
          <w:color w:val="auto"/>
        </w:rPr>
      </w:pPr>
    </w:p>
    <w:p>
      <w:pPr>
        <w:ind w:left="620" w:hanging="585"/>
        <w:spacing w:after="0"/>
        <w:tabs>
          <w:tab w:leader="none" w:pos="6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and</w:t>
      </w:r>
    </w:p>
    <w:p>
      <w:pPr>
        <w:spacing w:after="0" w:line="184" w:lineRule="exact"/>
        <w:rPr>
          <w:rFonts w:ascii="Arial" w:cs="Arial" w:eastAsia="Arial" w:hAnsi="Arial"/>
          <w:sz w:val="18"/>
          <w:szCs w:val="18"/>
          <w:color w:val="auto"/>
        </w:rPr>
      </w:pPr>
    </w:p>
    <w:p>
      <w:pPr>
        <w:ind w:left="620" w:hanging="585"/>
        <w:spacing w:after="0"/>
        <w:tabs>
          <w:tab w:leader="none" w:pos="6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3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Stephen J. Smith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06133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06133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Stephen J. Smith</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Senior Vice President and Chief Financial Officer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August 6, 2019</w:t>
      </w:r>
    </w:p>
    <w:sectPr>
      <w:pgSz w:w="11900" w:h="16838" w:orient="portrait"/>
      <w:cols w:equalWidth="0" w:num="1">
        <w:col w:w="11420"/>
      </w:cols>
      <w:pgMar w:left="240" w:top="33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abstractNum>
  <w:abstractNum w:abstractNumId="1">
    <w:nsid w:val="5BD062C2"/>
    <w:multiLevelType w:val="hybridMultilevel"/>
    <w:lvl w:ilvl="0">
      <w:lvlJc w:val="left"/>
      <w:lvlText w:val="☐"/>
      <w:numFmt w:val="bullet"/>
      <w:start w:val="1"/>
    </w:lvl>
  </w:abstractNum>
  <w:abstractNum w:abstractNumId="2">
    <w:nsid w:val="12200854"/>
    <w:multiLevelType w:val="hybridMultilevel"/>
    <w:lvl w:ilvl="0">
      <w:lvlJc w:val="left"/>
      <w:lvlText w:val="(%1)"/>
      <w:numFmt w:val="decimal"/>
      <w:start w:val="1"/>
    </w:lvl>
  </w:abstractNum>
  <w:abstractNum w:abstractNumId="3">
    <w:nsid w:val="4DB127F8"/>
    <w:multiLevelType w:val="hybridMultilevel"/>
    <w:lvl w:ilvl="0">
      <w:lvlJc w:val="left"/>
      <w:lvlText w:val="(%1)"/>
      <w:numFmt w:val="decimal"/>
      <w:start w:val="1"/>
    </w:lvl>
  </w:abstractNum>
  <w:abstractNum w:abstractNumId="4">
    <w:nsid w:val="216231B"/>
    <w:multiLevelType w:val="hybridMultilevel"/>
    <w:lvl w:ilvl="0">
      <w:lvlJc w:val="left"/>
      <w:lvlText w:val="•"/>
      <w:numFmt w:val="bullet"/>
      <w:start w:val="1"/>
    </w:lvl>
  </w:abstractNum>
  <w:abstractNum w:abstractNumId="5">
    <w:nsid w:val="1F16E9E8"/>
    <w:multiLevelType w:val="hybridMultilevel"/>
    <w:lvl w:ilvl="0">
      <w:lvlJc w:val="left"/>
      <w:lvlText w:val="(%1)"/>
      <w:numFmt w:val="decimal"/>
      <w:start w:val="1"/>
    </w:lvl>
  </w:abstractNum>
  <w:abstractNum w:abstractNumId="6">
    <w:nsid w:val="1190CDE7"/>
    <w:multiLevelType w:val="hybridMultilevel"/>
    <w:lvl w:ilvl="0">
      <w:lvlJc w:val="left"/>
      <w:lvlText w:val="(%1)"/>
      <w:numFmt w:val="decimal"/>
      <w:start w:val="1"/>
    </w:lvl>
  </w:abstractNum>
  <w:abstractNum w:abstractNumId="7">
    <w:nsid w:val="66EF438D"/>
    <w:multiLevelType w:val="hybridMultilevel"/>
    <w:lvl w:ilvl="0">
      <w:lvlJc w:val="left"/>
      <w:lvlText w:val="$"/>
      <w:numFmt w:val="bullet"/>
      <w:start w:val="1"/>
    </w:lvl>
  </w:abstractNum>
  <w:abstractNum w:abstractNumId="8">
    <w:nsid w:val="140E0F76"/>
    <w:multiLevelType w:val="hybridMultilevel"/>
    <w:lvl w:ilvl="0">
      <w:lvlJc w:val="left"/>
      <w:lvlText w:val="$"/>
      <w:numFmt w:val="bullet"/>
      <w:start w:val="1"/>
    </w:lvl>
  </w:abstractNum>
  <w:abstractNum w:abstractNumId="9">
    <w:nsid w:val="3352255A"/>
    <w:multiLevelType w:val="hybridMultilevel"/>
    <w:lvl w:ilvl="0">
      <w:lvlJc w:val="left"/>
      <w:lvlText w:val="•"/>
      <w:numFmt w:val="bullet"/>
      <w:start w:val="1"/>
    </w:lvl>
  </w:abstractNum>
  <w:abstractNum w:abstractNumId="10">
    <w:nsid w:val="109CF92E"/>
    <w:multiLevelType w:val="hybridMultilevel"/>
    <w:lvl w:ilvl="0">
      <w:lvlJc w:val="left"/>
      <w:lvlText w:val="(%1)"/>
      <w:numFmt w:val="lowerRoman"/>
      <w:start w:val="1"/>
    </w:lvl>
  </w:abstractNum>
  <w:abstractNum w:abstractNumId="11">
    <w:nsid w:val="DED7263"/>
    <w:multiLevelType w:val="hybridMultilevel"/>
    <w:lvl w:ilvl="0">
      <w:lvlJc w:val="left"/>
      <w:lvlText w:val="•"/>
      <w:numFmt w:val="bullet"/>
      <w:start w:val="1"/>
    </w:lvl>
  </w:abstractNum>
  <w:abstractNum w:abstractNumId="12">
    <w:nsid w:val="7FDCC233"/>
    <w:multiLevelType w:val="hybridMultilevel"/>
    <w:lvl w:ilvl="0">
      <w:lvlJc w:val="left"/>
      <w:lvlText w:val="%1."/>
      <w:numFmt w:val="decimal"/>
      <w:start w:val="1"/>
    </w:lvl>
    <w:lvl w:ilvl="1">
      <w:lvlJc w:val="left"/>
      <w:lvlText w:val="(%2)"/>
      <w:numFmt w:val="lowerLetter"/>
      <w:start w:val="1"/>
    </w:lvl>
  </w:abstractNum>
  <w:abstractNum w:abstractNumId="13">
    <w:nsid w:val="1BEFD79F"/>
    <w:multiLevelType w:val="hybridMultilevel"/>
    <w:lvl w:ilvl="0">
      <w:lvlJc w:val="left"/>
      <w:lvlText w:val="%1."/>
      <w:numFmt w:val="decimal"/>
      <w:start w:val="1"/>
    </w:lvl>
    <w:lvl w:ilvl="1">
      <w:lvlJc w:val="left"/>
      <w:lvlText w:val="(%2)"/>
      <w:numFmt w:val="lowerLetter"/>
      <w:start w:val="1"/>
    </w:lvl>
  </w:abstractNum>
  <w:abstractNum w:abstractNumId="14">
    <w:nsid w:val="41A7C4C9"/>
    <w:multiLevelType w:val="hybridMultilevel"/>
    <w:lvl w:ilvl="0">
      <w:lvlJc w:val="left"/>
      <w:lvlText w:val="(%1)"/>
      <w:numFmt w:val="decimal"/>
      <w:start w:val="1"/>
    </w:lvl>
  </w:abstractNum>
  <w:abstractNum w:abstractNumId="15">
    <w:nsid w:val="6B68079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2020-02-26T13:29:52Z</dcterms:created>
  <dcterms:modified xsi:type="dcterms:W3CDTF">2020-02-26T13:29:52Z</dcterms:modified>
</cp:coreProperties>
</file>