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353"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5714365</wp:posOffset>
            </wp:positionH>
            <wp:positionV relativeFrom="page">
              <wp:posOffset>157480</wp:posOffset>
            </wp:positionV>
            <wp:extent cx="1689735"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689735" cy="668655"/>
                    </a:xfrm>
                    <a:prstGeom prst="rect">
                      <a:avLst/>
                    </a:prstGeom>
                    <a:noFill/>
                  </pic:spPr>
                </pic:pic>
              </a:graphicData>
            </a:graphic>
          </wp:anchor>
        </w:drawing>
      </w:r>
    </w:p>
    <w:p>
      <w:pPr>
        <w:spacing w:after="0"/>
        <w:rPr>
          <w:sz w:val="20"/>
          <w:szCs w:val="20"/>
          <w:color w:val="auto"/>
        </w:rPr>
      </w:pPr>
      <w:r>
        <w:rPr>
          <w:rFonts w:ascii="Arial" w:cs="Arial" w:eastAsia="Arial" w:hAnsi="Arial"/>
          <w:sz w:val="22"/>
          <w:szCs w:val="22"/>
          <w:color w:val="auto"/>
        </w:rPr>
        <w:t>October 21, 2015</w:t>
      </w:r>
    </w:p>
    <w:p>
      <w:pPr>
        <w:spacing w:after="0" w:line="214" w:lineRule="exact"/>
        <w:rPr>
          <w:sz w:val="24"/>
          <w:szCs w:val="24"/>
          <w:color w:val="auto"/>
        </w:rPr>
      </w:pPr>
    </w:p>
    <w:p>
      <w:pPr>
        <w:spacing w:after="0"/>
        <w:rPr>
          <w:sz w:val="20"/>
          <w:szCs w:val="20"/>
          <w:color w:val="auto"/>
        </w:rPr>
      </w:pPr>
      <w:r>
        <w:rPr>
          <w:rFonts w:ascii="Arial" w:cs="Arial" w:eastAsia="Arial" w:hAnsi="Arial"/>
          <w:sz w:val="22"/>
          <w:szCs w:val="22"/>
          <w:b w:val="1"/>
          <w:bCs w:val="1"/>
          <w:u w:val="single" w:color="auto"/>
          <w:color w:val="auto"/>
        </w:rPr>
        <w:t>VIA EDGAR AND E-MAIL</w:t>
      </w:r>
    </w:p>
    <w:p>
      <w:pPr>
        <w:spacing w:after="0" w:line="226" w:lineRule="exact"/>
        <w:rPr>
          <w:sz w:val="24"/>
          <w:szCs w:val="24"/>
          <w:color w:val="auto"/>
        </w:rPr>
      </w:pPr>
    </w:p>
    <w:p>
      <w:pPr>
        <w:spacing w:after="0"/>
        <w:rPr>
          <w:sz w:val="20"/>
          <w:szCs w:val="20"/>
          <w:color w:val="auto"/>
        </w:rPr>
      </w:pPr>
      <w:r>
        <w:rPr>
          <w:rFonts w:ascii="Arial" w:cs="Arial" w:eastAsia="Arial" w:hAnsi="Arial"/>
          <w:sz w:val="22"/>
          <w:szCs w:val="22"/>
          <w:color w:val="auto"/>
        </w:rPr>
        <w:t>Securities and Exchange Commission</w:t>
      </w:r>
    </w:p>
    <w:p>
      <w:pPr>
        <w:spacing w:after="0" w:line="22" w:lineRule="exact"/>
        <w:rPr>
          <w:sz w:val="24"/>
          <w:szCs w:val="24"/>
          <w:color w:val="auto"/>
        </w:rPr>
      </w:pPr>
    </w:p>
    <w:p>
      <w:pPr>
        <w:spacing w:after="0"/>
        <w:rPr>
          <w:sz w:val="20"/>
          <w:szCs w:val="20"/>
          <w:color w:val="auto"/>
        </w:rPr>
      </w:pPr>
      <w:r>
        <w:rPr>
          <w:rFonts w:ascii="Arial" w:cs="Arial" w:eastAsia="Arial" w:hAnsi="Arial"/>
          <w:sz w:val="22"/>
          <w:szCs w:val="22"/>
          <w:color w:val="auto"/>
        </w:rPr>
        <w:t>100 F Street, N.E.</w:t>
      </w:r>
    </w:p>
    <w:p>
      <w:pPr>
        <w:spacing w:after="0" w:line="4" w:lineRule="exact"/>
        <w:rPr>
          <w:sz w:val="24"/>
          <w:szCs w:val="24"/>
          <w:color w:val="auto"/>
        </w:rPr>
      </w:pPr>
    </w:p>
    <w:p>
      <w:pPr>
        <w:spacing w:after="0"/>
        <w:rPr>
          <w:sz w:val="20"/>
          <w:szCs w:val="20"/>
          <w:color w:val="auto"/>
        </w:rPr>
      </w:pPr>
      <w:r>
        <w:rPr>
          <w:rFonts w:ascii="Arial" w:cs="Arial" w:eastAsia="Arial" w:hAnsi="Arial"/>
          <w:sz w:val="22"/>
          <w:szCs w:val="22"/>
          <w:color w:val="auto"/>
        </w:rPr>
        <w:t>Washington, D.C. 20549</w:t>
      </w:r>
    </w:p>
    <w:p>
      <w:pPr>
        <w:spacing w:after="0" w:line="4" w:lineRule="exact"/>
        <w:rPr>
          <w:sz w:val="24"/>
          <w:szCs w:val="24"/>
          <w:color w:val="auto"/>
        </w:rPr>
      </w:pPr>
    </w:p>
    <w:p>
      <w:pPr>
        <w:spacing w:after="0"/>
        <w:rPr>
          <w:sz w:val="20"/>
          <w:szCs w:val="20"/>
          <w:color w:val="auto"/>
        </w:rPr>
      </w:pPr>
      <w:r>
        <w:rPr>
          <w:rFonts w:ascii="Arial" w:cs="Arial" w:eastAsia="Arial" w:hAnsi="Arial"/>
          <w:sz w:val="22"/>
          <w:szCs w:val="22"/>
          <w:color w:val="auto"/>
        </w:rPr>
        <w:t>Attn: Jason Langford</w:t>
      </w:r>
    </w:p>
    <w:p>
      <w:pPr>
        <w:spacing w:after="0" w:line="242" w:lineRule="exact"/>
        <w:rPr>
          <w:sz w:val="24"/>
          <w:szCs w:val="24"/>
          <w:color w:val="auto"/>
        </w:rPr>
      </w:pPr>
    </w:p>
    <w:p>
      <w:pPr>
        <w:ind w:left="660"/>
        <w:spacing w:after="0"/>
        <w:tabs>
          <w:tab w:leader="none" w:pos="1280" w:val="left"/>
        </w:tabs>
        <w:rPr>
          <w:sz w:val="20"/>
          <w:szCs w:val="20"/>
          <w:color w:val="auto"/>
        </w:rPr>
      </w:pPr>
      <w:r>
        <w:rPr>
          <w:rFonts w:ascii="Arial" w:cs="Arial" w:eastAsia="Arial" w:hAnsi="Arial"/>
          <w:sz w:val="22"/>
          <w:szCs w:val="22"/>
          <w:color w:val="auto"/>
        </w:rPr>
        <w:t>Re:</w:t>
      </w:r>
      <w:r>
        <w:rPr>
          <w:sz w:val="20"/>
          <w:szCs w:val="20"/>
          <w:color w:val="auto"/>
        </w:rPr>
        <w:tab/>
      </w:r>
      <w:r>
        <w:rPr>
          <w:rFonts w:ascii="Arial" w:cs="Arial" w:eastAsia="Arial" w:hAnsi="Arial"/>
          <w:sz w:val="22"/>
          <w:szCs w:val="22"/>
          <w:color w:val="auto"/>
        </w:rPr>
        <w:t>Veritiv Corporation</w:t>
      </w:r>
    </w:p>
    <w:p>
      <w:pPr>
        <w:spacing w:after="0" w:line="22" w:lineRule="exact"/>
        <w:rPr>
          <w:sz w:val="24"/>
          <w:szCs w:val="24"/>
          <w:color w:val="auto"/>
        </w:rPr>
      </w:pPr>
    </w:p>
    <w:p>
      <w:pPr>
        <w:ind w:left="1300"/>
        <w:spacing w:after="0"/>
        <w:rPr>
          <w:sz w:val="20"/>
          <w:szCs w:val="20"/>
          <w:color w:val="auto"/>
        </w:rPr>
      </w:pPr>
      <w:r>
        <w:rPr>
          <w:rFonts w:ascii="Arial" w:cs="Arial" w:eastAsia="Arial" w:hAnsi="Arial"/>
          <w:sz w:val="22"/>
          <w:szCs w:val="22"/>
          <w:color w:val="auto"/>
        </w:rPr>
        <w:t>Registration Statement on Form S-3</w:t>
      </w:r>
    </w:p>
    <w:p>
      <w:pPr>
        <w:spacing w:after="0" w:line="4" w:lineRule="exact"/>
        <w:rPr>
          <w:sz w:val="24"/>
          <w:szCs w:val="24"/>
          <w:color w:val="auto"/>
        </w:rPr>
      </w:pPr>
    </w:p>
    <w:p>
      <w:pPr>
        <w:ind w:left="1300"/>
        <w:spacing w:after="0"/>
        <w:rPr>
          <w:sz w:val="20"/>
          <w:szCs w:val="20"/>
          <w:color w:val="auto"/>
        </w:rPr>
      </w:pPr>
      <w:r>
        <w:rPr>
          <w:rFonts w:ascii="Arial" w:cs="Arial" w:eastAsia="Arial" w:hAnsi="Arial"/>
          <w:sz w:val="22"/>
          <w:szCs w:val="22"/>
          <w:u w:val="single" w:color="auto"/>
          <w:color w:val="auto"/>
        </w:rPr>
        <w:t>File No. 333-207286</w:t>
      </w:r>
    </w:p>
    <w:p>
      <w:pPr>
        <w:spacing w:after="0" w:line="242" w:lineRule="exact"/>
        <w:rPr>
          <w:sz w:val="24"/>
          <w:szCs w:val="24"/>
          <w:color w:val="auto"/>
        </w:rPr>
      </w:pPr>
    </w:p>
    <w:p>
      <w:pPr>
        <w:spacing w:after="0"/>
        <w:rPr>
          <w:sz w:val="20"/>
          <w:szCs w:val="20"/>
          <w:color w:val="auto"/>
        </w:rPr>
      </w:pPr>
      <w:r>
        <w:rPr>
          <w:rFonts w:ascii="Arial" w:cs="Arial" w:eastAsia="Arial" w:hAnsi="Arial"/>
          <w:sz w:val="22"/>
          <w:szCs w:val="22"/>
          <w:color w:val="auto"/>
        </w:rPr>
        <w:t>Ladies and Gentlemen:</w:t>
      </w:r>
    </w:p>
    <w:p>
      <w:pPr>
        <w:spacing w:after="0" w:line="220" w:lineRule="exact"/>
        <w:rPr>
          <w:sz w:val="24"/>
          <w:szCs w:val="24"/>
          <w:color w:val="auto"/>
        </w:rPr>
      </w:pPr>
    </w:p>
    <w:p>
      <w:pPr>
        <w:ind w:left="660"/>
        <w:spacing w:after="0"/>
        <w:rPr>
          <w:sz w:val="20"/>
          <w:szCs w:val="20"/>
          <w:color w:val="auto"/>
        </w:rPr>
      </w:pPr>
      <w:r>
        <w:rPr>
          <w:rFonts w:ascii="Arial" w:cs="Arial" w:eastAsia="Arial" w:hAnsi="Arial"/>
          <w:sz w:val="19"/>
          <w:szCs w:val="19"/>
          <w:color w:val="auto"/>
        </w:rPr>
        <w:t>Pursuant to Rule 461 under the Securities Act of 1933, as amended, Veritiv Corporation, a Delaware corporation (the</w:t>
      </w:r>
    </w:p>
    <w:p>
      <w:pPr>
        <w:spacing w:after="0" w:line="56" w:lineRule="exact"/>
        <w:rPr>
          <w:sz w:val="24"/>
          <w:szCs w:val="24"/>
          <w:color w:val="auto"/>
        </w:rPr>
      </w:pPr>
    </w:p>
    <w:p>
      <w:pPr>
        <w:spacing w:after="0"/>
        <w:rPr>
          <w:sz w:val="20"/>
          <w:szCs w:val="20"/>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Company</w:t>
      </w:r>
      <w:r>
        <w:rPr>
          <w:rFonts w:ascii="Arial" w:cs="Arial" w:eastAsia="Arial" w:hAnsi="Arial"/>
          <w:sz w:val="19"/>
          <w:szCs w:val="19"/>
          <w:color w:val="auto"/>
        </w:rPr>
        <w:t>”), hereby respectfully requests acceleration of the effective date of the Company’s Registration Statement on Form S-3</w:t>
      </w:r>
    </w:p>
    <w:p>
      <w:pPr>
        <w:spacing w:after="0" w:line="38" w:lineRule="exact"/>
        <w:rPr>
          <w:sz w:val="24"/>
          <w:szCs w:val="24"/>
          <w:color w:val="auto"/>
        </w:rPr>
      </w:pPr>
    </w:p>
    <w:p>
      <w:pPr>
        <w:spacing w:after="0"/>
        <w:rPr>
          <w:sz w:val="20"/>
          <w:szCs w:val="20"/>
          <w:color w:val="auto"/>
        </w:rPr>
      </w:pPr>
      <w:r>
        <w:rPr>
          <w:rFonts w:ascii="Arial" w:cs="Arial" w:eastAsia="Arial" w:hAnsi="Arial"/>
          <w:sz w:val="19"/>
          <w:szCs w:val="19"/>
          <w:color w:val="auto"/>
        </w:rPr>
        <w:t>(File No. 333-207286), as amended by Amendment No. 1 thereto (the “</w:t>
      </w:r>
      <w:r>
        <w:rPr>
          <w:rFonts w:ascii="Arial" w:cs="Arial" w:eastAsia="Arial" w:hAnsi="Arial"/>
          <w:sz w:val="19"/>
          <w:szCs w:val="19"/>
          <w:u w:val="single" w:color="auto"/>
          <w:color w:val="auto"/>
        </w:rPr>
        <w:t>Registration Statement</w:t>
      </w:r>
      <w:r>
        <w:rPr>
          <w:rFonts w:ascii="Arial" w:cs="Arial" w:eastAsia="Arial" w:hAnsi="Arial"/>
          <w:sz w:val="19"/>
          <w:szCs w:val="19"/>
          <w:color w:val="auto"/>
        </w:rPr>
        <w:t>”), to 4:00 p.m., Eastern Time, on</w:t>
      </w:r>
    </w:p>
    <w:p>
      <w:pPr>
        <w:spacing w:after="0" w:line="38" w:lineRule="exact"/>
        <w:rPr>
          <w:sz w:val="24"/>
          <w:szCs w:val="24"/>
          <w:color w:val="auto"/>
        </w:rPr>
      </w:pPr>
    </w:p>
    <w:p>
      <w:pPr>
        <w:spacing w:after="0"/>
        <w:rPr>
          <w:sz w:val="20"/>
          <w:szCs w:val="20"/>
          <w:color w:val="auto"/>
        </w:rPr>
      </w:pPr>
      <w:r>
        <w:rPr>
          <w:rFonts w:ascii="Arial" w:cs="Arial" w:eastAsia="Arial" w:hAnsi="Arial"/>
          <w:sz w:val="22"/>
          <w:szCs w:val="22"/>
          <w:color w:val="auto"/>
        </w:rPr>
        <w:t>October 23, 2015, or as soon thereafter as practicable.</w:t>
      </w:r>
    </w:p>
    <w:p>
      <w:pPr>
        <w:spacing w:after="0" w:line="202" w:lineRule="exact"/>
        <w:rPr>
          <w:sz w:val="24"/>
          <w:szCs w:val="24"/>
          <w:color w:val="auto"/>
        </w:rPr>
      </w:pPr>
    </w:p>
    <w:p>
      <w:pPr>
        <w:ind w:left="660"/>
        <w:spacing w:after="0"/>
        <w:rPr>
          <w:sz w:val="20"/>
          <w:szCs w:val="20"/>
          <w:color w:val="auto"/>
        </w:rPr>
      </w:pPr>
      <w:r>
        <w:rPr>
          <w:rFonts w:ascii="Arial" w:cs="Arial" w:eastAsia="Arial" w:hAnsi="Arial"/>
          <w:sz w:val="19"/>
          <w:szCs w:val="19"/>
          <w:color w:val="auto"/>
        </w:rPr>
        <w:t>In addition, at the request of the staff (the “</w:t>
      </w:r>
      <w:r>
        <w:rPr>
          <w:rFonts w:ascii="Arial" w:cs="Arial" w:eastAsia="Arial" w:hAnsi="Arial"/>
          <w:sz w:val="19"/>
          <w:szCs w:val="19"/>
          <w:u w:val="single" w:color="auto"/>
          <w:color w:val="auto"/>
        </w:rPr>
        <w:t>Staff</w:t>
      </w:r>
      <w:r>
        <w:rPr>
          <w:rFonts w:ascii="Arial" w:cs="Arial" w:eastAsia="Arial" w:hAnsi="Arial"/>
          <w:sz w:val="19"/>
          <w:szCs w:val="19"/>
          <w:color w:val="auto"/>
        </w:rPr>
        <w:t>”) of the Securities and Exchange Commission (the “</w:t>
      </w:r>
      <w:r>
        <w:rPr>
          <w:rFonts w:ascii="Arial" w:cs="Arial" w:eastAsia="Arial" w:hAnsi="Arial"/>
          <w:sz w:val="19"/>
          <w:szCs w:val="19"/>
          <w:u w:val="single" w:color="auto"/>
          <w:color w:val="auto"/>
        </w:rPr>
        <w:t>Commission</w:t>
      </w:r>
      <w:r>
        <w:rPr>
          <w:rFonts w:ascii="Arial" w:cs="Arial" w:eastAsia="Arial" w:hAnsi="Arial"/>
          <w:sz w:val="19"/>
          <w:szCs w:val="19"/>
          <w:color w:val="auto"/>
        </w:rPr>
        <w:t>”), the</w:t>
      </w:r>
    </w:p>
    <w:p>
      <w:pPr>
        <w:spacing w:after="0" w:line="56" w:lineRule="exact"/>
        <w:rPr>
          <w:sz w:val="24"/>
          <w:szCs w:val="24"/>
          <w:color w:val="auto"/>
        </w:rPr>
      </w:pPr>
    </w:p>
    <w:p>
      <w:pPr>
        <w:spacing w:after="0"/>
        <w:rPr>
          <w:sz w:val="20"/>
          <w:szCs w:val="20"/>
          <w:color w:val="auto"/>
        </w:rPr>
      </w:pPr>
      <w:r>
        <w:rPr>
          <w:rFonts w:ascii="Arial" w:cs="Arial" w:eastAsia="Arial" w:hAnsi="Arial"/>
          <w:sz w:val="22"/>
          <w:szCs w:val="22"/>
          <w:color w:val="auto"/>
        </w:rPr>
        <w:t>Company acknowledges that:</w:t>
      </w:r>
    </w:p>
    <w:p>
      <w:pPr>
        <w:spacing w:after="0" w:line="202" w:lineRule="exact"/>
        <w:rPr>
          <w:sz w:val="24"/>
          <w:szCs w:val="24"/>
          <w:color w:val="auto"/>
        </w:rPr>
      </w:pPr>
    </w:p>
    <w:p>
      <w:pPr>
        <w:ind w:left="1300" w:right="160" w:hanging="644"/>
        <w:spacing w:after="0" w:line="343" w:lineRule="auto"/>
        <w:tabs>
          <w:tab w:leader="none" w:pos="1300" w:val="left"/>
        </w:tabs>
        <w:numPr>
          <w:ilvl w:val="0"/>
          <w:numId w:val="1"/>
        </w:numPr>
        <w:rPr>
          <w:rFonts w:ascii="Arial" w:cs="Arial" w:eastAsia="Arial" w:hAnsi="Arial"/>
          <w:sz w:val="19"/>
          <w:szCs w:val="19"/>
          <w:color w:val="auto"/>
        </w:rPr>
      </w:pPr>
      <w:r>
        <w:rPr>
          <w:rFonts w:ascii="Arial" w:cs="Arial" w:eastAsia="Arial" w:hAnsi="Arial"/>
          <w:sz w:val="19"/>
          <w:szCs w:val="19"/>
          <w:color w:val="auto"/>
        </w:rPr>
        <w:t>should the Commission or the Staff, acting pursuant to delegated authority, declare the Registration Statement effective, it does not foreclose the Commission from taking any action with respect to the Registration Statement;</w:t>
      </w:r>
    </w:p>
    <w:p>
      <w:pPr>
        <w:spacing w:after="0" w:line="104" w:lineRule="exact"/>
        <w:rPr>
          <w:rFonts w:ascii="Arial" w:cs="Arial" w:eastAsia="Arial" w:hAnsi="Arial"/>
          <w:sz w:val="19"/>
          <w:szCs w:val="19"/>
          <w:color w:val="auto"/>
        </w:rPr>
      </w:pPr>
    </w:p>
    <w:p>
      <w:pPr>
        <w:ind w:left="1300" w:right="60" w:hanging="644"/>
        <w:spacing w:after="0" w:line="253" w:lineRule="auto"/>
        <w:tabs>
          <w:tab w:leader="none" w:pos="1300" w:val="left"/>
        </w:tabs>
        <w:numPr>
          <w:ilvl w:val="0"/>
          <w:numId w:val="1"/>
        </w:numPr>
        <w:rPr>
          <w:rFonts w:ascii="Arial" w:cs="Arial" w:eastAsia="Arial" w:hAnsi="Arial"/>
          <w:sz w:val="22"/>
          <w:szCs w:val="22"/>
          <w:color w:val="auto"/>
        </w:rPr>
      </w:pPr>
      <w:r>
        <w:rPr>
          <w:rFonts w:ascii="Arial" w:cs="Arial" w:eastAsia="Arial" w:hAnsi="Arial"/>
          <w:sz w:val="22"/>
          <w:szCs w:val="22"/>
          <w:color w:val="auto"/>
        </w:rPr>
        <w:t>the action of the Commission or the Staff, acting pursuant to delegated authority, in declaring the Registration Statement effective, does not relieve the Company from its full responsibility for the adequacy and accuracy of the disclosure in the Registration Statement; and</w:t>
      </w:r>
    </w:p>
    <w:p>
      <w:pPr>
        <w:spacing w:after="0" w:line="185" w:lineRule="exact"/>
        <w:rPr>
          <w:rFonts w:ascii="Arial" w:cs="Arial" w:eastAsia="Arial" w:hAnsi="Arial"/>
          <w:sz w:val="22"/>
          <w:szCs w:val="22"/>
          <w:color w:val="auto"/>
        </w:rPr>
      </w:pPr>
    </w:p>
    <w:p>
      <w:pPr>
        <w:ind w:left="1300" w:right="300" w:hanging="644"/>
        <w:spacing w:after="0" w:line="343" w:lineRule="auto"/>
        <w:tabs>
          <w:tab w:leader="none" w:pos="1300" w:val="left"/>
        </w:tabs>
        <w:numPr>
          <w:ilvl w:val="0"/>
          <w:numId w:val="1"/>
        </w:numPr>
        <w:rPr>
          <w:rFonts w:ascii="Arial" w:cs="Arial" w:eastAsia="Arial" w:hAnsi="Arial"/>
          <w:sz w:val="19"/>
          <w:szCs w:val="19"/>
          <w:color w:val="auto"/>
        </w:rPr>
      </w:pPr>
      <w:r>
        <w:rPr>
          <w:rFonts w:ascii="Arial" w:cs="Arial" w:eastAsia="Arial" w:hAnsi="Arial"/>
          <w:sz w:val="19"/>
          <w:szCs w:val="19"/>
          <w:color w:val="auto"/>
        </w:rPr>
        <w:t>the Company may not assert Staff comments and the declaration of effectiveness as a defense in any proceeding initiated by the Commission or any person under the federal securities laws of the United States.</w:t>
      </w:r>
    </w:p>
    <w:p>
      <w:pPr>
        <w:spacing w:after="0" w:line="105" w:lineRule="exact"/>
        <w:rPr>
          <w:sz w:val="24"/>
          <w:szCs w:val="24"/>
          <w:color w:val="auto"/>
        </w:rPr>
      </w:pPr>
    </w:p>
    <w:p>
      <w:pPr>
        <w:jc w:val="center"/>
        <w:ind w:right="-139"/>
        <w:spacing w:after="0"/>
        <w:rPr>
          <w:sz w:val="20"/>
          <w:szCs w:val="20"/>
          <w:color w:val="auto"/>
        </w:rPr>
      </w:pPr>
      <w:r>
        <w:rPr>
          <w:rFonts w:ascii="Arial" w:cs="Arial" w:eastAsia="Arial" w:hAnsi="Arial"/>
          <w:sz w:val="22"/>
          <w:szCs w:val="22"/>
          <w:i w:val="1"/>
          <w:iCs w:val="1"/>
          <w:color w:val="auto"/>
        </w:rPr>
        <w:t>[Signature Page Follows]</w:t>
      </w:r>
    </w:p>
    <w:p>
      <w:pPr>
        <w:sectPr>
          <w:pgSz w:w="11900" w:h="16838" w:orient="portrait"/>
          <w:cols w:equalWidth="0" w:num="1">
            <w:col w:w="11280"/>
          </w:cols>
          <w:pgMar w:left="240" w:top="1440" w:right="379" w:bottom="1440" w:gutter="0" w:footer="0" w:header="0"/>
        </w:sectPr>
      </w:pPr>
    </w:p>
    <w:bookmarkStart w:id="1" w:name="page2"/>
    <w:bookmarkEnd w:id="1"/>
    <w:p>
      <w:pPr>
        <w:ind w:firstLine="648"/>
        <w:spacing w:after="0" w:line="263" w:lineRule="auto"/>
        <w:rPr>
          <w:sz w:val="20"/>
          <w:szCs w:val="20"/>
          <w:color w:val="auto"/>
        </w:rPr>
      </w:pPr>
      <w:r>
        <w:rPr>
          <w:rFonts w:ascii="Arial" w:cs="Arial" w:eastAsia="Arial" w:hAnsi="Arial"/>
          <w:sz w:val="22"/>
          <w:szCs w:val="22"/>
          <w:color w:val="auto"/>
        </w:rPr>
        <w:t>Please contact Lindsey A. Smith of Sidley Austin LLP at (312) 853-2210 with any questions regarding the foregoing and to confirm the effectiveness of the Registration Statement.</w:t>
      </w:r>
    </w:p>
    <w:p>
      <w:pPr>
        <w:spacing w:after="0" w:line="175"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Very truly yours,</w:t>
      </w:r>
    </w:p>
    <w:p>
      <w:pPr>
        <w:spacing w:after="0" w:line="328"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VERITIV CORPORATION</w:t>
      </w:r>
    </w:p>
    <w:p>
      <w:pPr>
        <w:spacing w:after="0" w:line="200" w:lineRule="exact"/>
        <w:rPr>
          <w:sz w:val="20"/>
          <w:szCs w:val="20"/>
          <w:color w:val="auto"/>
        </w:rPr>
      </w:pPr>
    </w:p>
    <w:p>
      <w:pPr>
        <w:spacing w:after="0" w:line="330"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By: /s/ Mark W. Hianik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2707640</wp:posOffset>
            </wp:positionH>
            <wp:positionV relativeFrom="paragraph">
              <wp:posOffset>-17780</wp:posOffset>
            </wp:positionV>
            <wp:extent cx="146621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Name: Mark W. Hianik</w:t>
      </w:r>
    </w:p>
    <w:p>
      <w:pPr>
        <w:spacing w:after="0" w:line="4" w:lineRule="exact"/>
        <w:rPr>
          <w:sz w:val="20"/>
          <w:szCs w:val="20"/>
          <w:color w:val="auto"/>
        </w:rPr>
      </w:pPr>
    </w:p>
    <w:p>
      <w:pPr>
        <w:ind w:left="3900"/>
        <w:spacing w:after="0"/>
        <w:rPr>
          <w:sz w:val="20"/>
          <w:szCs w:val="20"/>
          <w:color w:val="auto"/>
        </w:rPr>
      </w:pPr>
      <w:r>
        <w:rPr>
          <w:rFonts w:ascii="Arial" w:cs="Arial" w:eastAsia="Arial" w:hAnsi="Arial"/>
          <w:sz w:val="22"/>
          <w:szCs w:val="22"/>
          <w:color w:val="auto"/>
        </w:rPr>
        <w:t>Title: Senior Vice President, General</w:t>
      </w:r>
    </w:p>
    <w:p>
      <w:pPr>
        <w:spacing w:after="0" w:line="4" w:lineRule="exact"/>
        <w:rPr>
          <w:sz w:val="20"/>
          <w:szCs w:val="20"/>
          <w:color w:val="auto"/>
        </w:rPr>
      </w:pPr>
    </w:p>
    <w:p>
      <w:pPr>
        <w:ind w:left="4540"/>
        <w:spacing w:after="0"/>
        <w:rPr>
          <w:sz w:val="20"/>
          <w:szCs w:val="20"/>
          <w:color w:val="auto"/>
        </w:rPr>
      </w:pPr>
      <w:r>
        <w:rPr>
          <w:rFonts w:ascii="Arial" w:cs="Arial" w:eastAsia="Arial" w:hAnsi="Arial"/>
          <w:sz w:val="22"/>
          <w:szCs w:val="22"/>
          <w:color w:val="auto"/>
        </w:rPr>
        <w:t>Counsel &amp; Corporate Secretary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center"/>
        <w:ind w:right="-79"/>
        <w:spacing w:after="0"/>
        <w:rPr>
          <w:sz w:val="20"/>
          <w:szCs w:val="20"/>
          <w:color w:val="auto"/>
        </w:rPr>
      </w:pPr>
      <w:r>
        <w:rPr>
          <w:rFonts w:ascii="Arial" w:cs="Arial" w:eastAsia="Arial" w:hAnsi="Arial"/>
          <w:sz w:val="22"/>
          <w:szCs w:val="22"/>
          <w:i w:val="1"/>
          <w:iCs w:val="1"/>
          <w:color w:val="auto"/>
        </w:rPr>
        <w:t>Acceleration Request Letter</w:t>
      </w:r>
    </w:p>
    <w:sectPr>
      <w:pgSz w:w="11900" w:h="16838" w:orient="portrait"/>
      <w:cols w:equalWidth="0" w:num="1">
        <w:col w:w="11360"/>
      </w:cols>
      <w:pgMar w:left="240" w:top="631" w:right="2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2020-01-24T22:34:39Z</dcterms:created>
  <dcterms:modified xsi:type="dcterms:W3CDTF">2020-01-24T22:34:39Z</dcterms:modified>
</cp:coreProperties>
</file>