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5050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5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0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</w:rPr>
                <w:t>ESPE MATTHEW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VRTV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06/22/2016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60" w:type="dxa"/>
            <w:vAlign w:val="bottom"/>
            <w:gridSpan w:val="15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Share Unit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06/22/2016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3,213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28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3,213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3,213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(Stock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00FF"/>
        </w:rPr>
        <w:t>Settled)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40" w:right="440" w:firstLine="9"/>
        <w:spacing w:after="0" w:line="241" w:lineRule="auto"/>
        <w:tabs>
          <w:tab w:leader="none" w:pos="17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deferred share units are fully vested and non-forfeitable as of the grant date and shall be payable in shares of Veritiv Corporation common stock, generally within 30 days after the reporting person's termination of service as a Veritiv Corporation director.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/s/ Mark W. Hianik,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06/23/2016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in-Fact for Matthew J. Espe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0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868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2020-01-19T08:04:12Z</dcterms:created>
  <dcterms:modified xsi:type="dcterms:W3CDTF">2020-01-19T08:04:12Z</dcterms:modified>
</cp:coreProperties>
</file>