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144780</wp:posOffset>
            </wp:positionH>
            <wp:positionV relativeFrom="page">
              <wp:posOffset>102235</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00" w:lineRule="exact"/>
        <w:rPr>
          <w:sz w:val="24"/>
          <w:szCs w:val="24"/>
          <w:color w:val="auto"/>
        </w:rPr>
      </w:pP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39"/>
        <w:spacing w:after="0"/>
        <w:tabs>
          <w:tab w:leader="none" w:pos="240" w:val="left"/>
          <w:tab w:leader="none" w:pos="200" w:val="left"/>
        </w:tabs>
        <w:rPr>
          <w:sz w:val="20"/>
          <w:szCs w:val="20"/>
          <w:color w:val="auto"/>
        </w:rPr>
      </w:pPr>
      <w:r>
        <w:rPr>
          <w:rFonts w:ascii="Arial" w:cs="Arial" w:eastAsia="Arial" w:hAnsi="Arial"/>
          <w:sz w:val="22"/>
          <w:szCs w:val="22"/>
          <w:b w:val="1"/>
          <w:bCs w:val="1"/>
          <w:color w:val="auto"/>
        </w:rPr>
        <w:t>(Amendment No.</w:t>
        <w:tab/>
        <w:t>1</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3915410</wp:posOffset>
            </wp:positionH>
            <wp:positionV relativeFrom="paragraph">
              <wp:posOffset>-12065</wp:posOffset>
            </wp:positionV>
            <wp:extent cx="3429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2900" cy="8890"/>
                    </a:xfrm>
                    <a:prstGeom prst="rect">
                      <a:avLst/>
                    </a:prstGeom>
                    <a:noFill/>
                  </pic:spPr>
                </pic:pic>
              </a:graphicData>
            </a:graphic>
          </wp:anchor>
        </w:drawing>
      </w:r>
    </w:p>
    <w:p>
      <w:pPr>
        <w:spacing w:after="0" w:line="185" w:lineRule="exact"/>
        <w:rPr>
          <w:sz w:val="24"/>
          <w:szCs w:val="24"/>
          <w:color w:val="auto"/>
        </w:rPr>
      </w:pPr>
    </w:p>
    <w:p>
      <w:pPr>
        <w:jc w:val="center"/>
        <w:ind w:right="20"/>
        <w:spacing w:after="0"/>
        <w:rPr>
          <w:sz w:val="20"/>
          <w:szCs w:val="20"/>
          <w:color w:val="auto"/>
        </w:rPr>
      </w:pPr>
      <w:r>
        <w:rPr>
          <w:rFonts w:ascii="Arial" w:cs="Arial" w:eastAsia="Arial" w:hAnsi="Arial"/>
          <w:sz w:val="43"/>
          <w:szCs w:val="43"/>
          <w:color w:val="auto"/>
        </w:rPr>
        <w:t>Veritiv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276465"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923454102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Calendar Year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727646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ind w:left="3680"/>
        <w:spacing w:after="0"/>
        <w:rPr>
          <w:sz w:val="20"/>
          <w:szCs w:val="20"/>
          <w:color w:val="auto"/>
        </w:rPr>
      </w:pPr>
      <w:r>
        <w:rPr>
          <w:rFonts w:ascii="Arial" w:cs="Arial" w:eastAsia="Arial" w:hAnsi="Arial"/>
          <w:sz w:val="18"/>
          <w:szCs w:val="18"/>
          <w:color w:val="auto"/>
        </w:rPr>
        <w:t>(Date of Event Which Requires Filing of this Statement)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jc w:val="both"/>
        <w:ind w:left="240" w:right="9980" w:hanging="7"/>
        <w:spacing w:after="0" w:line="598" w:lineRule="auto"/>
        <w:tabs>
          <w:tab w:leader="none" w:pos="420" w:val="left"/>
        </w:tabs>
        <w:numPr>
          <w:ilvl w:val="1"/>
          <w:numId w:val="1"/>
        </w:numPr>
        <w:rPr>
          <w:rFonts w:ascii="Arial" w:cs="Arial" w:eastAsia="Arial" w:hAnsi="Arial"/>
          <w:sz w:val="16"/>
          <w:szCs w:val="16"/>
          <w:color w:val="auto"/>
        </w:rPr>
      </w:pPr>
      <w:r>
        <w:rPr>
          <w:rFonts w:ascii="Arial" w:cs="Arial" w:eastAsia="Arial" w:hAnsi="Arial"/>
          <w:sz w:val="16"/>
          <w:szCs w:val="16"/>
          <w:color w:val="auto"/>
        </w:rPr>
        <w:t>Rule 13d-1(b) o Rule 13d-1(c) o Rule 13d-1(d)</w:t>
      </w:r>
    </w:p>
    <w:p>
      <w:pPr>
        <w:spacing w:after="0" w:line="2" w:lineRule="exact"/>
        <w:rPr>
          <w:rFonts w:ascii="Arial" w:cs="Arial" w:eastAsia="Arial" w:hAnsi="Arial"/>
          <w:sz w:val="16"/>
          <w:szCs w:val="16"/>
          <w:color w:val="auto"/>
        </w:rPr>
      </w:pPr>
    </w:p>
    <w:p>
      <w:pPr>
        <w:ind w:right="180"/>
        <w:spacing w:after="0" w:line="277" w:lineRule="auto"/>
        <w:rPr>
          <w:rFonts w:ascii="Arial" w:cs="Arial" w:eastAsia="Arial" w:hAnsi="Arial"/>
          <w:sz w:val="16"/>
          <w:szCs w:val="16"/>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97"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15240</wp:posOffset>
            </wp:positionV>
            <wp:extent cx="727202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685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375285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549" w:right="259" w:bottom="1440" w:gutter="0" w:footer="0" w:header="0"/>
        </w:sectPr>
      </w:pPr>
    </w:p>
    <w:bookmarkStart w:id="1" w:name="page2"/>
    <w:bookmarkEnd w:id="1"/>
    <w:p>
      <w:pPr>
        <w:spacing w:after="0"/>
        <w:tabs>
          <w:tab w:leader="none" w:pos="96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517525</wp:posOffset>
            </wp:positionH>
            <wp:positionV relativeFrom="paragraph">
              <wp:posOffset>-71120</wp:posOffset>
            </wp:positionV>
            <wp:extent cx="732790" cy="2787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2790" cy="27876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6234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623443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5080" w:hanging="529"/>
        <w:spacing w:after="0" w:line="180" w:lineRule="auto"/>
        <w:tabs>
          <w:tab w:leader="none" w:pos="760" w:val="left"/>
        </w:tabs>
        <w:numPr>
          <w:ilvl w:val="0"/>
          <w:numId w:val="2"/>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The Baupost Group, L.L.C.</w:t>
      </w:r>
    </w:p>
    <w:p>
      <w:pPr>
        <w:spacing w:after="0" w:line="2"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04-3402144</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240" w:firstLine="511"/>
        <w:spacing w:after="0" w:line="239" w:lineRule="auto"/>
        <w:tabs>
          <w:tab w:leader="none" w:pos="1095" w:val="left"/>
        </w:tabs>
        <w:numPr>
          <w:ilvl w:val="0"/>
          <w:numId w:val="3"/>
        </w:numPr>
        <w:rPr>
          <w:rFonts w:ascii="Arial" w:cs="Arial" w:eastAsia="Arial" w:hAnsi="Arial"/>
          <w:sz w:val="16"/>
          <w:szCs w:val="16"/>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6"/>
          <w:szCs w:val="16"/>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53" w:lineRule="exact"/>
        <w:rPr>
          <w:rFonts w:ascii="Arial" w:cs="Arial" w:eastAsia="Arial" w:hAnsi="Arial"/>
          <w:sz w:val="16"/>
          <w:szCs w:val="16"/>
          <w:color w:val="auto"/>
        </w:rPr>
      </w:pPr>
    </w:p>
    <w:p>
      <w:pPr>
        <w:ind w:left="760"/>
        <w:spacing w:after="0"/>
        <w:rPr>
          <w:rFonts w:ascii="Arial" w:cs="Arial" w:eastAsia="Arial" w:hAnsi="Arial"/>
          <w:sz w:val="16"/>
          <w:szCs w:val="16"/>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2" w:lineRule="exact"/>
        <w:rPr>
          <w:sz w:val="20"/>
          <w:szCs w:val="20"/>
          <w:color w:val="auto"/>
        </w:rPr>
      </w:pPr>
    </w:p>
    <w:p>
      <w:pPr>
        <w:ind w:left="760" w:hanging="529"/>
        <w:spacing w:after="0"/>
        <w:tabs>
          <w:tab w:leader="none" w:pos="76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The Commonwealth of Massachusetts</w:t>
      </w:r>
    </w:p>
    <w:p>
      <w:pPr>
        <w:spacing w:after="0" w:line="66" w:lineRule="exact"/>
        <w:rPr>
          <w:rFonts w:ascii="Arial" w:cs="Arial" w:eastAsia="Arial" w:hAnsi="Arial"/>
          <w:sz w:val="32"/>
          <w:szCs w:val="32"/>
          <w:b w:val="1"/>
          <w:bCs w:val="1"/>
          <w:color w:val="auto"/>
        </w:rPr>
      </w:pPr>
    </w:p>
    <w:p>
      <w:pPr>
        <w:ind w:left="2020"/>
        <w:spacing w:after="0"/>
        <w:rPr>
          <w:rFonts w:ascii="Arial" w:cs="Arial" w:eastAsia="Arial" w:hAnsi="Arial"/>
          <w:sz w:val="32"/>
          <w:szCs w:val="32"/>
          <w:b w:val="1"/>
          <w:bCs w:val="1"/>
          <w:color w:val="auto"/>
        </w:rPr>
      </w:pPr>
      <w:r>
        <w:rPr>
          <w:rFonts w:ascii="Arial" w:cs="Arial" w:eastAsia="Arial" w:hAnsi="Arial"/>
          <w:sz w:val="18"/>
          <w:szCs w:val="18"/>
          <w:color w:val="auto"/>
        </w:rPr>
        <w:t>SOLE VOTING POWER</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419"/>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5</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6</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r>
        <w:trPr>
          <w:trHeight w:val="222"/>
        </w:trPr>
        <w:tc>
          <w:tcPr>
            <w:tcW w:w="1320" w:type="dxa"/>
            <w:vAlign w:val="bottom"/>
          </w:tcPr>
          <w:p>
            <w:pPr>
              <w:jc w:val="center"/>
              <w:spacing w:after="0"/>
              <w:rPr>
                <w:sz w:val="20"/>
                <w:szCs w:val="20"/>
                <w:color w:val="auto"/>
              </w:rPr>
            </w:pPr>
            <w:r>
              <w:rPr>
                <w:rFonts w:ascii="Arial" w:cs="Arial" w:eastAsia="Arial" w:hAnsi="Arial"/>
                <w:sz w:val="18"/>
                <w:szCs w:val="18"/>
                <w:color w:val="auto"/>
                <w:w w:val="96"/>
              </w:rPr>
              <w:t>NUMBER OF</w:t>
            </w:r>
          </w:p>
        </w:tc>
        <w:tc>
          <w:tcPr>
            <w:tcW w:w="520" w:type="dxa"/>
            <w:vAlign w:val="bottom"/>
          </w:tcPr>
          <w:p>
            <w:pPr>
              <w:spacing w:after="0"/>
              <w:rPr>
                <w:sz w:val="19"/>
                <w:szCs w:val="19"/>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7</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2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520" w:type="dxa"/>
            <w:vAlign w:val="bottom"/>
            <w:vMerge w:val="continue"/>
          </w:tcPr>
          <w:p>
            <w:pPr>
              <w:spacing w:after="0"/>
              <w:rPr>
                <w:sz w:val="20"/>
                <w:szCs w:val="20"/>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20" w:type="dxa"/>
            <w:vAlign w:val="bottom"/>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20" w:type="dxa"/>
            <w:vAlign w:val="bottom"/>
            <w:tcBorders>
              <w:bottom w:val="single" w:sz="8" w:color="auto"/>
            </w:tcBorders>
          </w:tcPr>
          <w:p>
            <w:pPr>
              <w:spacing w:after="0"/>
              <w:rPr>
                <w:sz w:val="8"/>
                <w:szCs w:val="8"/>
                <w:color w:val="auto"/>
              </w:rPr>
            </w:pPr>
          </w:p>
        </w:tc>
        <w:tc>
          <w:tcPr>
            <w:tcW w:w="95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9560" w:type="dxa"/>
            <w:vAlign w:val="bottom"/>
            <w:vMerge w:val="restart"/>
          </w:tcPr>
          <w:p>
            <w:pPr>
              <w:ind w:left="16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520" w:type="dxa"/>
            <w:vAlign w:val="bottom"/>
          </w:tcPr>
          <w:p>
            <w:pPr>
              <w:spacing w:after="0"/>
              <w:rPr>
                <w:sz w:val="18"/>
                <w:szCs w:val="18"/>
                <w:color w:val="auto"/>
              </w:rPr>
            </w:pPr>
          </w:p>
        </w:tc>
        <w:tc>
          <w:tcPr>
            <w:tcW w:w="95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8</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320" w:type="dxa"/>
            <w:vAlign w:val="bottom"/>
          </w:tcPr>
          <w:p>
            <w:pPr>
              <w:jc w:val="center"/>
              <w:spacing w:after="0"/>
              <w:rPr>
                <w:sz w:val="20"/>
                <w:szCs w:val="20"/>
                <w:color w:val="auto"/>
              </w:rPr>
            </w:pPr>
            <w:r>
              <w:rPr>
                <w:rFonts w:ascii="Arial" w:cs="Arial" w:eastAsia="Arial" w:hAnsi="Arial"/>
                <w:sz w:val="18"/>
                <w:szCs w:val="18"/>
                <w:color w:val="auto"/>
                <w:w w:val="95"/>
              </w:rPr>
              <w:t>PERSON WITH:</w:t>
            </w:r>
          </w:p>
        </w:tc>
        <w:tc>
          <w:tcPr>
            <w:tcW w:w="520" w:type="dxa"/>
            <w:vAlign w:val="bottom"/>
            <w:vMerge w:val="continue"/>
          </w:tcPr>
          <w:p>
            <w:pPr>
              <w:spacing w:after="0"/>
              <w:rPr>
                <w:sz w:val="21"/>
                <w:szCs w:val="21"/>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bl>
    <w:p>
      <w:pPr>
        <w:spacing w:after="0" w:line="52"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5"/>
        </w:numPr>
        <w:rPr>
          <w:rFonts w:ascii="Arial" w:cs="Arial" w:eastAsia="Arial" w:hAnsi="Arial"/>
          <w:sz w:val="32"/>
          <w:szCs w:val="32"/>
          <w:b w:val="1"/>
          <w:bCs w:val="1"/>
          <w:color w:val="auto"/>
        </w:rPr>
      </w:pPr>
      <w:r>
        <w:rPr>
          <w:rFonts w:ascii="Arial" w:cs="Arial" w:eastAsia="Arial" w:hAnsi="Arial"/>
          <w:sz w:val="18"/>
          <w:szCs w:val="18"/>
          <w:color w:val="auto"/>
        </w:rPr>
        <w:t>2,314,193</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14.46%</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IA</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27" w:right="239" w:bottom="1440" w:gutter="0" w:footer="0" w:header="0"/>
        </w:sectPr>
      </w:pPr>
    </w:p>
    <w:bookmarkStart w:id="2" w:name="page3"/>
    <w:bookmarkEnd w:id="2"/>
    <w:p>
      <w:pPr>
        <w:spacing w:after="0"/>
        <w:tabs>
          <w:tab w:leader="none" w:pos="96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517525</wp:posOffset>
            </wp:positionH>
            <wp:positionV relativeFrom="paragraph">
              <wp:posOffset>-71120</wp:posOffset>
            </wp:positionV>
            <wp:extent cx="732790" cy="2787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2790" cy="27876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6234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623443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5080" w:hanging="529"/>
        <w:spacing w:after="0" w:line="180" w:lineRule="auto"/>
        <w:tabs>
          <w:tab w:leader="none" w:pos="760" w:val="left"/>
        </w:tabs>
        <w:numPr>
          <w:ilvl w:val="0"/>
          <w:numId w:val="6"/>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SAK Corporation</w:t>
      </w:r>
    </w:p>
    <w:p>
      <w:pPr>
        <w:spacing w:after="0" w:line="2"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04-3334541</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240" w:firstLine="511"/>
        <w:spacing w:after="0" w:line="239" w:lineRule="auto"/>
        <w:tabs>
          <w:tab w:leader="none" w:pos="1095" w:val="left"/>
        </w:tabs>
        <w:numPr>
          <w:ilvl w:val="0"/>
          <w:numId w:val="7"/>
        </w:numPr>
        <w:rPr>
          <w:rFonts w:ascii="Arial" w:cs="Arial" w:eastAsia="Arial" w:hAnsi="Arial"/>
          <w:sz w:val="16"/>
          <w:szCs w:val="16"/>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6"/>
          <w:szCs w:val="16"/>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53" w:lineRule="exact"/>
        <w:rPr>
          <w:rFonts w:ascii="Arial" w:cs="Arial" w:eastAsia="Arial" w:hAnsi="Arial"/>
          <w:sz w:val="16"/>
          <w:szCs w:val="16"/>
          <w:color w:val="auto"/>
        </w:rPr>
      </w:pPr>
    </w:p>
    <w:p>
      <w:pPr>
        <w:ind w:left="760"/>
        <w:spacing w:after="0"/>
        <w:rPr>
          <w:rFonts w:ascii="Arial" w:cs="Arial" w:eastAsia="Arial" w:hAnsi="Arial"/>
          <w:sz w:val="16"/>
          <w:szCs w:val="16"/>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2" w:lineRule="exact"/>
        <w:rPr>
          <w:sz w:val="20"/>
          <w:szCs w:val="20"/>
          <w:color w:val="auto"/>
        </w:rPr>
      </w:pPr>
    </w:p>
    <w:p>
      <w:pPr>
        <w:ind w:left="760" w:hanging="529"/>
        <w:spacing w:after="0"/>
        <w:tabs>
          <w:tab w:leader="none" w:pos="76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The Commonwealth of Massachusetts</w:t>
      </w:r>
    </w:p>
    <w:p>
      <w:pPr>
        <w:spacing w:after="0" w:line="66" w:lineRule="exact"/>
        <w:rPr>
          <w:rFonts w:ascii="Arial" w:cs="Arial" w:eastAsia="Arial" w:hAnsi="Arial"/>
          <w:sz w:val="32"/>
          <w:szCs w:val="32"/>
          <w:b w:val="1"/>
          <w:bCs w:val="1"/>
          <w:color w:val="auto"/>
        </w:rPr>
      </w:pPr>
    </w:p>
    <w:p>
      <w:pPr>
        <w:ind w:left="2020"/>
        <w:spacing w:after="0"/>
        <w:rPr>
          <w:rFonts w:ascii="Arial" w:cs="Arial" w:eastAsia="Arial" w:hAnsi="Arial"/>
          <w:sz w:val="32"/>
          <w:szCs w:val="32"/>
          <w:b w:val="1"/>
          <w:bCs w:val="1"/>
          <w:color w:val="auto"/>
        </w:rPr>
      </w:pPr>
      <w:r>
        <w:rPr>
          <w:rFonts w:ascii="Arial" w:cs="Arial" w:eastAsia="Arial" w:hAnsi="Arial"/>
          <w:sz w:val="18"/>
          <w:szCs w:val="18"/>
          <w:color w:val="auto"/>
        </w:rPr>
        <w:t>SOLE VOTING POWER</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419"/>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5</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6</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r>
        <w:trPr>
          <w:trHeight w:val="222"/>
        </w:trPr>
        <w:tc>
          <w:tcPr>
            <w:tcW w:w="1320" w:type="dxa"/>
            <w:vAlign w:val="bottom"/>
          </w:tcPr>
          <w:p>
            <w:pPr>
              <w:jc w:val="center"/>
              <w:spacing w:after="0"/>
              <w:rPr>
                <w:sz w:val="20"/>
                <w:szCs w:val="20"/>
                <w:color w:val="auto"/>
              </w:rPr>
            </w:pPr>
            <w:r>
              <w:rPr>
                <w:rFonts w:ascii="Arial" w:cs="Arial" w:eastAsia="Arial" w:hAnsi="Arial"/>
                <w:sz w:val="18"/>
                <w:szCs w:val="18"/>
                <w:color w:val="auto"/>
                <w:w w:val="96"/>
              </w:rPr>
              <w:t>NUMBER OF</w:t>
            </w:r>
          </w:p>
        </w:tc>
        <w:tc>
          <w:tcPr>
            <w:tcW w:w="520" w:type="dxa"/>
            <w:vAlign w:val="bottom"/>
          </w:tcPr>
          <w:p>
            <w:pPr>
              <w:spacing w:after="0"/>
              <w:rPr>
                <w:sz w:val="19"/>
                <w:szCs w:val="19"/>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7</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2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520" w:type="dxa"/>
            <w:vAlign w:val="bottom"/>
            <w:vMerge w:val="continue"/>
          </w:tcPr>
          <w:p>
            <w:pPr>
              <w:spacing w:after="0"/>
              <w:rPr>
                <w:sz w:val="20"/>
                <w:szCs w:val="20"/>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20" w:type="dxa"/>
            <w:vAlign w:val="bottom"/>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20" w:type="dxa"/>
            <w:vAlign w:val="bottom"/>
            <w:tcBorders>
              <w:bottom w:val="single" w:sz="8" w:color="auto"/>
            </w:tcBorders>
          </w:tcPr>
          <w:p>
            <w:pPr>
              <w:spacing w:after="0"/>
              <w:rPr>
                <w:sz w:val="8"/>
                <w:szCs w:val="8"/>
                <w:color w:val="auto"/>
              </w:rPr>
            </w:pPr>
          </w:p>
        </w:tc>
        <w:tc>
          <w:tcPr>
            <w:tcW w:w="95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9560" w:type="dxa"/>
            <w:vAlign w:val="bottom"/>
            <w:vMerge w:val="restart"/>
          </w:tcPr>
          <w:p>
            <w:pPr>
              <w:ind w:left="16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520" w:type="dxa"/>
            <w:vAlign w:val="bottom"/>
          </w:tcPr>
          <w:p>
            <w:pPr>
              <w:spacing w:after="0"/>
              <w:rPr>
                <w:sz w:val="18"/>
                <w:szCs w:val="18"/>
                <w:color w:val="auto"/>
              </w:rPr>
            </w:pPr>
          </w:p>
        </w:tc>
        <w:tc>
          <w:tcPr>
            <w:tcW w:w="95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8</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320" w:type="dxa"/>
            <w:vAlign w:val="bottom"/>
          </w:tcPr>
          <w:p>
            <w:pPr>
              <w:jc w:val="center"/>
              <w:spacing w:after="0"/>
              <w:rPr>
                <w:sz w:val="20"/>
                <w:szCs w:val="20"/>
                <w:color w:val="auto"/>
              </w:rPr>
            </w:pPr>
            <w:r>
              <w:rPr>
                <w:rFonts w:ascii="Arial" w:cs="Arial" w:eastAsia="Arial" w:hAnsi="Arial"/>
                <w:sz w:val="18"/>
                <w:szCs w:val="18"/>
                <w:color w:val="auto"/>
                <w:w w:val="95"/>
              </w:rPr>
              <w:t>PERSON WITH:</w:t>
            </w:r>
          </w:p>
        </w:tc>
        <w:tc>
          <w:tcPr>
            <w:tcW w:w="520" w:type="dxa"/>
            <w:vAlign w:val="bottom"/>
            <w:vMerge w:val="continue"/>
          </w:tcPr>
          <w:p>
            <w:pPr>
              <w:spacing w:after="0"/>
              <w:rPr>
                <w:sz w:val="21"/>
                <w:szCs w:val="21"/>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bl>
    <w:p>
      <w:pPr>
        <w:spacing w:after="0" w:line="52"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9"/>
        </w:numPr>
        <w:rPr>
          <w:rFonts w:ascii="Arial" w:cs="Arial" w:eastAsia="Arial" w:hAnsi="Arial"/>
          <w:sz w:val="32"/>
          <w:szCs w:val="32"/>
          <w:b w:val="1"/>
          <w:bCs w:val="1"/>
          <w:color w:val="auto"/>
        </w:rPr>
      </w:pPr>
      <w:r>
        <w:rPr>
          <w:rFonts w:ascii="Arial" w:cs="Arial" w:eastAsia="Arial" w:hAnsi="Arial"/>
          <w:sz w:val="18"/>
          <w:szCs w:val="18"/>
          <w:color w:val="auto"/>
        </w:rPr>
        <w:t>2,314,193</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14.46%</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27"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923454102</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Seth A. Klarman</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10"/>
        </w:numPr>
        <w:rPr>
          <w:rFonts w:ascii="Arial" w:cs="Arial" w:eastAsia="Arial" w:hAnsi="Arial"/>
          <w:sz w:val="32"/>
          <w:szCs w:val="32"/>
          <w:b w:val="1"/>
          <w:bCs w:val="1"/>
          <w:color w:val="auto"/>
        </w:rPr>
      </w:pPr>
      <w:r>
        <w:rPr>
          <w:rFonts w:ascii="Arial" w:cs="Arial" w:eastAsia="Arial" w:hAnsi="Arial"/>
          <w:sz w:val="18"/>
          <w:szCs w:val="18"/>
          <w:color w:val="auto"/>
        </w:rPr>
        <w:t>The 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2,314,193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11"/>
        </w:numPr>
        <w:rPr>
          <w:rFonts w:ascii="Arial" w:cs="Arial" w:eastAsia="Arial" w:hAnsi="Arial"/>
          <w:sz w:val="32"/>
          <w:szCs w:val="32"/>
          <w:b w:val="1"/>
          <w:bCs w:val="1"/>
          <w:color w:val="auto"/>
        </w:rPr>
      </w:pPr>
      <w:r>
        <w:rPr>
          <w:rFonts w:ascii="Arial" w:cs="Arial" w:eastAsia="Arial" w:hAnsi="Arial"/>
          <w:sz w:val="18"/>
          <w:szCs w:val="18"/>
          <w:color w:val="auto"/>
        </w:rPr>
        <w:t>2,314,193</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14.46%</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Item 1.</w:t>
      </w:r>
    </w:p>
    <w:p>
      <w:pPr>
        <w:spacing w:after="0" w:line="256" w:lineRule="exact"/>
        <w:rPr>
          <w:sz w:val="20"/>
          <w:szCs w:val="20"/>
          <w:color w:val="auto"/>
        </w:rPr>
      </w:pPr>
    </w:p>
    <w:p>
      <w:pPr>
        <w:ind w:left="1300" w:right="8500" w:hanging="644"/>
        <w:spacing w:after="0" w:line="342" w:lineRule="auto"/>
        <w:tabs>
          <w:tab w:leader="none" w:pos="1300" w:val="left"/>
        </w:tabs>
        <w:numPr>
          <w:ilvl w:val="0"/>
          <w:numId w:val="12"/>
        </w:numPr>
        <w:rPr>
          <w:rFonts w:ascii="Arial" w:cs="Arial" w:eastAsia="Arial" w:hAnsi="Arial"/>
          <w:sz w:val="16"/>
          <w:szCs w:val="16"/>
          <w:color w:val="auto"/>
        </w:rPr>
      </w:pPr>
      <w:r>
        <w:rPr>
          <w:rFonts w:ascii="Arial" w:cs="Arial" w:eastAsia="Arial" w:hAnsi="Arial"/>
          <w:sz w:val="16"/>
          <w:szCs w:val="16"/>
          <w:color w:val="auto"/>
        </w:rPr>
        <w:t>Name of Issuer Veritiv Corporation</w:t>
      </w:r>
    </w:p>
    <w:p>
      <w:pPr>
        <w:spacing w:after="0" w:line="150" w:lineRule="exact"/>
        <w:rPr>
          <w:rFonts w:ascii="Arial" w:cs="Arial" w:eastAsia="Arial" w:hAnsi="Arial"/>
          <w:sz w:val="16"/>
          <w:szCs w:val="16"/>
          <w:color w:val="auto"/>
        </w:rPr>
      </w:pPr>
    </w:p>
    <w:p>
      <w:pPr>
        <w:ind w:left="1300" w:right="6480" w:hanging="644"/>
        <w:spacing w:after="0" w:line="258"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Address of Issuer’s Principal Executive Offices 6600 Governors Lake Parkway</w:t>
      </w:r>
    </w:p>
    <w:p>
      <w:pPr>
        <w:spacing w:after="0" w:line="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Norcross, Georgia 30071</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56" w:lineRule="exact"/>
        <w:rPr>
          <w:sz w:val="20"/>
          <w:szCs w:val="20"/>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60" w:right="7080"/>
        <w:spacing w:after="0" w:line="300"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w:t>
      </w:r>
    </w:p>
    <w:p>
      <w:pPr>
        <w:spacing w:after="0" w:line="9" w:lineRule="exact"/>
        <w:rPr>
          <w:rFonts w:ascii="Arial" w:cs="Arial" w:eastAsia="Arial" w:hAnsi="Arial"/>
          <w:sz w:val="18"/>
          <w:szCs w:val="18"/>
          <w:color w:val="auto"/>
        </w:rPr>
      </w:pPr>
    </w:p>
    <w:p>
      <w:pPr>
        <w:ind w:left="1760" w:right="7080"/>
        <w:spacing w:after="0" w:line="300"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9" w:lineRule="exact"/>
        <w:rPr>
          <w:rFonts w:ascii="Arial" w:cs="Arial" w:eastAsia="Arial" w:hAnsi="Arial"/>
          <w:sz w:val="18"/>
          <w:szCs w:val="18"/>
          <w:color w:val="auto"/>
        </w:rPr>
      </w:pPr>
    </w:p>
    <w:p>
      <w:pPr>
        <w:ind w:left="1760" w:right="7080"/>
        <w:spacing w:after="0" w:line="361"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spacing w:after="0" w:line="142"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 The Commonwealth of Massachusetts</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 The Commonwealth of Massachusetts</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 The United States of America</w:t>
      </w:r>
    </w:p>
    <w:p>
      <w:pPr>
        <w:spacing w:after="0" w:line="237" w:lineRule="exact"/>
        <w:rPr>
          <w:rFonts w:ascii="Arial" w:cs="Arial" w:eastAsia="Arial" w:hAnsi="Arial"/>
          <w:sz w:val="18"/>
          <w:szCs w:val="18"/>
          <w:color w:val="auto"/>
        </w:rPr>
      </w:pPr>
    </w:p>
    <w:p>
      <w:pPr>
        <w:ind w:left="1300" w:right="798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spacing w:after="0" w:line="150" w:lineRule="exact"/>
        <w:rPr>
          <w:rFonts w:ascii="Arial" w:cs="Arial" w:eastAsia="Arial" w:hAnsi="Arial"/>
          <w:sz w:val="16"/>
          <w:szCs w:val="16"/>
          <w:color w:val="auto"/>
        </w:rPr>
      </w:pPr>
    </w:p>
    <w:p>
      <w:pPr>
        <w:ind w:left="1300" w:right="876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CUSIP Number 923454102</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56" w:lineRule="exact"/>
        <w:rPr>
          <w:sz w:val="20"/>
          <w:szCs w:val="20"/>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An investment adviser in accordance with §240.13d-1(b)(1)(ii)(E);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 parent holding company or control person in accordance with § 240.13d-1(b)(1)(ii)(G);</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associations as defined in Section 3(b) of the Federal Deposit Insurance Act (12 U.S.C. 1813);</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group, in accordance with § 240.13d-1(b)(1)(ii)(K). If filing as a non-U.S. institution in accordance with § 240.13d-1(b)(1)(ii) (J),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533400</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00"/>
          </w:cols>
          <w:pgMar w:left="240" w:top="513" w:right="4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4. Ownership.</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252"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2,314,193</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SAK Corporation: 2,314,193</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2,314,193</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14.46%</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SAK Corporation: 14.46%</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14.46%</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52" w:lineRule="exact"/>
        <w:rPr>
          <w:sz w:val="20"/>
          <w:szCs w:val="20"/>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2,314,193</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2,314,193</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2,314,193</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2,314,193</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2,314,193</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2,314,193</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 .</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49" w:lineRule="exact"/>
        <w:rPr>
          <w:sz w:val="20"/>
          <w:szCs w:val="20"/>
          <w:color w:val="auto"/>
        </w:rPr>
      </w:pPr>
    </w:p>
    <w:p>
      <w:pPr>
        <w:ind w:firstLine="648"/>
        <w:spacing w:after="0" w:line="251" w:lineRule="auto"/>
        <w:rPr>
          <w:sz w:val="20"/>
          <w:szCs w:val="20"/>
          <w:color w:val="auto"/>
        </w:rPr>
      </w:pPr>
      <w:r>
        <w:rPr>
          <w:rFonts w:ascii="Arial" w:cs="Arial" w:eastAsia="Arial" w:hAnsi="Arial"/>
          <w:sz w:val="22"/>
          <w:szCs w:val="22"/>
          <w:color w:val="auto"/>
        </w:rPr>
        <w:t>Securities reported on this statement on Schedule 13G as being beneficially owned by Baupost were purchased on behalf of various private investment limited partnerships.</w:t>
      </w:r>
    </w:p>
    <w:p>
      <w:pPr>
        <w:spacing w:after="0" w:line="2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7. Identification and Classification of the Subsidiary Which Acquired the Security Being Reported on By the Parent Holding Company</w:t>
      </w:r>
    </w:p>
    <w:p>
      <w:pPr>
        <w:spacing w:after="0" w:line="26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See footnote.</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406400</wp:posOffset>
            </wp:positionV>
            <wp:extent cx="72720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513" w:right="299" w:bottom="1440" w:gutter="0" w:footer="0" w:header="0"/>
        </w:sectPr>
      </w:pPr>
    </w:p>
    <w:bookmarkStart w:id="6" w:name="page7"/>
    <w:bookmarkEnd w:id="6"/>
    <w:p>
      <w:pPr>
        <w:spacing w:after="0"/>
        <w:tabs>
          <w:tab w:leader="none" w:pos="580" w:val="left"/>
        </w:tabs>
        <w:rPr>
          <w:sz w:val="20"/>
          <w:szCs w:val="20"/>
          <w:color w:val="auto"/>
        </w:rPr>
      </w:pPr>
      <w:r>
        <w:rPr>
          <w:rFonts w:ascii="Arial" w:cs="Arial" w:eastAsia="Arial" w:hAnsi="Arial"/>
          <w:sz w:val="18"/>
          <w:szCs w:val="18"/>
          <w:b w:val="1"/>
          <w:bCs w:val="1"/>
          <w:color w:val="auto"/>
        </w:rPr>
        <w:t>Item</w:t>
        <w:tab/>
        <w:t>Certification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w:t>
      </w:r>
    </w:p>
    <w:p>
      <w:pPr>
        <w:spacing w:after="0" w:line="211" w:lineRule="exact"/>
        <w:rPr>
          <w:sz w:val="20"/>
          <w:szCs w:val="20"/>
          <w:color w:val="auto"/>
        </w:rPr>
      </w:pPr>
    </w:p>
    <w:p>
      <w:pPr>
        <w:ind w:left="600" w:right="140"/>
        <w:spacing w:after="0" w:line="312"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00" w:lineRule="exact"/>
        <w:rPr>
          <w:sz w:val="20"/>
          <w:szCs w:val="20"/>
          <w:color w:val="auto"/>
        </w:rPr>
      </w:pPr>
    </w:p>
    <w:p>
      <w:pPr>
        <w:spacing w:after="0" w:line="27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 Baupost Group, L.L.C.</w:t>
      </w:r>
    </w:p>
    <w:p>
      <w:pPr>
        <w:sectPr>
          <w:pgSz w:w="11900" w:h="16838" w:orient="portrait"/>
          <w:cols w:equalWidth="0" w:num="1">
            <w:col w:w="11400"/>
          </w:cols>
          <w:pgMar w:left="240" w:top="756" w:right="25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2015</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By: /s/ Seth A. Klarman</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Name: Seth A. Klarman</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President</w:t>
      </w:r>
    </w:p>
    <w:p>
      <w:pPr>
        <w:spacing w:after="0" w:line="200" w:lineRule="exact"/>
        <w:rPr>
          <w:sz w:val="20"/>
          <w:szCs w:val="20"/>
          <w:color w:val="auto"/>
        </w:rPr>
      </w:pPr>
    </w:p>
    <w:p>
      <w:pPr>
        <w:sectPr>
          <w:pgSz w:w="11900" w:h="16838" w:orient="portrait"/>
          <w:cols w:equalWidth="0" w:num="2">
            <w:col w:w="5000" w:space="720"/>
            <w:col w:w="5680"/>
          </w:cols>
          <w:pgMar w:left="240" w:top="756" w:right="2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7"/>
          <w:szCs w:val="17"/>
          <w:b w:val="1"/>
          <w:bCs w:val="1"/>
          <w:color w:val="auto"/>
        </w:rPr>
        <w:t>SAK Corporation</w:t>
      </w:r>
    </w:p>
    <w:p>
      <w:pPr>
        <w:sectPr>
          <w:pgSz w:w="11900" w:h="16838" w:orient="portrait"/>
          <w:cols w:equalWidth="0" w:num="1">
            <w:col w:w="11400"/>
          </w:cols>
          <w:pgMar w:left="240" w:top="756" w:right="259" w:bottom="1440" w:gutter="0" w:footer="0" w:header="0"/>
          <w:type w:val="continuous"/>
        </w:sectPr>
      </w:pPr>
    </w:p>
    <w:p>
      <w:pPr>
        <w:spacing w:after="0" w:line="241"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2015</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/s/ Seth A. Klarman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Seth A. Klarman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Title: President</w:t>
      </w:r>
    </w:p>
    <w:p>
      <w:pPr>
        <w:spacing w:after="0" w:line="200" w:lineRule="exact"/>
        <w:rPr>
          <w:sz w:val="20"/>
          <w:szCs w:val="20"/>
          <w:color w:val="auto"/>
        </w:rPr>
      </w:pPr>
    </w:p>
    <w:p>
      <w:pPr>
        <w:sectPr>
          <w:pgSz w:w="11900" w:h="16838" w:orient="portrait"/>
          <w:cols w:equalWidth="0" w:num="3">
            <w:col w:w="5000" w:space="720"/>
            <w:col w:w="260" w:space="100"/>
            <w:col w:w="5320"/>
          </w:cols>
          <w:pgMar w:left="240" w:top="756" w:right="2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2015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color w:val="auto"/>
        </w:rPr>
        <w:t>/s/ Seth A. Klarman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Seth A. Klarman</w:t>
      </w:r>
    </w:p>
    <w:p>
      <w:pPr>
        <w:spacing w:after="0" w:line="200" w:lineRule="exact"/>
        <w:rPr>
          <w:sz w:val="20"/>
          <w:szCs w:val="20"/>
          <w:color w:val="auto"/>
        </w:rPr>
      </w:pPr>
    </w:p>
    <w:p>
      <w:pPr>
        <w:sectPr>
          <w:pgSz w:w="11900" w:h="16838" w:orient="portrait"/>
          <w:cols w:equalWidth="0" w:num="3">
            <w:col w:w="5000" w:space="720"/>
            <w:col w:w="260" w:space="100"/>
            <w:col w:w="5320"/>
          </w:cols>
          <w:pgMar w:left="240" w:top="756" w:right="259" w:bottom="1440" w:gutter="0" w:footer="0" w:header="0"/>
          <w:type w:val="continuous"/>
        </w:sect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Footnotes: </w:t>
      </w:r>
      <w:r>
        <w:rPr>
          <w:rFonts w:ascii="Arial" w:cs="Arial" w:eastAsia="Arial" w:hAnsi="Arial"/>
          <w:sz w:val="18"/>
          <w:szCs w:val="18"/>
          <w:color w:val="auto"/>
        </w:rPr>
        <w:t>Item 3, Item 4 and Item 7</w:t>
      </w:r>
    </w:p>
    <w:p>
      <w:pPr>
        <w:spacing w:after="0" w:line="229" w:lineRule="exact"/>
        <w:rPr>
          <w:sz w:val="20"/>
          <w:szCs w:val="20"/>
          <w:color w:val="auto"/>
        </w:rPr>
      </w:pPr>
    </w:p>
    <w:p>
      <w:pPr>
        <w:ind w:left="860"/>
        <w:spacing w:after="0" w:line="273" w:lineRule="auto"/>
        <w:rPr>
          <w:sz w:val="20"/>
          <w:szCs w:val="20"/>
          <w:color w:val="auto"/>
        </w:rPr>
      </w:pPr>
      <w:r>
        <w:rPr>
          <w:rFonts w:ascii="Arial" w:cs="Arial" w:eastAsia="Arial" w:hAnsi="Arial"/>
          <w:sz w:val="17"/>
          <w:szCs w:val="17"/>
          <w:color w:val="auto"/>
        </w:rPr>
        <w:t>This statement on Schedule 13G is being jointly filed by The Baupost Group, L.L.C. ("Baupost"), SAK Corporation and Seth A. Klarman. Baupost is a registered investment adviser and acts as an investment adviser and general partner to certain private investment limited partnerships. SAK Corporation is the Manager of Baupost. Mr. Klarman, as the sole director and sole officer of SAK Corporation and a controlling person of Baupost, may be deemed to have beneficial ownership under Section 13 of the Securities Exchange Act of 1934, as amended, of the securities beneficially owned by Baupost. Securities reported on this statement on Schedule 13G as being beneficially owned by Baupost were purchased on behalf of various private investment limited partnerships.</w:t>
      </w:r>
    </w:p>
    <w:p>
      <w:pPr>
        <w:spacing w:after="0" w:line="178" w:lineRule="exact"/>
        <w:rPr>
          <w:sz w:val="20"/>
          <w:szCs w:val="20"/>
          <w:color w:val="auto"/>
        </w:rPr>
      </w:pPr>
    </w:p>
    <w:p>
      <w:pPr>
        <w:ind w:left="860" w:right="160"/>
        <w:spacing w:after="0" w:line="264" w:lineRule="auto"/>
        <w:rPr>
          <w:sz w:val="20"/>
          <w:szCs w:val="20"/>
          <w:color w:val="auto"/>
        </w:rPr>
      </w:pPr>
      <w:r>
        <w:rPr>
          <w:rFonts w:ascii="Arial" w:cs="Arial" w:eastAsia="Arial" w:hAnsi="Arial"/>
          <w:sz w:val="18"/>
          <w:szCs w:val="18"/>
          <w:color w:val="auto"/>
        </w:rPr>
        <w:t>Pursuant to Rule 13d-4, Seth A. Klarman and SAK Corporation declare that the filing of this statement on Schedule 13G shall not be deemed an admission by either or both of them that they are, for the purposes of Section 13 of the Securities Exchange Act of 1934, as amended, the beneficial owner of any securities covered by this statement on Schedule 13G.</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365125</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sectPr>
      <w:pgSz w:w="11900" w:h="16838" w:orient="portrait"/>
      <w:cols w:equalWidth="0" w:num="1">
        <w:col w:w="11400"/>
      </w:cols>
      <w:pgMar w:left="240" w:top="756" w:right="2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lvl w:ilvl="1">
      <w:lvlJc w:val="left"/>
      <w:lvlText w:val="x"/>
      <w:numFmt w:val="bullet"/>
      <w:start w:val="1"/>
    </w:lvl>
  </w:abstractNum>
  <w:abstractNum w:abstractNumId="1">
    <w:nsid w:val="5BD062C2"/>
    <w:multiLevelType w:val="hybridMultilevel"/>
    <w:lvl w:ilvl="0">
      <w:lvlJc w:val="left"/>
      <w:lvlText w:val="1"/>
      <w:numFmt w:val="bullet"/>
      <w:start w:val="1"/>
    </w:lvl>
  </w:abstractNum>
  <w:abstractNum w:abstractNumId="2">
    <w:nsid w:val="12200854"/>
    <w:multiLevelType w:val="hybridMultilevel"/>
    <w:lvl w:ilvl="0">
      <w:lvlJc w:val="left"/>
      <w:lvlText w:val="(%1)"/>
      <w:numFmt w:val="lowerLetter"/>
      <w:start w:val="1"/>
    </w:lvl>
  </w:abstractNum>
  <w:abstractNum w:abstractNumId="3">
    <w:nsid w:val="4DB127F8"/>
    <w:multiLevelType w:val="hybridMultilevel"/>
    <w:lvl w:ilvl="0">
      <w:lvlJc w:val="left"/>
      <w:lvlText w:val="4"/>
      <w:numFmt w:val="bullet"/>
      <w:start w:val="1"/>
    </w:lvl>
  </w:abstractNum>
  <w:abstractNum w:abstractNumId="4">
    <w:nsid w:val="216231B"/>
    <w:multiLevelType w:val="hybridMultilevel"/>
    <w:lvl w:ilvl="0">
      <w:lvlJc w:val="left"/>
      <w:lvlText w:val="9"/>
      <w:numFmt w:val="bullet"/>
      <w:start w:val="1"/>
    </w:lvl>
  </w:abstractNum>
  <w:abstractNum w:abstractNumId="5">
    <w:nsid w:val="1F16E9E8"/>
    <w:multiLevelType w:val="hybridMultilevel"/>
    <w:lvl w:ilvl="0">
      <w:lvlJc w:val="left"/>
      <w:lvlText w:val="1"/>
      <w:numFmt w:val="bullet"/>
      <w:start w:val="1"/>
    </w:lvl>
  </w:abstractNum>
  <w:abstractNum w:abstractNumId="6">
    <w:nsid w:val="1190CDE7"/>
    <w:multiLevelType w:val="hybridMultilevel"/>
    <w:lvl w:ilvl="0">
      <w:lvlJc w:val="left"/>
      <w:lvlText w:val="(%1)"/>
      <w:numFmt w:val="lowerLetter"/>
      <w:start w:val="1"/>
    </w:lvl>
  </w:abstractNum>
  <w:abstractNum w:abstractNumId="7">
    <w:nsid w:val="66EF438D"/>
    <w:multiLevelType w:val="hybridMultilevel"/>
    <w:lvl w:ilvl="0">
      <w:lvlJc w:val="left"/>
      <w:lvlText w:val="4"/>
      <w:numFmt w:val="bullet"/>
      <w:start w:val="1"/>
    </w:lvl>
  </w:abstractNum>
  <w:abstractNum w:abstractNumId="8">
    <w:nsid w:val="140E0F76"/>
    <w:multiLevelType w:val="hybridMultilevel"/>
    <w:lvl w:ilvl="0">
      <w:lvlJc w:val="left"/>
      <w:lvlText w:val="9"/>
      <w:numFmt w:val="bullet"/>
      <w:start w:val="1"/>
    </w:lvl>
  </w:abstractNum>
  <w:abstractNum w:abstractNumId="9">
    <w:nsid w:val="3352255A"/>
    <w:multiLevelType w:val="hybridMultilevel"/>
    <w:lvl w:ilvl="0">
      <w:lvlJc w:val="left"/>
      <w:lvlText w:val="4"/>
      <w:numFmt w:val="bullet"/>
      <w:start w:val="1"/>
    </w:lvl>
  </w:abstractNum>
  <w:abstractNum w:abstractNumId="10">
    <w:nsid w:val="109CF92E"/>
    <w:multiLevelType w:val="hybridMultilevel"/>
    <w:lvl w:ilvl="0">
      <w:lvlJc w:val="left"/>
      <w:lvlText w:val="9"/>
      <w:numFmt w:val="bullet"/>
      <w:start w:val="1"/>
    </w:lvl>
  </w:abstractNum>
  <w:abstractNum w:abstractNumId="11">
    <w:nsid w:val="DED7263"/>
    <w:multiLevelType w:val="hybridMultilevel"/>
    <w:lvl w:ilvl="0">
      <w:lvlJc w:val="left"/>
      <w:lvlText w:val="(%1)"/>
      <w:numFmt w:val="lowerLetter"/>
      <w:start w:val="1"/>
    </w:lvl>
  </w:abstractNum>
  <w:abstractNum w:abstractNumId="12">
    <w:nsid w:val="7FDCC233"/>
    <w:multiLevelType w:val="hybridMultilevel"/>
    <w:lvl w:ilvl="0">
      <w:lvlJc w:val="left"/>
      <w:lvlText w:val="(%1)"/>
      <w:numFmt w:val="lowerLetter"/>
      <w:start w:val="1"/>
    </w:lvl>
    <w:lvl w:ilvl="1">
      <w:lvlJc w:val="left"/>
      <w:lvlText w:val="(%2)"/>
      <w:numFmt w:val="decimal"/>
      <w:start w:val="1"/>
    </w:lvl>
  </w:abstractNum>
  <w:abstractNum w:abstractNumId="13">
    <w:nsid w:val="1BEFD79F"/>
    <w:multiLevelType w:val="hybridMultilevel"/>
    <w:lvl w:ilvl="0">
      <w:lvlJc w:val="left"/>
      <w:lvlText w:val="(%1)"/>
      <w:numFmt w:val="lowerLetter"/>
      <w:start w:val="1"/>
    </w:lvl>
  </w:abstractNum>
  <w:abstractNum w:abstractNumId="14">
    <w:nsid w:val="41A7C4C9"/>
    <w:multiLevelType w:val="hybridMultilevel"/>
    <w:lvl w:ilvl="0">
      <w:lvlJc w:val="left"/>
      <w:lvlText w:val="(%1)"/>
      <w:numFmt w:val="lowerLetter"/>
      <w:start w:val="1"/>
    </w:lvl>
    <w:lvl w:ilvl="1">
      <w:lvlJc w:val="left"/>
      <w:lvlText w:val="(%2)"/>
      <w:numFmt w:val="decimal"/>
      <w:start w:val="1"/>
    </w:lvl>
  </w:abstractNum>
  <w:abstractNum w:abstractNumId="15">
    <w:nsid w:val="6B68079A"/>
    <w:multiLevelType w:val="hybridMultilevel"/>
    <w:lvl w:ilvl="0">
      <w:lvlJc w:val="left"/>
      <w:lvlText w:val="(%1)"/>
      <w:numFmt w:val="lowerRoman"/>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2020-01-22T14:48:34Z</dcterms:created>
  <dcterms:modified xsi:type="dcterms:W3CDTF">2020-01-22T14:48:34Z</dcterms:modified>
</cp:coreProperties>
</file>