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144780</wp:posOffset>
            </wp:positionH>
            <wp:positionV relativeFrom="page">
              <wp:posOffset>102235</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200" w:lineRule="exact"/>
        <w:rPr>
          <w:sz w:val="24"/>
          <w:szCs w:val="24"/>
          <w:color w:val="auto"/>
        </w:rPr>
      </w:pPr>
    </w:p>
    <w:p>
      <w:pPr>
        <w:spacing w:after="0" w:line="29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39"/>
        <w:spacing w:after="0"/>
        <w:tabs>
          <w:tab w:leader="none" w:pos="240" w:val="left"/>
          <w:tab w:leader="none" w:pos="200" w:val="left"/>
        </w:tabs>
        <w:rPr>
          <w:sz w:val="20"/>
          <w:szCs w:val="20"/>
          <w:color w:val="auto"/>
        </w:rPr>
      </w:pPr>
      <w:r>
        <w:rPr>
          <w:rFonts w:ascii="Arial" w:cs="Arial" w:eastAsia="Arial" w:hAnsi="Arial"/>
          <w:sz w:val="22"/>
          <w:szCs w:val="22"/>
          <w:b w:val="1"/>
          <w:bCs w:val="1"/>
          <w:color w:val="auto"/>
        </w:rPr>
        <w:t>(Amendment No.</w:t>
        <w:tab/>
        <w:t>2</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3915410</wp:posOffset>
            </wp:positionH>
            <wp:positionV relativeFrom="paragraph">
              <wp:posOffset>-12065</wp:posOffset>
            </wp:positionV>
            <wp:extent cx="3429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42900" cy="8890"/>
                    </a:xfrm>
                    <a:prstGeom prst="rect">
                      <a:avLst/>
                    </a:prstGeom>
                    <a:noFill/>
                  </pic:spPr>
                </pic:pic>
              </a:graphicData>
            </a:graphic>
          </wp:anchor>
        </w:drawing>
      </w:r>
    </w:p>
    <w:p>
      <w:pPr>
        <w:spacing w:after="0" w:line="185" w:lineRule="exact"/>
        <w:rPr>
          <w:sz w:val="24"/>
          <w:szCs w:val="24"/>
          <w:color w:val="auto"/>
        </w:rPr>
      </w:pPr>
    </w:p>
    <w:p>
      <w:pPr>
        <w:jc w:val="center"/>
        <w:ind w:right="20"/>
        <w:spacing w:after="0"/>
        <w:rPr>
          <w:sz w:val="20"/>
          <w:szCs w:val="20"/>
          <w:color w:val="auto"/>
        </w:rPr>
      </w:pPr>
      <w:r>
        <w:rPr>
          <w:rFonts w:ascii="Arial" w:cs="Arial" w:eastAsia="Arial" w:hAnsi="Arial"/>
          <w:sz w:val="43"/>
          <w:szCs w:val="43"/>
          <w:color w:val="auto"/>
        </w:rPr>
        <w:t>Veritiv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79375</wp:posOffset>
            </wp:positionV>
            <wp:extent cx="7276465"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(Name of Issuer)</w:t>
      </w: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923454102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Calendar Year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55880</wp:posOffset>
            </wp:positionV>
            <wp:extent cx="727646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ind w:left="3680"/>
        <w:spacing w:after="0"/>
        <w:rPr>
          <w:sz w:val="20"/>
          <w:szCs w:val="20"/>
          <w:color w:val="auto"/>
        </w:rPr>
      </w:pPr>
      <w:r>
        <w:rPr>
          <w:rFonts w:ascii="Arial" w:cs="Arial" w:eastAsia="Arial" w:hAnsi="Arial"/>
          <w:sz w:val="18"/>
          <w:szCs w:val="18"/>
          <w:color w:val="auto"/>
        </w:rPr>
        <w:t>(Date of Event Which Requires Filing of this Statement)</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jc w:val="both"/>
        <w:ind w:left="240" w:right="9980" w:hanging="7"/>
        <w:spacing w:after="0" w:line="598" w:lineRule="auto"/>
        <w:tabs>
          <w:tab w:leader="none" w:pos="420" w:val="left"/>
        </w:tabs>
        <w:numPr>
          <w:ilvl w:val="1"/>
          <w:numId w:val="1"/>
        </w:numPr>
        <w:rPr>
          <w:rFonts w:ascii="Arial" w:cs="Arial" w:eastAsia="Arial" w:hAnsi="Arial"/>
          <w:sz w:val="16"/>
          <w:szCs w:val="16"/>
          <w:color w:val="auto"/>
        </w:rPr>
      </w:pPr>
      <w:r>
        <w:rPr>
          <w:rFonts w:ascii="Arial" w:cs="Arial" w:eastAsia="Arial" w:hAnsi="Arial"/>
          <w:sz w:val="16"/>
          <w:szCs w:val="16"/>
          <w:color w:val="auto"/>
        </w:rPr>
        <w:t>Rule 13d-1(b) o Rule 13d-1(c) o Rule 13d-1(d)</w:t>
      </w:r>
    </w:p>
    <w:p>
      <w:pPr>
        <w:spacing w:after="0" w:line="2" w:lineRule="exact"/>
        <w:rPr>
          <w:rFonts w:ascii="Arial" w:cs="Arial" w:eastAsia="Arial" w:hAnsi="Arial"/>
          <w:sz w:val="16"/>
          <w:szCs w:val="16"/>
          <w:color w:val="auto"/>
        </w:rPr>
      </w:pPr>
    </w:p>
    <w:p>
      <w:pPr>
        <w:ind w:right="180"/>
        <w:spacing w:after="0" w:line="277" w:lineRule="auto"/>
        <w:rPr>
          <w:rFonts w:ascii="Arial" w:cs="Arial" w:eastAsia="Arial" w:hAnsi="Arial"/>
          <w:sz w:val="16"/>
          <w:szCs w:val="16"/>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97"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15240</wp:posOffset>
            </wp:positionV>
            <wp:extent cx="727202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685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375285</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549" w:right="259" w:bottom="1440" w:gutter="0" w:footer="0" w:header="0"/>
        </w:sectPr>
      </w:pPr>
    </w:p>
    <w:bookmarkStart w:id="1" w:name="page2"/>
    <w:bookmarkEnd w:id="1"/>
    <w:p>
      <w:pPr>
        <w:spacing w:after="0"/>
        <w:tabs>
          <w:tab w:leader="none" w:pos="960" w:val="left"/>
        </w:tabs>
        <w:rPr>
          <w:sz w:val="20"/>
          <w:szCs w:val="20"/>
          <w:color w:val="auto"/>
        </w:rPr>
      </w:pPr>
      <w:r>
        <w:rPr>
          <w:rFonts w:ascii="Arial" w:cs="Arial" w:eastAsia="Arial" w:hAnsi="Arial"/>
          <w:sz w:val="36"/>
          <w:szCs w:val="36"/>
          <w:color w:val="auto"/>
          <w:vertAlign w:val="superscript"/>
        </w:rPr>
        <w:t>CUSIP</w:t>
      </w:r>
      <w:r>
        <w:rPr>
          <w:sz w:val="20"/>
          <w:szCs w:val="20"/>
          <w:color w:val="auto"/>
        </w:rPr>
        <w:tab/>
      </w:r>
      <w:r>
        <w:rPr>
          <w:rFonts w:ascii="Arial" w:cs="Arial" w:eastAsia="Arial" w:hAnsi="Arial"/>
          <w:sz w:val="18"/>
          <w:szCs w:val="18"/>
          <w:color w:val="auto"/>
        </w:rPr>
        <w:t>923454102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517525</wp:posOffset>
            </wp:positionH>
            <wp:positionV relativeFrom="paragraph">
              <wp:posOffset>-71120</wp:posOffset>
            </wp:positionV>
            <wp:extent cx="732790" cy="2787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2790" cy="27876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6234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6234430"/>
                    </a:xfrm>
                    <a:prstGeom prst="rect">
                      <a:avLst/>
                    </a:prstGeom>
                    <a:noFill/>
                  </pic:spPr>
                </pic:pic>
              </a:graphicData>
            </a:graphic>
          </wp:anchor>
        </w:drawing>
      </w:r>
    </w:p>
    <w:p>
      <w:pPr>
        <w:spacing w:after="0" w:line="2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NAMES OF REPORTING PERSONS</w:t>
      </w:r>
    </w:p>
    <w:p>
      <w:pPr>
        <w:spacing w:after="0" w:line="23" w:lineRule="exact"/>
        <w:rPr>
          <w:sz w:val="20"/>
          <w:szCs w:val="20"/>
          <w:color w:val="auto"/>
        </w:rPr>
      </w:pPr>
    </w:p>
    <w:p>
      <w:pPr>
        <w:ind w:left="760" w:right="5080" w:hanging="529"/>
        <w:spacing w:after="0" w:line="180" w:lineRule="auto"/>
        <w:tabs>
          <w:tab w:leader="none" w:pos="760" w:val="left"/>
        </w:tabs>
        <w:numPr>
          <w:ilvl w:val="0"/>
          <w:numId w:val="2"/>
        </w:numPr>
        <w:rPr>
          <w:rFonts w:ascii="Arial" w:cs="Arial" w:eastAsia="Arial" w:hAnsi="Arial"/>
          <w:sz w:val="38"/>
          <w:szCs w:val="38"/>
          <w:b w:val="1"/>
          <w:bCs w:val="1"/>
          <w:color w:val="auto"/>
          <w:vertAlign w:val="subscript"/>
        </w:rPr>
      </w:pPr>
      <w:r>
        <w:rPr>
          <w:rFonts w:ascii="Arial" w:cs="Arial" w:eastAsia="Arial" w:hAnsi="Arial"/>
          <w:sz w:val="15"/>
          <w:szCs w:val="15"/>
          <w:color w:val="auto"/>
        </w:rPr>
        <w:t>I.R.S. IDENTIFICATION NOS. OF ABOVE PERSONS (ENTITIES ONLY) The Baupost Group, L.L.C.</w:t>
      </w:r>
    </w:p>
    <w:p>
      <w:pPr>
        <w:spacing w:after="0" w:line="2"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04-3402144</w:t>
      </w:r>
    </w:p>
    <w:p>
      <w:pPr>
        <w:spacing w:after="0" w:line="75"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CHECK THE APPROPRIATE BOX IF A MEMBER OF A GROUP (SEE INSTRUCTIONS)</w:t>
      </w:r>
    </w:p>
    <w:p>
      <w:pPr>
        <w:spacing w:after="0" w:line="258" w:lineRule="exact"/>
        <w:rPr>
          <w:sz w:val="20"/>
          <w:szCs w:val="20"/>
          <w:color w:val="auto"/>
        </w:rPr>
      </w:pPr>
    </w:p>
    <w:p>
      <w:pPr>
        <w:jc w:val="right"/>
        <w:ind w:left="240" w:right="10240" w:firstLine="511"/>
        <w:spacing w:after="0" w:line="239" w:lineRule="auto"/>
        <w:tabs>
          <w:tab w:leader="none" w:pos="1095" w:val="left"/>
        </w:tabs>
        <w:numPr>
          <w:ilvl w:val="0"/>
          <w:numId w:val="3"/>
        </w:numPr>
        <w:rPr>
          <w:rFonts w:ascii="Arial" w:cs="Arial" w:eastAsia="Arial" w:hAnsi="Arial"/>
          <w:sz w:val="16"/>
          <w:szCs w:val="16"/>
          <w:color w:val="auto"/>
        </w:rPr>
      </w:pPr>
      <w:r>
        <w:rPr>
          <w:rFonts w:ascii="Arial" w:cs="Arial" w:eastAsia="Arial" w:hAnsi="Arial"/>
          <w:sz w:val="15"/>
          <w:szCs w:val="15"/>
          <w:color w:val="auto"/>
        </w:rPr>
        <w:t xml:space="preserve">o </w:t>
      </w:r>
      <w:r>
        <w:rPr>
          <w:rFonts w:ascii="Arial" w:cs="Arial" w:eastAsia="Arial" w:hAnsi="Arial"/>
          <w:sz w:val="26"/>
          <w:szCs w:val="26"/>
          <w:b w:val="1"/>
          <w:bCs w:val="1"/>
          <w:color w:val="auto"/>
        </w:rPr>
        <w:t xml:space="preserve">2  </w:t>
      </w:r>
      <w:r>
        <w:rPr>
          <w:rFonts w:ascii="Arial" w:cs="Arial" w:eastAsia="Arial" w:hAnsi="Arial"/>
          <w:sz w:val="16"/>
          <w:szCs w:val="16"/>
          <w:color w:val="auto"/>
        </w:rPr>
        <w:t>(b)</w:t>
      </w:r>
      <w:r>
        <w:rPr>
          <w:rFonts w:ascii="Arial" w:cs="Arial" w:eastAsia="Arial" w:hAnsi="Arial"/>
          <w:sz w:val="26"/>
          <w:szCs w:val="26"/>
          <w:b w:val="1"/>
          <w:bCs w:val="1"/>
          <w:color w:val="auto"/>
        </w:rPr>
        <w:t xml:space="preserve">  </w:t>
      </w:r>
      <w:r>
        <w:rPr>
          <w:rFonts w:ascii="Arial" w:cs="Arial" w:eastAsia="Arial" w:hAnsi="Arial"/>
          <w:sz w:val="15"/>
          <w:szCs w:val="15"/>
          <w:color w:val="auto"/>
        </w:rPr>
        <w:t>x</w:t>
      </w:r>
    </w:p>
    <w:p>
      <w:pPr>
        <w:spacing w:after="0" w:line="53" w:lineRule="exact"/>
        <w:rPr>
          <w:rFonts w:ascii="Arial" w:cs="Arial" w:eastAsia="Arial" w:hAnsi="Arial"/>
          <w:sz w:val="16"/>
          <w:szCs w:val="16"/>
          <w:color w:val="auto"/>
        </w:rPr>
      </w:pPr>
    </w:p>
    <w:p>
      <w:pPr>
        <w:ind w:left="760"/>
        <w:spacing w:after="0"/>
        <w:rPr>
          <w:rFonts w:ascii="Arial" w:cs="Arial" w:eastAsia="Arial" w:hAnsi="Arial"/>
          <w:sz w:val="16"/>
          <w:szCs w:val="16"/>
          <w:color w:val="auto"/>
        </w:rPr>
      </w:pPr>
      <w:r>
        <w:rPr>
          <w:rFonts w:ascii="Arial" w:cs="Arial" w:eastAsia="Arial" w:hAnsi="Arial"/>
          <w:sz w:val="18"/>
          <w:szCs w:val="18"/>
          <w:color w:val="auto"/>
        </w:rPr>
        <w:t>SEC USE ONLY</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32"/>
          <w:szCs w:val="32"/>
          <w:b w:val="1"/>
          <w:bCs w:val="1"/>
          <w:color w:val="auto"/>
        </w:rPr>
        <w:t>3</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CITIZENSHIP OR PLACE OF ORGANIZATION</w:t>
      </w:r>
    </w:p>
    <w:p>
      <w:pPr>
        <w:spacing w:after="0" w:line="142" w:lineRule="exact"/>
        <w:rPr>
          <w:sz w:val="20"/>
          <w:szCs w:val="20"/>
          <w:color w:val="auto"/>
        </w:rPr>
      </w:pPr>
    </w:p>
    <w:p>
      <w:pPr>
        <w:ind w:left="760" w:hanging="529"/>
        <w:spacing w:after="0"/>
        <w:tabs>
          <w:tab w:leader="none" w:pos="760" w:val="left"/>
        </w:tabs>
        <w:numPr>
          <w:ilvl w:val="0"/>
          <w:numId w:val="4"/>
        </w:numPr>
        <w:rPr>
          <w:rFonts w:ascii="Arial" w:cs="Arial" w:eastAsia="Arial" w:hAnsi="Arial"/>
          <w:sz w:val="32"/>
          <w:szCs w:val="32"/>
          <w:b w:val="1"/>
          <w:bCs w:val="1"/>
          <w:color w:val="auto"/>
        </w:rPr>
      </w:pPr>
      <w:r>
        <w:rPr>
          <w:rFonts w:ascii="Arial" w:cs="Arial" w:eastAsia="Arial" w:hAnsi="Arial"/>
          <w:sz w:val="18"/>
          <w:szCs w:val="18"/>
          <w:color w:val="auto"/>
        </w:rPr>
        <w:t>The Commonwealth of Massachusetts</w:t>
      </w:r>
    </w:p>
    <w:p>
      <w:pPr>
        <w:spacing w:after="0" w:line="66" w:lineRule="exact"/>
        <w:rPr>
          <w:rFonts w:ascii="Arial" w:cs="Arial" w:eastAsia="Arial" w:hAnsi="Arial"/>
          <w:sz w:val="32"/>
          <w:szCs w:val="32"/>
          <w:b w:val="1"/>
          <w:bCs w:val="1"/>
          <w:color w:val="auto"/>
        </w:rPr>
      </w:pPr>
    </w:p>
    <w:p>
      <w:pPr>
        <w:ind w:left="2020"/>
        <w:spacing w:after="0"/>
        <w:rPr>
          <w:rFonts w:ascii="Arial" w:cs="Arial" w:eastAsia="Arial" w:hAnsi="Arial"/>
          <w:sz w:val="32"/>
          <w:szCs w:val="32"/>
          <w:b w:val="1"/>
          <w:bCs w:val="1"/>
          <w:color w:val="auto"/>
        </w:rPr>
      </w:pPr>
      <w:r>
        <w:rPr>
          <w:rFonts w:ascii="Arial" w:cs="Arial" w:eastAsia="Arial" w:hAnsi="Arial"/>
          <w:sz w:val="18"/>
          <w:szCs w:val="18"/>
          <w:color w:val="auto"/>
        </w:rPr>
        <w:t>SOLE VOTING POWER</w:t>
      </w:r>
    </w:p>
    <w:p>
      <w:pPr>
        <w:spacing w:after="0" w:line="104" w:lineRule="exact"/>
        <w:rPr>
          <w:sz w:val="20"/>
          <w:szCs w:val="20"/>
          <w:color w:val="auto"/>
        </w:rPr>
      </w:pPr>
    </w:p>
    <w:tbl>
      <w:tblPr>
        <w:tblLayout w:type="fixed"/>
        <w:tblInd w:w="20" w:type="dxa"/>
        <w:tblCellMar>
          <w:top w:w="0" w:type="dxa"/>
          <w:left w:w="0" w:type="dxa"/>
          <w:bottom w:w="0" w:type="dxa"/>
          <w:right w:w="0" w:type="dxa"/>
        </w:tblCellMar>
      </w:tblPr>
      <w:tr>
        <w:trPr>
          <w:trHeight w:val="419"/>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5</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6</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2,885,682</w:t>
            </w:r>
          </w:p>
        </w:tc>
        <w:tc>
          <w:tcPr>
            <w:tcW w:w="0" w:type="dxa"/>
            <w:vAlign w:val="bottom"/>
          </w:tcPr>
          <w:p>
            <w:pPr>
              <w:spacing w:after="0"/>
              <w:rPr>
                <w:sz w:val="1"/>
                <w:szCs w:val="1"/>
                <w:color w:val="auto"/>
              </w:rPr>
            </w:pPr>
          </w:p>
        </w:tc>
      </w:tr>
      <w:tr>
        <w:trPr>
          <w:trHeight w:val="222"/>
        </w:trPr>
        <w:tc>
          <w:tcPr>
            <w:tcW w:w="1320" w:type="dxa"/>
            <w:vAlign w:val="bottom"/>
          </w:tcPr>
          <w:p>
            <w:pPr>
              <w:jc w:val="center"/>
              <w:spacing w:after="0"/>
              <w:rPr>
                <w:sz w:val="20"/>
                <w:szCs w:val="20"/>
                <w:color w:val="auto"/>
              </w:rPr>
            </w:pPr>
            <w:r>
              <w:rPr>
                <w:rFonts w:ascii="Arial" w:cs="Arial" w:eastAsia="Arial" w:hAnsi="Arial"/>
                <w:sz w:val="18"/>
                <w:szCs w:val="18"/>
                <w:color w:val="auto"/>
                <w:w w:val="96"/>
              </w:rPr>
              <w:t>NUMBER OF</w:t>
            </w:r>
          </w:p>
        </w:tc>
        <w:tc>
          <w:tcPr>
            <w:tcW w:w="520" w:type="dxa"/>
            <w:vAlign w:val="bottom"/>
          </w:tcPr>
          <w:p>
            <w:pPr>
              <w:spacing w:after="0"/>
              <w:rPr>
                <w:sz w:val="19"/>
                <w:szCs w:val="19"/>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7</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2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520" w:type="dxa"/>
            <w:vAlign w:val="bottom"/>
            <w:vMerge w:val="continue"/>
          </w:tcPr>
          <w:p>
            <w:pPr>
              <w:spacing w:after="0"/>
              <w:rPr>
                <w:sz w:val="20"/>
                <w:szCs w:val="20"/>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20" w:type="dxa"/>
            <w:vAlign w:val="bottom"/>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20" w:type="dxa"/>
            <w:vAlign w:val="bottom"/>
            <w:tcBorders>
              <w:bottom w:val="single" w:sz="8" w:color="auto"/>
            </w:tcBorders>
          </w:tcPr>
          <w:p>
            <w:pPr>
              <w:spacing w:after="0"/>
              <w:rPr>
                <w:sz w:val="8"/>
                <w:szCs w:val="8"/>
                <w:color w:val="auto"/>
              </w:rPr>
            </w:pPr>
          </w:p>
        </w:tc>
        <w:tc>
          <w:tcPr>
            <w:tcW w:w="95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2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9560" w:type="dxa"/>
            <w:vAlign w:val="bottom"/>
            <w:vMerge w:val="restart"/>
          </w:tcPr>
          <w:p>
            <w:pPr>
              <w:ind w:left="16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520" w:type="dxa"/>
            <w:vAlign w:val="bottom"/>
          </w:tcPr>
          <w:p>
            <w:pPr>
              <w:spacing w:after="0"/>
              <w:rPr>
                <w:sz w:val="18"/>
                <w:szCs w:val="18"/>
                <w:color w:val="auto"/>
              </w:rPr>
            </w:pPr>
          </w:p>
        </w:tc>
        <w:tc>
          <w:tcPr>
            <w:tcW w:w="95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8</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1320" w:type="dxa"/>
            <w:vAlign w:val="bottom"/>
          </w:tcPr>
          <w:p>
            <w:pPr>
              <w:jc w:val="center"/>
              <w:spacing w:after="0"/>
              <w:rPr>
                <w:sz w:val="20"/>
                <w:szCs w:val="20"/>
                <w:color w:val="auto"/>
              </w:rPr>
            </w:pPr>
            <w:r>
              <w:rPr>
                <w:rFonts w:ascii="Arial" w:cs="Arial" w:eastAsia="Arial" w:hAnsi="Arial"/>
                <w:sz w:val="18"/>
                <w:szCs w:val="18"/>
                <w:color w:val="auto"/>
                <w:w w:val="95"/>
              </w:rPr>
              <w:t>PERSON WITH:</w:t>
            </w:r>
          </w:p>
        </w:tc>
        <w:tc>
          <w:tcPr>
            <w:tcW w:w="520" w:type="dxa"/>
            <w:vAlign w:val="bottom"/>
            <w:vMerge w:val="continue"/>
          </w:tcPr>
          <w:p>
            <w:pPr>
              <w:spacing w:after="0"/>
              <w:rPr>
                <w:sz w:val="21"/>
                <w:szCs w:val="21"/>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2,885,682</w:t>
            </w:r>
          </w:p>
        </w:tc>
        <w:tc>
          <w:tcPr>
            <w:tcW w:w="0" w:type="dxa"/>
            <w:vAlign w:val="bottom"/>
          </w:tcPr>
          <w:p>
            <w:pPr>
              <w:spacing w:after="0"/>
              <w:rPr>
                <w:sz w:val="1"/>
                <w:szCs w:val="1"/>
                <w:color w:val="auto"/>
              </w:rPr>
            </w:pPr>
          </w:p>
        </w:tc>
      </w:tr>
    </w:tbl>
    <w:p>
      <w:pPr>
        <w:spacing w:after="0" w:line="52"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5"/>
        </w:numPr>
        <w:rPr>
          <w:rFonts w:ascii="Arial" w:cs="Arial" w:eastAsia="Arial" w:hAnsi="Arial"/>
          <w:sz w:val="32"/>
          <w:szCs w:val="32"/>
          <w:b w:val="1"/>
          <w:bCs w:val="1"/>
          <w:color w:val="auto"/>
        </w:rPr>
      </w:pPr>
      <w:r>
        <w:rPr>
          <w:rFonts w:ascii="Arial" w:cs="Arial" w:eastAsia="Arial" w:hAnsi="Arial"/>
          <w:sz w:val="18"/>
          <w:szCs w:val="18"/>
          <w:color w:val="auto"/>
        </w:rPr>
        <w:t>2,885,682</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18.04%</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IA</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227" w:right="239" w:bottom="1440" w:gutter="0" w:footer="0" w:header="0"/>
        </w:sectPr>
      </w:pPr>
    </w:p>
    <w:bookmarkStart w:id="2" w:name="page3"/>
    <w:bookmarkEnd w:id="2"/>
    <w:p>
      <w:pPr>
        <w:spacing w:after="0"/>
        <w:tabs>
          <w:tab w:leader="none" w:pos="960" w:val="left"/>
        </w:tabs>
        <w:rPr>
          <w:sz w:val="20"/>
          <w:szCs w:val="20"/>
          <w:color w:val="auto"/>
        </w:rPr>
      </w:pPr>
      <w:r>
        <w:rPr>
          <w:rFonts w:ascii="Arial" w:cs="Arial" w:eastAsia="Arial" w:hAnsi="Arial"/>
          <w:sz w:val="36"/>
          <w:szCs w:val="36"/>
          <w:color w:val="auto"/>
          <w:vertAlign w:val="superscript"/>
        </w:rPr>
        <w:t>CUSIP</w:t>
      </w:r>
      <w:r>
        <w:rPr>
          <w:sz w:val="20"/>
          <w:szCs w:val="20"/>
          <w:color w:val="auto"/>
        </w:rPr>
        <w:tab/>
      </w:r>
      <w:r>
        <w:rPr>
          <w:rFonts w:ascii="Arial" w:cs="Arial" w:eastAsia="Arial" w:hAnsi="Arial"/>
          <w:sz w:val="18"/>
          <w:szCs w:val="18"/>
          <w:color w:val="auto"/>
        </w:rPr>
        <w:t>923454102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517525</wp:posOffset>
            </wp:positionH>
            <wp:positionV relativeFrom="paragraph">
              <wp:posOffset>-71120</wp:posOffset>
            </wp:positionV>
            <wp:extent cx="732790" cy="2787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32790" cy="27876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62344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6234430"/>
                    </a:xfrm>
                    <a:prstGeom prst="rect">
                      <a:avLst/>
                    </a:prstGeom>
                    <a:noFill/>
                  </pic:spPr>
                </pic:pic>
              </a:graphicData>
            </a:graphic>
          </wp:anchor>
        </w:drawing>
      </w:r>
    </w:p>
    <w:p>
      <w:pPr>
        <w:spacing w:after="0" w:line="2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NAMES OF REPORTING PERSONS</w:t>
      </w:r>
    </w:p>
    <w:p>
      <w:pPr>
        <w:spacing w:after="0" w:line="23" w:lineRule="exact"/>
        <w:rPr>
          <w:sz w:val="20"/>
          <w:szCs w:val="20"/>
          <w:color w:val="auto"/>
        </w:rPr>
      </w:pPr>
    </w:p>
    <w:p>
      <w:pPr>
        <w:ind w:left="760" w:right="5080" w:hanging="529"/>
        <w:spacing w:after="0" w:line="180" w:lineRule="auto"/>
        <w:tabs>
          <w:tab w:leader="none" w:pos="760" w:val="left"/>
        </w:tabs>
        <w:numPr>
          <w:ilvl w:val="0"/>
          <w:numId w:val="6"/>
        </w:numPr>
        <w:rPr>
          <w:rFonts w:ascii="Arial" w:cs="Arial" w:eastAsia="Arial" w:hAnsi="Arial"/>
          <w:sz w:val="38"/>
          <w:szCs w:val="38"/>
          <w:b w:val="1"/>
          <w:bCs w:val="1"/>
          <w:color w:val="auto"/>
          <w:vertAlign w:val="subscript"/>
        </w:rPr>
      </w:pPr>
      <w:r>
        <w:rPr>
          <w:rFonts w:ascii="Arial" w:cs="Arial" w:eastAsia="Arial" w:hAnsi="Arial"/>
          <w:sz w:val="15"/>
          <w:szCs w:val="15"/>
          <w:color w:val="auto"/>
        </w:rPr>
        <w:t>I.R.S. IDENTIFICATION NOS. OF ABOVE PERSONS (ENTITIES ONLY) SAK Corporation</w:t>
      </w:r>
    </w:p>
    <w:p>
      <w:pPr>
        <w:spacing w:after="0" w:line="2"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04-3334541</w:t>
      </w:r>
    </w:p>
    <w:p>
      <w:pPr>
        <w:spacing w:after="0" w:line="75"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CHECK THE APPROPRIATE BOX IF A MEMBER OF A GROUP (SEE INSTRUCTIONS)</w:t>
      </w:r>
    </w:p>
    <w:p>
      <w:pPr>
        <w:spacing w:after="0" w:line="258" w:lineRule="exact"/>
        <w:rPr>
          <w:sz w:val="20"/>
          <w:szCs w:val="20"/>
          <w:color w:val="auto"/>
        </w:rPr>
      </w:pPr>
    </w:p>
    <w:p>
      <w:pPr>
        <w:jc w:val="right"/>
        <w:ind w:left="240" w:right="10240" w:firstLine="511"/>
        <w:spacing w:after="0" w:line="239" w:lineRule="auto"/>
        <w:tabs>
          <w:tab w:leader="none" w:pos="1095" w:val="left"/>
        </w:tabs>
        <w:numPr>
          <w:ilvl w:val="0"/>
          <w:numId w:val="7"/>
        </w:numPr>
        <w:rPr>
          <w:rFonts w:ascii="Arial" w:cs="Arial" w:eastAsia="Arial" w:hAnsi="Arial"/>
          <w:sz w:val="16"/>
          <w:szCs w:val="16"/>
          <w:color w:val="auto"/>
        </w:rPr>
      </w:pPr>
      <w:r>
        <w:rPr>
          <w:rFonts w:ascii="Arial" w:cs="Arial" w:eastAsia="Arial" w:hAnsi="Arial"/>
          <w:sz w:val="15"/>
          <w:szCs w:val="15"/>
          <w:color w:val="auto"/>
        </w:rPr>
        <w:t xml:space="preserve">o </w:t>
      </w:r>
      <w:r>
        <w:rPr>
          <w:rFonts w:ascii="Arial" w:cs="Arial" w:eastAsia="Arial" w:hAnsi="Arial"/>
          <w:sz w:val="26"/>
          <w:szCs w:val="26"/>
          <w:b w:val="1"/>
          <w:bCs w:val="1"/>
          <w:color w:val="auto"/>
        </w:rPr>
        <w:t xml:space="preserve">2  </w:t>
      </w:r>
      <w:r>
        <w:rPr>
          <w:rFonts w:ascii="Arial" w:cs="Arial" w:eastAsia="Arial" w:hAnsi="Arial"/>
          <w:sz w:val="16"/>
          <w:szCs w:val="16"/>
          <w:color w:val="auto"/>
        </w:rPr>
        <w:t>(b)</w:t>
      </w:r>
      <w:r>
        <w:rPr>
          <w:rFonts w:ascii="Arial" w:cs="Arial" w:eastAsia="Arial" w:hAnsi="Arial"/>
          <w:sz w:val="26"/>
          <w:szCs w:val="26"/>
          <w:b w:val="1"/>
          <w:bCs w:val="1"/>
          <w:color w:val="auto"/>
        </w:rPr>
        <w:t xml:space="preserve">  </w:t>
      </w:r>
      <w:r>
        <w:rPr>
          <w:rFonts w:ascii="Arial" w:cs="Arial" w:eastAsia="Arial" w:hAnsi="Arial"/>
          <w:sz w:val="15"/>
          <w:szCs w:val="15"/>
          <w:color w:val="auto"/>
        </w:rPr>
        <w:t>x</w:t>
      </w:r>
    </w:p>
    <w:p>
      <w:pPr>
        <w:spacing w:after="0" w:line="53" w:lineRule="exact"/>
        <w:rPr>
          <w:rFonts w:ascii="Arial" w:cs="Arial" w:eastAsia="Arial" w:hAnsi="Arial"/>
          <w:sz w:val="16"/>
          <w:szCs w:val="16"/>
          <w:color w:val="auto"/>
        </w:rPr>
      </w:pPr>
    </w:p>
    <w:p>
      <w:pPr>
        <w:ind w:left="760"/>
        <w:spacing w:after="0"/>
        <w:rPr>
          <w:rFonts w:ascii="Arial" w:cs="Arial" w:eastAsia="Arial" w:hAnsi="Arial"/>
          <w:sz w:val="16"/>
          <w:szCs w:val="16"/>
          <w:color w:val="auto"/>
        </w:rPr>
      </w:pPr>
      <w:r>
        <w:rPr>
          <w:rFonts w:ascii="Arial" w:cs="Arial" w:eastAsia="Arial" w:hAnsi="Arial"/>
          <w:sz w:val="18"/>
          <w:szCs w:val="18"/>
          <w:color w:val="auto"/>
        </w:rPr>
        <w:t>SEC USE ONLY</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32"/>
          <w:szCs w:val="32"/>
          <w:b w:val="1"/>
          <w:bCs w:val="1"/>
          <w:color w:val="auto"/>
        </w:rPr>
        <w:t>3</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CITIZENSHIP OR PLACE OF ORGANIZATION</w:t>
      </w:r>
    </w:p>
    <w:p>
      <w:pPr>
        <w:spacing w:after="0" w:line="142" w:lineRule="exact"/>
        <w:rPr>
          <w:sz w:val="20"/>
          <w:szCs w:val="20"/>
          <w:color w:val="auto"/>
        </w:rPr>
      </w:pPr>
    </w:p>
    <w:p>
      <w:pPr>
        <w:ind w:left="760" w:hanging="529"/>
        <w:spacing w:after="0"/>
        <w:tabs>
          <w:tab w:leader="none" w:pos="760" w:val="left"/>
        </w:tabs>
        <w:numPr>
          <w:ilvl w:val="0"/>
          <w:numId w:val="8"/>
        </w:numPr>
        <w:rPr>
          <w:rFonts w:ascii="Arial" w:cs="Arial" w:eastAsia="Arial" w:hAnsi="Arial"/>
          <w:sz w:val="32"/>
          <w:szCs w:val="32"/>
          <w:b w:val="1"/>
          <w:bCs w:val="1"/>
          <w:color w:val="auto"/>
        </w:rPr>
      </w:pPr>
      <w:r>
        <w:rPr>
          <w:rFonts w:ascii="Arial" w:cs="Arial" w:eastAsia="Arial" w:hAnsi="Arial"/>
          <w:sz w:val="18"/>
          <w:szCs w:val="18"/>
          <w:color w:val="auto"/>
        </w:rPr>
        <w:t>The Commonwealth of Massachusetts</w:t>
      </w:r>
    </w:p>
    <w:p>
      <w:pPr>
        <w:spacing w:after="0" w:line="66" w:lineRule="exact"/>
        <w:rPr>
          <w:rFonts w:ascii="Arial" w:cs="Arial" w:eastAsia="Arial" w:hAnsi="Arial"/>
          <w:sz w:val="32"/>
          <w:szCs w:val="32"/>
          <w:b w:val="1"/>
          <w:bCs w:val="1"/>
          <w:color w:val="auto"/>
        </w:rPr>
      </w:pPr>
    </w:p>
    <w:p>
      <w:pPr>
        <w:ind w:left="2020"/>
        <w:spacing w:after="0"/>
        <w:rPr>
          <w:rFonts w:ascii="Arial" w:cs="Arial" w:eastAsia="Arial" w:hAnsi="Arial"/>
          <w:sz w:val="32"/>
          <w:szCs w:val="32"/>
          <w:b w:val="1"/>
          <w:bCs w:val="1"/>
          <w:color w:val="auto"/>
        </w:rPr>
      </w:pPr>
      <w:r>
        <w:rPr>
          <w:rFonts w:ascii="Arial" w:cs="Arial" w:eastAsia="Arial" w:hAnsi="Arial"/>
          <w:sz w:val="18"/>
          <w:szCs w:val="18"/>
          <w:color w:val="auto"/>
        </w:rPr>
        <w:t>SOLE VOTING POWER</w:t>
      </w:r>
    </w:p>
    <w:p>
      <w:pPr>
        <w:spacing w:after="0" w:line="104" w:lineRule="exact"/>
        <w:rPr>
          <w:sz w:val="20"/>
          <w:szCs w:val="20"/>
          <w:color w:val="auto"/>
        </w:rPr>
      </w:pPr>
    </w:p>
    <w:tbl>
      <w:tblPr>
        <w:tblLayout w:type="fixed"/>
        <w:tblInd w:w="20" w:type="dxa"/>
        <w:tblCellMar>
          <w:top w:w="0" w:type="dxa"/>
          <w:left w:w="0" w:type="dxa"/>
          <w:bottom w:w="0" w:type="dxa"/>
          <w:right w:w="0" w:type="dxa"/>
        </w:tblCellMar>
      </w:tblPr>
      <w:tr>
        <w:trPr>
          <w:trHeight w:val="419"/>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5</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20" w:type="dxa"/>
            <w:vAlign w:val="bottom"/>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32"/>
                <w:szCs w:val="32"/>
                <w:b w:val="1"/>
                <w:bCs w:val="1"/>
                <w:color w:val="auto"/>
              </w:rPr>
              <w:t>6</w:t>
            </w:r>
          </w:p>
        </w:tc>
        <w:tc>
          <w:tcPr>
            <w:tcW w:w="956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2,885,682</w:t>
            </w:r>
          </w:p>
        </w:tc>
        <w:tc>
          <w:tcPr>
            <w:tcW w:w="0" w:type="dxa"/>
            <w:vAlign w:val="bottom"/>
          </w:tcPr>
          <w:p>
            <w:pPr>
              <w:spacing w:after="0"/>
              <w:rPr>
                <w:sz w:val="1"/>
                <w:szCs w:val="1"/>
                <w:color w:val="auto"/>
              </w:rPr>
            </w:pPr>
          </w:p>
        </w:tc>
      </w:tr>
      <w:tr>
        <w:trPr>
          <w:trHeight w:val="222"/>
        </w:trPr>
        <w:tc>
          <w:tcPr>
            <w:tcW w:w="1320" w:type="dxa"/>
            <w:vAlign w:val="bottom"/>
          </w:tcPr>
          <w:p>
            <w:pPr>
              <w:jc w:val="center"/>
              <w:spacing w:after="0"/>
              <w:rPr>
                <w:sz w:val="20"/>
                <w:szCs w:val="20"/>
                <w:color w:val="auto"/>
              </w:rPr>
            </w:pPr>
            <w:r>
              <w:rPr>
                <w:rFonts w:ascii="Arial" w:cs="Arial" w:eastAsia="Arial" w:hAnsi="Arial"/>
                <w:sz w:val="18"/>
                <w:szCs w:val="18"/>
                <w:color w:val="auto"/>
                <w:w w:val="96"/>
              </w:rPr>
              <w:t>NUMBER OF</w:t>
            </w:r>
          </w:p>
        </w:tc>
        <w:tc>
          <w:tcPr>
            <w:tcW w:w="520" w:type="dxa"/>
            <w:vAlign w:val="bottom"/>
          </w:tcPr>
          <w:p>
            <w:pPr>
              <w:spacing w:after="0"/>
              <w:rPr>
                <w:sz w:val="19"/>
                <w:szCs w:val="19"/>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7</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2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520" w:type="dxa"/>
            <w:vAlign w:val="bottom"/>
            <w:vMerge w:val="continue"/>
          </w:tcPr>
          <w:p>
            <w:pPr>
              <w:spacing w:after="0"/>
              <w:rPr>
                <w:sz w:val="20"/>
                <w:szCs w:val="20"/>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20" w:type="dxa"/>
            <w:vAlign w:val="bottom"/>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20" w:type="dxa"/>
            <w:vAlign w:val="bottom"/>
            <w:tcBorders>
              <w:bottom w:val="single" w:sz="8" w:color="auto"/>
            </w:tcBorders>
          </w:tcPr>
          <w:p>
            <w:pPr>
              <w:spacing w:after="0"/>
              <w:rPr>
                <w:sz w:val="8"/>
                <w:szCs w:val="8"/>
                <w:color w:val="auto"/>
              </w:rPr>
            </w:pPr>
          </w:p>
        </w:tc>
        <w:tc>
          <w:tcPr>
            <w:tcW w:w="95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2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9560" w:type="dxa"/>
            <w:vAlign w:val="bottom"/>
            <w:vMerge w:val="restart"/>
          </w:tcPr>
          <w:p>
            <w:pPr>
              <w:ind w:left="16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520" w:type="dxa"/>
            <w:vAlign w:val="bottom"/>
          </w:tcPr>
          <w:p>
            <w:pPr>
              <w:spacing w:after="0"/>
              <w:rPr>
                <w:sz w:val="18"/>
                <w:szCs w:val="18"/>
                <w:color w:val="auto"/>
              </w:rPr>
            </w:pPr>
          </w:p>
        </w:tc>
        <w:tc>
          <w:tcPr>
            <w:tcW w:w="95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2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520" w:type="dxa"/>
            <w:vAlign w:val="bottom"/>
            <w:vMerge w:val="restart"/>
          </w:tcPr>
          <w:p>
            <w:pPr>
              <w:jc w:val="right"/>
              <w:spacing w:after="0"/>
              <w:rPr>
                <w:sz w:val="20"/>
                <w:szCs w:val="20"/>
                <w:color w:val="auto"/>
              </w:rPr>
            </w:pPr>
            <w:r>
              <w:rPr>
                <w:rFonts w:ascii="Arial" w:cs="Arial" w:eastAsia="Arial" w:hAnsi="Arial"/>
                <w:sz w:val="32"/>
                <w:szCs w:val="32"/>
                <w:b w:val="1"/>
                <w:bCs w:val="1"/>
                <w:color w:val="auto"/>
              </w:rPr>
              <w:t>8</w:t>
            </w:r>
          </w:p>
        </w:tc>
        <w:tc>
          <w:tcPr>
            <w:tcW w:w="9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1320" w:type="dxa"/>
            <w:vAlign w:val="bottom"/>
          </w:tcPr>
          <w:p>
            <w:pPr>
              <w:jc w:val="center"/>
              <w:spacing w:after="0"/>
              <w:rPr>
                <w:sz w:val="20"/>
                <w:szCs w:val="20"/>
                <w:color w:val="auto"/>
              </w:rPr>
            </w:pPr>
            <w:r>
              <w:rPr>
                <w:rFonts w:ascii="Arial" w:cs="Arial" w:eastAsia="Arial" w:hAnsi="Arial"/>
                <w:sz w:val="18"/>
                <w:szCs w:val="18"/>
                <w:color w:val="auto"/>
                <w:w w:val="95"/>
              </w:rPr>
              <w:t>PERSON WITH:</w:t>
            </w:r>
          </w:p>
        </w:tc>
        <w:tc>
          <w:tcPr>
            <w:tcW w:w="520" w:type="dxa"/>
            <w:vAlign w:val="bottom"/>
            <w:vMerge w:val="continue"/>
          </w:tcPr>
          <w:p>
            <w:pPr>
              <w:spacing w:after="0"/>
              <w:rPr>
                <w:sz w:val="21"/>
                <w:szCs w:val="21"/>
                <w:color w:val="auto"/>
              </w:rPr>
            </w:pPr>
          </w:p>
        </w:tc>
        <w:tc>
          <w:tcPr>
            <w:tcW w:w="9560" w:type="dxa"/>
            <w:vAlign w:val="bottom"/>
          </w:tcPr>
          <w:p>
            <w:pPr>
              <w:ind w:left="160"/>
              <w:spacing w:after="0"/>
              <w:rPr>
                <w:sz w:val="20"/>
                <w:szCs w:val="20"/>
                <w:color w:val="auto"/>
              </w:rPr>
            </w:pPr>
            <w:r>
              <w:rPr>
                <w:rFonts w:ascii="Arial" w:cs="Arial" w:eastAsia="Arial" w:hAnsi="Arial"/>
                <w:sz w:val="18"/>
                <w:szCs w:val="18"/>
                <w:color w:val="auto"/>
              </w:rPr>
              <w:t>2,885,682</w:t>
            </w:r>
          </w:p>
        </w:tc>
        <w:tc>
          <w:tcPr>
            <w:tcW w:w="0" w:type="dxa"/>
            <w:vAlign w:val="bottom"/>
          </w:tcPr>
          <w:p>
            <w:pPr>
              <w:spacing w:after="0"/>
              <w:rPr>
                <w:sz w:val="1"/>
                <w:szCs w:val="1"/>
                <w:color w:val="auto"/>
              </w:rPr>
            </w:pPr>
          </w:p>
        </w:tc>
      </w:tr>
    </w:tbl>
    <w:p>
      <w:pPr>
        <w:spacing w:after="0" w:line="52"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9"/>
        </w:numPr>
        <w:rPr>
          <w:rFonts w:ascii="Arial" w:cs="Arial" w:eastAsia="Arial" w:hAnsi="Arial"/>
          <w:sz w:val="32"/>
          <w:szCs w:val="32"/>
          <w:b w:val="1"/>
          <w:bCs w:val="1"/>
          <w:color w:val="auto"/>
        </w:rPr>
      </w:pPr>
      <w:r>
        <w:rPr>
          <w:rFonts w:ascii="Arial" w:cs="Arial" w:eastAsia="Arial" w:hAnsi="Arial"/>
          <w:sz w:val="18"/>
          <w:szCs w:val="18"/>
          <w:color w:val="auto"/>
        </w:rPr>
        <w:t>2,885,682</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18.04%</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HC</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227"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jc w:val="right"/>
              <w:ind w:right="70"/>
              <w:spacing w:after="0"/>
              <w:rPr>
                <w:sz w:val="20"/>
                <w:szCs w:val="20"/>
                <w:color w:val="auto"/>
              </w:rPr>
            </w:pPr>
            <w:r>
              <w:rPr>
                <w:rFonts w:ascii="Arial" w:cs="Arial" w:eastAsia="Arial" w:hAnsi="Arial"/>
                <w:sz w:val="18"/>
                <w:szCs w:val="18"/>
                <w:color w:val="auto"/>
              </w:rPr>
              <w:t>923454102</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Seth A. Klarman</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10"/>
        </w:numPr>
        <w:rPr>
          <w:rFonts w:ascii="Arial" w:cs="Arial" w:eastAsia="Arial" w:hAnsi="Arial"/>
          <w:sz w:val="32"/>
          <w:szCs w:val="32"/>
          <w:b w:val="1"/>
          <w:bCs w:val="1"/>
          <w:color w:val="auto"/>
        </w:rPr>
      </w:pPr>
      <w:r>
        <w:rPr>
          <w:rFonts w:ascii="Arial" w:cs="Arial" w:eastAsia="Arial" w:hAnsi="Arial"/>
          <w:sz w:val="18"/>
          <w:szCs w:val="18"/>
          <w:color w:val="auto"/>
        </w:rPr>
        <w:t>The United States of America</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2,885,682</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5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2,885,682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11"/>
        </w:numPr>
        <w:rPr>
          <w:rFonts w:ascii="Arial" w:cs="Arial" w:eastAsia="Arial" w:hAnsi="Arial"/>
          <w:sz w:val="32"/>
          <w:szCs w:val="32"/>
          <w:b w:val="1"/>
          <w:bCs w:val="1"/>
          <w:color w:val="auto"/>
        </w:rPr>
      </w:pPr>
      <w:r>
        <w:rPr>
          <w:rFonts w:ascii="Arial" w:cs="Arial" w:eastAsia="Arial" w:hAnsi="Arial"/>
          <w:sz w:val="18"/>
          <w:szCs w:val="18"/>
          <w:color w:val="auto"/>
        </w:rPr>
        <w:t>2,885,682</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18.04%</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HC</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Item 1.</w:t>
      </w:r>
    </w:p>
    <w:p>
      <w:pPr>
        <w:spacing w:after="0" w:line="256" w:lineRule="exact"/>
        <w:rPr>
          <w:sz w:val="20"/>
          <w:szCs w:val="20"/>
          <w:color w:val="auto"/>
        </w:rPr>
      </w:pPr>
    </w:p>
    <w:p>
      <w:pPr>
        <w:ind w:left="1300" w:right="8500" w:hanging="644"/>
        <w:spacing w:after="0" w:line="342" w:lineRule="auto"/>
        <w:tabs>
          <w:tab w:leader="none" w:pos="1300" w:val="left"/>
        </w:tabs>
        <w:numPr>
          <w:ilvl w:val="0"/>
          <w:numId w:val="12"/>
        </w:numPr>
        <w:rPr>
          <w:rFonts w:ascii="Arial" w:cs="Arial" w:eastAsia="Arial" w:hAnsi="Arial"/>
          <w:sz w:val="16"/>
          <w:szCs w:val="16"/>
          <w:color w:val="auto"/>
        </w:rPr>
      </w:pPr>
      <w:r>
        <w:rPr>
          <w:rFonts w:ascii="Arial" w:cs="Arial" w:eastAsia="Arial" w:hAnsi="Arial"/>
          <w:sz w:val="16"/>
          <w:szCs w:val="16"/>
          <w:color w:val="auto"/>
        </w:rPr>
        <w:t>Name of Issuer Veritiv Corporation</w:t>
      </w:r>
    </w:p>
    <w:p>
      <w:pPr>
        <w:spacing w:after="0" w:line="150" w:lineRule="exact"/>
        <w:rPr>
          <w:rFonts w:ascii="Arial" w:cs="Arial" w:eastAsia="Arial" w:hAnsi="Arial"/>
          <w:sz w:val="16"/>
          <w:szCs w:val="16"/>
          <w:color w:val="auto"/>
        </w:rPr>
      </w:pPr>
    </w:p>
    <w:p>
      <w:pPr>
        <w:ind w:left="1300" w:right="6480" w:hanging="644"/>
        <w:spacing w:after="0" w:line="258"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Address of Issuer’s Principal Executive Offices 1000 Abernathy Road Northeast</w:t>
      </w:r>
    </w:p>
    <w:p>
      <w:pPr>
        <w:spacing w:after="0" w:line="1" w:lineRule="exact"/>
        <w:rPr>
          <w:rFonts w:ascii="Arial" w:cs="Arial" w:eastAsia="Arial" w:hAnsi="Arial"/>
          <w:sz w:val="18"/>
          <w:szCs w:val="18"/>
          <w:color w:val="auto"/>
        </w:rPr>
      </w:pPr>
    </w:p>
    <w:p>
      <w:pPr>
        <w:ind w:left="1300" w:right="8080"/>
        <w:spacing w:after="0" w:line="323" w:lineRule="auto"/>
        <w:rPr>
          <w:rFonts w:ascii="Arial" w:cs="Arial" w:eastAsia="Arial" w:hAnsi="Arial"/>
          <w:sz w:val="18"/>
          <w:szCs w:val="18"/>
          <w:color w:val="auto"/>
        </w:rPr>
      </w:pPr>
      <w:r>
        <w:rPr>
          <w:rFonts w:ascii="Arial" w:cs="Arial" w:eastAsia="Arial" w:hAnsi="Arial"/>
          <w:sz w:val="16"/>
          <w:szCs w:val="16"/>
          <w:color w:val="auto"/>
        </w:rPr>
        <w:t>Building 400, Suite 1700 Atlanta, Georgia 30328</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56" w:lineRule="exact"/>
        <w:rPr>
          <w:sz w:val="20"/>
          <w:szCs w:val="20"/>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SAK Corporation</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w:t>
      </w:r>
    </w:p>
    <w:p>
      <w:pPr>
        <w:spacing w:after="0" w:line="9" w:lineRule="exact"/>
        <w:rPr>
          <w:rFonts w:ascii="Arial" w:cs="Arial" w:eastAsia="Arial" w:hAnsi="Arial"/>
          <w:sz w:val="18"/>
          <w:szCs w:val="18"/>
          <w:color w:val="auto"/>
        </w:rPr>
      </w:pPr>
    </w:p>
    <w:p>
      <w:pPr>
        <w:ind w:left="1760" w:right="7080"/>
        <w:spacing w:after="0" w:line="300" w:lineRule="auto"/>
        <w:rPr>
          <w:rFonts w:ascii="Arial" w:cs="Arial" w:eastAsia="Arial" w:hAnsi="Arial"/>
          <w:sz w:val="18"/>
          <w:szCs w:val="18"/>
          <w:color w:val="auto"/>
        </w:rPr>
      </w:pPr>
      <w:r>
        <w:rPr>
          <w:rFonts w:ascii="Arial" w:cs="Arial" w:eastAsia="Arial" w:hAnsi="Arial"/>
          <w:sz w:val="15"/>
          <w:szCs w:val="15"/>
          <w:color w:val="auto"/>
        </w:rPr>
        <w:t>10 St. James Avenue, Suite 1700 Boston, Massachusetts 02116</w:t>
      </w: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SAK Corporation</w:t>
      </w:r>
    </w:p>
    <w:p>
      <w:pPr>
        <w:spacing w:after="0" w:line="9" w:lineRule="exact"/>
        <w:rPr>
          <w:rFonts w:ascii="Arial" w:cs="Arial" w:eastAsia="Arial" w:hAnsi="Arial"/>
          <w:sz w:val="18"/>
          <w:szCs w:val="18"/>
          <w:color w:val="auto"/>
        </w:rPr>
      </w:pPr>
    </w:p>
    <w:p>
      <w:pPr>
        <w:ind w:left="1760" w:right="7080"/>
        <w:spacing w:after="0" w:line="300" w:lineRule="auto"/>
        <w:rPr>
          <w:rFonts w:ascii="Arial" w:cs="Arial" w:eastAsia="Arial" w:hAnsi="Arial"/>
          <w:sz w:val="18"/>
          <w:szCs w:val="18"/>
          <w:color w:val="auto"/>
        </w:rPr>
      </w:pPr>
      <w:r>
        <w:rPr>
          <w:rFonts w:ascii="Arial" w:cs="Arial" w:eastAsia="Arial" w:hAnsi="Arial"/>
          <w:sz w:val="15"/>
          <w:szCs w:val="15"/>
          <w:color w:val="auto"/>
        </w:rPr>
        <w:t>10 St. James Avenue, Suite 1700 Boston, Massachusetts 02116</w:t>
      </w: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w:t>
      </w:r>
    </w:p>
    <w:p>
      <w:pPr>
        <w:spacing w:after="0" w:line="9" w:lineRule="exact"/>
        <w:rPr>
          <w:rFonts w:ascii="Arial" w:cs="Arial" w:eastAsia="Arial" w:hAnsi="Arial"/>
          <w:sz w:val="18"/>
          <w:szCs w:val="18"/>
          <w:color w:val="auto"/>
        </w:rPr>
      </w:pPr>
    </w:p>
    <w:p>
      <w:pPr>
        <w:ind w:left="1760" w:right="7080"/>
        <w:spacing w:after="0" w:line="361" w:lineRule="auto"/>
        <w:rPr>
          <w:rFonts w:ascii="Arial" w:cs="Arial" w:eastAsia="Arial" w:hAnsi="Arial"/>
          <w:sz w:val="18"/>
          <w:szCs w:val="18"/>
          <w:color w:val="auto"/>
        </w:rPr>
      </w:pPr>
      <w:r>
        <w:rPr>
          <w:rFonts w:ascii="Arial" w:cs="Arial" w:eastAsia="Arial" w:hAnsi="Arial"/>
          <w:sz w:val="15"/>
          <w:szCs w:val="15"/>
          <w:color w:val="auto"/>
        </w:rPr>
        <w:t>10 St. James Avenue, Suite 1700 Boston, Massachusetts 02116</w:t>
      </w:r>
    </w:p>
    <w:p>
      <w:pPr>
        <w:spacing w:after="0" w:line="142"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 The Commonwealth of Massachusetts</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SAK Corporation: The Commonwealth of Massachusetts</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 The United States of America</w:t>
      </w:r>
    </w:p>
    <w:p>
      <w:pPr>
        <w:spacing w:after="0" w:line="237" w:lineRule="exact"/>
        <w:rPr>
          <w:rFonts w:ascii="Arial" w:cs="Arial" w:eastAsia="Arial" w:hAnsi="Arial"/>
          <w:sz w:val="18"/>
          <w:szCs w:val="18"/>
          <w:color w:val="auto"/>
        </w:rPr>
      </w:pPr>
    </w:p>
    <w:p>
      <w:pPr>
        <w:ind w:left="1300" w:right="7980" w:hanging="644"/>
        <w:spacing w:after="0" w:line="342" w:lineRule="auto"/>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Title of Class of Securities Common Stock</w:t>
      </w:r>
    </w:p>
    <w:p>
      <w:pPr>
        <w:spacing w:after="0" w:line="150" w:lineRule="exact"/>
        <w:rPr>
          <w:rFonts w:ascii="Arial" w:cs="Arial" w:eastAsia="Arial" w:hAnsi="Arial"/>
          <w:sz w:val="16"/>
          <w:szCs w:val="16"/>
          <w:color w:val="auto"/>
        </w:rPr>
      </w:pPr>
    </w:p>
    <w:p>
      <w:pPr>
        <w:ind w:left="1300" w:right="8760" w:hanging="644"/>
        <w:spacing w:after="0" w:line="342" w:lineRule="auto"/>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CUSIP Number 923454102</w:t>
      </w:r>
    </w:p>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§§240.13d-1(b) or 240.13d-2(b) or (c), check whether the person filing is a:</w:t>
      </w:r>
    </w:p>
    <w:p>
      <w:pPr>
        <w:spacing w:after="0" w:line="256" w:lineRule="exact"/>
        <w:rPr>
          <w:sz w:val="20"/>
          <w:szCs w:val="20"/>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Broker or dealer registered under section 15 of the Act (15 U.S.C. 78o).</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Bank as defined in section 3(a)(6)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Insurance company as defined in section 3(a)(19)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Investment company registered under section 8 of the Investment Company Act of 1940 (15 U.S.C 80a-8).</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6"/>
          <w:szCs w:val="16"/>
          <w:color w:val="auto"/>
        </w:rPr>
        <w:t>An investment adviser in accordance with §240.13d-1(b)(1)(ii)(E);</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employee benefit plan or endowment fund in accordance with §240.13d-1(b)(1)(ii)(F);</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6"/>
          <w:szCs w:val="16"/>
          <w:color w:val="auto"/>
        </w:rPr>
        <w:t>A parent holding company or control person in accordance with § 240.13d-1(b)(1)(ii)(G);</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savings associations as defined in Section 3(b) of the Federal Deposit Insurance Act (12 U.S.C. 1813);</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4"/>
        </w:numPr>
        <w:rPr>
          <w:rFonts w:ascii="Arial" w:cs="Arial" w:eastAsia="Arial" w:hAnsi="Arial"/>
          <w:sz w:val="18"/>
          <w:szCs w:val="18"/>
          <w:color w:val="auto"/>
        </w:rPr>
      </w:pPr>
      <w:r>
        <w:rPr>
          <w:rFonts w:ascii="Arial" w:cs="Arial" w:eastAsia="Arial" w:hAnsi="Arial"/>
          <w:sz w:val="18"/>
          <w:szCs w:val="18"/>
          <w:color w:val="auto"/>
        </w:rPr>
        <w:t>oA church plan that is excluded from the definition of an investment company under section 3(c)(14) of the Investment Company Act of 1940 (15 U.S.C. 80a-3);</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non-U.S. institution in accordance with § 240.13d-1(b)(1)(ii)(J).</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4"/>
        </w:numPr>
        <w:rPr>
          <w:rFonts w:ascii="Arial" w:cs="Arial" w:eastAsia="Arial" w:hAnsi="Arial"/>
          <w:sz w:val="18"/>
          <w:szCs w:val="18"/>
          <w:color w:val="auto"/>
        </w:rPr>
      </w:pPr>
      <w:r>
        <w:rPr>
          <w:rFonts w:ascii="Arial" w:cs="Arial" w:eastAsia="Arial" w:hAnsi="Arial"/>
          <w:sz w:val="18"/>
          <w:szCs w:val="18"/>
          <w:color w:val="auto"/>
        </w:rPr>
        <w:t>oA group, in accordance with § 240.13d-1(b)(1)(ii)(K). If filing as a non-U.S. institution in accordance with § 240.13d-1(b)(1)(ii) (J),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533400</wp:posOffset>
            </wp:positionV>
            <wp:extent cx="72720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00"/>
          </w:cols>
          <w:pgMar w:left="240" w:top="513" w:right="459" w:bottom="1098"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Item 4. Ownership.</w:t>
      </w: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252" w:lineRule="exact"/>
        <w:rPr>
          <w:sz w:val="20"/>
          <w:szCs w:val="20"/>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Baupost Group, L.L.C.: 2,885,682</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SAK Corporation: 2,885,682</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Seth A. Klarman: 2,885,682</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Baupost Group, L.L.C.: 18.04%</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SAK Corporation: 18.04%</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Seth A. Klarman: 18.04%</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52" w:lineRule="exact"/>
        <w:rPr>
          <w:sz w:val="20"/>
          <w:szCs w:val="20"/>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0</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2,885,682</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2,885,682</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2,885,682</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0</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2,885,682</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SAK Corporation: 2,885,682</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2,885,682</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o .</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249" w:lineRule="exact"/>
        <w:rPr>
          <w:sz w:val="20"/>
          <w:szCs w:val="20"/>
          <w:color w:val="auto"/>
        </w:rPr>
      </w:pPr>
    </w:p>
    <w:p>
      <w:pPr>
        <w:ind w:firstLine="648"/>
        <w:spacing w:after="0" w:line="251" w:lineRule="auto"/>
        <w:rPr>
          <w:sz w:val="20"/>
          <w:szCs w:val="20"/>
          <w:color w:val="auto"/>
        </w:rPr>
      </w:pPr>
      <w:r>
        <w:rPr>
          <w:rFonts w:ascii="Arial" w:cs="Arial" w:eastAsia="Arial" w:hAnsi="Arial"/>
          <w:sz w:val="22"/>
          <w:szCs w:val="22"/>
          <w:color w:val="auto"/>
        </w:rPr>
        <w:t>Securities reported on this statement on Schedule 13G as being beneficially owned by Baupost were purchased on behalf of various private investment limited partnerships.</w:t>
      </w:r>
    </w:p>
    <w:p>
      <w:pPr>
        <w:spacing w:after="0" w:line="20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7. Identification and Classification of the Subsidiary Which Acquired the Security Being Reported on By the Parent Holding Company</w:t>
      </w:r>
    </w:p>
    <w:p>
      <w:pPr>
        <w:spacing w:after="0" w:line="26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See footnote.</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N/A</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406400</wp:posOffset>
            </wp:positionV>
            <wp:extent cx="72720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513" w:right="299" w:bottom="1440" w:gutter="0" w:footer="0" w:header="0"/>
        </w:sectPr>
      </w:pPr>
    </w:p>
    <w:bookmarkStart w:id="6" w:name="page7"/>
    <w:bookmarkEnd w:id="6"/>
    <w:p>
      <w:pPr>
        <w:spacing w:after="0"/>
        <w:tabs>
          <w:tab w:leader="none" w:pos="580" w:val="left"/>
        </w:tabs>
        <w:rPr>
          <w:sz w:val="20"/>
          <w:szCs w:val="20"/>
          <w:color w:val="auto"/>
        </w:rPr>
      </w:pPr>
      <w:r>
        <w:rPr>
          <w:rFonts w:ascii="Arial" w:cs="Arial" w:eastAsia="Arial" w:hAnsi="Arial"/>
          <w:sz w:val="18"/>
          <w:szCs w:val="18"/>
          <w:b w:val="1"/>
          <w:bCs w:val="1"/>
          <w:color w:val="auto"/>
        </w:rPr>
        <w:t>Item</w:t>
        <w:tab/>
        <w:t>Certification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w:t>
      </w:r>
    </w:p>
    <w:p>
      <w:pPr>
        <w:spacing w:after="0" w:line="211" w:lineRule="exact"/>
        <w:rPr>
          <w:sz w:val="20"/>
          <w:szCs w:val="20"/>
          <w:color w:val="auto"/>
        </w:rPr>
      </w:pPr>
    </w:p>
    <w:p>
      <w:pPr>
        <w:ind w:left="600"/>
        <w:spacing w:after="0" w:line="259"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00" w:lineRule="exact"/>
        <w:rPr>
          <w:sz w:val="20"/>
          <w:szCs w:val="20"/>
          <w:color w:val="auto"/>
        </w:rPr>
      </w:pPr>
    </w:p>
    <w:p>
      <w:pPr>
        <w:spacing w:after="0" w:line="27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The Baupost Group, L.L.C.</w:t>
      </w:r>
    </w:p>
    <w:p>
      <w:pPr>
        <w:sectPr>
          <w:pgSz w:w="11900" w:h="16838" w:orient="portrait"/>
          <w:cols w:equalWidth="0" w:num="1">
            <w:col w:w="11340"/>
          </w:cols>
          <w:pgMar w:left="240" w:top="756" w:right="31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2016</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/s/ Seth A. Klarman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Seth A. Klarman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Title: Chief Executive Officer and President</w:t>
      </w:r>
    </w:p>
    <w:p>
      <w:pPr>
        <w:spacing w:after="0" w:line="200" w:lineRule="exact"/>
        <w:rPr>
          <w:sz w:val="20"/>
          <w:szCs w:val="20"/>
          <w:color w:val="auto"/>
        </w:rPr>
      </w:pPr>
    </w:p>
    <w:p>
      <w:pPr>
        <w:sectPr>
          <w:pgSz w:w="11900" w:h="16838" w:orient="portrait"/>
          <w:cols w:equalWidth="0" w:num="3">
            <w:col w:w="5000" w:space="720"/>
            <w:col w:w="260" w:space="100"/>
            <w:col w:w="5260"/>
          </w:cols>
          <w:pgMar w:left="240" w:top="756" w:right="3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5720"/>
        <w:spacing w:after="0"/>
        <w:rPr>
          <w:sz w:val="20"/>
          <w:szCs w:val="20"/>
          <w:color w:val="auto"/>
        </w:rPr>
      </w:pPr>
      <w:r>
        <w:rPr>
          <w:rFonts w:ascii="Arial" w:cs="Arial" w:eastAsia="Arial" w:hAnsi="Arial"/>
          <w:sz w:val="17"/>
          <w:szCs w:val="17"/>
          <w:b w:val="1"/>
          <w:bCs w:val="1"/>
          <w:color w:val="auto"/>
        </w:rPr>
        <w:t>SAK Corporation</w:t>
      </w:r>
    </w:p>
    <w:p>
      <w:pPr>
        <w:sectPr>
          <w:pgSz w:w="11900" w:h="16838" w:orient="portrait"/>
          <w:cols w:equalWidth="0" w:num="1">
            <w:col w:w="11340"/>
          </w:cols>
          <w:pgMar w:left="240" w:top="756" w:right="319" w:bottom="1440" w:gutter="0" w:footer="0" w:header="0"/>
          <w:type w:val="continuous"/>
        </w:sectPr>
      </w:pPr>
    </w:p>
    <w:p>
      <w:pPr>
        <w:spacing w:after="0" w:line="241"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2016</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By: /s/ Seth A. Klarman</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Name: Seth A. Klarman</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Title: President</w:t>
      </w:r>
    </w:p>
    <w:p>
      <w:pPr>
        <w:spacing w:after="0" w:line="200" w:lineRule="exact"/>
        <w:rPr>
          <w:sz w:val="20"/>
          <w:szCs w:val="20"/>
          <w:color w:val="auto"/>
        </w:rPr>
      </w:pPr>
    </w:p>
    <w:p>
      <w:pPr>
        <w:sectPr>
          <w:pgSz w:w="11900" w:h="16838" w:orient="portrait"/>
          <w:cols w:equalWidth="0" w:num="2">
            <w:col w:w="5000" w:space="720"/>
            <w:col w:w="5620"/>
          </w:cols>
          <w:pgMar w:left="240" w:top="756" w:right="3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Seth A. Klarman</w:t>
      </w:r>
    </w:p>
    <w:p>
      <w:pPr>
        <w:sectPr>
          <w:pgSz w:w="11900" w:h="16838" w:orient="portrait"/>
          <w:cols w:equalWidth="0" w:num="1">
            <w:col w:w="11340"/>
          </w:cols>
          <w:pgMar w:left="240" w:top="756" w:right="31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2016</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 Seth A. Klarman</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Name: Seth A. Klarman</w:t>
      </w:r>
    </w:p>
    <w:p>
      <w:pPr>
        <w:spacing w:after="0" w:line="200" w:lineRule="exact"/>
        <w:rPr>
          <w:sz w:val="20"/>
          <w:szCs w:val="20"/>
          <w:color w:val="auto"/>
        </w:rPr>
      </w:pPr>
    </w:p>
    <w:p>
      <w:pPr>
        <w:sectPr>
          <w:pgSz w:w="11900" w:h="16838" w:orient="portrait"/>
          <w:cols w:equalWidth="0" w:num="3">
            <w:col w:w="5000" w:space="720"/>
            <w:col w:w="260" w:space="100"/>
            <w:col w:w="5260"/>
          </w:cols>
          <w:pgMar w:left="240" w:top="756" w:right="319" w:bottom="1440" w:gutter="0" w:footer="0" w:header="0"/>
          <w:type w:val="continuous"/>
        </w:sect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Footnotes: </w:t>
      </w:r>
      <w:r>
        <w:rPr>
          <w:rFonts w:ascii="Arial" w:cs="Arial" w:eastAsia="Arial" w:hAnsi="Arial"/>
          <w:sz w:val="18"/>
          <w:szCs w:val="18"/>
          <w:color w:val="auto"/>
        </w:rPr>
        <w:t>Item 3, Item 4 and Item 7</w:t>
      </w:r>
    </w:p>
    <w:p>
      <w:pPr>
        <w:spacing w:after="0" w:line="229" w:lineRule="exact"/>
        <w:rPr>
          <w:sz w:val="20"/>
          <w:szCs w:val="20"/>
          <w:color w:val="auto"/>
        </w:rPr>
      </w:pPr>
    </w:p>
    <w:p>
      <w:pPr>
        <w:ind w:left="860" w:right="220"/>
        <w:spacing w:after="0" w:line="255" w:lineRule="auto"/>
        <w:rPr>
          <w:sz w:val="20"/>
          <w:szCs w:val="20"/>
          <w:color w:val="auto"/>
        </w:rPr>
      </w:pPr>
      <w:r>
        <w:rPr>
          <w:rFonts w:ascii="Arial" w:cs="Arial" w:eastAsia="Arial" w:hAnsi="Arial"/>
          <w:sz w:val="18"/>
          <w:szCs w:val="18"/>
          <w:color w:val="auto"/>
        </w:rPr>
        <w:t>This statement on Schedule 13G is being jointly filed by The Baupost Group, L.L.C. ("Baupost"), SAK Corporation and Seth A. Klarman. Baupost is a registered investment adviser and acts as an investment adviser and general partner to various private investment limited partnerships. SAK Corporation, as the Manager of Baupost, and Mr. Klarman, as the sole shareholder of SAK Corporation and a controlling person of Baupost, may be deemed to have beneficial ownership under Section 13 of the Securities Exchange Act of 1934, as amended, of the securities beneficially owned by Baupost. Securities reported on this statement on Schedule 13G as being beneficially owned by Baupost were purchased on behalf of certain of such partnerships.</w:t>
      </w:r>
    </w:p>
    <w:p>
      <w:pPr>
        <w:spacing w:after="0" w:line="193" w:lineRule="exact"/>
        <w:rPr>
          <w:sz w:val="20"/>
          <w:szCs w:val="20"/>
          <w:color w:val="auto"/>
        </w:rPr>
      </w:pPr>
    </w:p>
    <w:p>
      <w:pPr>
        <w:ind w:left="860" w:right="100"/>
        <w:spacing w:after="0" w:line="264" w:lineRule="auto"/>
        <w:rPr>
          <w:sz w:val="20"/>
          <w:szCs w:val="20"/>
          <w:color w:val="auto"/>
        </w:rPr>
      </w:pPr>
      <w:r>
        <w:rPr>
          <w:rFonts w:ascii="Arial" w:cs="Arial" w:eastAsia="Arial" w:hAnsi="Arial"/>
          <w:sz w:val="18"/>
          <w:szCs w:val="18"/>
          <w:color w:val="auto"/>
        </w:rPr>
        <w:t>Pursuant to Rule 13d-4, Seth A. Klarman and SAK Corporation declare that the filing of this statement on Schedule 13G shall not be deemed an admission by either or both of them that they are, for the purposes of Section 13 of the Securities Exchange Act of 1934, as amended, the beneficial owner of any securities covered by this statement on Schedule 13G.</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Attention: Intentional misstatements or omissions of fact constitute Federal criminal violations (See 18 U.S.C. 1001)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365125</wp:posOffset>
            </wp:positionV>
            <wp:extent cx="72891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sectPr>
      <w:pgSz w:w="11900" w:h="16838" w:orient="portrait"/>
      <w:cols w:equalWidth="0" w:num="1">
        <w:col w:w="11340"/>
      </w:cols>
      <w:pgMar w:left="240" w:top="756" w:right="3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lvl w:ilvl="1">
      <w:lvlJc w:val="left"/>
      <w:lvlText w:val="x"/>
      <w:numFmt w:val="bullet"/>
      <w:start w:val="1"/>
    </w:lvl>
  </w:abstractNum>
  <w:abstractNum w:abstractNumId="1">
    <w:nsid w:val="5BD062C2"/>
    <w:multiLevelType w:val="hybridMultilevel"/>
    <w:lvl w:ilvl="0">
      <w:lvlJc w:val="left"/>
      <w:lvlText w:val="1"/>
      <w:numFmt w:val="bullet"/>
      <w:start w:val="1"/>
    </w:lvl>
  </w:abstractNum>
  <w:abstractNum w:abstractNumId="2">
    <w:nsid w:val="12200854"/>
    <w:multiLevelType w:val="hybridMultilevel"/>
    <w:lvl w:ilvl="0">
      <w:lvlJc w:val="left"/>
      <w:lvlText w:val="(%1)"/>
      <w:numFmt w:val="lowerLetter"/>
      <w:start w:val="1"/>
    </w:lvl>
  </w:abstractNum>
  <w:abstractNum w:abstractNumId="3">
    <w:nsid w:val="4DB127F8"/>
    <w:multiLevelType w:val="hybridMultilevel"/>
    <w:lvl w:ilvl="0">
      <w:lvlJc w:val="left"/>
      <w:lvlText w:val="4"/>
      <w:numFmt w:val="bullet"/>
      <w:start w:val="1"/>
    </w:lvl>
  </w:abstractNum>
  <w:abstractNum w:abstractNumId="4">
    <w:nsid w:val="216231B"/>
    <w:multiLevelType w:val="hybridMultilevel"/>
    <w:lvl w:ilvl="0">
      <w:lvlJc w:val="left"/>
      <w:lvlText w:val="9"/>
      <w:numFmt w:val="bullet"/>
      <w:start w:val="1"/>
    </w:lvl>
  </w:abstractNum>
  <w:abstractNum w:abstractNumId="5">
    <w:nsid w:val="1F16E9E8"/>
    <w:multiLevelType w:val="hybridMultilevel"/>
    <w:lvl w:ilvl="0">
      <w:lvlJc w:val="left"/>
      <w:lvlText w:val="1"/>
      <w:numFmt w:val="bullet"/>
      <w:start w:val="1"/>
    </w:lvl>
  </w:abstractNum>
  <w:abstractNum w:abstractNumId="6">
    <w:nsid w:val="1190CDE7"/>
    <w:multiLevelType w:val="hybridMultilevel"/>
    <w:lvl w:ilvl="0">
      <w:lvlJc w:val="left"/>
      <w:lvlText w:val="(%1)"/>
      <w:numFmt w:val="lowerLetter"/>
      <w:start w:val="1"/>
    </w:lvl>
  </w:abstractNum>
  <w:abstractNum w:abstractNumId="7">
    <w:nsid w:val="66EF438D"/>
    <w:multiLevelType w:val="hybridMultilevel"/>
    <w:lvl w:ilvl="0">
      <w:lvlJc w:val="left"/>
      <w:lvlText w:val="4"/>
      <w:numFmt w:val="bullet"/>
      <w:start w:val="1"/>
    </w:lvl>
  </w:abstractNum>
  <w:abstractNum w:abstractNumId="8">
    <w:nsid w:val="140E0F76"/>
    <w:multiLevelType w:val="hybridMultilevel"/>
    <w:lvl w:ilvl="0">
      <w:lvlJc w:val="left"/>
      <w:lvlText w:val="9"/>
      <w:numFmt w:val="bullet"/>
      <w:start w:val="1"/>
    </w:lvl>
  </w:abstractNum>
  <w:abstractNum w:abstractNumId="9">
    <w:nsid w:val="3352255A"/>
    <w:multiLevelType w:val="hybridMultilevel"/>
    <w:lvl w:ilvl="0">
      <w:lvlJc w:val="left"/>
      <w:lvlText w:val="4"/>
      <w:numFmt w:val="bullet"/>
      <w:start w:val="1"/>
    </w:lvl>
  </w:abstractNum>
  <w:abstractNum w:abstractNumId="10">
    <w:nsid w:val="109CF92E"/>
    <w:multiLevelType w:val="hybridMultilevel"/>
    <w:lvl w:ilvl="0">
      <w:lvlJc w:val="left"/>
      <w:lvlText w:val="9"/>
      <w:numFmt w:val="bullet"/>
      <w:start w:val="1"/>
    </w:lvl>
  </w:abstractNum>
  <w:abstractNum w:abstractNumId="11">
    <w:nsid w:val="DED7263"/>
    <w:multiLevelType w:val="hybridMultilevel"/>
    <w:lvl w:ilvl="0">
      <w:lvlJc w:val="left"/>
      <w:lvlText w:val="(%1)"/>
      <w:numFmt w:val="lowerLetter"/>
      <w:start w:val="1"/>
    </w:lvl>
  </w:abstractNum>
  <w:abstractNum w:abstractNumId="12">
    <w:nsid w:val="7FDCC233"/>
    <w:multiLevelType w:val="hybridMultilevel"/>
    <w:lvl w:ilvl="0">
      <w:lvlJc w:val="left"/>
      <w:lvlText w:val="(%1)"/>
      <w:numFmt w:val="lowerLetter"/>
      <w:start w:val="1"/>
    </w:lvl>
    <w:lvl w:ilvl="1">
      <w:lvlJc w:val="left"/>
      <w:lvlText w:val="(%2)"/>
      <w:numFmt w:val="decimal"/>
      <w:start w:val="1"/>
    </w:lvl>
  </w:abstractNum>
  <w:abstractNum w:abstractNumId="13">
    <w:nsid w:val="1BEFD79F"/>
    <w:multiLevelType w:val="hybridMultilevel"/>
    <w:lvl w:ilvl="0">
      <w:lvlJc w:val="left"/>
      <w:lvlText w:val="(%1)"/>
      <w:numFmt w:val="lowerLetter"/>
      <w:start w:val="1"/>
    </w:lvl>
  </w:abstractNum>
  <w:abstractNum w:abstractNumId="14">
    <w:nsid w:val="41A7C4C9"/>
    <w:multiLevelType w:val="hybridMultilevel"/>
    <w:lvl w:ilvl="0">
      <w:lvlJc w:val="left"/>
      <w:lvlText w:val="(%1)"/>
      <w:numFmt w:val="lowerLetter"/>
      <w:start w:val="1"/>
    </w:lvl>
    <w:lvl w:ilvl="1">
      <w:lvlJc w:val="left"/>
      <w:lvlText w:val="(%2)"/>
      <w:numFmt w:val="decimal"/>
      <w:start w:val="1"/>
    </w:lvl>
  </w:abstractNum>
  <w:abstractNum w:abstractNumId="15">
    <w:nsid w:val="6B68079A"/>
    <w:multiLevelType w:val="hybridMultilevel"/>
    <w:lvl w:ilvl="0">
      <w:lvlJc w:val="left"/>
      <w:lvlText w:val="(%1)"/>
      <w:numFmt w:val="lowerRoman"/>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2020-01-19T13:49:58Z</dcterms:created>
  <dcterms:modified xsi:type="dcterms:W3CDTF">2020-01-19T13:49:58Z</dcterms:modified>
</cp:coreProperties>
</file>