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(Amendment No. 6 )</w:t>
      </w:r>
      <w:r>
        <w:rPr>
          <w:rFonts w:ascii="Arial" w:cs="Arial" w:eastAsia="Arial" w:hAnsi="Arial"/>
          <w:sz w:val="35"/>
          <w:szCs w:val="35"/>
          <w:b w:val="1"/>
          <w:bCs w:val="1"/>
          <w:color w:val="auto"/>
          <w:vertAlign w:val="superscript"/>
        </w:rPr>
        <w:t>*</w:t>
      </w:r>
    </w:p>
    <w:p>
      <w:pPr>
        <w:spacing w:after="0" w:line="200" w:lineRule="exact"/>
        <w:rPr>
          <w:sz w:val="24"/>
          <w:szCs w:val="24"/>
          <w:color w:val="auto"/>
        </w:rPr>
      </w:pPr>
    </w:p>
    <w:p>
      <w:pPr>
        <w:spacing w:after="0" w:line="393"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TimkenSteel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887399103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December 30,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85" w:lineRule="auto"/>
        <w:tabs>
          <w:tab w:leader="none" w:pos="478"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3" w:lineRule="auto"/>
        <w:rPr>
          <w:rFonts w:ascii="Arial" w:cs="Arial" w:eastAsia="Arial" w:hAnsi="Arial"/>
          <w:sz w:val="19"/>
          <w:szCs w:val="19"/>
          <w:color w:val="auto"/>
        </w:rPr>
      </w:pPr>
      <w:r>
        <w:rPr>
          <w:rFonts w:ascii="Arial" w:cs="Arial" w:eastAsia="Arial" w:hAnsi="Arial"/>
          <w:sz w:val="35"/>
          <w:szCs w:val="35"/>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18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20" w:right="45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887399103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20" w:type="dxa"/>
            <w:vAlign w:val="bottom"/>
          </w:tcPr>
          <w:p>
            <w:pPr>
              <w:ind w:left="120"/>
              <w:spacing w:after="0"/>
              <w:rPr>
                <w:sz w:val="20"/>
                <w:szCs w:val="20"/>
                <w:color w:val="auto"/>
              </w:rPr>
            </w:pPr>
            <w:r>
              <w:rPr>
                <w:rFonts w:ascii="Arial" w:cs="Arial" w:eastAsia="Arial" w:hAnsi="Arial"/>
                <w:sz w:val="22"/>
                <w:szCs w:val="22"/>
                <w:color w:val="auto"/>
              </w:rPr>
              <w:t>1.</w:t>
            </w:r>
          </w:p>
        </w:tc>
        <w:tc>
          <w:tcPr>
            <w:tcW w:w="3760" w:type="dxa"/>
            <w:vAlign w:val="bottom"/>
          </w:tcPr>
          <w:p>
            <w:pPr>
              <w:ind w:left="100"/>
              <w:spacing w:after="0"/>
              <w:rPr>
                <w:sz w:val="20"/>
                <w:szCs w:val="20"/>
                <w:color w:val="auto"/>
              </w:rPr>
            </w:pPr>
            <w:r>
              <w:rPr>
                <w:rFonts w:ascii="Arial" w:cs="Arial" w:eastAsia="Arial" w:hAnsi="Arial"/>
                <w:sz w:val="22"/>
                <w:szCs w:val="22"/>
                <w:color w:val="auto"/>
                <w:w w:val="99"/>
              </w:rPr>
              <w:t>NAMES OF REPORTING PERSONS</w:t>
            </w: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Dimensional Fund Advisors LP</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30-0447847</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2.</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THE APPROPRIATE BOX IF A MEMBER OF A GROUP*</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(a) [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(b) [X]</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3.</w:t>
            </w:r>
          </w:p>
        </w:tc>
        <w:tc>
          <w:tcPr>
            <w:tcW w:w="3760" w:type="dxa"/>
            <w:vAlign w:val="bottom"/>
          </w:tcPr>
          <w:p>
            <w:pPr>
              <w:ind w:left="100"/>
              <w:spacing w:after="0"/>
              <w:rPr>
                <w:sz w:val="20"/>
                <w:szCs w:val="20"/>
                <w:color w:val="auto"/>
              </w:rPr>
            </w:pPr>
            <w:r>
              <w:rPr>
                <w:rFonts w:ascii="Arial" w:cs="Arial" w:eastAsia="Arial" w:hAnsi="Arial"/>
                <w:sz w:val="22"/>
                <w:szCs w:val="22"/>
                <w:color w:val="auto"/>
              </w:rPr>
              <w:t>SEC USE ONLY</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4.</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Delaware Limited Partnership</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1720" w:type="dxa"/>
            <w:vAlign w:val="bottom"/>
          </w:tcPr>
          <w:p>
            <w:pPr>
              <w:ind w:left="120"/>
              <w:spacing w:after="0"/>
              <w:rPr>
                <w:sz w:val="20"/>
                <w:szCs w:val="20"/>
                <w:color w:val="auto"/>
              </w:rPr>
            </w:pPr>
            <w:r>
              <w:rPr>
                <w:rFonts w:ascii="Arial" w:cs="Arial" w:eastAsia="Arial" w:hAnsi="Arial"/>
                <w:sz w:val="22"/>
                <w:szCs w:val="22"/>
                <w:color w:val="auto"/>
              </w:rPr>
              <w:t>NUMBER OF</w:t>
            </w:r>
          </w:p>
        </w:tc>
        <w:tc>
          <w:tcPr>
            <w:tcW w:w="3760" w:type="dxa"/>
            <w:vAlign w:val="bottom"/>
          </w:tcPr>
          <w:p>
            <w:pPr>
              <w:ind w:left="160"/>
              <w:spacing w:after="0"/>
              <w:rPr>
                <w:sz w:val="20"/>
                <w:szCs w:val="20"/>
                <w:color w:val="auto"/>
              </w:rPr>
            </w:pPr>
            <w:r>
              <w:rPr>
                <w:rFonts w:ascii="Arial" w:cs="Arial" w:eastAsia="Arial" w:hAnsi="Arial"/>
                <w:sz w:val="22"/>
                <w:szCs w:val="22"/>
                <w:color w:val="auto"/>
              </w:rPr>
              <w:t>5. SOLE VOTING POWER</w:t>
            </w:r>
          </w:p>
        </w:tc>
        <w:tc>
          <w:tcPr>
            <w:tcW w:w="5760" w:type="dxa"/>
            <w:vAlign w:val="bottom"/>
          </w:tcPr>
          <w:p>
            <w:pPr>
              <w:ind w:left="320"/>
              <w:spacing w:after="0"/>
              <w:rPr>
                <w:sz w:val="20"/>
                <w:szCs w:val="20"/>
                <w:color w:val="auto"/>
              </w:rPr>
            </w:pPr>
            <w:r>
              <w:rPr>
                <w:rFonts w:ascii="Arial" w:cs="Arial" w:eastAsia="Arial" w:hAnsi="Arial"/>
                <w:sz w:val="22"/>
                <w:szCs w:val="22"/>
                <w:color w:val="auto"/>
              </w:rPr>
              <w:t>3,273,452 ** see Note 1 **</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3760" w:type="dxa"/>
            <w:vAlign w:val="bottom"/>
          </w:tcPr>
          <w:p>
            <w:pPr>
              <w:spacing w:after="0"/>
              <w:rPr>
                <w:sz w:val="21"/>
                <w:szCs w:val="21"/>
                <w:color w:val="auto"/>
              </w:rPr>
            </w:pP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BENEFICIALLY</w:t>
            </w:r>
          </w:p>
        </w:tc>
        <w:tc>
          <w:tcPr>
            <w:tcW w:w="3760" w:type="dxa"/>
            <w:vAlign w:val="bottom"/>
          </w:tcPr>
          <w:p>
            <w:pPr>
              <w:ind w:left="160"/>
              <w:spacing w:after="0" w:line="243" w:lineRule="exact"/>
              <w:rPr>
                <w:sz w:val="20"/>
                <w:szCs w:val="20"/>
                <w:color w:val="auto"/>
              </w:rPr>
            </w:pPr>
            <w:r>
              <w:rPr>
                <w:rFonts w:ascii="Arial" w:cs="Arial" w:eastAsia="Arial" w:hAnsi="Arial"/>
                <w:sz w:val="22"/>
                <w:szCs w:val="22"/>
                <w:color w:val="auto"/>
              </w:rPr>
              <w:t>6. SHARED VOTING POWER</w:t>
            </w:r>
          </w:p>
        </w:tc>
        <w:tc>
          <w:tcPr>
            <w:tcW w:w="5760" w:type="dxa"/>
            <w:vAlign w:val="bottom"/>
          </w:tcPr>
          <w:p>
            <w:pPr>
              <w:ind w:left="320"/>
              <w:spacing w:after="0" w:line="243"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OWNED BY</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7. SOLE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3,331,225 ** see Note 1 **</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EACH</w:t>
            </w:r>
          </w:p>
        </w:tc>
        <w:tc>
          <w:tcPr>
            <w:tcW w:w="3760" w:type="dxa"/>
            <w:vAlign w:val="bottom"/>
            <w:vMerge w:val="continue"/>
          </w:tcPr>
          <w:p>
            <w:pPr>
              <w:spacing w:after="0"/>
              <w:rPr>
                <w:sz w:val="21"/>
                <w:szCs w:val="21"/>
                <w:color w:val="auto"/>
              </w:rPr>
            </w:pPr>
          </w:p>
        </w:tc>
        <w:tc>
          <w:tcPr>
            <w:tcW w:w="576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REPORTING</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8. SHARED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3760" w:type="dxa"/>
            <w:vAlign w:val="bottom"/>
            <w:vMerge w:val="continue"/>
          </w:tcPr>
          <w:p>
            <w:pPr>
              <w:spacing w:after="0"/>
              <w:rPr>
                <w:sz w:val="23"/>
                <w:szCs w:val="23"/>
                <w:color w:val="auto"/>
              </w:rPr>
            </w:pPr>
          </w:p>
        </w:tc>
        <w:tc>
          <w:tcPr>
            <w:tcW w:w="57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3,331,225 ** see Note 1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7.5%</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3760" w:type="dxa"/>
            <w:vAlign w:val="bottom"/>
          </w:tcPr>
          <w:p>
            <w:pPr>
              <w:ind w:left="100"/>
              <w:spacing w:after="0"/>
              <w:rPr>
                <w:sz w:val="20"/>
                <w:szCs w:val="20"/>
                <w:color w:val="auto"/>
              </w:rPr>
            </w:pPr>
            <w:r>
              <w:rPr>
                <w:rFonts w:ascii="Arial" w:cs="Arial" w:eastAsia="Arial" w:hAnsi="Arial"/>
                <w:sz w:val="22"/>
                <w:szCs w:val="22"/>
                <w:color w:val="auto"/>
              </w:rPr>
              <w:t>TYPE OF REPORTING PERSON</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IA</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7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Item 1.</w:t>
      </w:r>
    </w:p>
    <w:p>
      <w:pPr>
        <w:spacing w:after="0" w:line="125" w:lineRule="exact"/>
        <w:rPr>
          <w:sz w:val="20"/>
          <w:szCs w:val="20"/>
          <w:color w:val="auto"/>
        </w:rPr>
      </w:pPr>
    </w:p>
    <w:p>
      <w:pPr>
        <w:ind w:left="1320" w:right="8120" w:hanging="407"/>
        <w:spacing w:after="0" w:line="334" w:lineRule="auto"/>
        <w:tabs>
          <w:tab w:leader="none" w:pos="132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Issuer </w:t>
      </w:r>
      <w:r>
        <w:rPr>
          <w:rFonts w:ascii="Arial" w:cs="Arial" w:eastAsia="Arial" w:hAnsi="Arial"/>
          <w:sz w:val="19"/>
          <w:szCs w:val="19"/>
          <w:color w:val="auto"/>
        </w:rPr>
        <w:t>TimkenSteel Corp</w:t>
      </w:r>
    </w:p>
    <w:p>
      <w:pPr>
        <w:spacing w:after="0" w:line="12" w:lineRule="exact"/>
        <w:rPr>
          <w:rFonts w:ascii="Arial" w:cs="Arial" w:eastAsia="Arial" w:hAnsi="Arial"/>
          <w:sz w:val="19"/>
          <w:szCs w:val="19"/>
          <w:b w:val="1"/>
          <w:bCs w:val="1"/>
          <w:color w:val="auto"/>
        </w:rPr>
      </w:pPr>
    </w:p>
    <w:p>
      <w:pPr>
        <w:ind w:left="1320" w:right="5180" w:hanging="407"/>
        <w:spacing w:after="0" w:line="334" w:lineRule="auto"/>
        <w:tabs>
          <w:tab w:leader="none" w:pos="132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Issuer's Principal Executive Offices </w:t>
      </w:r>
      <w:r>
        <w:rPr>
          <w:rFonts w:ascii="Arial" w:cs="Arial" w:eastAsia="Arial" w:hAnsi="Arial"/>
          <w:sz w:val="19"/>
          <w:szCs w:val="19"/>
          <w:color w:val="auto"/>
        </w:rPr>
        <w:t>1835 Dueber Avenue Southwest, Canton, OH 44706</w:t>
      </w:r>
    </w:p>
    <w:p>
      <w:pPr>
        <w:spacing w:after="0" w:line="1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320" w:right="696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Person Filing </w:t>
      </w:r>
      <w:r>
        <w:rPr>
          <w:rFonts w:ascii="Arial" w:cs="Arial" w:eastAsia="Arial" w:hAnsi="Arial"/>
          <w:sz w:val="19"/>
          <w:szCs w:val="19"/>
          <w:color w:val="auto"/>
        </w:rPr>
        <w:t>Dimensional Fund Advisors LP</w:t>
      </w:r>
    </w:p>
    <w:p>
      <w:pPr>
        <w:spacing w:after="0" w:line="12" w:lineRule="exact"/>
        <w:rPr>
          <w:rFonts w:ascii="Arial" w:cs="Arial" w:eastAsia="Arial" w:hAnsi="Arial"/>
          <w:sz w:val="19"/>
          <w:szCs w:val="19"/>
          <w:b w:val="1"/>
          <w:bCs w:val="1"/>
          <w:color w:val="auto"/>
        </w:rPr>
      </w:pPr>
    </w:p>
    <w:p>
      <w:pPr>
        <w:ind w:left="1320" w:right="430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Principal Business Office or, if None, Residence </w:t>
      </w:r>
      <w:r>
        <w:rPr>
          <w:rFonts w:ascii="Arial" w:cs="Arial" w:eastAsia="Arial" w:hAnsi="Arial"/>
          <w:sz w:val="19"/>
          <w:szCs w:val="19"/>
          <w:color w:val="auto"/>
        </w:rPr>
        <w:t>6300 Bee Cave Road, Building One, Austin, TX 78746</w:t>
      </w:r>
    </w:p>
    <w:p>
      <w:pPr>
        <w:spacing w:after="0" w:line="12" w:lineRule="exact"/>
        <w:rPr>
          <w:rFonts w:ascii="Arial" w:cs="Arial" w:eastAsia="Arial" w:hAnsi="Arial"/>
          <w:sz w:val="19"/>
          <w:szCs w:val="19"/>
          <w:b w:val="1"/>
          <w:bCs w:val="1"/>
          <w:color w:val="auto"/>
        </w:rPr>
      </w:pPr>
    </w:p>
    <w:p>
      <w:pPr>
        <w:ind w:left="1320" w:hanging="407"/>
        <w:spacing w:after="0"/>
        <w:tabs>
          <w:tab w:leader="none" w:pos="132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320"/>
        <w:spacing w:after="0"/>
        <w:rPr>
          <w:rFonts w:ascii="Arial" w:cs="Arial" w:eastAsia="Arial" w:hAnsi="Arial"/>
          <w:sz w:val="22"/>
          <w:szCs w:val="22"/>
          <w:b w:val="1"/>
          <w:bCs w:val="1"/>
          <w:color w:val="auto"/>
        </w:rPr>
      </w:pPr>
      <w:r>
        <w:rPr>
          <w:rFonts w:ascii="Arial" w:cs="Arial" w:eastAsia="Arial" w:hAnsi="Arial"/>
          <w:sz w:val="22"/>
          <w:szCs w:val="22"/>
          <w:color w:val="auto"/>
        </w:rPr>
        <w:t>Delaware Limited Partnership</w:t>
      </w:r>
    </w:p>
    <w:p>
      <w:pPr>
        <w:spacing w:after="0" w:line="101" w:lineRule="exact"/>
        <w:rPr>
          <w:rFonts w:ascii="Arial" w:cs="Arial" w:eastAsia="Arial" w:hAnsi="Arial"/>
          <w:sz w:val="22"/>
          <w:szCs w:val="22"/>
          <w:b w:val="1"/>
          <w:bCs w:val="1"/>
          <w:color w:val="auto"/>
        </w:rPr>
      </w:pPr>
    </w:p>
    <w:p>
      <w:pPr>
        <w:ind w:left="1320" w:right="730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2" w:lineRule="exact"/>
        <w:rPr>
          <w:rFonts w:ascii="Arial" w:cs="Arial" w:eastAsia="Arial" w:hAnsi="Arial"/>
          <w:sz w:val="19"/>
          <w:szCs w:val="19"/>
          <w:b w:val="1"/>
          <w:bCs w:val="1"/>
          <w:color w:val="auto"/>
        </w:rPr>
      </w:pPr>
    </w:p>
    <w:p>
      <w:pPr>
        <w:ind w:left="1320" w:right="8240" w:hanging="407"/>
        <w:spacing w:after="0" w:line="334" w:lineRule="auto"/>
        <w:tabs>
          <w:tab w:leader="none" w:pos="13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887399103</w:t>
      </w:r>
    </w:p>
    <w:p>
      <w:pPr>
        <w:spacing w:after="0" w:line="13"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19"/>
          <w:szCs w:val="19"/>
          <w:b w:val="1"/>
          <w:bCs w:val="1"/>
          <w:color w:val="auto"/>
        </w:rPr>
        <w:t>If This Statement is Filed Pursuant to Rule 13d-1(b), or 13d-2(b) or (c), Check Whether the Person Filing is a:</w:t>
      </w:r>
    </w:p>
    <w:p>
      <w:pPr>
        <w:spacing w:after="0" w:line="131" w:lineRule="exact"/>
        <w:rPr>
          <w:sz w:val="20"/>
          <w:szCs w:val="20"/>
          <w:color w:val="auto"/>
        </w:rPr>
      </w:pPr>
    </w:p>
    <w:p>
      <w:pPr>
        <w:ind w:left="920"/>
        <w:spacing w:after="0"/>
        <w:tabs>
          <w:tab w:leader="none" w:pos="1300" w:val="left"/>
          <w:tab w:leader="none" w:pos="1760" w:val="left"/>
        </w:tabs>
        <w:rPr>
          <w:sz w:val="20"/>
          <w:szCs w:val="20"/>
          <w:color w:val="auto"/>
        </w:rPr>
      </w:pPr>
      <w:r>
        <w:rPr>
          <w:rFonts w:ascii="Arial" w:cs="Arial" w:eastAsia="Arial" w:hAnsi="Arial"/>
          <w:sz w:val="22"/>
          <w:szCs w:val="22"/>
          <w:color w:val="auto"/>
        </w:rPr>
        <w:t>(a)</w:t>
        <w:tab/>
        <w:t>[ ]</w:t>
      </w:r>
      <w:r>
        <w:rPr>
          <w:sz w:val="20"/>
          <w:szCs w:val="20"/>
          <w:color w:val="auto"/>
        </w:rPr>
        <w:tab/>
      </w:r>
      <w:r>
        <w:rPr>
          <w:rFonts w:ascii="Arial" w:cs="Arial" w:eastAsia="Arial" w:hAnsi="Arial"/>
          <w:sz w:val="19"/>
          <w:szCs w:val="19"/>
          <w:color w:val="auto"/>
        </w:rPr>
        <w:t>Broker or dealer registered under Section 15 of the Act (15 U.S.C. 78o).</w:t>
      </w:r>
    </w:p>
    <w:p>
      <w:pPr>
        <w:sectPr>
          <w:pgSz w:w="11900" w:h="16838" w:orient="portrait"/>
          <w:cols w:equalWidth="0" w:num="1">
            <w:col w:w="11020"/>
          </w:cols>
          <w:pgMar w:left="400" w:top="423" w:right="479" w:bottom="0" w:gutter="0" w:footer="0" w:header="0"/>
        </w:sectPr>
      </w:pPr>
    </w:p>
    <w:p>
      <w:pPr>
        <w:spacing w:after="0" w:line="125" w:lineRule="exact"/>
        <w:rPr>
          <w:sz w:val="20"/>
          <w:szCs w:val="20"/>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[X]</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320" w:hanging="407"/>
        <w:spacing w:after="0"/>
        <w:tabs>
          <w:tab w:leader="none" w:pos="132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spacing w:after="0"/>
        <w:rPr>
          <w:sz w:val="20"/>
          <w:szCs w:val="20"/>
          <w:color w:val="auto"/>
        </w:rPr>
      </w:pPr>
      <w:r>
        <w:rPr>
          <w:rFonts w:ascii="Arial" w:cs="Arial" w:eastAsia="Arial" w:hAnsi="Arial"/>
          <w:sz w:val="22"/>
          <w:szCs w:val="22"/>
          <w:color w:val="auto"/>
        </w:rPr>
        <w:t>Bank as defined in Section 3(a)(6) of the Act (15 U.S.C. 78c).</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Insurance Company as defined in Section 3(a)(19) of the Act (15 U.S.C. 78c).</w:t>
      </w:r>
    </w:p>
    <w:p>
      <w:pPr>
        <w:spacing w:after="0" w:line="125" w:lineRule="exact"/>
        <w:rPr>
          <w:sz w:val="20"/>
          <w:szCs w:val="20"/>
          <w:color w:val="auto"/>
        </w:rPr>
      </w:pPr>
    </w:p>
    <w:p>
      <w:pPr>
        <w:ind w:right="120"/>
        <w:spacing w:after="0" w:line="250" w:lineRule="auto"/>
        <w:rPr>
          <w:sz w:val="20"/>
          <w:szCs w:val="20"/>
          <w:color w:val="auto"/>
        </w:rPr>
      </w:pPr>
      <w:r>
        <w:rPr>
          <w:rFonts w:ascii="Arial" w:cs="Arial" w:eastAsia="Arial" w:hAnsi="Arial"/>
          <w:sz w:val="22"/>
          <w:szCs w:val="22"/>
          <w:color w:val="auto"/>
        </w:rPr>
        <w:t>Investment Company registered under Section 8 of the Investment Company Act of 1940 (15 U.S.C. 80a-8).</w:t>
      </w:r>
    </w:p>
    <w:p>
      <w:pPr>
        <w:spacing w:after="0" w:line="94" w:lineRule="exact"/>
        <w:rPr>
          <w:sz w:val="20"/>
          <w:szCs w:val="20"/>
          <w:color w:val="auto"/>
        </w:rPr>
      </w:pPr>
    </w:p>
    <w:p>
      <w:pPr>
        <w:spacing w:after="0"/>
        <w:rPr>
          <w:sz w:val="20"/>
          <w:szCs w:val="20"/>
          <w:color w:val="auto"/>
        </w:rPr>
      </w:pPr>
      <w:r>
        <w:rPr>
          <w:rFonts w:ascii="Arial" w:cs="Arial" w:eastAsia="Arial" w:hAnsi="Arial"/>
          <w:sz w:val="22"/>
          <w:szCs w:val="22"/>
          <w:color w:val="auto"/>
        </w:rPr>
        <w:t>An investment adviser in accordance with Rule 240.13d-1(b)(1)(ii)(E);</w:t>
      </w:r>
    </w:p>
    <w:p>
      <w:pPr>
        <w:spacing w:after="0" w:line="125" w:lineRule="exact"/>
        <w:rPr>
          <w:sz w:val="20"/>
          <w:szCs w:val="20"/>
          <w:color w:val="auto"/>
        </w:rPr>
      </w:pPr>
    </w:p>
    <w:p>
      <w:pPr>
        <w:ind w:right="1080"/>
        <w:spacing w:after="0" w:line="415" w:lineRule="auto"/>
        <w:rPr>
          <w:sz w:val="20"/>
          <w:szCs w:val="20"/>
          <w:color w:val="auto"/>
        </w:rPr>
      </w:pPr>
      <w:r>
        <w:rPr>
          <w:rFonts w:ascii="Arial" w:cs="Arial" w:eastAsia="Arial" w:hAnsi="Arial"/>
          <w:sz w:val="19"/>
          <w:szCs w:val="19"/>
          <w:color w:val="auto"/>
        </w:rPr>
        <w:t>An employee benefit plan or endowment fund in accordance with Rule 240.13d-1(b)(1)(ii)(F); A parent holding company or control person in accordance with Rule 240.13d-1(b)(1)(ii)(G);</w:t>
      </w:r>
    </w:p>
    <w:p>
      <w:pPr>
        <w:spacing w:after="0"/>
        <w:rPr>
          <w:sz w:val="20"/>
          <w:szCs w:val="20"/>
          <w:color w:val="auto"/>
        </w:rPr>
      </w:pPr>
      <w:r>
        <w:rPr>
          <w:rFonts w:ascii="Arial" w:cs="Arial" w:eastAsia="Arial" w:hAnsi="Arial"/>
          <w:sz w:val="19"/>
          <w:szCs w:val="19"/>
          <w:color w:val="auto"/>
        </w:rPr>
        <w:t>A savings association as defined in Section 3(b) of the Federal Deposit Insurance Act (12 U.S.C. 1813);</w:t>
      </w:r>
    </w:p>
    <w:p>
      <w:pPr>
        <w:spacing w:after="0" w:line="160" w:lineRule="exact"/>
        <w:rPr>
          <w:sz w:val="20"/>
          <w:szCs w:val="20"/>
          <w:color w:val="auto"/>
        </w:rPr>
      </w:pPr>
    </w:p>
    <w:p>
      <w:pPr>
        <w:ind w:right="20"/>
        <w:spacing w:after="0" w:line="250" w:lineRule="auto"/>
        <w:rPr>
          <w:sz w:val="20"/>
          <w:szCs w:val="20"/>
          <w:color w:val="auto"/>
        </w:rPr>
      </w:pPr>
      <w:r>
        <w:rPr>
          <w:rFonts w:ascii="Arial" w:cs="Arial" w:eastAsia="Arial" w:hAnsi="Arial"/>
          <w:sz w:val="22"/>
          <w:szCs w:val="22"/>
          <w:color w:val="auto"/>
        </w:rPr>
        <w:t>A church plan that is excluded from the definition of an investment company under Section 3(c)(14) of the Investment Company Act of 1940 (15 U.S.C. 80a-3);</w:t>
      </w:r>
    </w:p>
    <w:p>
      <w:pPr>
        <w:spacing w:after="0" w:line="94" w:lineRule="exact"/>
        <w:rPr>
          <w:sz w:val="20"/>
          <w:szCs w:val="20"/>
          <w:color w:val="auto"/>
        </w:rPr>
      </w:pPr>
    </w:p>
    <w:p>
      <w:pPr>
        <w:spacing w:after="0"/>
        <w:rPr>
          <w:sz w:val="20"/>
          <w:szCs w:val="20"/>
          <w:color w:val="auto"/>
        </w:rPr>
      </w:pPr>
      <w:r>
        <w:rPr>
          <w:rFonts w:ascii="Arial" w:cs="Arial" w:eastAsia="Arial" w:hAnsi="Arial"/>
          <w:sz w:val="22"/>
          <w:szCs w:val="22"/>
          <w:color w:val="auto"/>
        </w:rPr>
        <w:t>Group, in accordance with Rule 240.13d-1(b)(1)(ii)(J).</w:t>
      </w:r>
    </w:p>
    <w:p>
      <w:pPr>
        <w:spacing w:after="0" w:line="119" w:lineRule="exact"/>
        <w:rPr>
          <w:sz w:val="20"/>
          <w:szCs w:val="20"/>
          <w:color w:val="auto"/>
        </w:rPr>
      </w:pPr>
    </w:p>
    <w:p>
      <w:pPr>
        <w:sectPr>
          <w:pgSz w:w="11900" w:h="16838" w:orient="portrait"/>
          <w:cols w:equalWidth="0" w:num="2">
            <w:col w:w="1620" w:space="160"/>
            <w:col w:w="9240"/>
          </w:cols>
          <w:pgMar w:left="400" w:top="423" w:right="479" w:bottom="0" w:gutter="0" w:footer="0" w:header="0"/>
          <w:type w:val="continuous"/>
        </w:sectPr>
      </w:pPr>
    </w:p>
    <w:p>
      <w:pPr>
        <w:spacing w:after="0"/>
        <w:tabs>
          <w:tab w:leader="none" w:pos="90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ind w:right="660"/>
        <w:spacing w:after="0" w:line="250"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ectPr>
          <w:pgSz w:w="11900" w:h="16838" w:orient="portrait"/>
          <w:cols w:equalWidth="0" w:num="1">
            <w:col w:w="11020"/>
          </w:cols>
          <w:pgMar w:left="400" w:top="423" w:right="479" w:bottom="0" w:gutter="0" w:footer="0" w:header="0"/>
          <w:type w:val="continuous"/>
        </w:sectPr>
      </w:pPr>
    </w:p>
    <w:p>
      <w:pPr>
        <w:spacing w:after="0" w:line="94" w:lineRule="exact"/>
        <w:rPr>
          <w:sz w:val="20"/>
          <w:szCs w:val="20"/>
          <w:color w:val="auto"/>
        </w:rPr>
      </w:pPr>
    </w:p>
    <w:p>
      <w:pPr>
        <w:ind w:left="1320" w:hanging="407"/>
        <w:spacing w:after="0"/>
        <w:tabs>
          <w:tab w:leader="none" w:pos="132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320"/>
        <w:spacing w:after="0"/>
        <w:rPr>
          <w:rFonts w:ascii="Arial" w:cs="Arial" w:eastAsia="Arial" w:hAnsi="Arial"/>
          <w:sz w:val="22"/>
          <w:szCs w:val="22"/>
          <w:color w:val="auto"/>
        </w:rPr>
      </w:pPr>
      <w:r>
        <w:rPr>
          <w:rFonts w:ascii="Arial" w:cs="Arial" w:eastAsia="Arial" w:hAnsi="Arial"/>
          <w:sz w:val="22"/>
          <w:szCs w:val="22"/>
          <w:color w:val="auto"/>
        </w:rPr>
        <w:t>3,331,225 ** see Note 1 **</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320"/>
        <w:spacing w:after="0"/>
        <w:rPr>
          <w:rFonts w:ascii="Arial" w:cs="Arial" w:eastAsia="Arial" w:hAnsi="Arial"/>
          <w:sz w:val="22"/>
          <w:szCs w:val="22"/>
          <w:color w:val="auto"/>
        </w:rPr>
      </w:pPr>
      <w:r>
        <w:rPr>
          <w:rFonts w:ascii="Arial" w:cs="Arial" w:eastAsia="Arial" w:hAnsi="Arial"/>
          <w:sz w:val="22"/>
          <w:szCs w:val="22"/>
          <w:color w:val="auto"/>
        </w:rPr>
        <w:t>7.5%</w:t>
      </w:r>
    </w:p>
    <w:p>
      <w:pPr>
        <w:spacing w:after="0" w:line="125" w:lineRule="exact"/>
        <w:rPr>
          <w:rFonts w:ascii="Arial" w:cs="Arial" w:eastAsia="Arial" w:hAnsi="Arial"/>
          <w:sz w:val="22"/>
          <w:szCs w:val="22"/>
          <w:color w:val="auto"/>
        </w:rPr>
      </w:pPr>
    </w:p>
    <w:p>
      <w:pPr>
        <w:ind w:left="1320" w:hanging="407"/>
        <w:spacing w:after="0"/>
        <w:tabs>
          <w:tab w:leader="none" w:pos="1320" w:val="left"/>
        </w:tabs>
        <w:numPr>
          <w:ilvl w:val="0"/>
          <w:numId w:val="5"/>
        </w:numPr>
        <w:rPr>
          <w:rFonts w:ascii="Arial" w:cs="Arial" w:eastAsia="Arial" w:hAnsi="Arial"/>
          <w:sz w:val="21"/>
          <w:szCs w:val="21"/>
          <w:color w:val="auto"/>
        </w:rPr>
      </w:pPr>
      <w:r>
        <w:rPr>
          <w:rFonts w:ascii="Arial" w:cs="Arial" w:eastAsia="Arial" w:hAnsi="Arial"/>
          <w:sz w:val="21"/>
          <w:szCs w:val="21"/>
          <w:color w:val="auto"/>
        </w:rPr>
        <w:t>Number of shares as to which such person has:</w:t>
      </w:r>
    </w:p>
    <w:p>
      <w:pPr>
        <w:spacing w:after="0" w:line="136" w:lineRule="exact"/>
        <w:rPr>
          <w:rFonts w:ascii="Arial" w:cs="Arial" w:eastAsia="Arial" w:hAnsi="Arial"/>
          <w:sz w:val="21"/>
          <w:szCs w:val="21"/>
          <w:color w:val="auto"/>
        </w:rPr>
      </w:pPr>
    </w:p>
    <w:p>
      <w:pPr>
        <w:ind w:left="1780" w:hanging="462"/>
        <w:spacing w:after="0"/>
        <w:tabs>
          <w:tab w:leader="none" w:pos="1780" w:val="left"/>
        </w:tabs>
        <w:numPr>
          <w:ilvl w:val="1"/>
          <w:numId w:val="5"/>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125" w:lineRule="exact"/>
        <w:rPr>
          <w:rFonts w:ascii="Arial" w:cs="Arial" w:eastAsia="Arial" w:hAnsi="Arial"/>
          <w:sz w:val="22"/>
          <w:szCs w:val="22"/>
          <w:color w:val="auto"/>
        </w:rPr>
      </w:pPr>
    </w:p>
    <w:p>
      <w:pPr>
        <w:ind w:left="1780" w:hanging="462"/>
        <w:spacing w:after="0"/>
        <w:tabs>
          <w:tab w:leader="none" w:pos="1780" w:val="left"/>
        </w:tabs>
        <w:numPr>
          <w:ilvl w:val="1"/>
          <w:numId w:val="5"/>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79" w:lineRule="exact"/>
        <w:rPr>
          <w:rFonts w:ascii="Arial" w:cs="Arial" w:eastAsia="Arial" w:hAnsi="Arial"/>
          <w:sz w:val="22"/>
          <w:szCs w:val="22"/>
          <w:color w:val="auto"/>
        </w:rPr>
      </w:pPr>
    </w:p>
    <w:p>
      <w:pPr>
        <w:ind w:left="1780" w:hanging="462"/>
        <w:spacing w:after="0"/>
        <w:tabs>
          <w:tab w:leader="none" w:pos="1780" w:val="left"/>
        </w:tabs>
        <w:numPr>
          <w:ilvl w:val="1"/>
          <w:numId w:val="5"/>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1780" w:right="780" w:hanging="462"/>
        <w:spacing w:after="0" w:line="183" w:lineRule="auto"/>
        <w:tabs>
          <w:tab w:leader="none" w:pos="1780" w:val="left"/>
        </w:tabs>
        <w:numPr>
          <w:ilvl w:val="1"/>
          <w:numId w:val="5"/>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9"/>
          <w:szCs w:val="19"/>
          <w:color w:val="auto"/>
        </w:rPr>
        <w:t>3,273,452 ** see Note 1 **</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color w:val="auto"/>
        </w:rPr>
        <w:t>3,331,225 ** see Note 1 **</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6" w:lineRule="exact"/>
        <w:rPr>
          <w:sz w:val="20"/>
          <w:szCs w:val="20"/>
          <w:color w:val="auto"/>
        </w:rPr>
      </w:pPr>
    </w:p>
    <w:p>
      <w:pPr>
        <w:sectPr>
          <w:pgSz w:w="11900" w:h="16838" w:orient="portrait"/>
          <w:cols w:equalWidth="0" w:num="2">
            <w:col w:w="5960" w:space="280"/>
            <w:col w:w="4780"/>
          </w:cols>
          <w:pgMar w:left="400" w:top="423" w:right="479" w:bottom="0" w:gutter="0" w:footer="0" w:header="0"/>
          <w:type w:val="continuous"/>
        </w:sectPr>
      </w:pPr>
    </w:p>
    <w:p>
      <w:pPr>
        <w:ind w:right="20" w:firstLine="9"/>
        <w:spacing w:after="0" w:line="279" w:lineRule="auto"/>
        <w:tabs>
          <w:tab w:leader="none" w:pos="270" w:val="left"/>
        </w:tabs>
        <w:numPr>
          <w:ilvl w:val="0"/>
          <w:numId w:val="6"/>
        </w:numPr>
        <w:rPr>
          <w:rFonts w:ascii="Arial" w:cs="Arial" w:eastAsia="Arial" w:hAnsi="Arial"/>
          <w:sz w:val="19"/>
          <w:szCs w:val="19"/>
          <w:color w:val="auto"/>
        </w:rPr>
      </w:pPr>
      <w:r>
        <w:rPr>
          <w:rFonts w:ascii="Arial" w:cs="Arial" w:eastAsia="Arial" w:hAnsi="Arial"/>
          <w:sz w:val="19"/>
          <w:szCs w:val="19"/>
          <w:color w:val="auto"/>
        </w:rPr>
        <w:t>Note 1 ** Dimensional Fund Advisors LP, an investment adviser registered under Section 203 of the Investment Advisors Act of 1940, furnishes investment advice to four investment companies registered under the Investment Company Act of 1940, and serves as investment manager or sub-adviser to certain other commingled funds,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Dimensional Fund Advisors LP or its subsidiaries (collectively, "Dimensional") may possess voting</w:t>
      </w:r>
    </w:p>
    <w:p>
      <w:pPr>
        <w:sectPr>
          <w:pgSz w:w="11900" w:h="16838" w:orient="portrait"/>
          <w:cols w:equalWidth="0" w:num="1">
            <w:col w:w="11020"/>
          </w:cols>
          <w:pgMar w:left="400" w:top="423" w:right="479" w:bottom="0" w:gutter="0" w:footer="0" w:header="0"/>
          <w:type w:val="continuous"/>
        </w:sectPr>
      </w:pPr>
    </w:p>
    <w:bookmarkStart w:id="3" w:name="page4"/>
    <w:bookmarkEnd w:id="3"/>
    <w:p>
      <w:pPr>
        <w:ind w:right="100"/>
        <w:spacing w:after="0" w:line="282" w:lineRule="auto"/>
        <w:rPr>
          <w:sz w:val="20"/>
          <w:szCs w:val="20"/>
          <w:color w:val="auto"/>
        </w:rPr>
      </w:pPr>
      <w:r>
        <w:rPr>
          <w:rFonts w:ascii="Arial" w:cs="Arial" w:eastAsia="Arial" w:hAnsi="Arial"/>
          <w:sz w:val="19"/>
          <w:szCs w:val="19"/>
          <w:color w:val="auto"/>
        </w:rPr>
        <w:t>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w:t>
      </w:r>
    </w:p>
    <w:p>
      <w:pPr>
        <w:spacing w:after="0" w:line="61"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131" w:lineRule="exact"/>
        <w:rPr>
          <w:sz w:val="20"/>
          <w:szCs w:val="20"/>
          <w:color w:val="auto"/>
        </w:rPr>
      </w:pPr>
    </w:p>
    <w:p>
      <w:pPr>
        <w:ind w:left="920" w:right="32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 ]</w:t>
      </w:r>
    </w:p>
    <w:p>
      <w:pPr>
        <w:spacing w:after="0" w:line="64"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1" w:lineRule="exact"/>
        <w:rPr>
          <w:sz w:val="20"/>
          <w:szCs w:val="20"/>
          <w:color w:val="auto"/>
        </w:rPr>
      </w:pPr>
    </w:p>
    <w:p>
      <w:pPr>
        <w:ind w:left="920"/>
        <w:spacing w:after="0" w:line="238" w:lineRule="auto"/>
        <w:rPr>
          <w:sz w:val="20"/>
          <w:szCs w:val="20"/>
          <w:color w:val="auto"/>
        </w:rPr>
      </w:pPr>
      <w:r>
        <w:rPr>
          <w:rFonts w:ascii="Arial" w:cs="Arial" w:eastAsia="Arial" w:hAnsi="Arial"/>
          <w:sz w:val="22"/>
          <w:szCs w:val="22"/>
          <w:color w:val="auto"/>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p>
      <w:pPr>
        <w:spacing w:after="0" w:line="98" w:lineRule="exact"/>
        <w:rPr>
          <w:sz w:val="20"/>
          <w:szCs w:val="20"/>
          <w:color w:val="auto"/>
        </w:rPr>
      </w:pPr>
    </w:p>
    <w:p>
      <w:pPr>
        <w:ind w:left="920" w:right="400" w:hanging="903"/>
        <w:spacing w:after="0" w:line="256" w:lineRule="auto"/>
        <w:tabs>
          <w:tab w:leader="none" w:pos="900" w:val="left"/>
        </w:tabs>
        <w:rPr>
          <w:sz w:val="20"/>
          <w:szCs w:val="20"/>
          <w:color w:val="auto"/>
        </w:rPr>
      </w:pPr>
      <w:r>
        <w:rPr>
          <w:rFonts w:ascii="Arial" w:cs="Arial" w:eastAsia="Arial" w:hAnsi="Arial"/>
          <w:sz w:val="22"/>
          <w:szCs w:val="22"/>
          <w:b w:val="1"/>
          <w:bCs w:val="1"/>
          <w:color w:val="auto"/>
        </w:rPr>
        <w:t>Item 7.</w:t>
        <w:tab/>
        <w:t>Identification and Classification of the Subsidiary Which Acquired the Security Being Reported on by the Parent Holding Company.</w:t>
      </w:r>
    </w:p>
    <w:p>
      <w:pPr>
        <w:spacing w:after="0" w:line="87"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 This schedule is not being filed pursuant to Rule 13d-1(b)(1)(ii)(J) or Rule 13d-1(d).</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39" w:lineRule="exact"/>
        <w:rPr>
          <w:sz w:val="20"/>
          <w:szCs w:val="20"/>
          <w:color w:val="auto"/>
        </w:rPr>
      </w:pPr>
    </w:p>
    <w:p>
      <w:pPr>
        <w:ind w:left="920" w:right="4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040"/>
          </w:cols>
          <w:pgMar w:left="400" w:top="118" w:right="45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8890"/>
                    </a:xfrm>
                    <a:prstGeom prst="rect">
                      <a:avLst/>
                    </a:prstGeom>
                    <a:noFill/>
                  </pic:spPr>
                </pic:pic>
              </a:graphicData>
            </a:graphic>
          </wp:anchor>
        </w:drawing>
        <w:t>SIGNATURE</w:t>
      </w:r>
    </w:p>
    <w:p>
      <w:pPr>
        <w:spacing w:after="0" w:line="334" w:lineRule="exact"/>
        <w:rPr>
          <w:sz w:val="20"/>
          <w:szCs w:val="20"/>
          <w:color w:val="auto"/>
        </w:rPr>
      </w:pPr>
    </w:p>
    <w:p>
      <w:pPr>
        <w:ind w:left="60" w:right="199"/>
        <w:spacing w:after="0" w:line="250"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6" w:lineRule="exact"/>
        <w:rPr>
          <w:sz w:val="20"/>
          <w:szCs w:val="20"/>
          <w:color w:val="auto"/>
        </w:rPr>
      </w:pPr>
    </w:p>
    <w:p>
      <w:pPr>
        <w:ind w:left="600"/>
        <w:spacing w:after="0"/>
        <w:rPr>
          <w:sz w:val="20"/>
          <w:szCs w:val="20"/>
          <w:color w:val="auto"/>
        </w:rPr>
      </w:pPr>
      <w:r>
        <w:rPr>
          <w:rFonts w:ascii="Arial" w:cs="Arial" w:eastAsia="Arial" w:hAnsi="Arial"/>
          <w:sz w:val="22"/>
          <w:szCs w:val="22"/>
          <w:color w:val="auto"/>
        </w:rPr>
        <w:t>Dimensional Fund Advisors LP</w:t>
      </w:r>
    </w:p>
    <w:p>
      <w:pPr>
        <w:spacing w:after="0" w:line="8" w:lineRule="exact"/>
        <w:rPr>
          <w:sz w:val="20"/>
          <w:szCs w:val="20"/>
          <w:color w:val="auto"/>
        </w:rPr>
      </w:pPr>
    </w:p>
    <w:p>
      <w:pPr>
        <w:ind w:left="600"/>
        <w:spacing w:after="0"/>
        <w:rPr>
          <w:sz w:val="20"/>
          <w:szCs w:val="20"/>
          <w:color w:val="auto"/>
        </w:rPr>
      </w:pPr>
      <w:r>
        <w:rPr>
          <w:rFonts w:ascii="Arial" w:cs="Arial" w:eastAsia="Arial" w:hAnsi="Arial"/>
          <w:sz w:val="22"/>
          <w:szCs w:val="22"/>
          <w:color w:val="auto"/>
        </w:rPr>
        <w:t>By: Dimensional Holdings Inc., General Partner</w:t>
      </w:r>
    </w:p>
    <w:p>
      <w:pPr>
        <w:spacing w:after="0" w:line="26" w:lineRule="exact"/>
        <w:rPr>
          <w:sz w:val="20"/>
          <w:szCs w:val="20"/>
          <w:color w:val="auto"/>
        </w:rPr>
      </w:pPr>
    </w:p>
    <w:p>
      <w:pPr>
        <w:ind w:left="60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Selwyn Notelovitz</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Date: February 14, 2023</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Name: Selwyn Notelovitz</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Title: Global Chief Compliance Officer</w:t>
      </w:r>
    </w:p>
    <w:sectPr>
      <w:pgSz w:w="11900" w:h="16838" w:orient="portrait"/>
      <w:cols w:equalWidth="0" w:num="1">
        <w:col w:w="9019"/>
      </w:cols>
      <w:pgMar w:left="1440" w:top="4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lvl w:ilvl="1">
      <w:lvlJc w:val="left"/>
      <w:lvlText w:val="[%2]"/>
      <w:numFmt w:val="upperLetter"/>
      <w:start w:val="24"/>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lowerLetter"/>
      <w:start w:val="2"/>
    </w:lvl>
  </w:abstractNum>
  <w:abstractNum w:abstractNumId="4">
    <w:nsid w:val="3D1B58BA"/>
    <w:multiLevelType w:val="hybridMultilevel"/>
    <w:lvl w:ilvl="0">
      <w:lvlJc w:val="left"/>
      <w:lvlText w:val="(%1)"/>
      <w:numFmt w:val="lowerLetter"/>
      <w:start w:val="1"/>
    </w:lvl>
    <w:lvl w:ilvl="1">
      <w:lvlJc w:val="left"/>
      <w:lvlText w:val="(%2)"/>
      <w:numFmt w:val="lowerRoman"/>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2023-02-10T13:53:41Z</dcterms:created>
  <dcterms:modified xsi:type="dcterms:W3CDTF">2023-02-10T13:53:41Z</dcterms:modified>
</cp:coreProperties>
</file>