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337820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354330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jc w:val="center"/>
        <w:spacing w:after="0" w:line="224" w:lineRule="auto"/>
        <w:rPr>
          <w:sz w:val="20"/>
          <w:szCs w:val="20"/>
          <w:color w:val="auto"/>
        </w:rPr>
      </w:pPr>
      <w:r>
        <w:rPr>
          <w:rFonts w:ascii="Arial" w:cs="Arial" w:eastAsia="Arial" w:hAnsi="Arial"/>
          <w:sz w:val="32"/>
          <w:szCs w:val="32"/>
          <w:b w:val="1"/>
          <w:bCs w:val="1"/>
          <w:color w:val="auto"/>
        </w:rPr>
        <w:t>SECURITIES AND EXCHANGE COMMISSION</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-207010</wp:posOffset>
            </wp:positionV>
            <wp:extent cx="142303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255"/>
                    </a:xfrm>
                    <a:prstGeom prst="rect">
                      <a:avLst/>
                    </a:prstGeom>
                    <a:noFill/>
                  </pic:spPr>
                </pic:pic>
              </a:graphicData>
            </a:graphic>
          </wp:anchor>
        </w:drawing>
        <w:drawing>
          <wp:anchor simplePos="0" relativeHeight="251657728" behindDoc="1" locked="0" layoutInCell="0" allowOverlap="1">
            <wp:simplePos x="0" y="0"/>
            <wp:positionH relativeFrom="column">
              <wp:posOffset>2859405</wp:posOffset>
            </wp:positionH>
            <wp:positionV relativeFrom="paragraph">
              <wp:posOffset>66675</wp:posOffset>
            </wp:positionV>
            <wp:extent cx="14230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134" w:lineRule="exact"/>
        <w:rPr>
          <w:sz w:val="24"/>
          <w:szCs w:val="24"/>
          <w:color w:val="auto"/>
        </w:rPr>
      </w:pPr>
    </w:p>
    <w:p>
      <w:pPr>
        <w:ind w:left="3820" w:right="1720" w:hanging="3812"/>
        <w:spacing w:after="0" w:line="329" w:lineRule="auto"/>
        <w:tabs>
          <w:tab w:leader="none" w:pos="376"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QUARTERLY REPORT PURSUANT TO SECTION 13 OR 15(d) OF THE SECURITIES EXCHANGE ACT OF 1934 For the quarterly period ended March 31, 2022</w:t>
      </w:r>
    </w:p>
    <w:p>
      <w:pPr>
        <w:spacing w:after="0" w:line="216" w:lineRule="exact"/>
        <w:rPr>
          <w:sz w:val="24"/>
          <w:szCs w:val="24"/>
          <w:color w:val="auto"/>
        </w:rPr>
      </w:pPr>
    </w:p>
    <w:p>
      <w:pPr>
        <w:ind w:left="360" w:hanging="352"/>
        <w:spacing w:after="0"/>
        <w:tabs>
          <w:tab w:leader="none" w:pos="360" w:val="left"/>
        </w:tabs>
        <w:numPr>
          <w:ilvl w:val="0"/>
          <w:numId w:val="2"/>
        </w:numPr>
        <w:rPr>
          <w:rFonts w:ascii="MS PGothic" w:cs="MS PGothic" w:eastAsia="MS PGothic" w:hAnsi="MS PGothic"/>
          <w:sz w:val="18"/>
          <w:szCs w:val="18"/>
          <w:color w:val="auto"/>
        </w:rPr>
      </w:pPr>
      <w:r>
        <w:rPr>
          <w:rFonts w:ascii="Arial" w:cs="Arial" w:eastAsia="Arial" w:hAnsi="Arial"/>
          <w:sz w:val="18"/>
          <w:szCs w:val="18"/>
          <w:b w:val="1"/>
          <w:bCs w:val="1"/>
          <w:color w:val="auto"/>
        </w:rPr>
        <w:t>TRANSITION REPORT PURSUANT TO SECTION 13 OR 15(d) OF THE SECURITIES EXCHANGE ACT OF 1934</w:t>
      </w:r>
    </w:p>
    <w:p>
      <w:pPr>
        <w:spacing w:after="0" w:line="50" w:lineRule="exact"/>
        <w:rPr>
          <w:sz w:val="24"/>
          <w:szCs w:val="24"/>
          <w:color w:val="auto"/>
        </w:rPr>
      </w:pPr>
    </w:p>
    <w:p>
      <w:pPr>
        <w:ind w:left="3820"/>
        <w:spacing w:after="0"/>
        <w:tabs>
          <w:tab w:leader="none" w:pos="672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3"/>
          <w:szCs w:val="13"/>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3933825</wp:posOffset>
            </wp:positionH>
            <wp:positionV relativeFrom="paragraph">
              <wp:posOffset>-7620</wp:posOffset>
            </wp:positionV>
            <wp:extent cx="31432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14325" cy="8255"/>
                    </a:xfrm>
                    <a:prstGeom prst="rect">
                      <a:avLst/>
                    </a:prstGeom>
                    <a:noFill/>
                  </pic:spPr>
                </pic:pic>
              </a:graphicData>
            </a:graphic>
          </wp:anchor>
        </w:drawing>
      </w:r>
    </w:p>
    <w:p>
      <w:pPr>
        <w:spacing w:after="0" w:line="4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number: 1-36313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2611120</wp:posOffset>
            </wp:positionH>
            <wp:positionV relativeFrom="paragraph">
              <wp:posOffset>51435</wp:posOffset>
            </wp:positionV>
            <wp:extent cx="1885950" cy="2228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885950" cy="222885"/>
                    </a:xfrm>
                    <a:prstGeom prst="rect">
                      <a:avLst/>
                    </a:prstGeom>
                    <a:noFill/>
                  </pic:spPr>
                </pic:pic>
              </a:graphicData>
            </a:graphic>
          </wp:anchor>
        </w:drawing>
      </w:r>
    </w:p>
    <w:p>
      <w:pPr>
        <w:spacing w:after="0" w:line="200" w:lineRule="exact"/>
        <w:rPr>
          <w:sz w:val="24"/>
          <w:szCs w:val="24"/>
          <w:color w:val="auto"/>
        </w:rPr>
      </w:pPr>
    </w:p>
    <w:p>
      <w:pPr>
        <w:spacing w:after="0" w:line="277"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TIMKENSTEEL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-277495</wp:posOffset>
            </wp:positionV>
            <wp:extent cx="142303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55880</wp:posOffset>
            </wp:positionV>
            <wp:extent cx="142303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108" w:lineRule="exact"/>
        <w:rPr>
          <w:sz w:val="24"/>
          <w:szCs w:val="24"/>
          <w:color w:val="auto"/>
        </w:rPr>
      </w:pPr>
    </w:p>
    <w:tbl>
      <w:tblPr>
        <w:tblLayout w:type="fixed"/>
        <w:tblInd w:w="1300" w:type="dxa"/>
        <w:tblCellMar>
          <w:top w:w="0" w:type="dxa"/>
          <w:left w:w="0" w:type="dxa"/>
          <w:bottom w:w="0" w:type="dxa"/>
          <w:right w:w="0" w:type="dxa"/>
        </w:tblCellMar>
      </w:tblPr>
      <w:tr>
        <w:trPr>
          <w:trHeight w:val="207"/>
        </w:trPr>
        <w:tc>
          <w:tcPr>
            <w:tcW w:w="6360" w:type="dxa"/>
            <w:vAlign w:val="bottom"/>
          </w:tcPr>
          <w:p>
            <w:pPr>
              <w:jc w:val="center"/>
              <w:ind w:right="3336"/>
              <w:spacing w:after="0"/>
              <w:rPr>
                <w:sz w:val="20"/>
                <w:szCs w:val="20"/>
                <w:color w:val="auto"/>
              </w:rPr>
            </w:pPr>
            <w:r>
              <w:rPr>
                <w:rFonts w:ascii="Arial" w:cs="Arial" w:eastAsia="Arial" w:hAnsi="Arial"/>
                <w:sz w:val="18"/>
                <w:szCs w:val="18"/>
                <w:b w:val="1"/>
                <w:bCs w:val="1"/>
                <w:color w:val="auto"/>
                <w:w w:val="92"/>
              </w:rPr>
              <w:t>Ohio</w:t>
            </w:r>
          </w:p>
        </w:tc>
        <w:tc>
          <w:tcPr>
            <w:tcW w:w="1420" w:type="dxa"/>
            <w:vAlign w:val="bottom"/>
          </w:tcPr>
          <w:p>
            <w:pPr>
              <w:jc w:val="right"/>
              <w:ind w:right="75"/>
              <w:spacing w:after="0"/>
              <w:rPr>
                <w:sz w:val="20"/>
                <w:szCs w:val="20"/>
                <w:color w:val="auto"/>
              </w:rPr>
            </w:pPr>
            <w:r>
              <w:rPr>
                <w:rFonts w:ascii="Arial" w:cs="Arial" w:eastAsia="Arial" w:hAnsi="Arial"/>
                <w:sz w:val="18"/>
                <w:szCs w:val="18"/>
                <w:b w:val="1"/>
                <w:bCs w:val="1"/>
                <w:color w:val="auto"/>
              </w:rPr>
              <w:t>46-4024951</w:t>
            </w:r>
          </w:p>
        </w:tc>
      </w:tr>
      <w:tr>
        <w:trPr>
          <w:trHeight w:val="158"/>
        </w:trPr>
        <w:tc>
          <w:tcPr>
            <w:tcW w:w="6360" w:type="dxa"/>
            <w:vAlign w:val="bottom"/>
          </w:tcPr>
          <w:p>
            <w:pPr>
              <w:jc w:val="center"/>
              <w:ind w:right="3316"/>
              <w:spacing w:after="0" w:line="158" w:lineRule="exact"/>
              <w:rPr>
                <w:sz w:val="20"/>
                <w:szCs w:val="20"/>
                <w:color w:val="auto"/>
              </w:rPr>
            </w:pPr>
            <w:r>
              <w:rPr>
                <w:rFonts w:ascii="Arial" w:cs="Arial" w:eastAsia="Arial" w:hAnsi="Arial"/>
                <w:sz w:val="16"/>
                <w:szCs w:val="16"/>
                <w:color w:val="auto"/>
                <w:w w:val="93"/>
              </w:rPr>
              <w:t>(State or other jurisdiction of</w:t>
            </w:r>
          </w:p>
        </w:tc>
        <w:tc>
          <w:tcPr>
            <w:tcW w:w="1420" w:type="dxa"/>
            <w:vAlign w:val="bottom"/>
          </w:tcPr>
          <w:p>
            <w:pPr>
              <w:jc w:val="center"/>
              <w:ind w:left="135"/>
              <w:spacing w:after="0" w:line="158" w:lineRule="exact"/>
              <w:rPr>
                <w:sz w:val="20"/>
                <w:szCs w:val="20"/>
                <w:color w:val="auto"/>
              </w:rPr>
            </w:pPr>
            <w:r>
              <w:rPr>
                <w:rFonts w:ascii="Arial" w:cs="Arial" w:eastAsia="Arial" w:hAnsi="Arial"/>
                <w:sz w:val="16"/>
                <w:szCs w:val="16"/>
                <w:color w:val="auto"/>
                <w:w w:val="95"/>
              </w:rPr>
              <w:t>(I.R.S. Employer</w:t>
            </w:r>
          </w:p>
        </w:tc>
      </w:tr>
      <w:tr>
        <w:trPr>
          <w:trHeight w:val="206"/>
        </w:trPr>
        <w:tc>
          <w:tcPr>
            <w:tcW w:w="6360" w:type="dxa"/>
            <w:vAlign w:val="bottom"/>
          </w:tcPr>
          <w:p>
            <w:pPr>
              <w:jc w:val="center"/>
              <w:ind w:right="3316"/>
              <w:spacing w:after="0"/>
              <w:rPr>
                <w:sz w:val="20"/>
                <w:szCs w:val="20"/>
                <w:color w:val="auto"/>
              </w:rPr>
            </w:pPr>
            <w:r>
              <w:rPr>
                <w:rFonts w:ascii="Arial" w:cs="Arial" w:eastAsia="Arial" w:hAnsi="Arial"/>
                <w:sz w:val="16"/>
                <w:szCs w:val="16"/>
                <w:color w:val="auto"/>
                <w:w w:val="94"/>
              </w:rPr>
              <w:t>incorporation or organization)</w:t>
            </w:r>
          </w:p>
        </w:tc>
        <w:tc>
          <w:tcPr>
            <w:tcW w:w="1420" w:type="dxa"/>
            <w:vAlign w:val="bottom"/>
          </w:tcPr>
          <w:p>
            <w:pPr>
              <w:jc w:val="center"/>
              <w:ind w:left="135"/>
              <w:spacing w:after="0"/>
              <w:rPr>
                <w:sz w:val="20"/>
                <w:szCs w:val="20"/>
                <w:color w:val="auto"/>
              </w:rPr>
            </w:pPr>
            <w:r>
              <w:rPr>
                <w:rFonts w:ascii="Arial" w:cs="Arial" w:eastAsia="Arial" w:hAnsi="Arial"/>
                <w:sz w:val="16"/>
                <w:szCs w:val="16"/>
                <w:color w:val="auto"/>
                <w:w w:val="96"/>
              </w:rPr>
              <w:t>Identification No.)</w:t>
            </w:r>
          </w:p>
        </w:tc>
      </w:tr>
      <w:tr>
        <w:trPr>
          <w:trHeight w:val="243"/>
        </w:trPr>
        <w:tc>
          <w:tcPr>
            <w:tcW w:w="6360" w:type="dxa"/>
            <w:vAlign w:val="bottom"/>
          </w:tcPr>
          <w:p>
            <w:pPr>
              <w:jc w:val="center"/>
              <w:ind w:right="3336"/>
              <w:spacing w:after="0"/>
              <w:rPr>
                <w:sz w:val="20"/>
                <w:szCs w:val="20"/>
                <w:color w:val="auto"/>
              </w:rPr>
            </w:pPr>
            <w:r>
              <w:rPr>
                <w:rFonts w:ascii="Arial" w:cs="Arial" w:eastAsia="Arial" w:hAnsi="Arial"/>
                <w:sz w:val="18"/>
                <w:szCs w:val="18"/>
                <w:b w:val="1"/>
                <w:bCs w:val="1"/>
                <w:color w:val="auto"/>
                <w:w w:val="91"/>
              </w:rPr>
              <w:t>1835 Dueber Avenue SW, Canton, OH</w:t>
            </w:r>
          </w:p>
        </w:tc>
        <w:tc>
          <w:tcPr>
            <w:tcW w:w="1420" w:type="dxa"/>
            <w:vAlign w:val="bottom"/>
          </w:tcPr>
          <w:p>
            <w:pPr>
              <w:jc w:val="right"/>
              <w:ind w:right="295"/>
              <w:spacing w:after="0"/>
              <w:rPr>
                <w:sz w:val="20"/>
                <w:szCs w:val="20"/>
                <w:color w:val="auto"/>
              </w:rPr>
            </w:pPr>
            <w:r>
              <w:rPr>
                <w:rFonts w:ascii="Arial" w:cs="Arial" w:eastAsia="Arial" w:hAnsi="Arial"/>
                <w:sz w:val="18"/>
                <w:szCs w:val="18"/>
                <w:b w:val="1"/>
                <w:bCs w:val="1"/>
                <w:color w:val="auto"/>
              </w:rPr>
              <w:t>44706</w:t>
            </w:r>
          </w:p>
        </w:tc>
      </w:tr>
      <w:tr>
        <w:trPr>
          <w:trHeight w:val="206"/>
        </w:trPr>
        <w:tc>
          <w:tcPr>
            <w:tcW w:w="6360" w:type="dxa"/>
            <w:vAlign w:val="bottom"/>
          </w:tcPr>
          <w:p>
            <w:pPr>
              <w:jc w:val="center"/>
              <w:ind w:right="3316"/>
              <w:spacing w:after="0"/>
              <w:rPr>
                <w:sz w:val="20"/>
                <w:szCs w:val="20"/>
                <w:color w:val="auto"/>
              </w:rPr>
            </w:pPr>
            <w:r>
              <w:rPr>
                <w:rFonts w:ascii="Arial" w:cs="Arial" w:eastAsia="Arial" w:hAnsi="Arial"/>
                <w:sz w:val="16"/>
                <w:szCs w:val="16"/>
                <w:color w:val="auto"/>
                <w:w w:val="93"/>
              </w:rPr>
              <w:t>(Address of principal executive offices)</w:t>
            </w:r>
          </w:p>
        </w:tc>
        <w:tc>
          <w:tcPr>
            <w:tcW w:w="1420" w:type="dxa"/>
            <w:vAlign w:val="bottom"/>
          </w:tcPr>
          <w:p>
            <w:pPr>
              <w:jc w:val="center"/>
              <w:ind w:left="135"/>
              <w:spacing w:after="0"/>
              <w:rPr>
                <w:sz w:val="20"/>
                <w:szCs w:val="20"/>
                <w:color w:val="auto"/>
              </w:rPr>
            </w:pPr>
            <w:r>
              <w:rPr>
                <w:rFonts w:ascii="Arial" w:cs="Arial" w:eastAsia="Arial" w:hAnsi="Arial"/>
                <w:sz w:val="16"/>
                <w:szCs w:val="16"/>
                <w:color w:val="auto"/>
                <w:w w:val="95"/>
              </w:rPr>
              <w:t>(Zip Code)</w:t>
            </w:r>
          </w:p>
        </w:tc>
      </w:tr>
      <w:tr>
        <w:trPr>
          <w:trHeight w:val="195"/>
        </w:trPr>
        <w:tc>
          <w:tcPr>
            <w:tcW w:w="6360" w:type="dxa"/>
            <w:vAlign w:val="bottom"/>
          </w:tcPr>
          <w:p>
            <w:pPr>
              <w:jc w:val="right"/>
              <w:ind w:right="1516"/>
              <w:spacing w:after="0"/>
              <w:rPr>
                <w:sz w:val="20"/>
                <w:szCs w:val="20"/>
                <w:color w:val="auto"/>
              </w:rPr>
            </w:pPr>
            <w:r>
              <w:rPr>
                <w:rFonts w:ascii="Arial" w:cs="Arial" w:eastAsia="Arial" w:hAnsi="Arial"/>
                <w:sz w:val="16"/>
                <w:szCs w:val="16"/>
                <w:b w:val="1"/>
                <w:bCs w:val="1"/>
                <w:color w:val="auto"/>
              </w:rPr>
              <w:t>330.471.7000</w:t>
            </w:r>
          </w:p>
        </w:tc>
        <w:tc>
          <w:tcPr>
            <w:tcW w:w="1420" w:type="dxa"/>
            <w:vAlign w:val="bottom"/>
          </w:tcPr>
          <w:p>
            <w:pPr>
              <w:spacing w:after="0"/>
              <w:rPr>
                <w:sz w:val="16"/>
                <w:szCs w:val="16"/>
                <w:color w:val="auto"/>
              </w:rPr>
            </w:pPr>
          </w:p>
        </w:tc>
      </w:tr>
      <w:tr>
        <w:trPr>
          <w:trHeight w:val="210"/>
        </w:trPr>
        <w:tc>
          <w:tcPr>
            <w:tcW w:w="6360" w:type="dxa"/>
            <w:vAlign w:val="bottom"/>
          </w:tcPr>
          <w:p>
            <w:pPr>
              <w:jc w:val="center"/>
              <w:ind w:left="2176"/>
              <w:spacing w:after="0"/>
              <w:rPr>
                <w:sz w:val="20"/>
                <w:szCs w:val="20"/>
                <w:color w:val="auto"/>
              </w:rPr>
            </w:pPr>
            <w:r>
              <w:rPr>
                <w:rFonts w:ascii="Arial" w:cs="Arial" w:eastAsia="Arial" w:hAnsi="Arial"/>
                <w:sz w:val="16"/>
                <w:szCs w:val="16"/>
                <w:b w:val="1"/>
                <w:bCs w:val="1"/>
                <w:color w:val="auto"/>
                <w:w w:val="90"/>
              </w:rPr>
              <w:t>(Registrant’s telephone number, including area code)</w:t>
            </w:r>
          </w:p>
        </w:tc>
        <w:tc>
          <w:tcPr>
            <w:tcW w:w="1420" w:type="dxa"/>
            <w:vAlign w:val="bottom"/>
          </w:tcPr>
          <w:p>
            <w:pPr>
              <w:spacing w:after="0"/>
              <w:rPr>
                <w:sz w:val="18"/>
                <w:szCs w:val="18"/>
                <w:color w:val="auto"/>
              </w:rPr>
            </w:pPr>
          </w:p>
        </w:tc>
      </w:tr>
    </w:tbl>
    <w:p>
      <w:pPr>
        <w:spacing w:after="0" w:line="12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Securities registered pursuant to Section 12(b) of the Securities Exchange Act of 1934:</w:t>
      </w:r>
    </w:p>
    <w:p>
      <w:pPr>
        <w:spacing w:after="0" w:line="46" w:lineRule="exact"/>
        <w:rPr>
          <w:sz w:val="24"/>
          <w:szCs w:val="24"/>
          <w:color w:val="auto"/>
        </w:rPr>
      </w:pPr>
    </w:p>
    <w:tbl>
      <w:tblPr>
        <w:tblLayout w:type="fixed"/>
        <w:tblInd w:w="0" w:type="dxa"/>
        <w:tblCellMar>
          <w:top w:w="0" w:type="dxa"/>
          <w:left w:w="0" w:type="dxa"/>
          <w:bottom w:w="0" w:type="dxa"/>
          <w:right w:w="0" w:type="dxa"/>
        </w:tblCellMar>
      </w:tblPr>
      <w:tr>
        <w:trPr>
          <w:trHeight w:val="221"/>
        </w:trPr>
        <w:tc>
          <w:tcPr>
            <w:tcW w:w="38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Title of each class</w:t>
            </w:r>
          </w:p>
        </w:tc>
        <w:tc>
          <w:tcPr>
            <w:tcW w:w="120" w:type="dxa"/>
            <w:vAlign w:val="bottom"/>
          </w:tcPr>
          <w:p>
            <w:pPr>
              <w:spacing w:after="0"/>
              <w:rPr>
                <w:sz w:val="19"/>
                <w:szCs w:val="19"/>
                <w:color w:val="auto"/>
              </w:rPr>
            </w:pPr>
          </w:p>
        </w:tc>
        <w:tc>
          <w:tcPr>
            <w:tcW w:w="33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Trading symbol</w:t>
            </w:r>
          </w:p>
        </w:tc>
        <w:tc>
          <w:tcPr>
            <w:tcW w:w="120" w:type="dxa"/>
            <w:vAlign w:val="bottom"/>
          </w:tcPr>
          <w:p>
            <w:pPr>
              <w:spacing w:after="0"/>
              <w:rPr>
                <w:sz w:val="19"/>
                <w:szCs w:val="19"/>
                <w:color w:val="auto"/>
              </w:rPr>
            </w:pPr>
          </w:p>
        </w:tc>
        <w:tc>
          <w:tcPr>
            <w:tcW w:w="38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Name of exchange in which registered</w:t>
            </w:r>
          </w:p>
        </w:tc>
      </w:tr>
      <w:tr>
        <w:trPr>
          <w:trHeight w:val="200"/>
        </w:trPr>
        <w:tc>
          <w:tcPr>
            <w:tcW w:w="3820" w:type="dxa"/>
            <w:vAlign w:val="bottom"/>
          </w:tcPr>
          <w:p>
            <w:pPr>
              <w:jc w:val="center"/>
              <w:spacing w:after="0"/>
              <w:rPr>
                <w:sz w:val="20"/>
                <w:szCs w:val="20"/>
                <w:color w:val="auto"/>
              </w:rPr>
            </w:pPr>
            <w:r>
              <w:rPr>
                <w:rFonts w:ascii="Arial" w:cs="Arial" w:eastAsia="Arial" w:hAnsi="Arial"/>
                <w:sz w:val="16"/>
                <w:szCs w:val="16"/>
                <w:color w:val="auto"/>
                <w:w w:val="88"/>
              </w:rPr>
              <w:t>Common shares</w:t>
            </w:r>
          </w:p>
        </w:tc>
        <w:tc>
          <w:tcPr>
            <w:tcW w:w="120" w:type="dxa"/>
            <w:vAlign w:val="bottom"/>
          </w:tcPr>
          <w:p>
            <w:pPr>
              <w:spacing w:after="0"/>
              <w:rPr>
                <w:sz w:val="17"/>
                <w:szCs w:val="17"/>
                <w:color w:val="auto"/>
              </w:rPr>
            </w:pPr>
          </w:p>
        </w:tc>
        <w:tc>
          <w:tcPr>
            <w:tcW w:w="3380" w:type="dxa"/>
            <w:vAlign w:val="bottom"/>
          </w:tcPr>
          <w:p>
            <w:pPr>
              <w:jc w:val="center"/>
              <w:spacing w:after="0"/>
              <w:rPr>
                <w:sz w:val="20"/>
                <w:szCs w:val="20"/>
                <w:color w:val="auto"/>
              </w:rPr>
            </w:pPr>
            <w:r>
              <w:rPr>
                <w:rFonts w:ascii="Arial" w:cs="Arial" w:eastAsia="Arial" w:hAnsi="Arial"/>
                <w:sz w:val="16"/>
                <w:szCs w:val="16"/>
                <w:color w:val="auto"/>
              </w:rPr>
              <w:t>TMST</w:t>
            </w:r>
          </w:p>
        </w:tc>
        <w:tc>
          <w:tcPr>
            <w:tcW w:w="120" w:type="dxa"/>
            <w:vAlign w:val="bottom"/>
          </w:tcPr>
          <w:p>
            <w:pPr>
              <w:spacing w:after="0"/>
              <w:rPr>
                <w:sz w:val="17"/>
                <w:szCs w:val="17"/>
                <w:color w:val="auto"/>
              </w:rPr>
            </w:pPr>
          </w:p>
        </w:tc>
        <w:tc>
          <w:tcPr>
            <w:tcW w:w="3800" w:type="dxa"/>
            <w:vAlign w:val="bottom"/>
          </w:tcPr>
          <w:p>
            <w:pPr>
              <w:jc w:val="center"/>
              <w:spacing w:after="0"/>
              <w:rPr>
                <w:sz w:val="20"/>
                <w:szCs w:val="20"/>
                <w:color w:val="auto"/>
              </w:rPr>
            </w:pPr>
            <w:r>
              <w:rPr>
                <w:rFonts w:ascii="Arial" w:cs="Arial" w:eastAsia="Arial" w:hAnsi="Arial"/>
                <w:sz w:val="16"/>
                <w:szCs w:val="16"/>
                <w:color w:val="auto"/>
                <w:w w:val="92"/>
              </w:rPr>
              <w:t>New York Stock Exchange</w:t>
            </w:r>
          </w:p>
        </w:tc>
      </w:tr>
    </w:tbl>
    <w:p>
      <w:pPr>
        <w:spacing w:after="0" w:line="36" w:lineRule="exact"/>
        <w:rPr>
          <w:sz w:val="24"/>
          <w:szCs w:val="24"/>
          <w:color w:val="auto"/>
        </w:rPr>
      </w:pPr>
    </w:p>
    <w:p>
      <w:pPr>
        <w:jc w:val="both"/>
        <w:spacing w:after="0" w:line="209"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49" w:lineRule="exact"/>
        <w:rPr>
          <w:sz w:val="24"/>
          <w:szCs w:val="24"/>
          <w:color w:val="auto"/>
        </w:rPr>
      </w:pPr>
    </w:p>
    <w:p>
      <w:pPr>
        <w:jc w:val="both"/>
        <w:spacing w:after="0" w:line="220" w:lineRule="exact"/>
        <w:rPr>
          <w:sz w:val="20"/>
          <w:szCs w:val="20"/>
          <w:color w:val="auto"/>
        </w:rPr>
      </w:pPr>
      <w:r>
        <w:rPr>
          <w:rFonts w:ascii="Arial" w:cs="Arial" w:eastAsia="Arial" w:hAnsi="Arial"/>
          <w:sz w:val="17"/>
          <w:szCs w:val="17"/>
          <w:color w:val="auto"/>
        </w:rP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p>
    <w:p>
      <w:pPr>
        <w:spacing w:after="0" w:line="48" w:lineRule="exact"/>
        <w:rPr>
          <w:sz w:val="24"/>
          <w:szCs w:val="24"/>
          <w:color w:val="auto"/>
        </w:rPr>
      </w:pPr>
    </w:p>
    <w:p>
      <w:pPr>
        <w:jc w:val="both"/>
        <w:spacing w:after="0" w:line="257" w:lineRule="auto"/>
        <w:rPr>
          <w:sz w:val="20"/>
          <w:szCs w:val="20"/>
          <w:color w:val="auto"/>
        </w:rPr>
      </w:pPr>
      <w:r>
        <w:rPr>
          <w:rFonts w:ascii="Arial" w:cs="Arial" w:eastAsia="Arial" w:hAnsi="Arial"/>
          <w:sz w:val="17"/>
          <w:szCs w:val="17"/>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pPr>
        <w:spacing w:after="0" w:line="1" w:lineRule="exact"/>
        <w:rPr>
          <w:sz w:val="24"/>
          <w:szCs w:val="24"/>
          <w:color w:val="auto"/>
        </w:rPr>
      </w:pPr>
    </w:p>
    <w:tbl>
      <w:tblPr>
        <w:tblLayout w:type="fixed"/>
        <w:tblInd w:w="20" w:type="dxa"/>
        <w:tblCellMar>
          <w:top w:w="0" w:type="dxa"/>
          <w:left w:w="0" w:type="dxa"/>
          <w:bottom w:w="0" w:type="dxa"/>
          <w:right w:w="0" w:type="dxa"/>
        </w:tblCellMar>
      </w:tblPr>
      <w:tr>
        <w:trPr>
          <w:trHeight w:val="277"/>
        </w:trPr>
        <w:tc>
          <w:tcPr>
            <w:tcW w:w="2560" w:type="dxa"/>
            <w:vAlign w:val="bottom"/>
          </w:tcPr>
          <w:p>
            <w:pPr>
              <w:spacing w:after="0"/>
              <w:rPr>
                <w:sz w:val="20"/>
                <w:szCs w:val="20"/>
                <w:color w:val="auto"/>
              </w:rPr>
            </w:pPr>
            <w:r>
              <w:rPr>
                <w:rFonts w:ascii="Arial" w:cs="Arial" w:eastAsia="Arial" w:hAnsi="Arial"/>
                <w:sz w:val="18"/>
                <w:szCs w:val="18"/>
                <w:color w:val="auto"/>
              </w:rPr>
              <w:t>Large accelerated filer</w:t>
            </w:r>
          </w:p>
        </w:tc>
        <w:tc>
          <w:tcPr>
            <w:tcW w:w="3100" w:type="dxa"/>
            <w:vAlign w:val="bottom"/>
          </w:tcPr>
          <w:p>
            <w:pPr>
              <w:ind w:left="960"/>
              <w:spacing w:after="0" w:line="181" w:lineRule="exact"/>
              <w:rPr>
                <w:sz w:val="20"/>
                <w:szCs w:val="20"/>
                <w:color w:val="auto"/>
              </w:rPr>
            </w:pPr>
            <w:r>
              <w:rPr>
                <w:rFonts w:ascii="MS PGothic" w:cs="MS PGothic" w:eastAsia="MS PGothic" w:hAnsi="MS PGothic"/>
                <w:sz w:val="18"/>
                <w:szCs w:val="18"/>
                <w:color w:val="auto"/>
              </w:rPr>
              <w:t>☐</w:t>
            </w:r>
          </w:p>
        </w:tc>
        <w:tc>
          <w:tcPr>
            <w:tcW w:w="4660" w:type="dxa"/>
            <w:vAlign w:val="bottom"/>
          </w:tcPr>
          <w:p>
            <w:pPr>
              <w:ind w:left="2000"/>
              <w:spacing w:after="0"/>
              <w:rPr>
                <w:sz w:val="20"/>
                <w:szCs w:val="20"/>
                <w:color w:val="auto"/>
              </w:rPr>
            </w:pPr>
            <w:r>
              <w:rPr>
                <w:rFonts w:ascii="Arial" w:cs="Arial" w:eastAsia="Arial" w:hAnsi="Arial"/>
                <w:sz w:val="18"/>
                <w:szCs w:val="18"/>
                <w:color w:val="auto"/>
              </w:rPr>
              <w:t>Accelerated filer</w:t>
            </w:r>
          </w:p>
        </w:tc>
        <w:tc>
          <w:tcPr>
            <w:tcW w:w="880" w:type="dxa"/>
            <w:vAlign w:val="bottom"/>
          </w:tcPr>
          <w:p>
            <w:pPr>
              <w:ind w:left="7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2560" w:type="dxa"/>
            <w:vAlign w:val="bottom"/>
          </w:tcPr>
          <w:p>
            <w:pPr>
              <w:spacing w:after="0"/>
              <w:rPr>
                <w:sz w:val="20"/>
                <w:szCs w:val="20"/>
                <w:color w:val="auto"/>
              </w:rPr>
            </w:pPr>
            <w:r>
              <w:rPr>
                <w:rFonts w:ascii="Arial" w:cs="Arial" w:eastAsia="Arial" w:hAnsi="Arial"/>
                <w:sz w:val="18"/>
                <w:szCs w:val="18"/>
                <w:color w:val="auto"/>
              </w:rPr>
              <w:t>Non-accelerated filer</w:t>
            </w:r>
          </w:p>
        </w:tc>
        <w:tc>
          <w:tcPr>
            <w:tcW w:w="3100" w:type="dxa"/>
            <w:vAlign w:val="bottom"/>
          </w:tcPr>
          <w:p>
            <w:pPr>
              <w:ind w:left="960"/>
              <w:spacing w:after="0" w:line="181" w:lineRule="exact"/>
              <w:rPr>
                <w:sz w:val="20"/>
                <w:szCs w:val="20"/>
                <w:color w:val="auto"/>
              </w:rPr>
            </w:pPr>
            <w:r>
              <w:rPr>
                <w:rFonts w:ascii="MS PGothic" w:cs="MS PGothic" w:eastAsia="MS PGothic" w:hAnsi="MS PGothic"/>
                <w:sz w:val="18"/>
                <w:szCs w:val="18"/>
                <w:color w:val="auto"/>
              </w:rPr>
              <w:t>☐</w:t>
            </w:r>
          </w:p>
        </w:tc>
        <w:tc>
          <w:tcPr>
            <w:tcW w:w="4660" w:type="dxa"/>
            <w:vAlign w:val="bottom"/>
          </w:tcPr>
          <w:p>
            <w:pPr>
              <w:ind w:left="2000"/>
              <w:spacing w:after="0"/>
              <w:rPr>
                <w:sz w:val="20"/>
                <w:szCs w:val="20"/>
                <w:color w:val="auto"/>
              </w:rPr>
            </w:pPr>
            <w:r>
              <w:rPr>
                <w:rFonts w:ascii="Arial" w:cs="Arial" w:eastAsia="Arial" w:hAnsi="Arial"/>
                <w:sz w:val="18"/>
                <w:szCs w:val="18"/>
                <w:color w:val="auto"/>
              </w:rPr>
              <w:t>Smaller reporting company</w:t>
            </w:r>
          </w:p>
        </w:tc>
        <w:tc>
          <w:tcPr>
            <w:tcW w:w="880" w:type="dxa"/>
            <w:vAlign w:val="bottom"/>
          </w:tcPr>
          <w:p>
            <w:pPr>
              <w:ind w:left="7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2560" w:type="dxa"/>
            <w:vAlign w:val="bottom"/>
          </w:tcPr>
          <w:p>
            <w:pPr>
              <w:spacing w:after="0"/>
              <w:rPr>
                <w:sz w:val="24"/>
                <w:szCs w:val="24"/>
                <w:color w:val="auto"/>
              </w:rPr>
            </w:pPr>
          </w:p>
        </w:tc>
        <w:tc>
          <w:tcPr>
            <w:tcW w:w="3100" w:type="dxa"/>
            <w:vAlign w:val="bottom"/>
          </w:tcPr>
          <w:p>
            <w:pPr>
              <w:spacing w:after="0"/>
              <w:rPr>
                <w:sz w:val="24"/>
                <w:szCs w:val="24"/>
                <w:color w:val="auto"/>
              </w:rPr>
            </w:pPr>
          </w:p>
        </w:tc>
        <w:tc>
          <w:tcPr>
            <w:tcW w:w="4660" w:type="dxa"/>
            <w:vAlign w:val="bottom"/>
          </w:tcPr>
          <w:p>
            <w:pPr>
              <w:ind w:left="2000"/>
              <w:spacing w:after="0"/>
              <w:rPr>
                <w:sz w:val="20"/>
                <w:szCs w:val="20"/>
                <w:color w:val="auto"/>
              </w:rPr>
            </w:pPr>
            <w:r>
              <w:rPr>
                <w:rFonts w:ascii="Arial" w:cs="Arial" w:eastAsia="Arial" w:hAnsi="Arial"/>
                <w:sz w:val="18"/>
                <w:szCs w:val="18"/>
                <w:color w:val="auto"/>
              </w:rPr>
              <w:t>Emerging growth company</w:t>
            </w:r>
          </w:p>
        </w:tc>
        <w:tc>
          <w:tcPr>
            <w:tcW w:w="880" w:type="dxa"/>
            <w:vAlign w:val="bottom"/>
          </w:tcPr>
          <w:p>
            <w:pPr>
              <w:ind w:left="72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114" w:lineRule="exact"/>
        <w:rPr>
          <w:sz w:val="24"/>
          <w:szCs w:val="24"/>
          <w:color w:val="auto"/>
        </w:rPr>
      </w:pPr>
    </w:p>
    <w:p>
      <w:pPr>
        <w:jc w:val="both"/>
        <w:spacing w:after="0" w:line="21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reporting accounting standards provided pursuant to Section 13(a) of the Exchange Act. </w:t>
      </w:r>
      <w:r>
        <w:rPr>
          <w:rFonts w:ascii="MS PGothic" w:cs="MS PGothic" w:eastAsia="MS PGothic" w:hAnsi="MS PGothic"/>
          <w:sz w:val="18"/>
          <w:szCs w:val="18"/>
          <w:color w:val="auto"/>
        </w:rPr>
        <w:t>☐</w:t>
      </w:r>
    </w:p>
    <w:p>
      <w:pPr>
        <w:spacing w:after="0" w:line="2" w:lineRule="exact"/>
        <w:rPr>
          <w:sz w:val="24"/>
          <w:szCs w:val="24"/>
          <w:color w:val="auto"/>
        </w:rPr>
      </w:pPr>
    </w:p>
    <w:p>
      <w:pPr>
        <w:ind w:right="1900"/>
        <w:spacing w:after="0" w:line="273" w:lineRule="exact"/>
        <w:rPr>
          <w:sz w:val="20"/>
          <w:szCs w:val="20"/>
          <w:color w:val="auto"/>
        </w:rPr>
      </w:pPr>
      <w:r>
        <w:rPr>
          <w:rFonts w:ascii="Arial" w:cs="Arial" w:eastAsia="Arial" w:hAnsi="Arial"/>
          <w:sz w:val="16"/>
          <w:szCs w:val="16"/>
          <w:color w:val="auto"/>
        </w:rPr>
        <w:t xml:space="preserve">Indicate by check mark whether the registrant is a shell company (as defined in Rule 12b-2 of the Exchange Act).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r>
        <w:rPr>
          <w:rFonts w:ascii="Arial" w:cs="Arial" w:eastAsia="Arial" w:hAnsi="Arial"/>
          <w:sz w:val="16"/>
          <w:szCs w:val="16"/>
          <w:color w:val="auto"/>
        </w:rPr>
        <w:t xml:space="preserve"> Indicate the number of shares outstanding of each of the issuer’s classes of common stock, as of the latest practicable date.</w:t>
      </w:r>
    </w:p>
    <w:p>
      <w:pPr>
        <w:spacing w:after="0" w:line="13" w:lineRule="exact"/>
        <w:rPr>
          <w:sz w:val="24"/>
          <w:szCs w:val="24"/>
          <w:color w:val="auto"/>
        </w:rPr>
      </w:pPr>
    </w:p>
    <w:tbl>
      <w:tblPr>
        <w:tblLayout w:type="fixed"/>
        <w:tblInd w:w="0" w:type="dxa"/>
        <w:tblCellMar>
          <w:top w:w="0" w:type="dxa"/>
          <w:left w:w="0" w:type="dxa"/>
          <w:bottom w:w="0" w:type="dxa"/>
          <w:right w:w="0" w:type="dxa"/>
        </w:tblCellMar>
      </w:tblPr>
      <w:tr>
        <w:trPr>
          <w:trHeight w:val="217"/>
        </w:trPr>
        <w:tc>
          <w:tcPr>
            <w:tcW w:w="55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4"/>
              </w:rPr>
              <w:t>Class</w:t>
            </w:r>
          </w:p>
        </w:tc>
        <w:tc>
          <w:tcPr>
            <w:tcW w:w="140" w:type="dxa"/>
            <w:vAlign w:val="bottom"/>
          </w:tcPr>
          <w:p>
            <w:pPr>
              <w:spacing w:after="0"/>
              <w:rPr>
                <w:sz w:val="18"/>
                <w:szCs w:val="18"/>
                <w:color w:val="auto"/>
              </w:rPr>
            </w:pPr>
          </w:p>
        </w:tc>
        <w:tc>
          <w:tcPr>
            <w:tcW w:w="55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Outstanding at April 30, 2022</w:t>
            </w:r>
          </w:p>
        </w:tc>
        <w:tc>
          <w:tcPr>
            <w:tcW w:w="0" w:type="dxa"/>
            <w:vAlign w:val="bottom"/>
          </w:tcPr>
          <w:p>
            <w:pPr>
              <w:spacing w:after="0"/>
              <w:rPr>
                <w:sz w:val="1"/>
                <w:szCs w:val="1"/>
                <w:color w:val="auto"/>
              </w:rPr>
            </w:pPr>
          </w:p>
        </w:tc>
      </w:tr>
      <w:tr>
        <w:trPr>
          <w:trHeight w:val="183"/>
        </w:trPr>
        <w:tc>
          <w:tcPr>
            <w:tcW w:w="5560" w:type="dxa"/>
            <w:vAlign w:val="bottom"/>
          </w:tcPr>
          <w:p>
            <w:pPr>
              <w:jc w:val="center"/>
              <w:spacing w:after="0" w:line="183" w:lineRule="exact"/>
              <w:rPr>
                <w:sz w:val="20"/>
                <w:szCs w:val="20"/>
                <w:color w:val="auto"/>
              </w:rPr>
            </w:pPr>
            <w:r>
              <w:rPr>
                <w:rFonts w:ascii="Arial" w:cs="Arial" w:eastAsia="Arial" w:hAnsi="Arial"/>
                <w:sz w:val="16"/>
                <w:szCs w:val="16"/>
                <w:color w:val="auto"/>
                <w:w w:val="92"/>
              </w:rPr>
              <w:t>Common Shares, without par value</w:t>
            </w:r>
          </w:p>
        </w:tc>
        <w:tc>
          <w:tcPr>
            <w:tcW w:w="5680" w:type="dxa"/>
            <w:vAlign w:val="bottom"/>
            <w:gridSpan w:val="2"/>
            <w:vMerge w:val="restart"/>
          </w:tcPr>
          <w:p>
            <w:pPr>
              <w:jc w:val="right"/>
              <w:ind w:right="2310"/>
              <w:spacing w:after="0"/>
              <w:rPr>
                <w:sz w:val="20"/>
                <w:szCs w:val="20"/>
                <w:color w:val="auto"/>
              </w:rPr>
            </w:pPr>
            <w:r>
              <w:rPr>
                <w:rFonts w:ascii="Arial" w:cs="Arial" w:eastAsia="Arial" w:hAnsi="Arial"/>
                <w:sz w:val="16"/>
                <w:szCs w:val="16"/>
                <w:color w:val="auto"/>
              </w:rPr>
              <w:t>46,626,025</w:t>
            </w:r>
          </w:p>
        </w:tc>
        <w:tc>
          <w:tcPr>
            <w:tcW w:w="0" w:type="dxa"/>
            <w:vAlign w:val="bottom"/>
          </w:tcPr>
          <w:p>
            <w:pPr>
              <w:spacing w:after="0"/>
              <w:rPr>
                <w:sz w:val="1"/>
                <w:szCs w:val="1"/>
                <w:color w:val="auto"/>
              </w:rPr>
            </w:pPr>
          </w:p>
        </w:tc>
      </w:tr>
      <w:tr>
        <w:trPr>
          <w:trHeight w:val="48"/>
        </w:trPr>
        <w:tc>
          <w:tcPr>
            <w:tcW w:w="5560" w:type="dxa"/>
            <w:vAlign w:val="bottom"/>
          </w:tcPr>
          <w:p>
            <w:pPr>
              <w:spacing w:after="0"/>
              <w:rPr>
                <w:sz w:val="4"/>
                <w:szCs w:val="4"/>
                <w:color w:val="auto"/>
              </w:rPr>
            </w:pPr>
          </w:p>
        </w:tc>
        <w:tc>
          <w:tcPr>
            <w:tcW w:w="568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74"/>
        </w:trPr>
        <w:tc>
          <w:tcPr>
            <w:tcW w:w="55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55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55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5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73"/>
        </w:trPr>
        <w:tc>
          <w:tcPr>
            <w:tcW w:w="556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554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 w:name="page2"/>
    <w:bookmarkEnd w:id="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810895" cy="8255"/>
                    </a:xfrm>
                    <a:prstGeom prst="rect">
                      <a:avLst/>
                    </a:prstGeom>
                    <a:noFill/>
                  </pic:spPr>
                </pic:pic>
              </a:graphicData>
            </a:graphic>
          </wp:anchor>
        </w:drawing>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TimkenSteel Corporation</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Table of Contents</w:t>
      </w:r>
    </w:p>
    <w:p>
      <w:pPr>
        <w:spacing w:after="0" w:line="110" w:lineRule="exact"/>
        <w:rPr>
          <w:sz w:val="20"/>
          <w:szCs w:val="20"/>
          <w:color w:val="auto"/>
        </w:rPr>
      </w:pPr>
    </w:p>
    <w:tbl>
      <w:tblPr>
        <w:tblLayout w:type="fixed"/>
        <w:tblInd w:w="2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2040" w:type="dxa"/>
            <w:vAlign w:val="bottom"/>
            <w:gridSpan w:val="4"/>
          </w:tcPr>
          <w:p>
            <w:pPr>
              <w:jc w:val="right"/>
              <w:ind w:right="80"/>
              <w:spacing w:after="0"/>
              <w:rPr>
                <w:sz w:val="20"/>
                <w:szCs w:val="20"/>
                <w:color w:val="auto"/>
              </w:rPr>
            </w:pPr>
            <w:r>
              <w:rPr>
                <w:rFonts w:ascii="Arial" w:cs="Arial" w:eastAsia="Arial" w:hAnsi="Arial"/>
                <w:sz w:val="18"/>
                <w:szCs w:val="18"/>
                <w:b w:val="1"/>
                <w:bCs w:val="1"/>
                <w:i w:val="1"/>
                <w:iCs w:val="1"/>
                <w:color w:val="auto"/>
              </w:rPr>
              <w:t>Page</w:t>
            </w:r>
          </w:p>
        </w:tc>
        <w:tc>
          <w:tcPr>
            <w:tcW w:w="0" w:type="dxa"/>
            <w:vAlign w:val="bottom"/>
          </w:tcPr>
          <w:p>
            <w:pPr>
              <w:spacing w:after="0"/>
              <w:rPr>
                <w:sz w:val="1"/>
                <w:szCs w:val="1"/>
                <w:color w:val="auto"/>
              </w:rPr>
            </w:pPr>
          </w:p>
        </w:tc>
      </w:tr>
      <w:tr>
        <w:trPr>
          <w:trHeight w:val="190"/>
        </w:trPr>
        <w:tc>
          <w:tcPr>
            <w:tcW w:w="9180" w:type="dxa"/>
            <w:vAlign w:val="bottom"/>
            <w:gridSpan w:val="24"/>
          </w:tcPr>
          <w:p>
            <w:pPr>
              <w:spacing w:after="0" w:line="190" w:lineRule="exact"/>
              <w:rPr>
                <w:rFonts w:ascii="Arial" w:cs="Arial" w:eastAsia="Arial" w:hAnsi="Arial"/>
                <w:sz w:val="18"/>
                <w:szCs w:val="18"/>
                <w:b w:val="1"/>
                <w:bCs w:val="1"/>
                <w:i w:val="1"/>
                <w:iCs w:val="1"/>
                <w:color w:val="0000FF"/>
              </w:rPr>
            </w:pPr>
            <w:hyperlink w:anchor="page3">
              <w:r>
                <w:rPr>
                  <w:rFonts w:ascii="Arial" w:cs="Arial" w:eastAsia="Arial" w:hAnsi="Arial"/>
                  <w:sz w:val="18"/>
                  <w:szCs w:val="18"/>
                  <w:b w:val="1"/>
                  <w:bCs w:val="1"/>
                  <w:i w:val="1"/>
                  <w:iCs w:val="1"/>
                  <w:color w:val="0000FF"/>
                </w:rPr>
                <w:t>Part I. Financial Information</w:t>
              </w:r>
            </w:hyperlink>
          </w:p>
        </w:tc>
        <w:tc>
          <w:tcPr>
            <w:tcW w:w="2040" w:type="dxa"/>
            <w:vAlign w:val="bottom"/>
            <w:gridSpan w:val="4"/>
          </w:tcPr>
          <w:p>
            <w:pPr>
              <w:jc w:val="right"/>
              <w:ind w:right="20"/>
              <w:spacing w:after="0" w:line="190" w:lineRule="exact"/>
              <w:rPr>
                <w:sz w:val="20"/>
                <w:szCs w:val="20"/>
                <w:color w:val="auto"/>
              </w:rPr>
            </w:pPr>
            <w:r>
              <w:rPr>
                <w:rFonts w:ascii="Arial" w:cs="Arial" w:eastAsia="Arial" w:hAnsi="Arial"/>
                <w:sz w:val="18"/>
                <w:szCs w:val="18"/>
                <w:color w:val="0000FF"/>
              </w:rPr>
              <w:t>3</w:t>
            </w:r>
          </w:p>
        </w:tc>
        <w:tc>
          <w:tcPr>
            <w:tcW w:w="0" w:type="dxa"/>
            <w:vAlign w:val="bottom"/>
          </w:tcPr>
          <w:p>
            <w:pPr>
              <w:spacing w:after="0"/>
              <w:rPr>
                <w:sz w:val="1"/>
                <w:szCs w:val="1"/>
                <w:color w:val="auto"/>
              </w:rPr>
            </w:pPr>
          </w:p>
        </w:tc>
      </w:tr>
      <w:tr>
        <w:trPr>
          <w:trHeight w:val="20"/>
        </w:trPr>
        <w:tc>
          <w:tcPr>
            <w:tcW w:w="20" w:type="dxa"/>
            <w:vAlign w:val="bottom"/>
            <w:shd w:val="clear" w:color="auto" w:fill="0000EE"/>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00" w:type="dxa"/>
            <w:vAlign w:val="bottom"/>
            <w:tcBorders>
              <w:right w:val="single" w:sz="8" w:color="0000FF"/>
            </w:tcBorders>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00" w:type="dxa"/>
            <w:vAlign w:val="bottom"/>
            <w:tcBorders>
              <w:right w:val="single" w:sz="8" w:color="0000EE"/>
            </w:tcBorders>
            <w:shd w:val="clear" w:color="auto" w:fill="0000FF"/>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1840" w:type="dxa"/>
            <w:vAlign w:val="bottom"/>
            <w:vMerge w:val="restart"/>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1140" w:type="dxa"/>
            <w:vAlign w:val="bottom"/>
            <w:gridSpan w:val="5"/>
          </w:tcPr>
          <w:p>
            <w:pPr>
              <w:spacing w:after="0" w:line="182" w:lineRule="exact"/>
              <w:rPr>
                <w:rFonts w:ascii="Arial" w:cs="Arial" w:eastAsia="Arial" w:hAnsi="Arial"/>
                <w:sz w:val="18"/>
                <w:szCs w:val="18"/>
                <w:i w:val="1"/>
                <w:iCs w:val="1"/>
                <w:color w:val="0000FF"/>
              </w:rPr>
            </w:pPr>
            <w:hyperlink w:anchor="page3">
              <w:r>
                <w:rPr>
                  <w:rFonts w:ascii="Arial" w:cs="Arial" w:eastAsia="Arial" w:hAnsi="Arial"/>
                  <w:sz w:val="18"/>
                  <w:szCs w:val="18"/>
                  <w:i w:val="1"/>
                  <w:iCs w:val="1"/>
                  <w:color w:val="0000FF"/>
                </w:rPr>
                <w:t>Item 1.</w:t>
              </w:r>
            </w:hyperlink>
          </w:p>
        </w:tc>
        <w:tc>
          <w:tcPr>
            <w:tcW w:w="8040" w:type="dxa"/>
            <w:vAlign w:val="bottom"/>
            <w:gridSpan w:val="19"/>
          </w:tcPr>
          <w:p>
            <w:pPr>
              <w:spacing w:after="0" w:line="182" w:lineRule="exact"/>
              <w:rPr>
                <w:rFonts w:ascii="Arial" w:cs="Arial" w:eastAsia="Arial" w:hAnsi="Arial"/>
                <w:sz w:val="18"/>
                <w:szCs w:val="18"/>
                <w:color w:val="0000FF"/>
              </w:rPr>
            </w:pPr>
            <w:hyperlink w:anchor="page3">
              <w:r>
                <w:rPr>
                  <w:rFonts w:ascii="Arial" w:cs="Arial" w:eastAsia="Arial" w:hAnsi="Arial"/>
                  <w:sz w:val="18"/>
                  <w:szCs w:val="18"/>
                  <w:color w:val="0000FF"/>
                </w:rPr>
                <w:t>Financial Statements</w:t>
              </w:r>
            </w:hyperlink>
          </w:p>
        </w:tc>
        <w:tc>
          <w:tcPr>
            <w:tcW w:w="1840" w:type="dxa"/>
            <w:vAlign w:val="bottom"/>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0000FF"/>
                <w:w w:val="71"/>
              </w:rPr>
              <w:t>3</w:t>
            </w:r>
          </w:p>
        </w:tc>
        <w:tc>
          <w:tcPr>
            <w:tcW w:w="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00" w:type="dxa"/>
            <w:vAlign w:val="bottom"/>
            <w:tcBorders>
              <w:right w:val="single" w:sz="8" w:color="0000FF"/>
            </w:tcBorders>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20" w:type="dxa"/>
            <w:vAlign w:val="bottom"/>
            <w:gridSpan w:val="2"/>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1840" w:type="dxa"/>
            <w:vAlign w:val="bottom"/>
            <w:vMerge w:val="restart"/>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0" w:type="dxa"/>
            <w:vAlign w:val="bottom"/>
            <w:vMerge w:val="continue"/>
          </w:tcPr>
          <w:p>
            <w:pPr>
              <w:spacing w:after="0"/>
              <w:rPr>
                <w:sz w:val="15"/>
                <w:szCs w:val="15"/>
                <w:color w:val="auto"/>
              </w:rPr>
            </w:pPr>
          </w:p>
        </w:tc>
        <w:tc>
          <w:tcPr>
            <w:tcW w:w="8020" w:type="dxa"/>
            <w:vAlign w:val="bottom"/>
            <w:gridSpan w:val="18"/>
          </w:tcPr>
          <w:p>
            <w:pPr>
              <w:spacing w:after="0" w:line="182" w:lineRule="exact"/>
              <w:rPr>
                <w:rFonts w:ascii="Arial" w:cs="Arial" w:eastAsia="Arial" w:hAnsi="Arial"/>
                <w:sz w:val="18"/>
                <w:szCs w:val="18"/>
                <w:color w:val="0000FF"/>
              </w:rPr>
            </w:pPr>
            <w:hyperlink w:anchor="page3">
              <w:r>
                <w:rPr>
                  <w:rFonts w:ascii="Arial" w:cs="Arial" w:eastAsia="Arial" w:hAnsi="Arial"/>
                  <w:sz w:val="18"/>
                  <w:szCs w:val="18"/>
                  <w:color w:val="0000FF"/>
                </w:rPr>
                <w:t>Consolidated Statements of Operations (Unaudited)</w:t>
              </w:r>
            </w:hyperlink>
          </w:p>
        </w:tc>
        <w:tc>
          <w:tcPr>
            <w:tcW w:w="1840" w:type="dxa"/>
            <w:vAlign w:val="bottom"/>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0000FF"/>
                <w:w w:val="71"/>
              </w:rPr>
              <w:t>3</w:t>
            </w:r>
          </w:p>
        </w:tc>
        <w:tc>
          <w:tcPr>
            <w:tcW w:w="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00" w:type="dxa"/>
            <w:vAlign w:val="bottom"/>
            <w:tcBorders>
              <w:right w:val="single" w:sz="8" w:color="0000FF"/>
            </w:tcBorders>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20" w:type="dxa"/>
            <w:vAlign w:val="bottom"/>
            <w:gridSpan w:val="2"/>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1260" w:type="dxa"/>
            <w:vAlign w:val="bottom"/>
            <w:tcBorders>
              <w:right w:val="single" w:sz="8" w:color="0000FF"/>
            </w:tcBorders>
            <w:shd w:val="clear" w:color="auto" w:fill="0000FF"/>
          </w:tcPr>
          <w:p>
            <w:pPr>
              <w:spacing w:after="0" w:line="20" w:lineRule="exact"/>
              <w:rPr>
                <w:sz w:val="1"/>
                <w:szCs w:val="1"/>
                <w:color w:val="auto"/>
              </w:rPr>
            </w:pPr>
          </w:p>
        </w:tc>
        <w:tc>
          <w:tcPr>
            <w:tcW w:w="720" w:type="dxa"/>
            <w:vAlign w:val="bottom"/>
            <w:tcBorders>
              <w:right w:val="single" w:sz="8" w:color="0000EE"/>
            </w:tcBorders>
            <w:shd w:val="clear" w:color="auto" w:fill="0000FF"/>
          </w:tcPr>
          <w:p>
            <w:pPr>
              <w:spacing w:after="0" w:line="20" w:lineRule="exact"/>
              <w:rPr>
                <w:sz w:val="1"/>
                <w:szCs w:val="1"/>
                <w:color w:val="auto"/>
              </w:rPr>
            </w:pPr>
          </w:p>
        </w:tc>
        <w:tc>
          <w:tcPr>
            <w:tcW w:w="4300" w:type="dxa"/>
            <w:vAlign w:val="bottom"/>
            <w:gridSpan w:val="8"/>
            <w:vMerge w:val="restart"/>
          </w:tcPr>
          <w:p>
            <w:pPr>
              <w:ind w:left="40"/>
              <w:spacing w:after="0" w:line="202" w:lineRule="exact"/>
              <w:rPr>
                <w:rFonts w:ascii="Arial" w:cs="Arial" w:eastAsia="Arial" w:hAnsi="Arial"/>
                <w:sz w:val="18"/>
                <w:szCs w:val="18"/>
                <w:color w:val="0000FF"/>
              </w:rPr>
            </w:pPr>
            <w:hyperlink w:anchor="page4">
              <w:r>
                <w:rPr>
                  <w:rFonts w:ascii="Arial" w:cs="Arial" w:eastAsia="Arial" w:hAnsi="Arial"/>
                  <w:sz w:val="18"/>
                  <w:szCs w:val="18"/>
                  <w:color w:val="0000FF"/>
                </w:rPr>
                <w:t>(Loss) (Unaudited)</w:t>
              </w:r>
            </w:hyperlink>
          </w:p>
        </w:tc>
        <w:tc>
          <w:tcPr>
            <w:tcW w:w="1840" w:type="dxa"/>
            <w:vAlign w:val="bottom"/>
            <w:vMerge w:val="restart"/>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740" w:type="dxa"/>
            <w:vAlign w:val="bottom"/>
            <w:gridSpan w:val="11"/>
          </w:tcPr>
          <w:p>
            <w:pPr>
              <w:spacing w:after="0" w:line="182" w:lineRule="exact"/>
              <w:rPr>
                <w:rFonts w:ascii="Arial" w:cs="Arial" w:eastAsia="Arial" w:hAnsi="Arial"/>
                <w:sz w:val="18"/>
                <w:szCs w:val="18"/>
                <w:color w:val="0000FF"/>
                <w:w w:val="88"/>
              </w:rPr>
            </w:pPr>
            <w:hyperlink w:anchor="page4">
              <w:r>
                <w:rPr>
                  <w:rFonts w:ascii="Arial" w:cs="Arial" w:eastAsia="Arial" w:hAnsi="Arial"/>
                  <w:sz w:val="18"/>
                  <w:szCs w:val="18"/>
                  <w:color w:val="0000FF"/>
                  <w:w w:val="88"/>
                </w:rPr>
                <w:t>Consolidated Statements of Comprehensive Income</w:t>
              </w:r>
            </w:hyperlink>
          </w:p>
        </w:tc>
        <w:tc>
          <w:tcPr>
            <w:tcW w:w="4300" w:type="dxa"/>
            <w:vAlign w:val="bottom"/>
            <w:gridSpan w:val="8"/>
            <w:vMerge w:val="continue"/>
          </w:tcPr>
          <w:p>
            <w:pPr>
              <w:spacing w:after="0"/>
              <w:rPr>
                <w:sz w:val="15"/>
                <w:szCs w:val="15"/>
                <w:color w:val="auto"/>
              </w:rPr>
            </w:pPr>
          </w:p>
        </w:tc>
        <w:tc>
          <w:tcPr>
            <w:tcW w:w="1840" w:type="dxa"/>
            <w:vAlign w:val="bottom"/>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0000FF"/>
                <w:w w:val="71"/>
              </w:rPr>
              <w:t>4</w:t>
            </w:r>
          </w:p>
        </w:tc>
        <w:tc>
          <w:tcPr>
            <w:tcW w:w="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00" w:type="dxa"/>
            <w:vAlign w:val="bottom"/>
            <w:tcBorders>
              <w:right w:val="single" w:sz="8" w:color="0000FF"/>
            </w:tcBorders>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20" w:type="dxa"/>
            <w:vAlign w:val="bottom"/>
            <w:gridSpan w:val="2"/>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1260" w:type="dxa"/>
            <w:vAlign w:val="bottom"/>
            <w:tcBorders>
              <w:right w:val="single" w:sz="8" w:color="0000FF"/>
            </w:tcBorders>
            <w:shd w:val="clear" w:color="auto" w:fill="0000FF"/>
          </w:tcPr>
          <w:p>
            <w:pPr>
              <w:spacing w:after="0" w:line="20" w:lineRule="exact"/>
              <w:rPr>
                <w:sz w:val="1"/>
                <w:szCs w:val="1"/>
                <w:color w:val="auto"/>
              </w:rPr>
            </w:pPr>
          </w:p>
        </w:tc>
        <w:tc>
          <w:tcPr>
            <w:tcW w:w="780" w:type="dxa"/>
            <w:vAlign w:val="bottom"/>
            <w:tcBorders>
              <w:right w:val="single" w:sz="8" w:color="0000FF"/>
            </w:tcBorders>
            <w:gridSpan w:val="2"/>
            <w:shd w:val="clear" w:color="auto" w:fill="0000FF"/>
          </w:tcPr>
          <w:p>
            <w:pPr>
              <w:spacing w:after="0" w:line="20" w:lineRule="exact"/>
              <w:rPr>
                <w:sz w:val="1"/>
                <w:szCs w:val="1"/>
                <w:color w:val="auto"/>
              </w:rPr>
            </w:pPr>
          </w:p>
        </w:tc>
        <w:tc>
          <w:tcPr>
            <w:tcW w:w="160" w:type="dxa"/>
            <w:vAlign w:val="bottom"/>
            <w:tcBorders>
              <w:right w:val="single" w:sz="8" w:color="0000FF"/>
            </w:tcBorders>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700" w:type="dxa"/>
            <w:vAlign w:val="bottom"/>
            <w:shd w:val="clear" w:color="auto" w:fill="0000FF"/>
          </w:tcPr>
          <w:p>
            <w:pPr>
              <w:spacing w:after="0" w:line="20" w:lineRule="exact"/>
              <w:rPr>
                <w:sz w:val="1"/>
                <w:szCs w:val="1"/>
                <w:color w:val="auto"/>
              </w:rPr>
            </w:pPr>
          </w:p>
        </w:tc>
        <w:tc>
          <w:tcPr>
            <w:tcW w:w="1300" w:type="dxa"/>
            <w:vAlign w:val="bottom"/>
            <w:vMerge w:val="restart"/>
          </w:tcPr>
          <w:p>
            <w:pPr>
              <w:spacing w:after="0" w:line="20" w:lineRule="exact"/>
              <w:rPr>
                <w:sz w:val="1"/>
                <w:szCs w:val="1"/>
                <w:color w:val="auto"/>
              </w:rPr>
            </w:pPr>
          </w:p>
        </w:tc>
        <w:tc>
          <w:tcPr>
            <w:tcW w:w="1580" w:type="dxa"/>
            <w:vAlign w:val="bottom"/>
            <w:vMerge w:val="restart"/>
          </w:tcPr>
          <w:p>
            <w:pPr>
              <w:spacing w:after="0" w:line="20" w:lineRule="exact"/>
              <w:rPr>
                <w:sz w:val="1"/>
                <w:szCs w:val="1"/>
                <w:color w:val="auto"/>
              </w:rPr>
            </w:pPr>
          </w:p>
        </w:tc>
        <w:tc>
          <w:tcPr>
            <w:tcW w:w="1840" w:type="dxa"/>
            <w:vAlign w:val="bottom"/>
            <w:vMerge w:val="restart"/>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160" w:type="dxa"/>
            <w:vAlign w:val="bottom"/>
            <w:gridSpan w:val="17"/>
          </w:tcPr>
          <w:p>
            <w:pPr>
              <w:spacing w:after="0" w:line="182" w:lineRule="exact"/>
              <w:rPr>
                <w:rFonts w:ascii="Arial" w:cs="Arial" w:eastAsia="Arial" w:hAnsi="Arial"/>
                <w:sz w:val="18"/>
                <w:szCs w:val="18"/>
                <w:color w:val="0000FF"/>
              </w:rPr>
            </w:pPr>
            <w:hyperlink w:anchor="page5">
              <w:r>
                <w:rPr>
                  <w:rFonts w:ascii="Arial" w:cs="Arial" w:eastAsia="Arial" w:hAnsi="Arial"/>
                  <w:sz w:val="18"/>
                  <w:szCs w:val="18"/>
                  <w:color w:val="0000FF"/>
                </w:rPr>
                <w:t>Consolidated Balance Sheets (Unaudited)</w:t>
              </w:r>
            </w:hyperlink>
          </w:p>
        </w:tc>
        <w:tc>
          <w:tcPr>
            <w:tcW w:w="1300" w:type="dxa"/>
            <w:vAlign w:val="bottom"/>
            <w:vMerge w:val="continue"/>
          </w:tcPr>
          <w:p>
            <w:pPr>
              <w:spacing w:after="0"/>
              <w:rPr>
                <w:sz w:val="15"/>
                <w:szCs w:val="15"/>
                <w:color w:val="auto"/>
              </w:rPr>
            </w:pPr>
          </w:p>
        </w:tc>
        <w:tc>
          <w:tcPr>
            <w:tcW w:w="1580" w:type="dxa"/>
            <w:vAlign w:val="bottom"/>
            <w:vMerge w:val="continue"/>
          </w:tcPr>
          <w:p>
            <w:pPr>
              <w:spacing w:after="0"/>
              <w:rPr>
                <w:sz w:val="15"/>
                <w:szCs w:val="15"/>
                <w:color w:val="auto"/>
              </w:rPr>
            </w:pPr>
          </w:p>
        </w:tc>
        <w:tc>
          <w:tcPr>
            <w:tcW w:w="1840" w:type="dxa"/>
            <w:vAlign w:val="bottom"/>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0000FF"/>
                <w:w w:val="71"/>
              </w:rPr>
              <w:t>5</w:t>
            </w:r>
          </w:p>
        </w:tc>
        <w:tc>
          <w:tcPr>
            <w:tcW w:w="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00" w:type="dxa"/>
            <w:vAlign w:val="bottom"/>
            <w:tcBorders>
              <w:right w:val="single" w:sz="8" w:color="0000FF"/>
            </w:tcBorders>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20" w:type="dxa"/>
            <w:vAlign w:val="bottom"/>
            <w:gridSpan w:val="2"/>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1260" w:type="dxa"/>
            <w:vAlign w:val="bottom"/>
            <w:tcBorders>
              <w:right w:val="single" w:sz="8" w:color="0000EE"/>
            </w:tcBorders>
            <w:shd w:val="clear" w:color="auto" w:fill="0000FF"/>
          </w:tcPr>
          <w:p>
            <w:pPr>
              <w:spacing w:after="0" w:line="20" w:lineRule="exact"/>
              <w:rPr>
                <w:sz w:val="1"/>
                <w:szCs w:val="1"/>
                <w:color w:val="auto"/>
              </w:rPr>
            </w:pPr>
          </w:p>
        </w:tc>
        <w:tc>
          <w:tcPr>
            <w:tcW w:w="5020" w:type="dxa"/>
            <w:vAlign w:val="bottom"/>
            <w:gridSpan w:val="9"/>
            <w:vMerge w:val="restart"/>
          </w:tcPr>
          <w:p>
            <w:pPr>
              <w:ind w:left="40"/>
              <w:spacing w:after="0" w:line="202" w:lineRule="exact"/>
              <w:rPr>
                <w:rFonts w:ascii="Arial" w:cs="Arial" w:eastAsia="Arial" w:hAnsi="Arial"/>
                <w:sz w:val="18"/>
                <w:szCs w:val="18"/>
                <w:color w:val="0000FF"/>
              </w:rPr>
            </w:pPr>
            <w:hyperlink w:anchor="page6">
              <w:r>
                <w:rPr>
                  <w:rFonts w:ascii="Arial" w:cs="Arial" w:eastAsia="Arial" w:hAnsi="Arial"/>
                  <w:sz w:val="18"/>
                  <w:szCs w:val="18"/>
                  <w:color w:val="0000FF"/>
                </w:rPr>
                <w:t>Equity (Unaudited)</w:t>
              </w:r>
            </w:hyperlink>
          </w:p>
        </w:tc>
        <w:tc>
          <w:tcPr>
            <w:tcW w:w="1840" w:type="dxa"/>
            <w:vAlign w:val="bottom"/>
            <w:vMerge w:val="restart"/>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020" w:type="dxa"/>
            <w:vAlign w:val="bottom"/>
            <w:gridSpan w:val="10"/>
          </w:tcPr>
          <w:p>
            <w:pPr>
              <w:spacing w:after="0" w:line="182" w:lineRule="exact"/>
              <w:rPr>
                <w:rFonts w:ascii="Arial" w:cs="Arial" w:eastAsia="Arial" w:hAnsi="Arial"/>
                <w:sz w:val="18"/>
                <w:szCs w:val="18"/>
                <w:color w:val="0000FF"/>
                <w:w w:val="88"/>
              </w:rPr>
            </w:pPr>
            <w:hyperlink w:anchor="page6">
              <w:r>
                <w:rPr>
                  <w:rFonts w:ascii="Arial" w:cs="Arial" w:eastAsia="Arial" w:hAnsi="Arial"/>
                  <w:sz w:val="18"/>
                  <w:szCs w:val="18"/>
                  <w:color w:val="0000FF"/>
                  <w:w w:val="88"/>
                </w:rPr>
                <w:t>Consolidated Statements of Shareholders’</w:t>
              </w:r>
            </w:hyperlink>
          </w:p>
        </w:tc>
        <w:tc>
          <w:tcPr>
            <w:tcW w:w="5020" w:type="dxa"/>
            <w:vAlign w:val="bottom"/>
            <w:gridSpan w:val="9"/>
            <w:vMerge w:val="continue"/>
          </w:tcPr>
          <w:p>
            <w:pPr>
              <w:spacing w:after="0"/>
              <w:rPr>
                <w:sz w:val="15"/>
                <w:szCs w:val="15"/>
                <w:color w:val="auto"/>
              </w:rPr>
            </w:pPr>
          </w:p>
        </w:tc>
        <w:tc>
          <w:tcPr>
            <w:tcW w:w="1840" w:type="dxa"/>
            <w:vAlign w:val="bottom"/>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0000FF"/>
                <w:w w:val="71"/>
              </w:rPr>
              <w:t>6</w:t>
            </w:r>
          </w:p>
        </w:tc>
        <w:tc>
          <w:tcPr>
            <w:tcW w:w="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00" w:type="dxa"/>
            <w:vAlign w:val="bottom"/>
            <w:tcBorders>
              <w:right w:val="single" w:sz="8" w:color="0000FF"/>
            </w:tcBorders>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20" w:type="dxa"/>
            <w:vAlign w:val="bottom"/>
            <w:gridSpan w:val="2"/>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2040" w:type="dxa"/>
            <w:vAlign w:val="bottom"/>
            <w:tcBorders>
              <w:right w:val="single" w:sz="8" w:color="0000FF"/>
            </w:tcBorders>
            <w:gridSpan w:val="3"/>
            <w:shd w:val="clear" w:color="auto" w:fill="0000FF"/>
          </w:tcPr>
          <w:p>
            <w:pPr>
              <w:spacing w:after="0" w:line="20" w:lineRule="exact"/>
              <w:rPr>
                <w:sz w:val="1"/>
                <w:szCs w:val="1"/>
                <w:color w:val="auto"/>
              </w:rPr>
            </w:pPr>
          </w:p>
        </w:tc>
        <w:tc>
          <w:tcPr>
            <w:tcW w:w="160" w:type="dxa"/>
            <w:vAlign w:val="bottom"/>
            <w:tcBorders>
              <w:right w:val="single" w:sz="8" w:color="0000FF"/>
            </w:tcBorders>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2000" w:type="dxa"/>
            <w:vAlign w:val="bottom"/>
            <w:gridSpan w:val="2"/>
            <w:vMerge w:val="restart"/>
          </w:tcPr>
          <w:p>
            <w:pPr>
              <w:spacing w:after="0" w:line="20" w:lineRule="exact"/>
              <w:rPr>
                <w:sz w:val="1"/>
                <w:szCs w:val="1"/>
                <w:color w:val="auto"/>
              </w:rPr>
            </w:pPr>
          </w:p>
        </w:tc>
        <w:tc>
          <w:tcPr>
            <w:tcW w:w="1580" w:type="dxa"/>
            <w:vAlign w:val="bottom"/>
            <w:vMerge w:val="restart"/>
          </w:tcPr>
          <w:p>
            <w:pPr>
              <w:spacing w:after="0" w:line="20" w:lineRule="exact"/>
              <w:rPr>
                <w:sz w:val="1"/>
                <w:szCs w:val="1"/>
                <w:color w:val="auto"/>
              </w:rPr>
            </w:pPr>
          </w:p>
        </w:tc>
        <w:tc>
          <w:tcPr>
            <w:tcW w:w="1840" w:type="dxa"/>
            <w:vAlign w:val="bottom"/>
            <w:vMerge w:val="restart"/>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4460" w:type="dxa"/>
            <w:vAlign w:val="bottom"/>
            <w:gridSpan w:val="16"/>
          </w:tcPr>
          <w:p>
            <w:pPr>
              <w:spacing w:after="0" w:line="182" w:lineRule="exact"/>
              <w:rPr>
                <w:rFonts w:ascii="Arial" w:cs="Arial" w:eastAsia="Arial" w:hAnsi="Arial"/>
                <w:sz w:val="18"/>
                <w:szCs w:val="18"/>
                <w:color w:val="0000FF"/>
              </w:rPr>
            </w:pPr>
            <w:hyperlink w:anchor="page7">
              <w:r>
                <w:rPr>
                  <w:rFonts w:ascii="Arial" w:cs="Arial" w:eastAsia="Arial" w:hAnsi="Arial"/>
                  <w:sz w:val="18"/>
                  <w:szCs w:val="18"/>
                  <w:color w:val="0000FF"/>
                </w:rPr>
                <w:t>Consolidated Statements of Cash Flows (Unaudited)</w:t>
              </w:r>
            </w:hyperlink>
          </w:p>
        </w:tc>
        <w:tc>
          <w:tcPr>
            <w:tcW w:w="2000" w:type="dxa"/>
            <w:vAlign w:val="bottom"/>
            <w:gridSpan w:val="2"/>
            <w:vMerge w:val="continue"/>
          </w:tcPr>
          <w:p>
            <w:pPr>
              <w:spacing w:after="0"/>
              <w:rPr>
                <w:sz w:val="15"/>
                <w:szCs w:val="15"/>
                <w:color w:val="auto"/>
              </w:rPr>
            </w:pPr>
          </w:p>
        </w:tc>
        <w:tc>
          <w:tcPr>
            <w:tcW w:w="1580" w:type="dxa"/>
            <w:vAlign w:val="bottom"/>
            <w:vMerge w:val="continue"/>
          </w:tcPr>
          <w:p>
            <w:pPr>
              <w:spacing w:after="0"/>
              <w:rPr>
                <w:sz w:val="15"/>
                <w:szCs w:val="15"/>
                <w:color w:val="auto"/>
              </w:rPr>
            </w:pPr>
          </w:p>
        </w:tc>
        <w:tc>
          <w:tcPr>
            <w:tcW w:w="1840" w:type="dxa"/>
            <w:vAlign w:val="bottom"/>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0000FF"/>
                <w:w w:val="71"/>
              </w:rPr>
              <w:t>7</w:t>
            </w:r>
          </w:p>
        </w:tc>
        <w:tc>
          <w:tcPr>
            <w:tcW w:w="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00" w:type="dxa"/>
            <w:vAlign w:val="bottom"/>
            <w:tcBorders>
              <w:right w:val="single" w:sz="8" w:color="0000FF"/>
            </w:tcBorders>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20" w:type="dxa"/>
            <w:vAlign w:val="bottom"/>
            <w:gridSpan w:val="2"/>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2040" w:type="dxa"/>
            <w:vAlign w:val="bottom"/>
            <w:tcBorders>
              <w:right w:val="single" w:sz="8" w:color="0000EE"/>
            </w:tcBorders>
            <w:gridSpan w:val="3"/>
            <w:shd w:val="clear" w:color="auto" w:fill="0000FF"/>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340" w:type="dxa"/>
            <w:vAlign w:val="bottom"/>
            <w:vMerge w:val="restart"/>
          </w:tcPr>
          <w:p>
            <w:pPr>
              <w:spacing w:after="0" w:line="20" w:lineRule="exact"/>
              <w:rPr>
                <w:sz w:val="1"/>
                <w:szCs w:val="1"/>
                <w:color w:val="auto"/>
              </w:rPr>
            </w:pPr>
          </w:p>
        </w:tc>
        <w:tc>
          <w:tcPr>
            <w:tcW w:w="40" w:type="dxa"/>
            <w:vAlign w:val="bottom"/>
            <w:vMerge w:val="restart"/>
          </w:tcPr>
          <w:p>
            <w:pPr>
              <w:spacing w:after="0" w:line="20" w:lineRule="exact"/>
              <w:rPr>
                <w:sz w:val="1"/>
                <w:szCs w:val="1"/>
                <w:color w:val="auto"/>
              </w:rPr>
            </w:pPr>
          </w:p>
        </w:tc>
        <w:tc>
          <w:tcPr>
            <w:tcW w:w="2120" w:type="dxa"/>
            <w:vAlign w:val="bottom"/>
            <w:gridSpan w:val="3"/>
            <w:vMerge w:val="restart"/>
          </w:tcPr>
          <w:p>
            <w:pPr>
              <w:spacing w:after="0" w:line="20" w:lineRule="exact"/>
              <w:rPr>
                <w:sz w:val="1"/>
                <w:szCs w:val="1"/>
                <w:color w:val="auto"/>
              </w:rPr>
            </w:pPr>
          </w:p>
        </w:tc>
        <w:tc>
          <w:tcPr>
            <w:tcW w:w="1580" w:type="dxa"/>
            <w:vAlign w:val="bottom"/>
            <w:vMerge w:val="restart"/>
          </w:tcPr>
          <w:p>
            <w:pPr>
              <w:spacing w:after="0" w:line="20" w:lineRule="exact"/>
              <w:rPr>
                <w:sz w:val="1"/>
                <w:szCs w:val="1"/>
                <w:color w:val="auto"/>
              </w:rPr>
            </w:pPr>
          </w:p>
        </w:tc>
        <w:tc>
          <w:tcPr>
            <w:tcW w:w="1840" w:type="dxa"/>
            <w:vAlign w:val="bottom"/>
            <w:vMerge w:val="restart"/>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1140" w:type="dxa"/>
            <w:vAlign w:val="bottom"/>
            <w:gridSpan w:val="5"/>
            <w:vMerge w:val="restart"/>
          </w:tcPr>
          <w:p>
            <w:pPr>
              <w:spacing w:after="0"/>
              <w:rPr>
                <w:rFonts w:ascii="Arial" w:cs="Arial" w:eastAsia="Arial" w:hAnsi="Arial"/>
                <w:sz w:val="18"/>
                <w:szCs w:val="18"/>
                <w:i w:val="1"/>
                <w:iCs w:val="1"/>
                <w:color w:val="0000FF"/>
              </w:rPr>
            </w:pPr>
            <w:hyperlink w:anchor="page18">
              <w:r>
                <w:rPr>
                  <w:rFonts w:ascii="Arial" w:cs="Arial" w:eastAsia="Arial" w:hAnsi="Arial"/>
                  <w:sz w:val="18"/>
                  <w:szCs w:val="18"/>
                  <w:i w:val="1"/>
                  <w:iCs w:val="1"/>
                  <w:color w:val="0000FF"/>
                </w:rPr>
                <w:t>Item 2.</w:t>
              </w:r>
            </w:hyperlink>
          </w:p>
        </w:tc>
        <w:tc>
          <w:tcPr>
            <w:tcW w:w="3800" w:type="dxa"/>
            <w:vAlign w:val="bottom"/>
            <w:gridSpan w:val="12"/>
          </w:tcPr>
          <w:p>
            <w:pPr>
              <w:spacing w:after="0" w:line="182" w:lineRule="exact"/>
              <w:rPr>
                <w:rFonts w:ascii="Arial" w:cs="Arial" w:eastAsia="Arial" w:hAnsi="Arial"/>
                <w:sz w:val="18"/>
                <w:szCs w:val="18"/>
                <w:color w:val="0000FF"/>
                <w:w w:val="85"/>
              </w:rPr>
            </w:pPr>
            <w:hyperlink w:anchor="page8">
              <w:r>
                <w:rPr>
                  <w:rFonts w:ascii="Arial" w:cs="Arial" w:eastAsia="Arial" w:hAnsi="Arial"/>
                  <w:sz w:val="18"/>
                  <w:szCs w:val="18"/>
                  <w:color w:val="0000FF"/>
                  <w:w w:val="85"/>
                </w:rPr>
                <w:t>Notes to Unaudited Consolidated Financial Statements</w:t>
              </w:r>
            </w:hyperlink>
          </w:p>
        </w:tc>
        <w:tc>
          <w:tcPr>
            <w:tcW w:w="160" w:type="dxa"/>
            <w:vAlign w:val="bottom"/>
            <w:vMerge w:val="continue"/>
          </w:tcPr>
          <w:p>
            <w:pPr>
              <w:spacing w:after="0"/>
              <w:rPr>
                <w:sz w:val="15"/>
                <w:szCs w:val="15"/>
                <w:color w:val="auto"/>
              </w:rPr>
            </w:pPr>
          </w:p>
        </w:tc>
        <w:tc>
          <w:tcPr>
            <w:tcW w:w="340" w:type="dxa"/>
            <w:vAlign w:val="bottom"/>
            <w:vMerge w:val="continue"/>
          </w:tcPr>
          <w:p>
            <w:pPr>
              <w:spacing w:after="0"/>
              <w:rPr>
                <w:sz w:val="15"/>
                <w:szCs w:val="15"/>
                <w:color w:val="auto"/>
              </w:rPr>
            </w:pPr>
          </w:p>
        </w:tc>
        <w:tc>
          <w:tcPr>
            <w:tcW w:w="40" w:type="dxa"/>
            <w:vAlign w:val="bottom"/>
            <w:vMerge w:val="continue"/>
          </w:tcPr>
          <w:p>
            <w:pPr>
              <w:spacing w:after="0"/>
              <w:rPr>
                <w:sz w:val="15"/>
                <w:szCs w:val="15"/>
                <w:color w:val="auto"/>
              </w:rPr>
            </w:pPr>
          </w:p>
        </w:tc>
        <w:tc>
          <w:tcPr>
            <w:tcW w:w="2120" w:type="dxa"/>
            <w:vAlign w:val="bottom"/>
            <w:gridSpan w:val="3"/>
            <w:vMerge w:val="continue"/>
          </w:tcPr>
          <w:p>
            <w:pPr>
              <w:spacing w:after="0"/>
              <w:rPr>
                <w:sz w:val="15"/>
                <w:szCs w:val="15"/>
                <w:color w:val="auto"/>
              </w:rPr>
            </w:pPr>
          </w:p>
        </w:tc>
        <w:tc>
          <w:tcPr>
            <w:tcW w:w="1580" w:type="dxa"/>
            <w:vAlign w:val="bottom"/>
            <w:vMerge w:val="continue"/>
          </w:tcPr>
          <w:p>
            <w:pPr>
              <w:spacing w:after="0"/>
              <w:rPr>
                <w:sz w:val="15"/>
                <w:szCs w:val="15"/>
                <w:color w:val="auto"/>
              </w:rPr>
            </w:pPr>
          </w:p>
        </w:tc>
        <w:tc>
          <w:tcPr>
            <w:tcW w:w="1840" w:type="dxa"/>
            <w:vAlign w:val="bottom"/>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0000FF"/>
                <w:w w:val="71"/>
              </w:rPr>
              <w:t>8</w:t>
            </w:r>
          </w:p>
        </w:tc>
        <w:tc>
          <w:tcPr>
            <w:tcW w:w="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40" w:type="dxa"/>
            <w:vAlign w:val="bottom"/>
            <w:gridSpan w:val="5"/>
            <w:vMerge w:val="continu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00" w:type="dxa"/>
            <w:vAlign w:val="bottom"/>
            <w:tcBorders>
              <w:right w:val="single" w:sz="8" w:color="0000FF"/>
            </w:tcBorders>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20" w:type="dxa"/>
            <w:vAlign w:val="bottom"/>
            <w:gridSpan w:val="2"/>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2200" w:type="dxa"/>
            <w:vAlign w:val="bottom"/>
            <w:tcBorders>
              <w:right w:val="single" w:sz="8" w:color="0000EE"/>
            </w:tcBorders>
            <w:gridSpan w:val="4"/>
            <w:shd w:val="clear" w:color="auto" w:fill="0000FF"/>
          </w:tcPr>
          <w:p>
            <w:pPr>
              <w:spacing w:after="0" w:line="20" w:lineRule="exact"/>
              <w:rPr>
                <w:sz w:val="1"/>
                <w:szCs w:val="1"/>
                <w:color w:val="auto"/>
              </w:rPr>
            </w:pPr>
          </w:p>
        </w:tc>
        <w:tc>
          <w:tcPr>
            <w:tcW w:w="4080" w:type="dxa"/>
            <w:vAlign w:val="bottom"/>
            <w:gridSpan w:val="6"/>
            <w:vMerge w:val="restart"/>
          </w:tcPr>
          <w:p>
            <w:pPr>
              <w:spacing w:after="0" w:line="202" w:lineRule="exact"/>
              <w:rPr>
                <w:rFonts w:ascii="Arial" w:cs="Arial" w:eastAsia="Arial" w:hAnsi="Arial"/>
                <w:sz w:val="18"/>
                <w:szCs w:val="18"/>
                <w:color w:val="0000FF"/>
              </w:rPr>
            </w:pPr>
            <w:hyperlink w:anchor="page18">
              <w:r>
                <w:rPr>
                  <w:rFonts w:ascii="Arial" w:cs="Arial" w:eastAsia="Arial" w:hAnsi="Arial"/>
                  <w:sz w:val="18"/>
                  <w:szCs w:val="18"/>
                  <w:color w:val="0000FF"/>
                </w:rPr>
                <w:t>Condition and Results of Operations</w:t>
              </w:r>
            </w:hyperlink>
          </w:p>
        </w:tc>
        <w:tc>
          <w:tcPr>
            <w:tcW w:w="18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1140" w:type="dxa"/>
            <w:vAlign w:val="bottom"/>
            <w:gridSpan w:val="5"/>
            <w:vMerge w:val="continue"/>
          </w:tcPr>
          <w:p>
            <w:pPr>
              <w:spacing w:after="0"/>
              <w:rPr>
                <w:sz w:val="15"/>
                <w:szCs w:val="15"/>
                <w:color w:val="auto"/>
              </w:rPr>
            </w:pPr>
          </w:p>
        </w:tc>
        <w:tc>
          <w:tcPr>
            <w:tcW w:w="3960" w:type="dxa"/>
            <w:vAlign w:val="bottom"/>
            <w:gridSpan w:val="13"/>
          </w:tcPr>
          <w:p>
            <w:pPr>
              <w:spacing w:after="0" w:line="182" w:lineRule="exact"/>
              <w:rPr>
                <w:rFonts w:ascii="Arial" w:cs="Arial" w:eastAsia="Arial" w:hAnsi="Arial"/>
                <w:sz w:val="18"/>
                <w:szCs w:val="18"/>
                <w:color w:val="0000FF"/>
                <w:w w:val="94"/>
              </w:rPr>
            </w:pPr>
            <w:hyperlink w:anchor="page18">
              <w:r>
                <w:rPr>
                  <w:rFonts w:ascii="Arial" w:cs="Arial" w:eastAsia="Arial" w:hAnsi="Arial"/>
                  <w:sz w:val="18"/>
                  <w:szCs w:val="18"/>
                  <w:color w:val="0000FF"/>
                  <w:w w:val="94"/>
                </w:rPr>
                <w:t>Management’s Discussion and Analysis of Financial</w:t>
              </w:r>
            </w:hyperlink>
          </w:p>
        </w:tc>
        <w:tc>
          <w:tcPr>
            <w:tcW w:w="4080" w:type="dxa"/>
            <w:vAlign w:val="bottom"/>
            <w:gridSpan w:val="6"/>
            <w:vMerge w:val="continue"/>
          </w:tcPr>
          <w:p>
            <w:pPr>
              <w:spacing w:after="0"/>
              <w:rPr>
                <w:sz w:val="15"/>
                <w:szCs w:val="15"/>
                <w:color w:val="auto"/>
              </w:rPr>
            </w:pPr>
          </w:p>
        </w:tc>
        <w:tc>
          <w:tcPr>
            <w:tcW w:w="2020" w:type="dxa"/>
            <w:vAlign w:val="bottom"/>
            <w:gridSpan w:val="3"/>
          </w:tcPr>
          <w:p>
            <w:pPr>
              <w:jc w:val="right"/>
              <w:spacing w:after="0" w:line="182" w:lineRule="exact"/>
              <w:rPr>
                <w:sz w:val="20"/>
                <w:szCs w:val="20"/>
                <w:color w:val="auto"/>
              </w:rPr>
            </w:pPr>
            <w:r>
              <w:rPr>
                <w:rFonts w:ascii="Arial" w:cs="Arial" w:eastAsia="Arial" w:hAnsi="Arial"/>
                <w:sz w:val="18"/>
                <w:szCs w:val="18"/>
                <w:color w:val="0000FF"/>
              </w:rPr>
              <w:t>18</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480" w:type="dxa"/>
            <w:vAlign w:val="bottom"/>
            <w:tcBorders>
              <w:top w:val="single" w:sz="8" w:color="0000FF"/>
            </w:tcBorders>
          </w:tcPr>
          <w:p>
            <w:pPr>
              <w:spacing w:after="0" w:line="182" w:lineRule="exact"/>
              <w:rPr>
                <w:rFonts w:ascii="Arial" w:cs="Arial" w:eastAsia="Arial" w:hAnsi="Arial"/>
                <w:sz w:val="18"/>
                <w:szCs w:val="18"/>
                <w:i w:val="1"/>
                <w:iCs w:val="1"/>
                <w:color w:val="0000FF"/>
                <w:w w:val="83"/>
              </w:rPr>
            </w:pPr>
            <w:hyperlink w:anchor="page28">
              <w:r>
                <w:rPr>
                  <w:rFonts w:ascii="Arial" w:cs="Arial" w:eastAsia="Arial" w:hAnsi="Arial"/>
                  <w:sz w:val="18"/>
                  <w:szCs w:val="18"/>
                  <w:i w:val="1"/>
                  <w:iCs w:val="1"/>
                  <w:color w:val="0000FF"/>
                  <w:w w:val="83"/>
                </w:rPr>
                <w:t>Item 3.</w:t>
              </w:r>
            </w:hyperlink>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440" w:type="dxa"/>
            <w:vAlign w:val="bottom"/>
            <w:tcBorders>
              <w:top w:val="single" w:sz="8" w:color="0000FF"/>
            </w:tcBorders>
            <w:gridSpan w:val="17"/>
          </w:tcPr>
          <w:p>
            <w:pPr>
              <w:spacing w:after="0" w:line="182" w:lineRule="exact"/>
              <w:rPr>
                <w:rFonts w:ascii="Arial" w:cs="Arial" w:eastAsia="Arial" w:hAnsi="Arial"/>
                <w:sz w:val="18"/>
                <w:szCs w:val="18"/>
                <w:color w:val="0000FF"/>
              </w:rPr>
            </w:pPr>
            <w:hyperlink w:anchor="page28">
              <w:r>
                <w:rPr>
                  <w:rFonts w:ascii="Arial" w:cs="Arial" w:eastAsia="Arial" w:hAnsi="Arial"/>
                  <w:sz w:val="18"/>
                  <w:szCs w:val="18"/>
                  <w:color w:val="0000FF"/>
                </w:rPr>
                <w:t>Quantitative and Qualitative Disclosures about Market Risk</w:t>
              </w:r>
            </w:hyperlink>
          </w:p>
        </w:tc>
        <w:tc>
          <w:tcPr>
            <w:tcW w:w="1580" w:type="dxa"/>
            <w:vAlign w:val="bottom"/>
          </w:tcPr>
          <w:p>
            <w:pPr>
              <w:spacing w:after="0"/>
              <w:rPr>
                <w:sz w:val="15"/>
                <w:szCs w:val="15"/>
                <w:color w:val="auto"/>
              </w:rPr>
            </w:pPr>
          </w:p>
        </w:tc>
        <w:tc>
          <w:tcPr>
            <w:tcW w:w="1840" w:type="dxa"/>
            <w:vAlign w:val="bottom"/>
          </w:tcPr>
          <w:p>
            <w:pPr>
              <w:spacing w:after="0"/>
              <w:rPr>
                <w:sz w:val="15"/>
                <w:szCs w:val="15"/>
                <w:color w:val="auto"/>
              </w:rPr>
            </w:pPr>
          </w:p>
        </w:tc>
        <w:tc>
          <w:tcPr>
            <w:tcW w:w="180" w:type="dxa"/>
            <w:vAlign w:val="bottom"/>
            <w:tcBorders>
              <w:top w:val="single" w:sz="8" w:color="0000FF"/>
            </w:tcBorders>
            <w:gridSpan w:val="2"/>
          </w:tcPr>
          <w:p>
            <w:pPr>
              <w:jc w:val="right"/>
              <w:spacing w:after="0" w:line="182" w:lineRule="exact"/>
              <w:rPr>
                <w:sz w:val="20"/>
                <w:szCs w:val="20"/>
                <w:color w:val="auto"/>
              </w:rPr>
            </w:pPr>
            <w:r>
              <w:rPr>
                <w:rFonts w:ascii="Arial" w:cs="Arial" w:eastAsia="Arial" w:hAnsi="Arial"/>
                <w:sz w:val="18"/>
                <w:szCs w:val="18"/>
                <w:color w:val="0000FF"/>
                <w:w w:val="79"/>
              </w:rPr>
              <w:t>28</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shd w:val="clear" w:color="auto" w:fill="0000EE"/>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520" w:type="dxa"/>
            <w:vAlign w:val="bottom"/>
            <w:vMerge w:val="restart"/>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00" w:type="dxa"/>
            <w:vAlign w:val="bottom"/>
            <w:tcBorders>
              <w:right w:val="single" w:sz="8" w:color="0000FF"/>
            </w:tcBorders>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20" w:type="dxa"/>
            <w:vAlign w:val="bottom"/>
            <w:gridSpan w:val="2"/>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2540" w:type="dxa"/>
            <w:vAlign w:val="bottom"/>
            <w:gridSpan w:val="5"/>
            <w:shd w:val="clear" w:color="auto" w:fill="0000FF"/>
          </w:tcPr>
          <w:p>
            <w:pPr>
              <w:spacing w:after="0" w:line="20" w:lineRule="exact"/>
              <w:rPr>
                <w:sz w:val="1"/>
                <w:szCs w:val="1"/>
                <w:color w:val="auto"/>
              </w:rPr>
            </w:pPr>
          </w:p>
        </w:tc>
        <w:tc>
          <w:tcPr>
            <w:tcW w:w="40" w:type="dxa"/>
            <w:vAlign w:val="bottom"/>
            <w:vMerge w:val="restart"/>
          </w:tcPr>
          <w:p>
            <w:pPr>
              <w:spacing w:after="0" w:line="20" w:lineRule="exact"/>
              <w:rPr>
                <w:sz w:val="1"/>
                <w:szCs w:val="1"/>
                <w:color w:val="auto"/>
              </w:rPr>
            </w:pPr>
          </w:p>
        </w:tc>
        <w:tc>
          <w:tcPr>
            <w:tcW w:w="3700" w:type="dxa"/>
            <w:vAlign w:val="bottom"/>
            <w:gridSpan w:val="4"/>
            <w:vMerge w:val="restart"/>
          </w:tcPr>
          <w:p>
            <w:pPr>
              <w:spacing w:after="0" w:line="20" w:lineRule="exact"/>
              <w:rPr>
                <w:sz w:val="1"/>
                <w:szCs w:val="1"/>
                <w:color w:val="auto"/>
              </w:rPr>
            </w:pPr>
          </w:p>
        </w:tc>
        <w:tc>
          <w:tcPr>
            <w:tcW w:w="1840" w:type="dxa"/>
            <w:vAlign w:val="bottom"/>
            <w:vMerge w:val="restart"/>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520" w:type="dxa"/>
            <w:vAlign w:val="bottom"/>
            <w:gridSpan w:val="3"/>
          </w:tcPr>
          <w:p>
            <w:pPr>
              <w:spacing w:after="0" w:line="182" w:lineRule="exact"/>
              <w:rPr>
                <w:rFonts w:ascii="Arial" w:cs="Arial" w:eastAsia="Arial" w:hAnsi="Arial"/>
                <w:sz w:val="18"/>
                <w:szCs w:val="18"/>
                <w:i w:val="1"/>
                <w:iCs w:val="1"/>
                <w:color w:val="0000FF"/>
                <w:w w:val="90"/>
              </w:rPr>
            </w:pPr>
            <w:hyperlink w:anchor="page29">
              <w:r>
                <w:rPr>
                  <w:rFonts w:ascii="Arial" w:cs="Arial" w:eastAsia="Arial" w:hAnsi="Arial"/>
                  <w:sz w:val="18"/>
                  <w:szCs w:val="18"/>
                  <w:i w:val="1"/>
                  <w:iCs w:val="1"/>
                  <w:color w:val="0000FF"/>
                  <w:w w:val="90"/>
                </w:rPr>
                <w:t>Item 4.</w:t>
              </w:r>
            </w:hyperlink>
          </w:p>
        </w:tc>
        <w:tc>
          <w:tcPr>
            <w:tcW w:w="100" w:type="dxa"/>
            <w:vAlign w:val="bottom"/>
            <w:vMerge w:val="continue"/>
          </w:tcPr>
          <w:p>
            <w:pPr>
              <w:spacing w:after="0"/>
              <w:rPr>
                <w:sz w:val="15"/>
                <w:szCs w:val="15"/>
                <w:color w:val="auto"/>
              </w:rPr>
            </w:pPr>
          </w:p>
        </w:tc>
        <w:tc>
          <w:tcPr>
            <w:tcW w:w="520" w:type="dxa"/>
            <w:vAlign w:val="bottom"/>
            <w:vMerge w:val="continue"/>
          </w:tcPr>
          <w:p>
            <w:pPr>
              <w:spacing w:after="0"/>
              <w:rPr>
                <w:sz w:val="15"/>
                <w:szCs w:val="15"/>
                <w:color w:val="auto"/>
              </w:rPr>
            </w:pPr>
          </w:p>
        </w:tc>
        <w:tc>
          <w:tcPr>
            <w:tcW w:w="20" w:type="dxa"/>
            <w:vAlign w:val="bottom"/>
            <w:vMerge w:val="continue"/>
          </w:tcPr>
          <w:p>
            <w:pPr>
              <w:spacing w:after="0"/>
              <w:rPr>
                <w:sz w:val="15"/>
                <w:szCs w:val="15"/>
                <w:color w:val="auto"/>
              </w:rPr>
            </w:pPr>
          </w:p>
        </w:tc>
        <w:tc>
          <w:tcPr>
            <w:tcW w:w="4280" w:type="dxa"/>
            <w:vAlign w:val="bottom"/>
            <w:gridSpan w:val="13"/>
          </w:tcPr>
          <w:p>
            <w:pPr>
              <w:spacing w:after="0" w:line="182" w:lineRule="exact"/>
              <w:rPr>
                <w:rFonts w:ascii="Arial" w:cs="Arial" w:eastAsia="Arial" w:hAnsi="Arial"/>
                <w:sz w:val="18"/>
                <w:szCs w:val="18"/>
                <w:color w:val="0000FF"/>
              </w:rPr>
            </w:pPr>
            <w:hyperlink w:anchor="page29">
              <w:r>
                <w:rPr>
                  <w:rFonts w:ascii="Arial" w:cs="Arial" w:eastAsia="Arial" w:hAnsi="Arial"/>
                  <w:sz w:val="18"/>
                  <w:szCs w:val="18"/>
                  <w:color w:val="0000FF"/>
                </w:rPr>
                <w:t>Controls and Procedures</w:t>
              </w:r>
            </w:hyperlink>
          </w:p>
        </w:tc>
        <w:tc>
          <w:tcPr>
            <w:tcW w:w="40" w:type="dxa"/>
            <w:vAlign w:val="bottom"/>
            <w:vMerge w:val="continue"/>
          </w:tcPr>
          <w:p>
            <w:pPr>
              <w:spacing w:after="0"/>
              <w:rPr>
                <w:sz w:val="15"/>
                <w:szCs w:val="15"/>
                <w:color w:val="auto"/>
              </w:rPr>
            </w:pPr>
          </w:p>
        </w:tc>
        <w:tc>
          <w:tcPr>
            <w:tcW w:w="3700" w:type="dxa"/>
            <w:vAlign w:val="bottom"/>
            <w:gridSpan w:val="4"/>
            <w:vMerge w:val="continue"/>
          </w:tcPr>
          <w:p>
            <w:pPr>
              <w:spacing w:after="0"/>
              <w:rPr>
                <w:sz w:val="15"/>
                <w:szCs w:val="15"/>
                <w:color w:val="auto"/>
              </w:rPr>
            </w:pPr>
          </w:p>
        </w:tc>
        <w:tc>
          <w:tcPr>
            <w:tcW w:w="1840" w:type="dxa"/>
            <w:vAlign w:val="bottom"/>
            <w:vMerge w:val="continue"/>
          </w:tcPr>
          <w:p>
            <w:pPr>
              <w:spacing w:after="0"/>
              <w:rPr>
                <w:sz w:val="15"/>
                <w:szCs w:val="15"/>
                <w:color w:val="auto"/>
              </w:rPr>
            </w:pPr>
          </w:p>
        </w:tc>
        <w:tc>
          <w:tcPr>
            <w:tcW w:w="180" w:type="dxa"/>
            <w:vAlign w:val="bottom"/>
            <w:gridSpan w:val="2"/>
          </w:tcPr>
          <w:p>
            <w:pPr>
              <w:jc w:val="right"/>
              <w:spacing w:after="0" w:line="182" w:lineRule="exact"/>
              <w:rPr>
                <w:sz w:val="20"/>
                <w:szCs w:val="20"/>
                <w:color w:val="auto"/>
              </w:rPr>
            </w:pPr>
            <w:r>
              <w:rPr>
                <w:rFonts w:ascii="Arial" w:cs="Arial" w:eastAsia="Arial" w:hAnsi="Arial"/>
                <w:sz w:val="18"/>
                <w:szCs w:val="18"/>
                <w:color w:val="0000FF"/>
                <w:w w:val="79"/>
              </w:rPr>
              <w:t>29</w:t>
            </w:r>
          </w:p>
        </w:tc>
        <w:tc>
          <w:tcPr>
            <w:tcW w:w="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shd w:val="clear" w:color="auto" w:fill="0000EE"/>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00" w:type="dxa"/>
            <w:vAlign w:val="bottom"/>
            <w:tcBorders>
              <w:right w:val="single" w:sz="8" w:color="0000FF"/>
            </w:tcBorders>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20" w:type="dxa"/>
            <w:vAlign w:val="bottom"/>
            <w:gridSpan w:val="2"/>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2580" w:type="dxa"/>
            <w:vAlign w:val="bottom"/>
            <w:gridSpan w:val="6"/>
          </w:tcPr>
          <w:p>
            <w:pPr>
              <w:spacing w:after="0" w:line="20" w:lineRule="exact"/>
              <w:rPr>
                <w:sz w:val="1"/>
                <w:szCs w:val="1"/>
                <w:color w:val="auto"/>
              </w:rPr>
            </w:pPr>
          </w:p>
        </w:tc>
        <w:tc>
          <w:tcPr>
            <w:tcW w:w="3700" w:type="dxa"/>
            <w:vAlign w:val="bottom"/>
            <w:gridSpan w:val="4"/>
          </w:tcPr>
          <w:p>
            <w:pPr>
              <w:spacing w:after="0" w:line="20" w:lineRule="exact"/>
              <w:rPr>
                <w:sz w:val="1"/>
                <w:szCs w:val="1"/>
                <w:color w:val="auto"/>
              </w:rPr>
            </w:pPr>
          </w:p>
        </w:tc>
        <w:tc>
          <w:tcPr>
            <w:tcW w:w="1840" w:type="dxa"/>
            <w:vAlign w:val="bottom"/>
            <w:vMerge w:val="restart"/>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9180" w:type="dxa"/>
            <w:vAlign w:val="bottom"/>
            <w:gridSpan w:val="24"/>
          </w:tcPr>
          <w:p>
            <w:pPr>
              <w:spacing w:after="0" w:line="182" w:lineRule="exact"/>
              <w:rPr>
                <w:rFonts w:ascii="Arial" w:cs="Arial" w:eastAsia="Arial" w:hAnsi="Arial"/>
                <w:sz w:val="18"/>
                <w:szCs w:val="18"/>
                <w:b w:val="1"/>
                <w:bCs w:val="1"/>
                <w:i w:val="1"/>
                <w:iCs w:val="1"/>
                <w:color w:val="0000FF"/>
              </w:rPr>
            </w:pPr>
            <w:hyperlink w:anchor="page29">
              <w:r>
                <w:rPr>
                  <w:rFonts w:ascii="Arial" w:cs="Arial" w:eastAsia="Arial" w:hAnsi="Arial"/>
                  <w:sz w:val="18"/>
                  <w:szCs w:val="18"/>
                  <w:b w:val="1"/>
                  <w:bCs w:val="1"/>
                  <w:i w:val="1"/>
                  <w:iCs w:val="1"/>
                  <w:color w:val="0000FF"/>
                </w:rPr>
                <w:t>Part II. Other Information</w:t>
              </w:r>
            </w:hyperlink>
          </w:p>
        </w:tc>
        <w:tc>
          <w:tcPr>
            <w:tcW w:w="1840" w:type="dxa"/>
            <w:vAlign w:val="bottom"/>
            <w:vMerge w:val="continue"/>
          </w:tcPr>
          <w:p>
            <w:pPr>
              <w:spacing w:after="0"/>
              <w:rPr>
                <w:sz w:val="15"/>
                <w:szCs w:val="15"/>
                <w:color w:val="auto"/>
              </w:rPr>
            </w:pPr>
          </w:p>
        </w:tc>
        <w:tc>
          <w:tcPr>
            <w:tcW w:w="180" w:type="dxa"/>
            <w:vAlign w:val="bottom"/>
            <w:gridSpan w:val="2"/>
          </w:tcPr>
          <w:p>
            <w:pPr>
              <w:jc w:val="right"/>
              <w:spacing w:after="0" w:line="182" w:lineRule="exact"/>
              <w:rPr>
                <w:sz w:val="20"/>
                <w:szCs w:val="20"/>
                <w:color w:val="auto"/>
              </w:rPr>
            </w:pPr>
            <w:r>
              <w:rPr>
                <w:rFonts w:ascii="Arial" w:cs="Arial" w:eastAsia="Arial" w:hAnsi="Arial"/>
                <w:sz w:val="18"/>
                <w:szCs w:val="18"/>
                <w:color w:val="0000FF"/>
                <w:w w:val="79"/>
              </w:rPr>
              <w:t>29</w:t>
            </w:r>
          </w:p>
        </w:tc>
        <w:tc>
          <w:tcPr>
            <w:tcW w:w="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shd w:val="clear" w:color="auto" w:fill="0000EE"/>
          </w:tcPr>
          <w:p>
            <w:pPr>
              <w:spacing w:after="0" w:line="20" w:lineRule="exact"/>
              <w:rPr>
                <w:sz w:val="1"/>
                <w:szCs w:val="1"/>
                <w:color w:val="auto"/>
              </w:rPr>
            </w:pPr>
          </w:p>
        </w:tc>
        <w:tc>
          <w:tcPr>
            <w:tcW w:w="600" w:type="dxa"/>
            <w:vAlign w:val="bottom"/>
            <w:gridSpan w:val="3"/>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600" w:type="dxa"/>
            <w:vAlign w:val="bottom"/>
            <w:gridSpan w:val="2"/>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00" w:type="dxa"/>
            <w:vAlign w:val="bottom"/>
            <w:tcBorders>
              <w:right w:val="single" w:sz="8" w:color="0000EE"/>
            </w:tcBorders>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3020" w:type="dxa"/>
            <w:vAlign w:val="bottom"/>
            <w:gridSpan w:val="8"/>
          </w:tcPr>
          <w:p>
            <w:pPr>
              <w:spacing w:after="0" w:line="20" w:lineRule="exact"/>
              <w:rPr>
                <w:sz w:val="1"/>
                <w:szCs w:val="1"/>
                <w:color w:val="auto"/>
              </w:rPr>
            </w:pPr>
          </w:p>
        </w:tc>
        <w:tc>
          <w:tcPr>
            <w:tcW w:w="3700" w:type="dxa"/>
            <w:vAlign w:val="bottom"/>
            <w:gridSpan w:val="4"/>
          </w:tcPr>
          <w:p>
            <w:pPr>
              <w:spacing w:after="0" w:line="20" w:lineRule="exact"/>
              <w:rPr>
                <w:sz w:val="1"/>
                <w:szCs w:val="1"/>
                <w:color w:val="auto"/>
              </w:rPr>
            </w:pPr>
          </w:p>
        </w:tc>
        <w:tc>
          <w:tcPr>
            <w:tcW w:w="1840" w:type="dxa"/>
            <w:vAlign w:val="bottom"/>
            <w:vMerge w:val="restart"/>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1140" w:type="dxa"/>
            <w:vAlign w:val="bottom"/>
            <w:gridSpan w:val="5"/>
          </w:tcPr>
          <w:p>
            <w:pPr>
              <w:spacing w:after="0" w:line="182" w:lineRule="exact"/>
              <w:rPr>
                <w:rFonts w:ascii="Arial" w:cs="Arial" w:eastAsia="Arial" w:hAnsi="Arial"/>
                <w:sz w:val="18"/>
                <w:szCs w:val="18"/>
                <w:i w:val="1"/>
                <w:iCs w:val="1"/>
                <w:color w:val="0000FF"/>
              </w:rPr>
            </w:pPr>
            <w:hyperlink w:anchor="page29">
              <w:r>
                <w:rPr>
                  <w:rFonts w:ascii="Arial" w:cs="Arial" w:eastAsia="Arial" w:hAnsi="Arial"/>
                  <w:sz w:val="18"/>
                  <w:szCs w:val="18"/>
                  <w:i w:val="1"/>
                  <w:iCs w:val="1"/>
                  <w:color w:val="0000FF"/>
                </w:rPr>
                <w:t>Item 1.</w:t>
              </w:r>
            </w:hyperlink>
          </w:p>
        </w:tc>
        <w:tc>
          <w:tcPr>
            <w:tcW w:w="8040" w:type="dxa"/>
            <w:vAlign w:val="bottom"/>
            <w:gridSpan w:val="19"/>
          </w:tcPr>
          <w:p>
            <w:pPr>
              <w:spacing w:after="0" w:line="182" w:lineRule="exact"/>
              <w:rPr>
                <w:rFonts w:ascii="Arial" w:cs="Arial" w:eastAsia="Arial" w:hAnsi="Arial"/>
                <w:sz w:val="18"/>
                <w:szCs w:val="18"/>
                <w:color w:val="0000FF"/>
              </w:rPr>
            </w:pPr>
            <w:hyperlink w:anchor="page29">
              <w:r>
                <w:rPr>
                  <w:rFonts w:ascii="Arial" w:cs="Arial" w:eastAsia="Arial" w:hAnsi="Arial"/>
                  <w:sz w:val="18"/>
                  <w:szCs w:val="18"/>
                  <w:color w:val="0000FF"/>
                </w:rPr>
                <w:t>Legal Proceedings</w:t>
              </w:r>
            </w:hyperlink>
          </w:p>
        </w:tc>
        <w:tc>
          <w:tcPr>
            <w:tcW w:w="1840" w:type="dxa"/>
            <w:vAlign w:val="bottom"/>
            <w:vMerge w:val="continue"/>
          </w:tcPr>
          <w:p>
            <w:pPr>
              <w:spacing w:after="0"/>
              <w:rPr>
                <w:sz w:val="15"/>
                <w:szCs w:val="15"/>
                <w:color w:val="auto"/>
              </w:rPr>
            </w:pPr>
          </w:p>
        </w:tc>
        <w:tc>
          <w:tcPr>
            <w:tcW w:w="180" w:type="dxa"/>
            <w:vAlign w:val="bottom"/>
            <w:gridSpan w:val="2"/>
          </w:tcPr>
          <w:p>
            <w:pPr>
              <w:jc w:val="right"/>
              <w:spacing w:after="0" w:line="182" w:lineRule="exact"/>
              <w:rPr>
                <w:sz w:val="20"/>
                <w:szCs w:val="20"/>
                <w:color w:val="auto"/>
              </w:rPr>
            </w:pPr>
            <w:r>
              <w:rPr>
                <w:rFonts w:ascii="Arial" w:cs="Arial" w:eastAsia="Arial" w:hAnsi="Arial"/>
                <w:sz w:val="18"/>
                <w:szCs w:val="18"/>
                <w:color w:val="0000FF"/>
                <w:w w:val="79"/>
              </w:rPr>
              <w:t>29</w:t>
            </w:r>
          </w:p>
        </w:tc>
        <w:tc>
          <w:tcPr>
            <w:tcW w:w="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shd w:val="clear" w:color="auto" w:fill="0000EE"/>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gridSpan w:val="2"/>
            <w:shd w:val="clear" w:color="auto" w:fill="0000FF"/>
          </w:tcPr>
          <w:p>
            <w:pPr>
              <w:spacing w:after="0" w:line="20" w:lineRule="exact"/>
              <w:rPr>
                <w:sz w:val="1"/>
                <w:szCs w:val="1"/>
                <w:color w:val="auto"/>
              </w:rPr>
            </w:pPr>
          </w:p>
        </w:tc>
        <w:tc>
          <w:tcPr>
            <w:tcW w:w="420" w:type="dxa"/>
            <w:vAlign w:val="bottom"/>
            <w:gridSpan w:val="2"/>
            <w:shd w:val="clear" w:color="auto" w:fill="0000FF"/>
          </w:tcPr>
          <w:p>
            <w:pPr>
              <w:spacing w:after="0" w:line="20" w:lineRule="exact"/>
              <w:rPr>
                <w:sz w:val="1"/>
                <w:szCs w:val="1"/>
                <w:color w:val="auto"/>
              </w:rPr>
            </w:pPr>
          </w:p>
        </w:tc>
        <w:tc>
          <w:tcPr>
            <w:tcW w:w="3020" w:type="dxa"/>
            <w:vAlign w:val="bottom"/>
            <w:gridSpan w:val="8"/>
            <w:vMerge w:val="restart"/>
          </w:tcPr>
          <w:p>
            <w:pPr>
              <w:spacing w:after="0" w:line="20" w:lineRule="exact"/>
              <w:rPr>
                <w:sz w:val="1"/>
                <w:szCs w:val="1"/>
                <w:color w:val="auto"/>
              </w:rPr>
            </w:pPr>
          </w:p>
        </w:tc>
        <w:tc>
          <w:tcPr>
            <w:tcW w:w="3700" w:type="dxa"/>
            <w:vAlign w:val="bottom"/>
            <w:gridSpan w:val="4"/>
            <w:vMerge w:val="restart"/>
          </w:tcPr>
          <w:p>
            <w:pPr>
              <w:spacing w:after="0" w:line="20" w:lineRule="exact"/>
              <w:rPr>
                <w:sz w:val="1"/>
                <w:szCs w:val="1"/>
                <w:color w:val="auto"/>
              </w:rPr>
            </w:pPr>
          </w:p>
        </w:tc>
        <w:tc>
          <w:tcPr>
            <w:tcW w:w="1840" w:type="dxa"/>
            <w:vAlign w:val="bottom"/>
            <w:vMerge w:val="restart"/>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1140" w:type="dxa"/>
            <w:vAlign w:val="bottom"/>
            <w:gridSpan w:val="5"/>
          </w:tcPr>
          <w:p>
            <w:pPr>
              <w:spacing w:after="0" w:line="182" w:lineRule="exact"/>
              <w:rPr>
                <w:rFonts w:ascii="Arial" w:cs="Arial" w:eastAsia="Arial" w:hAnsi="Arial"/>
                <w:sz w:val="18"/>
                <w:szCs w:val="18"/>
                <w:i w:val="1"/>
                <w:iCs w:val="1"/>
                <w:color w:val="0000FF"/>
              </w:rPr>
            </w:pPr>
            <w:hyperlink w:anchor="page29">
              <w:r>
                <w:rPr>
                  <w:rFonts w:ascii="Arial" w:cs="Arial" w:eastAsia="Arial" w:hAnsi="Arial"/>
                  <w:sz w:val="18"/>
                  <w:szCs w:val="18"/>
                  <w:i w:val="1"/>
                  <w:iCs w:val="1"/>
                  <w:color w:val="0000FF"/>
                </w:rPr>
                <w:t>Item 1A.</w:t>
              </w:r>
            </w:hyperlink>
          </w:p>
        </w:tc>
        <w:tc>
          <w:tcPr>
            <w:tcW w:w="20" w:type="dxa"/>
            <w:vAlign w:val="bottom"/>
            <w:vMerge w:val="continue"/>
          </w:tcPr>
          <w:p>
            <w:pPr>
              <w:spacing w:after="0"/>
              <w:rPr>
                <w:sz w:val="15"/>
                <w:szCs w:val="15"/>
                <w:color w:val="auto"/>
              </w:rPr>
            </w:pPr>
          </w:p>
        </w:tc>
        <w:tc>
          <w:tcPr>
            <w:tcW w:w="1300" w:type="dxa"/>
            <w:vAlign w:val="bottom"/>
            <w:gridSpan w:val="6"/>
          </w:tcPr>
          <w:p>
            <w:pPr>
              <w:spacing w:after="0" w:line="182" w:lineRule="exact"/>
              <w:rPr>
                <w:rFonts w:ascii="Arial" w:cs="Arial" w:eastAsia="Arial" w:hAnsi="Arial"/>
                <w:sz w:val="18"/>
                <w:szCs w:val="18"/>
                <w:color w:val="0000FF"/>
              </w:rPr>
            </w:pPr>
            <w:hyperlink w:anchor="page29">
              <w:r>
                <w:rPr>
                  <w:rFonts w:ascii="Arial" w:cs="Arial" w:eastAsia="Arial" w:hAnsi="Arial"/>
                  <w:sz w:val="18"/>
                  <w:szCs w:val="18"/>
                  <w:color w:val="0000FF"/>
                </w:rPr>
                <w:t>Risk Factors</w:t>
              </w:r>
            </w:hyperlink>
          </w:p>
        </w:tc>
        <w:tc>
          <w:tcPr>
            <w:tcW w:w="3020" w:type="dxa"/>
            <w:vAlign w:val="bottom"/>
            <w:gridSpan w:val="8"/>
            <w:vMerge w:val="continue"/>
          </w:tcPr>
          <w:p>
            <w:pPr>
              <w:spacing w:after="0"/>
              <w:rPr>
                <w:sz w:val="15"/>
                <w:szCs w:val="15"/>
                <w:color w:val="auto"/>
              </w:rPr>
            </w:pPr>
          </w:p>
        </w:tc>
        <w:tc>
          <w:tcPr>
            <w:tcW w:w="3700" w:type="dxa"/>
            <w:vAlign w:val="bottom"/>
            <w:gridSpan w:val="4"/>
            <w:vMerge w:val="continue"/>
          </w:tcPr>
          <w:p>
            <w:pPr>
              <w:spacing w:after="0"/>
              <w:rPr>
                <w:sz w:val="15"/>
                <w:szCs w:val="15"/>
                <w:color w:val="auto"/>
              </w:rPr>
            </w:pPr>
          </w:p>
        </w:tc>
        <w:tc>
          <w:tcPr>
            <w:tcW w:w="1840" w:type="dxa"/>
            <w:vAlign w:val="bottom"/>
            <w:vMerge w:val="continue"/>
          </w:tcPr>
          <w:p>
            <w:pPr>
              <w:spacing w:after="0"/>
              <w:rPr>
                <w:sz w:val="15"/>
                <w:szCs w:val="15"/>
                <w:color w:val="auto"/>
              </w:rPr>
            </w:pPr>
          </w:p>
        </w:tc>
        <w:tc>
          <w:tcPr>
            <w:tcW w:w="180" w:type="dxa"/>
            <w:vAlign w:val="bottom"/>
            <w:gridSpan w:val="2"/>
          </w:tcPr>
          <w:p>
            <w:pPr>
              <w:jc w:val="right"/>
              <w:spacing w:after="0" w:line="182" w:lineRule="exact"/>
              <w:rPr>
                <w:sz w:val="20"/>
                <w:szCs w:val="20"/>
                <w:color w:val="auto"/>
              </w:rPr>
            </w:pPr>
            <w:r>
              <w:rPr>
                <w:rFonts w:ascii="Arial" w:cs="Arial" w:eastAsia="Arial" w:hAnsi="Arial"/>
                <w:sz w:val="18"/>
                <w:szCs w:val="18"/>
                <w:color w:val="0000FF"/>
                <w:w w:val="79"/>
              </w:rPr>
              <w:t>29</w:t>
            </w:r>
          </w:p>
        </w:tc>
        <w:tc>
          <w:tcPr>
            <w:tcW w:w="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shd w:val="clear" w:color="auto" w:fill="0000EE"/>
          </w:tcPr>
          <w:p>
            <w:pPr>
              <w:spacing w:after="0" w:line="20" w:lineRule="exact"/>
              <w:rPr>
                <w:sz w:val="1"/>
                <w:szCs w:val="1"/>
                <w:color w:val="auto"/>
              </w:rPr>
            </w:pPr>
          </w:p>
        </w:tc>
        <w:tc>
          <w:tcPr>
            <w:tcW w:w="600" w:type="dxa"/>
            <w:vAlign w:val="bottom"/>
            <w:gridSpan w:val="3"/>
            <w:shd w:val="clear" w:color="auto" w:fill="0000FF"/>
          </w:tcPr>
          <w:p>
            <w:pPr>
              <w:spacing w:after="0" w:line="20" w:lineRule="exact"/>
              <w:rPr>
                <w:sz w:val="1"/>
                <w:szCs w:val="1"/>
                <w:color w:val="auto"/>
              </w:rPr>
            </w:pPr>
          </w:p>
        </w:tc>
        <w:tc>
          <w:tcPr>
            <w:tcW w:w="520" w:type="dxa"/>
            <w:vAlign w:val="bottom"/>
            <w:vMerge w:val="restart"/>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gridSpan w:val="2"/>
            <w:shd w:val="clear" w:color="auto" w:fill="0000FF"/>
          </w:tcPr>
          <w:p>
            <w:pPr>
              <w:spacing w:after="0" w:line="20" w:lineRule="exact"/>
              <w:rPr>
                <w:sz w:val="1"/>
                <w:szCs w:val="1"/>
                <w:color w:val="auto"/>
              </w:rPr>
            </w:pPr>
          </w:p>
        </w:tc>
        <w:tc>
          <w:tcPr>
            <w:tcW w:w="7140" w:type="dxa"/>
            <w:vAlign w:val="bottom"/>
            <w:gridSpan w:val="14"/>
            <w:vMerge w:val="restart"/>
          </w:tcPr>
          <w:p>
            <w:pPr>
              <w:ind w:left="60"/>
              <w:spacing w:after="0" w:line="202" w:lineRule="exact"/>
              <w:rPr>
                <w:rFonts w:ascii="Arial" w:cs="Arial" w:eastAsia="Arial" w:hAnsi="Arial"/>
                <w:sz w:val="18"/>
                <w:szCs w:val="18"/>
                <w:color w:val="0000FF"/>
              </w:rPr>
            </w:pPr>
            <w:hyperlink w:anchor="page29">
              <w:r>
                <w:rPr>
                  <w:rFonts w:ascii="Arial" w:cs="Arial" w:eastAsia="Arial" w:hAnsi="Arial"/>
                  <w:sz w:val="18"/>
                  <w:szCs w:val="18"/>
                  <w:color w:val="0000FF"/>
                </w:rPr>
                <w:t>Sales of Equity Securities and Use of Proceeds</w:t>
              </w:r>
            </w:hyperlink>
          </w:p>
        </w:tc>
        <w:tc>
          <w:tcPr>
            <w:tcW w:w="1840" w:type="dxa"/>
            <w:vAlign w:val="bottom"/>
            <w:vMerge w:val="restart"/>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620" w:type="dxa"/>
            <w:vAlign w:val="bottom"/>
            <w:gridSpan w:val="4"/>
          </w:tcPr>
          <w:p>
            <w:pPr>
              <w:spacing w:after="0" w:line="182" w:lineRule="exact"/>
              <w:rPr>
                <w:rFonts w:ascii="Arial" w:cs="Arial" w:eastAsia="Arial" w:hAnsi="Arial"/>
                <w:sz w:val="18"/>
                <w:szCs w:val="18"/>
                <w:i w:val="1"/>
                <w:iCs w:val="1"/>
                <w:color w:val="0000FF"/>
              </w:rPr>
            </w:pPr>
            <w:hyperlink w:anchor="page29">
              <w:r>
                <w:rPr>
                  <w:rFonts w:ascii="Arial" w:cs="Arial" w:eastAsia="Arial" w:hAnsi="Arial"/>
                  <w:sz w:val="18"/>
                  <w:szCs w:val="18"/>
                  <w:i w:val="1"/>
                  <w:iCs w:val="1"/>
                  <w:color w:val="0000FF"/>
                </w:rPr>
                <w:t>Item 2.</w:t>
              </w:r>
            </w:hyperlink>
          </w:p>
        </w:tc>
        <w:tc>
          <w:tcPr>
            <w:tcW w:w="520" w:type="dxa"/>
            <w:vAlign w:val="bottom"/>
            <w:vMerge w:val="continue"/>
          </w:tcPr>
          <w:p>
            <w:pPr>
              <w:spacing w:after="0"/>
              <w:rPr>
                <w:sz w:val="15"/>
                <w:szCs w:val="15"/>
                <w:color w:val="auto"/>
              </w:rPr>
            </w:pPr>
          </w:p>
        </w:tc>
        <w:tc>
          <w:tcPr>
            <w:tcW w:w="20" w:type="dxa"/>
            <w:vAlign w:val="bottom"/>
            <w:vMerge w:val="continue"/>
          </w:tcPr>
          <w:p>
            <w:pPr>
              <w:spacing w:after="0"/>
              <w:rPr>
                <w:sz w:val="15"/>
                <w:szCs w:val="15"/>
                <w:color w:val="auto"/>
              </w:rPr>
            </w:pPr>
          </w:p>
        </w:tc>
        <w:tc>
          <w:tcPr>
            <w:tcW w:w="880" w:type="dxa"/>
            <w:vAlign w:val="bottom"/>
            <w:gridSpan w:val="4"/>
          </w:tcPr>
          <w:p>
            <w:pPr>
              <w:spacing w:after="0" w:line="182" w:lineRule="exact"/>
              <w:rPr>
                <w:rFonts w:ascii="Arial" w:cs="Arial" w:eastAsia="Arial" w:hAnsi="Arial"/>
                <w:sz w:val="18"/>
                <w:szCs w:val="18"/>
                <w:color w:val="0000FF"/>
                <w:w w:val="83"/>
              </w:rPr>
            </w:pPr>
            <w:hyperlink w:anchor="page29">
              <w:r>
                <w:rPr>
                  <w:rFonts w:ascii="Arial" w:cs="Arial" w:eastAsia="Arial" w:hAnsi="Arial"/>
                  <w:sz w:val="18"/>
                  <w:szCs w:val="18"/>
                  <w:color w:val="0000FF"/>
                  <w:w w:val="83"/>
                </w:rPr>
                <w:t>Unregistered</w:t>
              </w:r>
            </w:hyperlink>
          </w:p>
        </w:tc>
        <w:tc>
          <w:tcPr>
            <w:tcW w:w="7140" w:type="dxa"/>
            <w:vAlign w:val="bottom"/>
            <w:gridSpan w:val="14"/>
            <w:vMerge w:val="continue"/>
          </w:tcPr>
          <w:p>
            <w:pPr>
              <w:spacing w:after="0"/>
              <w:rPr>
                <w:sz w:val="15"/>
                <w:szCs w:val="15"/>
                <w:color w:val="auto"/>
              </w:rPr>
            </w:pPr>
          </w:p>
        </w:tc>
        <w:tc>
          <w:tcPr>
            <w:tcW w:w="1840" w:type="dxa"/>
            <w:vAlign w:val="bottom"/>
            <w:vMerge w:val="continue"/>
          </w:tcPr>
          <w:p>
            <w:pPr>
              <w:spacing w:after="0"/>
              <w:rPr>
                <w:sz w:val="15"/>
                <w:szCs w:val="15"/>
                <w:color w:val="auto"/>
              </w:rPr>
            </w:pPr>
          </w:p>
        </w:tc>
        <w:tc>
          <w:tcPr>
            <w:tcW w:w="180" w:type="dxa"/>
            <w:vAlign w:val="bottom"/>
            <w:gridSpan w:val="2"/>
          </w:tcPr>
          <w:p>
            <w:pPr>
              <w:jc w:val="right"/>
              <w:spacing w:after="0" w:line="182" w:lineRule="exact"/>
              <w:rPr>
                <w:sz w:val="20"/>
                <w:szCs w:val="20"/>
                <w:color w:val="auto"/>
              </w:rPr>
            </w:pPr>
            <w:r>
              <w:rPr>
                <w:rFonts w:ascii="Arial" w:cs="Arial" w:eastAsia="Arial" w:hAnsi="Arial"/>
                <w:sz w:val="18"/>
                <w:szCs w:val="18"/>
                <w:color w:val="0000FF"/>
                <w:w w:val="79"/>
              </w:rPr>
              <w:t>29</w:t>
            </w:r>
          </w:p>
        </w:tc>
        <w:tc>
          <w:tcPr>
            <w:tcW w:w="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shd w:val="clear" w:color="auto" w:fill="0000EE"/>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20" w:type="dxa"/>
            <w:vAlign w:val="bottom"/>
            <w:gridSpan w:val="2"/>
            <w:vMerge w:val="restart"/>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3580" w:type="dxa"/>
            <w:vAlign w:val="bottom"/>
            <w:gridSpan w:val="12"/>
            <w:shd w:val="clear" w:color="auto" w:fill="0000FF"/>
          </w:tcPr>
          <w:p>
            <w:pPr>
              <w:spacing w:after="0" w:line="20" w:lineRule="exact"/>
              <w:rPr>
                <w:sz w:val="1"/>
                <w:szCs w:val="1"/>
                <w:color w:val="auto"/>
              </w:rPr>
            </w:pPr>
          </w:p>
        </w:tc>
        <w:tc>
          <w:tcPr>
            <w:tcW w:w="3700" w:type="dxa"/>
            <w:vAlign w:val="bottom"/>
            <w:gridSpan w:val="4"/>
            <w:vMerge w:val="restart"/>
          </w:tcPr>
          <w:p>
            <w:pPr>
              <w:spacing w:after="0" w:line="20" w:lineRule="exact"/>
              <w:rPr>
                <w:sz w:val="1"/>
                <w:szCs w:val="1"/>
                <w:color w:val="auto"/>
              </w:rPr>
            </w:pPr>
          </w:p>
        </w:tc>
        <w:tc>
          <w:tcPr>
            <w:tcW w:w="1840" w:type="dxa"/>
            <w:vAlign w:val="bottom"/>
            <w:vMerge w:val="restart"/>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520" w:type="dxa"/>
            <w:vAlign w:val="bottom"/>
            <w:gridSpan w:val="3"/>
          </w:tcPr>
          <w:p>
            <w:pPr>
              <w:spacing w:after="0" w:line="182" w:lineRule="exact"/>
              <w:rPr>
                <w:rFonts w:ascii="Arial" w:cs="Arial" w:eastAsia="Arial" w:hAnsi="Arial"/>
                <w:sz w:val="18"/>
                <w:szCs w:val="18"/>
                <w:i w:val="1"/>
                <w:iCs w:val="1"/>
                <w:color w:val="0000FF"/>
                <w:w w:val="90"/>
              </w:rPr>
            </w:pPr>
            <w:hyperlink w:anchor="page30">
              <w:r>
                <w:rPr>
                  <w:rFonts w:ascii="Arial" w:cs="Arial" w:eastAsia="Arial" w:hAnsi="Arial"/>
                  <w:sz w:val="18"/>
                  <w:szCs w:val="18"/>
                  <w:i w:val="1"/>
                  <w:iCs w:val="1"/>
                  <w:color w:val="0000FF"/>
                  <w:w w:val="90"/>
                </w:rPr>
                <w:t>Item 6.</w:t>
              </w:r>
            </w:hyperlink>
          </w:p>
        </w:tc>
        <w:tc>
          <w:tcPr>
            <w:tcW w:w="620" w:type="dxa"/>
            <w:vAlign w:val="bottom"/>
            <w:gridSpan w:val="2"/>
            <w:vMerge w:val="continue"/>
          </w:tcPr>
          <w:p>
            <w:pPr>
              <w:spacing w:after="0"/>
              <w:rPr>
                <w:sz w:val="15"/>
                <w:szCs w:val="15"/>
                <w:color w:val="auto"/>
              </w:rPr>
            </w:pPr>
          </w:p>
        </w:tc>
        <w:tc>
          <w:tcPr>
            <w:tcW w:w="20" w:type="dxa"/>
            <w:vAlign w:val="bottom"/>
            <w:vMerge w:val="continue"/>
          </w:tcPr>
          <w:p>
            <w:pPr>
              <w:spacing w:after="0"/>
              <w:rPr>
                <w:sz w:val="15"/>
                <w:szCs w:val="15"/>
                <w:color w:val="auto"/>
              </w:rPr>
            </w:pPr>
          </w:p>
        </w:tc>
        <w:tc>
          <w:tcPr>
            <w:tcW w:w="4320" w:type="dxa"/>
            <w:vAlign w:val="bottom"/>
            <w:gridSpan w:val="14"/>
          </w:tcPr>
          <w:p>
            <w:pPr>
              <w:spacing w:after="0" w:line="182" w:lineRule="exact"/>
              <w:rPr>
                <w:rFonts w:ascii="Arial" w:cs="Arial" w:eastAsia="Arial" w:hAnsi="Arial"/>
                <w:sz w:val="18"/>
                <w:szCs w:val="18"/>
                <w:color w:val="0000FF"/>
              </w:rPr>
            </w:pPr>
            <w:hyperlink w:anchor="page30">
              <w:r>
                <w:rPr>
                  <w:rFonts w:ascii="Arial" w:cs="Arial" w:eastAsia="Arial" w:hAnsi="Arial"/>
                  <w:sz w:val="18"/>
                  <w:szCs w:val="18"/>
                  <w:color w:val="0000FF"/>
                </w:rPr>
                <w:t>Exhibits</w:t>
              </w:r>
            </w:hyperlink>
          </w:p>
        </w:tc>
        <w:tc>
          <w:tcPr>
            <w:tcW w:w="3700" w:type="dxa"/>
            <w:vAlign w:val="bottom"/>
            <w:gridSpan w:val="4"/>
            <w:vMerge w:val="continue"/>
          </w:tcPr>
          <w:p>
            <w:pPr>
              <w:spacing w:after="0"/>
              <w:rPr>
                <w:sz w:val="15"/>
                <w:szCs w:val="15"/>
                <w:color w:val="auto"/>
              </w:rPr>
            </w:pPr>
          </w:p>
        </w:tc>
        <w:tc>
          <w:tcPr>
            <w:tcW w:w="1840" w:type="dxa"/>
            <w:vAlign w:val="bottom"/>
            <w:vMerge w:val="continue"/>
          </w:tcPr>
          <w:p>
            <w:pPr>
              <w:spacing w:after="0"/>
              <w:rPr>
                <w:sz w:val="15"/>
                <w:szCs w:val="15"/>
                <w:color w:val="auto"/>
              </w:rPr>
            </w:pPr>
          </w:p>
        </w:tc>
        <w:tc>
          <w:tcPr>
            <w:tcW w:w="180" w:type="dxa"/>
            <w:vAlign w:val="bottom"/>
            <w:gridSpan w:val="2"/>
          </w:tcPr>
          <w:p>
            <w:pPr>
              <w:jc w:val="right"/>
              <w:spacing w:after="0" w:line="182" w:lineRule="exact"/>
              <w:rPr>
                <w:sz w:val="20"/>
                <w:szCs w:val="20"/>
                <w:color w:val="auto"/>
              </w:rPr>
            </w:pPr>
            <w:r>
              <w:rPr>
                <w:rFonts w:ascii="Arial" w:cs="Arial" w:eastAsia="Arial" w:hAnsi="Arial"/>
                <w:sz w:val="18"/>
                <w:szCs w:val="18"/>
                <w:color w:val="0000FF"/>
                <w:w w:val="79"/>
              </w:rPr>
              <w:t>30</w:t>
            </w:r>
          </w:p>
        </w:tc>
        <w:tc>
          <w:tcPr>
            <w:tcW w:w="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480" w:type="dxa"/>
            <w:vAlign w:val="bottom"/>
            <w:tcBorders>
              <w:top w:val="single" w:sz="8" w:color="0000FF"/>
            </w:tcBorders>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0" w:type="dxa"/>
            <w:vAlign w:val="bottom"/>
            <w:tcBorders>
              <w:bottom w:val="single" w:sz="8" w:color="0000EE"/>
            </w:tcBorders>
          </w:tcPr>
          <w:p>
            <w:pPr>
              <w:spacing w:after="0"/>
              <w:rPr>
                <w:sz w:val="15"/>
                <w:szCs w:val="15"/>
                <w:color w:val="auto"/>
              </w:rPr>
            </w:pPr>
          </w:p>
        </w:tc>
        <w:tc>
          <w:tcPr>
            <w:tcW w:w="580" w:type="dxa"/>
            <w:vAlign w:val="bottom"/>
            <w:tcBorders>
              <w:top w:val="single" w:sz="8" w:color="0000FF"/>
              <w:bottom w:val="single" w:sz="8" w:color="0000FF"/>
            </w:tcBorders>
          </w:tcPr>
          <w:p>
            <w:pPr>
              <w:spacing w:after="0" w:line="183" w:lineRule="exact"/>
              <w:rPr>
                <w:rFonts w:ascii="Arial" w:cs="Arial" w:eastAsia="Arial" w:hAnsi="Arial"/>
                <w:sz w:val="16"/>
                <w:szCs w:val="16"/>
                <w:color w:val="0000FF"/>
                <w:w w:val="73"/>
              </w:rPr>
            </w:pPr>
            <w:hyperlink w:anchor="page31">
              <w:r>
                <w:rPr>
                  <w:rFonts w:ascii="Arial" w:cs="Arial" w:eastAsia="Arial" w:hAnsi="Arial"/>
                  <w:sz w:val="16"/>
                  <w:szCs w:val="16"/>
                  <w:color w:val="0000FF"/>
                  <w:w w:val="73"/>
                </w:rPr>
                <w:t>Signatures</w:t>
              </w:r>
            </w:hyperlink>
          </w:p>
        </w:tc>
        <w:tc>
          <w:tcPr>
            <w:tcW w:w="160" w:type="dxa"/>
            <w:vAlign w:val="bottom"/>
            <w:tcBorders>
              <w:bottom w:val="single" w:sz="8" w:color="0000FF"/>
            </w:tcBorders>
          </w:tcPr>
          <w:p>
            <w:pPr>
              <w:spacing w:after="0"/>
              <w:rPr>
                <w:sz w:val="15"/>
                <w:szCs w:val="15"/>
                <w:color w:val="auto"/>
              </w:rPr>
            </w:pPr>
          </w:p>
        </w:tc>
        <w:tc>
          <w:tcPr>
            <w:tcW w:w="7280" w:type="dxa"/>
            <w:vAlign w:val="bottom"/>
            <w:gridSpan w:val="16"/>
          </w:tcPr>
          <w:p>
            <w:pPr>
              <w:spacing w:after="0"/>
              <w:rPr>
                <w:sz w:val="15"/>
                <w:szCs w:val="15"/>
                <w:color w:val="auto"/>
              </w:rPr>
            </w:pPr>
          </w:p>
        </w:tc>
        <w:tc>
          <w:tcPr>
            <w:tcW w:w="1840" w:type="dxa"/>
            <w:vAlign w:val="bottom"/>
          </w:tcPr>
          <w:p>
            <w:pPr>
              <w:spacing w:after="0"/>
              <w:rPr>
                <w:sz w:val="15"/>
                <w:szCs w:val="15"/>
                <w:color w:val="auto"/>
              </w:rPr>
            </w:pPr>
          </w:p>
        </w:tc>
        <w:tc>
          <w:tcPr>
            <w:tcW w:w="180" w:type="dxa"/>
            <w:vAlign w:val="bottom"/>
            <w:tcBorders>
              <w:top w:val="single" w:sz="8" w:color="0000FF"/>
              <w:bottom w:val="single" w:sz="8" w:color="0000FF"/>
            </w:tcBorders>
            <w:gridSpan w:val="2"/>
          </w:tcPr>
          <w:p>
            <w:pPr>
              <w:jc w:val="right"/>
              <w:spacing w:after="0" w:line="182" w:lineRule="exact"/>
              <w:rPr>
                <w:sz w:val="20"/>
                <w:szCs w:val="20"/>
                <w:color w:val="auto"/>
              </w:rPr>
            </w:pPr>
            <w:r>
              <w:rPr>
                <w:rFonts w:ascii="Arial" w:cs="Arial" w:eastAsia="Arial" w:hAnsi="Arial"/>
                <w:sz w:val="18"/>
                <w:szCs w:val="18"/>
                <w:color w:val="0000FF"/>
                <w:w w:val="79"/>
              </w:rPr>
              <w:t>31</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336550</wp:posOffset>
            </wp:positionV>
            <wp:extent cx="71577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125" w:right="359" w:bottom="1440" w:gutter="0" w:footer="0" w:header="0"/>
        </w:sectPr>
      </w:pPr>
    </w:p>
    <w:bookmarkStart w:id="2" w:name="page3"/>
    <w:bookmarkEnd w:id="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810895" cy="8255"/>
                    </a:xfrm>
                    <a:prstGeom prst="rect">
                      <a:avLst/>
                    </a:prstGeom>
                    <a:noFill/>
                  </pic:spPr>
                </pic:pic>
              </a:graphicData>
            </a:graphic>
          </wp:anchor>
        </w:drawing>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 Financial Information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TimkenSteel Corporation</w:t>
      </w:r>
    </w:p>
    <w:p>
      <w:pPr>
        <w:spacing w:after="0" w:line="1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 (Unaudited)</w:t>
      </w:r>
    </w:p>
    <w:p>
      <w:pPr>
        <w:spacing w:after="0" w:line="17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040" w:type="dxa"/>
            <w:vAlign w:val="bottom"/>
          </w:tcPr>
          <w:p>
            <w:pPr>
              <w:spacing w:after="0"/>
              <w:rPr>
                <w:sz w:val="17"/>
                <w:szCs w:val="17"/>
                <w:color w:val="auto"/>
              </w:rPr>
            </w:pPr>
          </w:p>
        </w:tc>
        <w:tc>
          <w:tcPr>
            <w:tcW w:w="5620" w:type="dxa"/>
            <w:vAlign w:val="bottom"/>
            <w:gridSpan w:val="3"/>
          </w:tcPr>
          <w:p>
            <w:pPr>
              <w:jc w:val="right"/>
              <w:spacing w:after="0"/>
              <w:rPr>
                <w:sz w:val="20"/>
                <w:szCs w:val="20"/>
                <w:color w:val="auto"/>
              </w:rPr>
            </w:pPr>
            <w:r>
              <w:rPr>
                <w:rFonts w:ascii="Arial" w:cs="Arial" w:eastAsia="Arial" w:hAnsi="Arial"/>
                <w:sz w:val="18"/>
                <w:szCs w:val="18"/>
                <w:b w:val="1"/>
                <w:bCs w:val="1"/>
                <w:color w:val="auto"/>
              </w:rPr>
              <w:t>Three Months Ended March 31,</w:t>
            </w:r>
          </w:p>
        </w:tc>
        <w:tc>
          <w:tcPr>
            <w:tcW w:w="5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5040" w:type="dxa"/>
            <w:vAlign w:val="bottom"/>
            <w:tcBorders>
              <w:bottom w:val="single" w:sz="8" w:color="auto"/>
            </w:tcBorders>
          </w:tcPr>
          <w:p>
            <w:pPr>
              <w:spacing w:after="0"/>
              <w:rPr>
                <w:sz w:val="19"/>
                <w:szCs w:val="19"/>
                <w:color w:val="auto"/>
              </w:rPr>
            </w:pPr>
          </w:p>
        </w:tc>
        <w:tc>
          <w:tcPr>
            <w:tcW w:w="36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2022</w:t>
            </w:r>
          </w:p>
        </w:tc>
        <w:tc>
          <w:tcPr>
            <w:tcW w:w="74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2021</w:t>
            </w:r>
          </w:p>
        </w:tc>
        <w:tc>
          <w:tcPr>
            <w:tcW w:w="58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504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i w:val="1"/>
                <w:iCs w:val="1"/>
                <w:color w:val="auto"/>
              </w:rPr>
              <w:t>(Dollars in millions, except per share data)</w:t>
            </w:r>
          </w:p>
        </w:tc>
        <w:tc>
          <w:tcPr>
            <w:tcW w:w="3640" w:type="dxa"/>
            <w:vAlign w:val="bottom"/>
            <w:shd w:val="clear" w:color="auto" w:fill="CFF0FC"/>
          </w:tcPr>
          <w:p>
            <w:pPr>
              <w:spacing w:after="0"/>
              <w:rPr>
                <w:sz w:val="17"/>
                <w:szCs w:val="17"/>
                <w:color w:val="auto"/>
              </w:rPr>
            </w:pPr>
          </w:p>
        </w:tc>
        <w:tc>
          <w:tcPr>
            <w:tcW w:w="740" w:type="dxa"/>
            <w:vAlign w:val="bottom"/>
            <w:shd w:val="clear" w:color="auto" w:fill="CFF0FC"/>
          </w:tcPr>
          <w:p>
            <w:pPr>
              <w:spacing w:after="0"/>
              <w:rPr>
                <w:sz w:val="17"/>
                <w:szCs w:val="17"/>
                <w:color w:val="auto"/>
              </w:rPr>
            </w:pPr>
          </w:p>
        </w:tc>
        <w:tc>
          <w:tcPr>
            <w:tcW w:w="1240" w:type="dxa"/>
            <w:vAlign w:val="bottom"/>
            <w:shd w:val="clear" w:color="auto" w:fill="CFF0FC"/>
          </w:tcPr>
          <w:p>
            <w:pPr>
              <w:spacing w:after="0"/>
              <w:rPr>
                <w:sz w:val="17"/>
                <w:szCs w:val="17"/>
                <w:color w:val="auto"/>
              </w:rPr>
            </w:pPr>
          </w:p>
        </w:tc>
        <w:tc>
          <w:tcPr>
            <w:tcW w:w="58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40" w:type="dxa"/>
            <w:vAlign w:val="bottom"/>
          </w:tcPr>
          <w:p>
            <w:pPr>
              <w:ind w:left="20"/>
              <w:spacing w:after="0" w:line="202" w:lineRule="exact"/>
              <w:rPr>
                <w:sz w:val="20"/>
                <w:szCs w:val="20"/>
                <w:color w:val="auto"/>
              </w:rPr>
            </w:pPr>
            <w:r>
              <w:rPr>
                <w:rFonts w:ascii="Arial" w:cs="Arial" w:eastAsia="Arial" w:hAnsi="Arial"/>
                <w:sz w:val="18"/>
                <w:szCs w:val="18"/>
                <w:color w:val="auto"/>
              </w:rPr>
              <w:t>Net sales</w:t>
            </w:r>
          </w:p>
        </w:tc>
        <w:tc>
          <w:tcPr>
            <w:tcW w:w="3640" w:type="dxa"/>
            <w:vAlign w:val="bottom"/>
          </w:tcPr>
          <w:p>
            <w:pPr>
              <w:jc w:val="right"/>
              <w:ind w:right="910"/>
              <w:spacing w:after="0" w:line="202" w:lineRule="exact"/>
              <w:rPr>
                <w:sz w:val="20"/>
                <w:szCs w:val="20"/>
                <w:color w:val="auto"/>
              </w:rPr>
            </w:pPr>
            <w:r>
              <w:rPr>
                <w:rFonts w:ascii="Arial" w:cs="Arial" w:eastAsia="Arial" w:hAnsi="Arial"/>
                <w:sz w:val="18"/>
                <w:szCs w:val="18"/>
                <w:b w:val="1"/>
                <w:bCs w:val="1"/>
                <w:color w:val="auto"/>
              </w:rPr>
              <w:t>$</w:t>
            </w:r>
          </w:p>
        </w:tc>
        <w:tc>
          <w:tcPr>
            <w:tcW w:w="740" w:type="dxa"/>
            <w:vAlign w:val="bottom"/>
          </w:tcPr>
          <w:p>
            <w:pPr>
              <w:jc w:val="right"/>
              <w:ind w:right="130"/>
              <w:spacing w:after="0" w:line="202" w:lineRule="exact"/>
              <w:rPr>
                <w:sz w:val="20"/>
                <w:szCs w:val="20"/>
                <w:color w:val="auto"/>
              </w:rPr>
            </w:pPr>
            <w:r>
              <w:rPr>
                <w:rFonts w:ascii="Arial" w:cs="Arial" w:eastAsia="Arial" w:hAnsi="Arial"/>
                <w:sz w:val="18"/>
                <w:szCs w:val="18"/>
                <w:b w:val="1"/>
                <w:bCs w:val="1"/>
                <w:color w:val="auto"/>
              </w:rPr>
              <w:t>352.0</w:t>
            </w:r>
          </w:p>
        </w:tc>
        <w:tc>
          <w:tcPr>
            <w:tcW w:w="1240" w:type="dxa"/>
            <w:vAlign w:val="bottom"/>
          </w:tcPr>
          <w:p>
            <w:pPr>
              <w:jc w:val="right"/>
              <w:ind w:right="950"/>
              <w:spacing w:after="0" w:line="202" w:lineRule="exact"/>
              <w:rPr>
                <w:sz w:val="20"/>
                <w:szCs w:val="20"/>
                <w:color w:val="auto"/>
              </w:rPr>
            </w:pPr>
            <w:r>
              <w:rPr>
                <w:rFonts w:ascii="Arial" w:cs="Arial" w:eastAsia="Arial" w:hAnsi="Arial"/>
                <w:sz w:val="18"/>
                <w:szCs w:val="18"/>
                <w:color w:val="auto"/>
              </w:rPr>
              <w:t>$</w:t>
            </w:r>
          </w:p>
        </w:tc>
        <w:tc>
          <w:tcPr>
            <w:tcW w:w="580" w:type="dxa"/>
            <w:vAlign w:val="bottom"/>
          </w:tcPr>
          <w:p>
            <w:pPr>
              <w:jc w:val="right"/>
              <w:ind w:right="10"/>
              <w:spacing w:after="0" w:line="202" w:lineRule="exact"/>
              <w:rPr>
                <w:sz w:val="20"/>
                <w:szCs w:val="20"/>
                <w:color w:val="auto"/>
              </w:rPr>
            </w:pPr>
            <w:r>
              <w:rPr>
                <w:rFonts w:ascii="Arial" w:cs="Arial" w:eastAsia="Arial" w:hAnsi="Arial"/>
                <w:sz w:val="18"/>
                <w:szCs w:val="18"/>
                <w:color w:val="auto"/>
              </w:rPr>
              <w:t>273.6</w:t>
            </w:r>
          </w:p>
        </w:tc>
        <w:tc>
          <w:tcPr>
            <w:tcW w:w="0" w:type="dxa"/>
            <w:vAlign w:val="bottom"/>
          </w:tcPr>
          <w:p>
            <w:pPr>
              <w:spacing w:after="0"/>
              <w:rPr>
                <w:sz w:val="1"/>
                <w:szCs w:val="1"/>
                <w:color w:val="auto"/>
              </w:rPr>
            </w:pPr>
          </w:p>
        </w:tc>
      </w:tr>
      <w:tr>
        <w:trPr>
          <w:trHeight w:val="203"/>
        </w:trPr>
        <w:tc>
          <w:tcPr>
            <w:tcW w:w="5040" w:type="dxa"/>
            <w:vAlign w:val="bottom"/>
            <w:tcBorders>
              <w:bottom w:val="single" w:sz="8" w:color="auto"/>
            </w:tcBorders>
            <w:shd w:val="clear" w:color="auto" w:fill="CFF0FC"/>
          </w:tcPr>
          <w:p>
            <w:pPr>
              <w:ind w:left="20"/>
              <w:spacing w:after="0" w:line="202" w:lineRule="exact"/>
              <w:rPr>
                <w:sz w:val="20"/>
                <w:szCs w:val="20"/>
                <w:color w:val="auto"/>
              </w:rPr>
            </w:pPr>
            <w:r>
              <w:rPr>
                <w:rFonts w:ascii="Arial" w:cs="Arial" w:eastAsia="Arial" w:hAnsi="Arial"/>
                <w:sz w:val="18"/>
                <w:szCs w:val="18"/>
                <w:color w:val="auto"/>
              </w:rPr>
              <w:t>Cost of products sold</w:t>
            </w:r>
          </w:p>
        </w:tc>
        <w:tc>
          <w:tcPr>
            <w:tcW w:w="3640" w:type="dxa"/>
            <w:vAlign w:val="bottom"/>
            <w:tcBorders>
              <w:bottom w:val="single" w:sz="8" w:color="auto"/>
            </w:tcBorders>
            <w:shd w:val="clear" w:color="auto" w:fill="CFF0FC"/>
          </w:tcPr>
          <w:p>
            <w:pPr>
              <w:spacing w:after="0"/>
              <w:rPr>
                <w:sz w:val="17"/>
                <w:szCs w:val="17"/>
                <w:color w:val="auto"/>
              </w:rPr>
            </w:pPr>
          </w:p>
        </w:tc>
        <w:tc>
          <w:tcPr>
            <w:tcW w:w="740" w:type="dxa"/>
            <w:vAlign w:val="bottom"/>
            <w:tcBorders>
              <w:bottom w:val="single" w:sz="8" w:color="auto"/>
            </w:tcBorders>
            <w:shd w:val="clear" w:color="auto" w:fill="CFF0FC"/>
          </w:tcPr>
          <w:p>
            <w:pPr>
              <w:jc w:val="right"/>
              <w:ind w:right="130"/>
              <w:spacing w:after="0" w:line="202" w:lineRule="exact"/>
              <w:rPr>
                <w:sz w:val="20"/>
                <w:szCs w:val="20"/>
                <w:color w:val="auto"/>
              </w:rPr>
            </w:pPr>
            <w:r>
              <w:rPr>
                <w:rFonts w:ascii="Arial" w:cs="Arial" w:eastAsia="Arial" w:hAnsi="Arial"/>
                <w:sz w:val="18"/>
                <w:szCs w:val="18"/>
                <w:b w:val="1"/>
                <w:bCs w:val="1"/>
                <w:color w:val="auto"/>
              </w:rPr>
              <w:t>292.0</w:t>
            </w:r>
          </w:p>
        </w:tc>
        <w:tc>
          <w:tcPr>
            <w:tcW w:w="1240" w:type="dxa"/>
            <w:vAlign w:val="bottom"/>
            <w:tcBorders>
              <w:bottom w:val="single" w:sz="8" w:color="auto"/>
            </w:tcBorders>
            <w:shd w:val="clear" w:color="auto" w:fill="CFF0FC"/>
          </w:tcPr>
          <w:p>
            <w:pPr>
              <w:spacing w:after="0"/>
              <w:rPr>
                <w:sz w:val="17"/>
                <w:szCs w:val="17"/>
                <w:color w:val="auto"/>
              </w:rPr>
            </w:pPr>
          </w:p>
        </w:tc>
        <w:tc>
          <w:tcPr>
            <w:tcW w:w="580" w:type="dxa"/>
            <w:vAlign w:val="bottom"/>
            <w:tcBorders>
              <w:bottom w:val="single" w:sz="8" w:color="auto"/>
            </w:tcBorders>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242.9</w:t>
            </w:r>
          </w:p>
        </w:tc>
        <w:tc>
          <w:tcPr>
            <w:tcW w:w="0" w:type="dxa"/>
            <w:vAlign w:val="bottom"/>
          </w:tcPr>
          <w:p>
            <w:pPr>
              <w:spacing w:after="0"/>
              <w:rPr>
                <w:sz w:val="1"/>
                <w:szCs w:val="1"/>
                <w:color w:val="auto"/>
              </w:rPr>
            </w:pPr>
          </w:p>
        </w:tc>
      </w:tr>
      <w:tr>
        <w:trPr>
          <w:trHeight w:val="196"/>
        </w:trPr>
        <w:tc>
          <w:tcPr>
            <w:tcW w:w="5040" w:type="dxa"/>
            <w:vAlign w:val="bottom"/>
          </w:tcPr>
          <w:p>
            <w:pPr>
              <w:ind w:left="200"/>
              <w:spacing w:after="0" w:line="196" w:lineRule="exact"/>
              <w:rPr>
                <w:sz w:val="20"/>
                <w:szCs w:val="20"/>
                <w:color w:val="auto"/>
              </w:rPr>
            </w:pPr>
            <w:r>
              <w:rPr>
                <w:rFonts w:ascii="Arial" w:cs="Arial" w:eastAsia="Arial" w:hAnsi="Arial"/>
                <w:sz w:val="18"/>
                <w:szCs w:val="18"/>
                <w:b w:val="1"/>
                <w:bCs w:val="1"/>
                <w:color w:val="auto"/>
              </w:rPr>
              <w:t>Gross Profit</w:t>
            </w:r>
          </w:p>
        </w:tc>
        <w:tc>
          <w:tcPr>
            <w:tcW w:w="3640" w:type="dxa"/>
            <w:vAlign w:val="bottom"/>
          </w:tcPr>
          <w:p>
            <w:pPr>
              <w:spacing w:after="0"/>
              <w:rPr>
                <w:sz w:val="17"/>
                <w:szCs w:val="17"/>
                <w:color w:val="auto"/>
              </w:rPr>
            </w:pPr>
          </w:p>
        </w:tc>
        <w:tc>
          <w:tcPr>
            <w:tcW w:w="740" w:type="dxa"/>
            <w:vAlign w:val="bottom"/>
          </w:tcPr>
          <w:p>
            <w:pPr>
              <w:jc w:val="right"/>
              <w:ind w:right="130"/>
              <w:spacing w:after="0" w:line="196" w:lineRule="exact"/>
              <w:rPr>
                <w:sz w:val="20"/>
                <w:szCs w:val="20"/>
                <w:color w:val="auto"/>
              </w:rPr>
            </w:pPr>
            <w:r>
              <w:rPr>
                <w:rFonts w:ascii="Arial" w:cs="Arial" w:eastAsia="Arial" w:hAnsi="Arial"/>
                <w:sz w:val="18"/>
                <w:szCs w:val="18"/>
                <w:b w:val="1"/>
                <w:bCs w:val="1"/>
                <w:color w:val="auto"/>
              </w:rPr>
              <w:t>60.0</w:t>
            </w:r>
          </w:p>
        </w:tc>
        <w:tc>
          <w:tcPr>
            <w:tcW w:w="1240" w:type="dxa"/>
            <w:vAlign w:val="bottom"/>
          </w:tcPr>
          <w:p>
            <w:pPr>
              <w:spacing w:after="0"/>
              <w:rPr>
                <w:sz w:val="17"/>
                <w:szCs w:val="17"/>
                <w:color w:val="auto"/>
              </w:rPr>
            </w:pPr>
          </w:p>
        </w:tc>
        <w:tc>
          <w:tcPr>
            <w:tcW w:w="580" w:type="dxa"/>
            <w:vAlign w:val="bottom"/>
          </w:tcPr>
          <w:p>
            <w:pPr>
              <w:jc w:val="right"/>
              <w:ind w:right="10"/>
              <w:spacing w:after="0" w:line="196" w:lineRule="exact"/>
              <w:rPr>
                <w:sz w:val="20"/>
                <w:szCs w:val="20"/>
                <w:color w:val="auto"/>
              </w:rPr>
            </w:pPr>
            <w:r>
              <w:rPr>
                <w:rFonts w:ascii="Arial" w:cs="Arial" w:eastAsia="Arial" w:hAnsi="Arial"/>
                <w:sz w:val="18"/>
                <w:szCs w:val="18"/>
                <w:color w:val="auto"/>
              </w:rPr>
              <w:t>30.7</w:t>
            </w:r>
          </w:p>
        </w:tc>
        <w:tc>
          <w:tcPr>
            <w:tcW w:w="0" w:type="dxa"/>
            <w:vAlign w:val="bottom"/>
          </w:tcPr>
          <w:p>
            <w:pPr>
              <w:spacing w:after="0"/>
              <w:rPr>
                <w:sz w:val="1"/>
                <w:szCs w:val="1"/>
                <w:color w:val="auto"/>
              </w:rPr>
            </w:pPr>
          </w:p>
        </w:tc>
      </w:tr>
      <w:tr>
        <w:trPr>
          <w:trHeight w:val="203"/>
        </w:trPr>
        <w:tc>
          <w:tcPr>
            <w:tcW w:w="5040" w:type="dxa"/>
            <w:vAlign w:val="bottom"/>
            <w:shd w:val="clear" w:color="auto" w:fill="CFF0FC"/>
          </w:tcPr>
          <w:p>
            <w:pPr>
              <w:spacing w:after="0"/>
              <w:rPr>
                <w:sz w:val="17"/>
                <w:szCs w:val="17"/>
                <w:color w:val="auto"/>
              </w:rPr>
            </w:pPr>
          </w:p>
        </w:tc>
        <w:tc>
          <w:tcPr>
            <w:tcW w:w="3640" w:type="dxa"/>
            <w:vAlign w:val="bottom"/>
            <w:shd w:val="clear" w:color="auto" w:fill="CFF0FC"/>
          </w:tcPr>
          <w:p>
            <w:pPr>
              <w:spacing w:after="0"/>
              <w:rPr>
                <w:sz w:val="17"/>
                <w:szCs w:val="17"/>
                <w:color w:val="auto"/>
              </w:rPr>
            </w:pPr>
          </w:p>
        </w:tc>
        <w:tc>
          <w:tcPr>
            <w:tcW w:w="740" w:type="dxa"/>
            <w:vAlign w:val="bottom"/>
            <w:shd w:val="clear" w:color="auto" w:fill="CFF0FC"/>
          </w:tcPr>
          <w:p>
            <w:pPr>
              <w:spacing w:after="0"/>
              <w:rPr>
                <w:sz w:val="17"/>
                <w:szCs w:val="17"/>
                <w:color w:val="auto"/>
              </w:rPr>
            </w:pPr>
          </w:p>
        </w:tc>
        <w:tc>
          <w:tcPr>
            <w:tcW w:w="1240" w:type="dxa"/>
            <w:vAlign w:val="bottom"/>
            <w:shd w:val="clear" w:color="auto" w:fill="CFF0FC"/>
          </w:tcPr>
          <w:p>
            <w:pPr>
              <w:spacing w:after="0"/>
              <w:rPr>
                <w:sz w:val="17"/>
                <w:szCs w:val="17"/>
                <w:color w:val="auto"/>
              </w:rPr>
            </w:pPr>
          </w:p>
        </w:tc>
        <w:tc>
          <w:tcPr>
            <w:tcW w:w="58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40" w:type="dxa"/>
            <w:vAlign w:val="bottom"/>
          </w:tcPr>
          <w:p>
            <w:pPr>
              <w:ind w:left="20"/>
              <w:spacing w:after="0" w:line="202" w:lineRule="exact"/>
              <w:rPr>
                <w:sz w:val="20"/>
                <w:szCs w:val="20"/>
                <w:color w:val="auto"/>
              </w:rPr>
            </w:pPr>
            <w:r>
              <w:rPr>
                <w:rFonts w:ascii="Arial" w:cs="Arial" w:eastAsia="Arial" w:hAnsi="Arial"/>
                <w:sz w:val="18"/>
                <w:szCs w:val="18"/>
                <w:color w:val="auto"/>
              </w:rPr>
              <w:t>Selling, general and administrative expenses</w:t>
            </w:r>
          </w:p>
        </w:tc>
        <w:tc>
          <w:tcPr>
            <w:tcW w:w="3640" w:type="dxa"/>
            <w:vAlign w:val="bottom"/>
          </w:tcPr>
          <w:p>
            <w:pPr>
              <w:spacing w:after="0"/>
              <w:rPr>
                <w:sz w:val="17"/>
                <w:szCs w:val="17"/>
                <w:color w:val="auto"/>
              </w:rPr>
            </w:pPr>
          </w:p>
        </w:tc>
        <w:tc>
          <w:tcPr>
            <w:tcW w:w="740" w:type="dxa"/>
            <w:vAlign w:val="bottom"/>
          </w:tcPr>
          <w:p>
            <w:pPr>
              <w:jc w:val="right"/>
              <w:ind w:right="130"/>
              <w:spacing w:after="0" w:line="202" w:lineRule="exact"/>
              <w:rPr>
                <w:sz w:val="20"/>
                <w:szCs w:val="20"/>
                <w:color w:val="auto"/>
              </w:rPr>
            </w:pPr>
            <w:r>
              <w:rPr>
                <w:rFonts w:ascii="Arial" w:cs="Arial" w:eastAsia="Arial" w:hAnsi="Arial"/>
                <w:sz w:val="18"/>
                <w:szCs w:val="18"/>
                <w:b w:val="1"/>
                <w:bCs w:val="1"/>
                <w:color w:val="auto"/>
              </w:rPr>
              <w:t>18.5</w:t>
            </w:r>
          </w:p>
        </w:tc>
        <w:tc>
          <w:tcPr>
            <w:tcW w:w="1240" w:type="dxa"/>
            <w:vAlign w:val="bottom"/>
          </w:tcPr>
          <w:p>
            <w:pPr>
              <w:spacing w:after="0"/>
              <w:rPr>
                <w:sz w:val="17"/>
                <w:szCs w:val="17"/>
                <w:color w:val="auto"/>
              </w:rPr>
            </w:pPr>
          </w:p>
        </w:tc>
        <w:tc>
          <w:tcPr>
            <w:tcW w:w="580" w:type="dxa"/>
            <w:vAlign w:val="bottom"/>
          </w:tcPr>
          <w:p>
            <w:pPr>
              <w:jc w:val="right"/>
              <w:ind w:right="10"/>
              <w:spacing w:after="0" w:line="202" w:lineRule="exact"/>
              <w:rPr>
                <w:sz w:val="20"/>
                <w:szCs w:val="20"/>
                <w:color w:val="auto"/>
              </w:rPr>
            </w:pPr>
            <w:r>
              <w:rPr>
                <w:rFonts w:ascii="Arial" w:cs="Arial" w:eastAsia="Arial" w:hAnsi="Arial"/>
                <w:sz w:val="18"/>
                <w:szCs w:val="18"/>
                <w:color w:val="auto"/>
              </w:rPr>
              <w:t>19.5</w:t>
            </w:r>
          </w:p>
        </w:tc>
        <w:tc>
          <w:tcPr>
            <w:tcW w:w="0" w:type="dxa"/>
            <w:vAlign w:val="bottom"/>
          </w:tcPr>
          <w:p>
            <w:pPr>
              <w:spacing w:after="0"/>
              <w:rPr>
                <w:sz w:val="1"/>
                <w:szCs w:val="1"/>
                <w:color w:val="auto"/>
              </w:rPr>
            </w:pPr>
          </w:p>
        </w:tc>
      </w:tr>
      <w:tr>
        <w:trPr>
          <w:trHeight w:val="203"/>
        </w:trPr>
        <w:tc>
          <w:tcPr>
            <w:tcW w:w="504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Restructuring charges</w:t>
            </w:r>
          </w:p>
        </w:tc>
        <w:tc>
          <w:tcPr>
            <w:tcW w:w="3640" w:type="dxa"/>
            <w:vAlign w:val="bottom"/>
            <w:shd w:val="clear" w:color="auto" w:fill="CFF0FC"/>
          </w:tcPr>
          <w:p>
            <w:pPr>
              <w:spacing w:after="0"/>
              <w:rPr>
                <w:sz w:val="17"/>
                <w:szCs w:val="17"/>
                <w:color w:val="auto"/>
              </w:rPr>
            </w:pPr>
          </w:p>
        </w:tc>
        <w:tc>
          <w:tcPr>
            <w:tcW w:w="740" w:type="dxa"/>
            <w:vAlign w:val="bottom"/>
            <w:shd w:val="clear" w:color="auto" w:fill="CFF0FC"/>
          </w:tcPr>
          <w:p>
            <w:pPr>
              <w:jc w:val="right"/>
              <w:ind w:right="130"/>
              <w:spacing w:after="0" w:line="202" w:lineRule="exact"/>
              <w:rPr>
                <w:sz w:val="20"/>
                <w:szCs w:val="20"/>
                <w:color w:val="auto"/>
              </w:rPr>
            </w:pPr>
            <w:r>
              <w:rPr>
                <w:rFonts w:ascii="Arial" w:cs="Arial" w:eastAsia="Arial" w:hAnsi="Arial"/>
                <w:sz w:val="18"/>
                <w:szCs w:val="18"/>
                <w:b w:val="1"/>
                <w:bCs w:val="1"/>
                <w:color w:val="auto"/>
              </w:rPr>
              <w:t>0.4</w:t>
            </w:r>
          </w:p>
        </w:tc>
        <w:tc>
          <w:tcPr>
            <w:tcW w:w="1240" w:type="dxa"/>
            <w:vAlign w:val="bottom"/>
            <w:shd w:val="clear" w:color="auto" w:fill="CFF0FC"/>
          </w:tcPr>
          <w:p>
            <w:pPr>
              <w:spacing w:after="0"/>
              <w:rPr>
                <w:sz w:val="17"/>
                <w:szCs w:val="17"/>
                <w:color w:val="auto"/>
              </w:rPr>
            </w:pPr>
          </w:p>
        </w:tc>
        <w:tc>
          <w:tcPr>
            <w:tcW w:w="58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r>
        <w:trPr>
          <w:trHeight w:val="203"/>
        </w:trPr>
        <w:tc>
          <w:tcPr>
            <w:tcW w:w="5040" w:type="dxa"/>
            <w:vAlign w:val="bottom"/>
          </w:tcPr>
          <w:p>
            <w:pPr>
              <w:ind w:left="20"/>
              <w:spacing w:after="0" w:line="202" w:lineRule="exact"/>
              <w:rPr>
                <w:sz w:val="20"/>
                <w:szCs w:val="20"/>
                <w:color w:val="auto"/>
              </w:rPr>
            </w:pPr>
            <w:r>
              <w:rPr>
                <w:rFonts w:ascii="Arial" w:cs="Arial" w:eastAsia="Arial" w:hAnsi="Arial"/>
                <w:sz w:val="18"/>
                <w:szCs w:val="18"/>
                <w:color w:val="auto"/>
              </w:rPr>
              <w:t>Loss (gain) on sale or disposal of assets, net</w:t>
            </w:r>
          </w:p>
        </w:tc>
        <w:tc>
          <w:tcPr>
            <w:tcW w:w="3640" w:type="dxa"/>
            <w:vAlign w:val="bottom"/>
          </w:tcPr>
          <w:p>
            <w:pPr>
              <w:spacing w:after="0"/>
              <w:rPr>
                <w:sz w:val="17"/>
                <w:szCs w:val="17"/>
                <w:color w:val="auto"/>
              </w:rPr>
            </w:pPr>
          </w:p>
        </w:tc>
        <w:tc>
          <w:tcPr>
            <w:tcW w:w="740" w:type="dxa"/>
            <w:vAlign w:val="bottom"/>
          </w:tcPr>
          <w:p>
            <w:pPr>
              <w:jc w:val="right"/>
              <w:ind w:right="130"/>
              <w:spacing w:after="0" w:line="202" w:lineRule="exact"/>
              <w:rPr>
                <w:sz w:val="20"/>
                <w:szCs w:val="20"/>
                <w:color w:val="auto"/>
              </w:rPr>
            </w:pPr>
            <w:r>
              <w:rPr>
                <w:rFonts w:ascii="Arial" w:cs="Arial" w:eastAsia="Arial" w:hAnsi="Arial"/>
                <w:sz w:val="18"/>
                <w:szCs w:val="18"/>
                <w:b w:val="1"/>
                <w:bCs w:val="1"/>
                <w:color w:val="auto"/>
              </w:rPr>
              <w:t>0.1</w:t>
            </w:r>
          </w:p>
        </w:tc>
        <w:tc>
          <w:tcPr>
            <w:tcW w:w="1240" w:type="dxa"/>
            <w:vAlign w:val="bottom"/>
          </w:tcPr>
          <w:p>
            <w:pPr>
              <w:spacing w:after="0"/>
              <w:rPr>
                <w:sz w:val="17"/>
                <w:szCs w:val="17"/>
                <w:color w:val="auto"/>
              </w:rPr>
            </w:pPr>
          </w:p>
        </w:tc>
        <w:tc>
          <w:tcPr>
            <w:tcW w:w="580" w:type="dxa"/>
            <w:vAlign w:val="bottom"/>
          </w:tcPr>
          <w:p>
            <w:pPr>
              <w:jc w:val="right"/>
              <w:ind w:right="10"/>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504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Impairment charges</w:t>
            </w:r>
          </w:p>
        </w:tc>
        <w:tc>
          <w:tcPr>
            <w:tcW w:w="3640" w:type="dxa"/>
            <w:vAlign w:val="bottom"/>
            <w:shd w:val="clear" w:color="auto" w:fill="CFF0FC"/>
          </w:tcPr>
          <w:p>
            <w:pPr>
              <w:spacing w:after="0"/>
              <w:rPr>
                <w:sz w:val="17"/>
                <w:szCs w:val="17"/>
                <w:color w:val="auto"/>
              </w:rPr>
            </w:pPr>
          </w:p>
        </w:tc>
        <w:tc>
          <w:tcPr>
            <w:tcW w:w="740" w:type="dxa"/>
            <w:vAlign w:val="bottom"/>
            <w:shd w:val="clear" w:color="auto" w:fill="CFF0FC"/>
          </w:tcPr>
          <w:p>
            <w:pPr>
              <w:jc w:val="right"/>
              <w:ind w:right="130"/>
              <w:spacing w:after="0" w:line="202" w:lineRule="exact"/>
              <w:rPr>
                <w:sz w:val="20"/>
                <w:szCs w:val="20"/>
                <w:color w:val="auto"/>
              </w:rPr>
            </w:pPr>
            <w:r>
              <w:rPr>
                <w:rFonts w:ascii="Arial" w:cs="Arial" w:eastAsia="Arial" w:hAnsi="Arial"/>
                <w:sz w:val="18"/>
                <w:szCs w:val="18"/>
                <w:b w:val="1"/>
                <w:bCs w:val="1"/>
                <w:color w:val="auto"/>
              </w:rPr>
              <w:t>—</w:t>
            </w:r>
          </w:p>
        </w:tc>
        <w:tc>
          <w:tcPr>
            <w:tcW w:w="1240" w:type="dxa"/>
            <w:vAlign w:val="bottom"/>
            <w:shd w:val="clear" w:color="auto" w:fill="CFF0FC"/>
          </w:tcPr>
          <w:p>
            <w:pPr>
              <w:spacing w:after="0"/>
              <w:rPr>
                <w:sz w:val="17"/>
                <w:szCs w:val="17"/>
                <w:color w:val="auto"/>
              </w:rPr>
            </w:pPr>
          </w:p>
        </w:tc>
        <w:tc>
          <w:tcPr>
            <w:tcW w:w="58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8.2</w:t>
            </w:r>
          </w:p>
        </w:tc>
        <w:tc>
          <w:tcPr>
            <w:tcW w:w="0" w:type="dxa"/>
            <w:vAlign w:val="bottom"/>
          </w:tcPr>
          <w:p>
            <w:pPr>
              <w:spacing w:after="0"/>
              <w:rPr>
                <w:sz w:val="1"/>
                <w:szCs w:val="1"/>
                <w:color w:val="auto"/>
              </w:rPr>
            </w:pPr>
          </w:p>
        </w:tc>
      </w:tr>
      <w:tr>
        <w:trPr>
          <w:trHeight w:val="203"/>
        </w:trPr>
        <w:tc>
          <w:tcPr>
            <w:tcW w:w="5040" w:type="dxa"/>
            <w:vAlign w:val="bottom"/>
          </w:tcPr>
          <w:p>
            <w:pPr>
              <w:ind w:left="20"/>
              <w:spacing w:after="0" w:line="202" w:lineRule="exact"/>
              <w:rPr>
                <w:sz w:val="20"/>
                <w:szCs w:val="20"/>
                <w:color w:val="auto"/>
              </w:rPr>
            </w:pPr>
            <w:r>
              <w:rPr>
                <w:rFonts w:ascii="Arial" w:cs="Arial" w:eastAsia="Arial" w:hAnsi="Arial"/>
                <w:sz w:val="18"/>
                <w:szCs w:val="18"/>
                <w:color w:val="auto"/>
              </w:rPr>
              <w:t>Interest expense</w:t>
            </w:r>
          </w:p>
        </w:tc>
        <w:tc>
          <w:tcPr>
            <w:tcW w:w="3640" w:type="dxa"/>
            <w:vAlign w:val="bottom"/>
          </w:tcPr>
          <w:p>
            <w:pPr>
              <w:spacing w:after="0"/>
              <w:rPr>
                <w:sz w:val="17"/>
                <w:szCs w:val="17"/>
                <w:color w:val="auto"/>
              </w:rPr>
            </w:pPr>
          </w:p>
        </w:tc>
        <w:tc>
          <w:tcPr>
            <w:tcW w:w="740" w:type="dxa"/>
            <w:vAlign w:val="bottom"/>
          </w:tcPr>
          <w:p>
            <w:pPr>
              <w:jc w:val="right"/>
              <w:ind w:right="130"/>
              <w:spacing w:after="0" w:line="202" w:lineRule="exact"/>
              <w:rPr>
                <w:sz w:val="20"/>
                <w:szCs w:val="20"/>
                <w:color w:val="auto"/>
              </w:rPr>
            </w:pPr>
            <w:r>
              <w:rPr>
                <w:rFonts w:ascii="Arial" w:cs="Arial" w:eastAsia="Arial" w:hAnsi="Arial"/>
                <w:sz w:val="18"/>
                <w:szCs w:val="18"/>
                <w:b w:val="1"/>
                <w:bCs w:val="1"/>
                <w:color w:val="auto"/>
              </w:rPr>
              <w:t>1.2</w:t>
            </w:r>
          </w:p>
        </w:tc>
        <w:tc>
          <w:tcPr>
            <w:tcW w:w="1240" w:type="dxa"/>
            <w:vAlign w:val="bottom"/>
          </w:tcPr>
          <w:p>
            <w:pPr>
              <w:spacing w:after="0"/>
              <w:rPr>
                <w:sz w:val="17"/>
                <w:szCs w:val="17"/>
                <w:color w:val="auto"/>
              </w:rPr>
            </w:pPr>
          </w:p>
        </w:tc>
        <w:tc>
          <w:tcPr>
            <w:tcW w:w="580" w:type="dxa"/>
            <w:vAlign w:val="bottom"/>
          </w:tcPr>
          <w:p>
            <w:pPr>
              <w:jc w:val="right"/>
              <w:ind w:right="10"/>
              <w:spacing w:after="0" w:line="202" w:lineRule="exact"/>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03"/>
        </w:trPr>
        <w:tc>
          <w:tcPr>
            <w:tcW w:w="504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Loss on extinguishment of debt</w:t>
            </w:r>
          </w:p>
        </w:tc>
        <w:tc>
          <w:tcPr>
            <w:tcW w:w="3640" w:type="dxa"/>
            <w:vAlign w:val="bottom"/>
            <w:shd w:val="clear" w:color="auto" w:fill="CFF0FC"/>
          </w:tcPr>
          <w:p>
            <w:pPr>
              <w:spacing w:after="0"/>
              <w:rPr>
                <w:sz w:val="17"/>
                <w:szCs w:val="17"/>
                <w:color w:val="auto"/>
              </w:rPr>
            </w:pPr>
          </w:p>
        </w:tc>
        <w:tc>
          <w:tcPr>
            <w:tcW w:w="740" w:type="dxa"/>
            <w:vAlign w:val="bottom"/>
            <w:shd w:val="clear" w:color="auto" w:fill="CFF0FC"/>
          </w:tcPr>
          <w:p>
            <w:pPr>
              <w:jc w:val="right"/>
              <w:ind w:right="130"/>
              <w:spacing w:after="0" w:line="202" w:lineRule="exact"/>
              <w:rPr>
                <w:sz w:val="20"/>
                <w:szCs w:val="20"/>
                <w:color w:val="auto"/>
              </w:rPr>
            </w:pPr>
            <w:r>
              <w:rPr>
                <w:rFonts w:ascii="Arial" w:cs="Arial" w:eastAsia="Arial" w:hAnsi="Arial"/>
                <w:sz w:val="18"/>
                <w:szCs w:val="18"/>
                <w:b w:val="1"/>
                <w:bCs w:val="1"/>
                <w:color w:val="auto"/>
              </w:rPr>
              <w:t>17.0</w:t>
            </w:r>
          </w:p>
        </w:tc>
        <w:tc>
          <w:tcPr>
            <w:tcW w:w="1240" w:type="dxa"/>
            <w:vAlign w:val="bottom"/>
            <w:shd w:val="clear" w:color="auto" w:fill="CFF0FC"/>
          </w:tcPr>
          <w:p>
            <w:pPr>
              <w:spacing w:after="0"/>
              <w:rPr>
                <w:sz w:val="17"/>
                <w:szCs w:val="17"/>
                <w:color w:val="auto"/>
              </w:rPr>
            </w:pPr>
          </w:p>
        </w:tc>
        <w:tc>
          <w:tcPr>
            <w:tcW w:w="58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5040" w:type="dxa"/>
            <w:vAlign w:val="bottom"/>
            <w:tcBorders>
              <w:bottom w:val="single" w:sz="8" w:color="auto"/>
            </w:tcBorders>
          </w:tcPr>
          <w:p>
            <w:pPr>
              <w:ind w:left="20"/>
              <w:spacing w:after="0" w:line="202" w:lineRule="exact"/>
              <w:rPr>
                <w:sz w:val="20"/>
                <w:szCs w:val="20"/>
                <w:color w:val="auto"/>
              </w:rPr>
            </w:pPr>
            <w:r>
              <w:rPr>
                <w:rFonts w:ascii="Arial" w:cs="Arial" w:eastAsia="Arial" w:hAnsi="Arial"/>
                <w:sz w:val="18"/>
                <w:szCs w:val="18"/>
                <w:color w:val="auto"/>
              </w:rPr>
              <w:t>Other (income) expense, net</w:t>
            </w:r>
          </w:p>
        </w:tc>
        <w:tc>
          <w:tcPr>
            <w:tcW w:w="364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50"/>
              <w:spacing w:after="0" w:line="202" w:lineRule="exact"/>
              <w:rPr>
                <w:sz w:val="20"/>
                <w:szCs w:val="20"/>
                <w:color w:val="auto"/>
              </w:rPr>
            </w:pPr>
            <w:r>
              <w:rPr>
                <w:rFonts w:ascii="Arial" w:cs="Arial" w:eastAsia="Arial" w:hAnsi="Arial"/>
                <w:sz w:val="18"/>
                <w:szCs w:val="18"/>
                <w:b w:val="1"/>
                <w:bCs w:val="1"/>
                <w:color w:val="auto"/>
              </w:rPr>
              <w:t>(15.2 )</w:t>
            </w:r>
          </w:p>
        </w:tc>
        <w:tc>
          <w:tcPr>
            <w:tcW w:w="124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(9.4 )</w:t>
            </w:r>
          </w:p>
        </w:tc>
        <w:tc>
          <w:tcPr>
            <w:tcW w:w="0" w:type="dxa"/>
            <w:vAlign w:val="bottom"/>
          </w:tcPr>
          <w:p>
            <w:pPr>
              <w:spacing w:after="0"/>
              <w:rPr>
                <w:sz w:val="1"/>
                <w:szCs w:val="1"/>
                <w:color w:val="auto"/>
              </w:rPr>
            </w:pPr>
          </w:p>
        </w:tc>
      </w:tr>
      <w:tr>
        <w:trPr>
          <w:trHeight w:val="196"/>
        </w:trPr>
        <w:tc>
          <w:tcPr>
            <w:tcW w:w="5040" w:type="dxa"/>
            <w:vAlign w:val="bottom"/>
            <w:shd w:val="clear" w:color="auto" w:fill="CFF0FC"/>
          </w:tcPr>
          <w:p>
            <w:pPr>
              <w:ind w:left="200"/>
              <w:spacing w:after="0" w:line="196" w:lineRule="exact"/>
              <w:rPr>
                <w:sz w:val="20"/>
                <w:szCs w:val="20"/>
                <w:color w:val="auto"/>
              </w:rPr>
            </w:pPr>
            <w:r>
              <w:rPr>
                <w:rFonts w:ascii="Arial" w:cs="Arial" w:eastAsia="Arial" w:hAnsi="Arial"/>
                <w:sz w:val="18"/>
                <w:szCs w:val="18"/>
                <w:b w:val="1"/>
                <w:bCs w:val="1"/>
                <w:color w:val="auto"/>
              </w:rPr>
              <w:t>Income (Loss) Before Income Taxes</w:t>
            </w:r>
          </w:p>
        </w:tc>
        <w:tc>
          <w:tcPr>
            <w:tcW w:w="3640" w:type="dxa"/>
            <w:vAlign w:val="bottom"/>
            <w:shd w:val="clear" w:color="auto" w:fill="CFF0FC"/>
          </w:tcPr>
          <w:p>
            <w:pPr>
              <w:spacing w:after="0"/>
              <w:rPr>
                <w:sz w:val="17"/>
                <w:szCs w:val="17"/>
                <w:color w:val="auto"/>
              </w:rPr>
            </w:pPr>
          </w:p>
        </w:tc>
        <w:tc>
          <w:tcPr>
            <w:tcW w:w="740" w:type="dxa"/>
            <w:vAlign w:val="bottom"/>
            <w:shd w:val="clear" w:color="auto" w:fill="CFF0FC"/>
          </w:tcPr>
          <w:p>
            <w:pPr>
              <w:jc w:val="right"/>
              <w:ind w:right="130"/>
              <w:spacing w:after="0" w:line="196" w:lineRule="exact"/>
              <w:rPr>
                <w:sz w:val="20"/>
                <w:szCs w:val="20"/>
                <w:color w:val="auto"/>
              </w:rPr>
            </w:pPr>
            <w:r>
              <w:rPr>
                <w:rFonts w:ascii="Arial" w:cs="Arial" w:eastAsia="Arial" w:hAnsi="Arial"/>
                <w:sz w:val="18"/>
                <w:szCs w:val="18"/>
                <w:b w:val="1"/>
                <w:bCs w:val="1"/>
                <w:color w:val="auto"/>
              </w:rPr>
              <w:t>38.0</w:t>
            </w:r>
          </w:p>
        </w:tc>
        <w:tc>
          <w:tcPr>
            <w:tcW w:w="1240" w:type="dxa"/>
            <w:vAlign w:val="bottom"/>
            <w:shd w:val="clear" w:color="auto" w:fill="CFF0FC"/>
          </w:tcPr>
          <w:p>
            <w:pPr>
              <w:spacing w:after="0"/>
              <w:rPr>
                <w:sz w:val="17"/>
                <w:szCs w:val="17"/>
                <w:color w:val="auto"/>
              </w:rPr>
            </w:pPr>
          </w:p>
        </w:tc>
        <w:tc>
          <w:tcPr>
            <w:tcW w:w="58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03"/>
        </w:trPr>
        <w:tc>
          <w:tcPr>
            <w:tcW w:w="5040" w:type="dxa"/>
            <w:vAlign w:val="bottom"/>
            <w:tcBorders>
              <w:bottom w:val="single" w:sz="8" w:color="auto"/>
            </w:tcBorders>
          </w:tcPr>
          <w:p>
            <w:pPr>
              <w:ind w:left="20"/>
              <w:spacing w:after="0" w:line="202" w:lineRule="exact"/>
              <w:rPr>
                <w:sz w:val="20"/>
                <w:szCs w:val="20"/>
                <w:color w:val="auto"/>
              </w:rPr>
            </w:pPr>
            <w:r>
              <w:rPr>
                <w:rFonts w:ascii="Arial" w:cs="Arial" w:eastAsia="Arial" w:hAnsi="Arial"/>
                <w:sz w:val="18"/>
                <w:szCs w:val="18"/>
                <w:color w:val="auto"/>
              </w:rPr>
              <w:t>Provision (benefit) for income taxes</w:t>
            </w:r>
          </w:p>
        </w:tc>
        <w:tc>
          <w:tcPr>
            <w:tcW w:w="364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30"/>
              <w:spacing w:after="0" w:line="202" w:lineRule="exact"/>
              <w:rPr>
                <w:sz w:val="20"/>
                <w:szCs w:val="20"/>
                <w:color w:val="auto"/>
              </w:rPr>
            </w:pPr>
            <w:r>
              <w:rPr>
                <w:rFonts w:ascii="Arial" w:cs="Arial" w:eastAsia="Arial" w:hAnsi="Arial"/>
                <w:sz w:val="18"/>
                <w:szCs w:val="18"/>
                <w:b w:val="1"/>
                <w:bCs w:val="1"/>
                <w:color w:val="auto"/>
              </w:rPr>
              <w:t>0.9</w:t>
            </w:r>
          </w:p>
        </w:tc>
        <w:tc>
          <w:tcPr>
            <w:tcW w:w="124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196"/>
        </w:trPr>
        <w:tc>
          <w:tcPr>
            <w:tcW w:w="5040" w:type="dxa"/>
            <w:vAlign w:val="bottom"/>
            <w:tcBorders>
              <w:bottom w:val="single" w:sz="8" w:color="auto"/>
            </w:tcBorders>
            <w:shd w:val="clear" w:color="auto" w:fill="CFF0FC"/>
          </w:tcPr>
          <w:p>
            <w:pPr>
              <w:ind w:left="200"/>
              <w:spacing w:after="0" w:line="196" w:lineRule="exact"/>
              <w:rPr>
                <w:sz w:val="20"/>
                <w:szCs w:val="20"/>
                <w:color w:val="auto"/>
              </w:rPr>
            </w:pPr>
            <w:r>
              <w:rPr>
                <w:rFonts w:ascii="Arial" w:cs="Arial" w:eastAsia="Arial" w:hAnsi="Arial"/>
                <w:sz w:val="18"/>
                <w:szCs w:val="18"/>
                <w:b w:val="1"/>
                <w:bCs w:val="1"/>
                <w:color w:val="auto"/>
              </w:rPr>
              <w:t>Net Income (Loss)</w:t>
            </w:r>
          </w:p>
        </w:tc>
        <w:tc>
          <w:tcPr>
            <w:tcW w:w="3640" w:type="dxa"/>
            <w:vAlign w:val="bottom"/>
            <w:tcBorders>
              <w:bottom w:val="single" w:sz="8" w:color="auto"/>
            </w:tcBorders>
            <w:shd w:val="clear" w:color="auto" w:fill="CFF0FC"/>
          </w:tcPr>
          <w:p>
            <w:pPr>
              <w:jc w:val="right"/>
              <w:ind w:right="910"/>
              <w:spacing w:after="0" w:line="196" w:lineRule="exact"/>
              <w:rPr>
                <w:sz w:val="20"/>
                <w:szCs w:val="20"/>
                <w:color w:val="auto"/>
              </w:rPr>
            </w:pPr>
            <w:r>
              <w:rPr>
                <w:rFonts w:ascii="Arial" w:cs="Arial" w:eastAsia="Arial" w:hAnsi="Arial"/>
                <w:sz w:val="18"/>
                <w:szCs w:val="18"/>
                <w:b w:val="1"/>
                <w:bCs w:val="1"/>
                <w:color w:val="auto"/>
              </w:rPr>
              <w:t>$</w:t>
            </w:r>
          </w:p>
        </w:tc>
        <w:tc>
          <w:tcPr>
            <w:tcW w:w="740" w:type="dxa"/>
            <w:vAlign w:val="bottom"/>
            <w:tcBorders>
              <w:bottom w:val="single" w:sz="8" w:color="auto"/>
            </w:tcBorders>
            <w:shd w:val="clear" w:color="auto" w:fill="CFF0FC"/>
          </w:tcPr>
          <w:p>
            <w:pPr>
              <w:jc w:val="right"/>
              <w:ind w:right="130"/>
              <w:spacing w:after="0" w:line="196" w:lineRule="exact"/>
              <w:rPr>
                <w:sz w:val="20"/>
                <w:szCs w:val="20"/>
                <w:color w:val="auto"/>
              </w:rPr>
            </w:pPr>
            <w:r>
              <w:rPr>
                <w:rFonts w:ascii="Arial" w:cs="Arial" w:eastAsia="Arial" w:hAnsi="Arial"/>
                <w:sz w:val="18"/>
                <w:szCs w:val="18"/>
                <w:b w:val="1"/>
                <w:bCs w:val="1"/>
                <w:color w:val="auto"/>
              </w:rPr>
              <w:t>37.1</w:t>
            </w:r>
          </w:p>
        </w:tc>
        <w:tc>
          <w:tcPr>
            <w:tcW w:w="1240" w:type="dxa"/>
            <w:vAlign w:val="bottom"/>
            <w:tcBorders>
              <w:bottom w:val="single" w:sz="8" w:color="auto"/>
            </w:tcBorders>
            <w:shd w:val="clear" w:color="auto" w:fill="CFF0FC"/>
          </w:tcPr>
          <w:p>
            <w:pPr>
              <w:jc w:val="right"/>
              <w:ind w:right="950"/>
              <w:spacing w:after="0" w:line="196" w:lineRule="exact"/>
              <w:rPr>
                <w:sz w:val="20"/>
                <w:szCs w:val="20"/>
                <w:color w:val="auto"/>
              </w:rPr>
            </w:pPr>
            <w:r>
              <w:rPr>
                <w:rFonts w:ascii="Arial" w:cs="Arial" w:eastAsia="Arial" w:hAnsi="Arial"/>
                <w:sz w:val="18"/>
                <w:szCs w:val="18"/>
                <w:color w:val="auto"/>
              </w:rPr>
              <w:t>$</w:t>
            </w:r>
          </w:p>
        </w:tc>
        <w:tc>
          <w:tcPr>
            <w:tcW w:w="580" w:type="dxa"/>
            <w:vAlign w:val="bottom"/>
            <w:tcBorders>
              <w:bottom w:val="single" w:sz="8" w:color="auto"/>
            </w:tcBorders>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9.8</w:t>
            </w:r>
          </w:p>
        </w:tc>
        <w:tc>
          <w:tcPr>
            <w:tcW w:w="0" w:type="dxa"/>
            <w:vAlign w:val="bottom"/>
          </w:tcPr>
          <w:p>
            <w:pPr>
              <w:spacing w:after="0"/>
              <w:rPr>
                <w:sz w:val="1"/>
                <w:szCs w:val="1"/>
                <w:color w:val="auto"/>
              </w:rPr>
            </w:pPr>
          </w:p>
        </w:tc>
      </w:tr>
      <w:tr>
        <w:trPr>
          <w:trHeight w:val="196"/>
        </w:trPr>
        <w:tc>
          <w:tcPr>
            <w:tcW w:w="5040" w:type="dxa"/>
            <w:vAlign w:val="bottom"/>
          </w:tcPr>
          <w:p>
            <w:pPr>
              <w:spacing w:after="0"/>
              <w:rPr>
                <w:sz w:val="17"/>
                <w:szCs w:val="17"/>
                <w:color w:val="auto"/>
              </w:rPr>
            </w:pPr>
          </w:p>
        </w:tc>
        <w:tc>
          <w:tcPr>
            <w:tcW w:w="36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40" w:type="dxa"/>
            <w:vAlign w:val="bottom"/>
            <w:tcBorders>
              <w:bottom w:val="single" w:sz="8" w:color="auto"/>
            </w:tcBorders>
            <w:shd w:val="clear" w:color="auto" w:fill="CFF0FC"/>
          </w:tcPr>
          <w:p>
            <w:pPr>
              <w:ind w:left="20"/>
              <w:spacing w:after="0" w:line="202" w:lineRule="exact"/>
              <w:rPr>
                <w:sz w:val="20"/>
                <w:szCs w:val="20"/>
                <w:color w:val="auto"/>
              </w:rPr>
            </w:pPr>
            <w:r>
              <w:rPr>
                <w:rFonts w:ascii="Arial" w:cs="Arial" w:eastAsia="Arial" w:hAnsi="Arial"/>
                <w:sz w:val="18"/>
                <w:szCs w:val="18"/>
                <w:b w:val="1"/>
                <w:bCs w:val="1"/>
                <w:color w:val="auto"/>
              </w:rPr>
              <w:t>Per Share Data:</w:t>
            </w:r>
          </w:p>
        </w:tc>
        <w:tc>
          <w:tcPr>
            <w:tcW w:w="3640" w:type="dxa"/>
            <w:vAlign w:val="bottom"/>
            <w:tcBorders>
              <w:bottom w:val="single" w:sz="8" w:color="auto"/>
            </w:tcBorders>
            <w:shd w:val="clear" w:color="auto" w:fill="CFF0FC"/>
          </w:tcPr>
          <w:p>
            <w:pPr>
              <w:spacing w:after="0"/>
              <w:rPr>
                <w:sz w:val="17"/>
                <w:szCs w:val="17"/>
                <w:color w:val="auto"/>
              </w:rPr>
            </w:pPr>
          </w:p>
        </w:tc>
        <w:tc>
          <w:tcPr>
            <w:tcW w:w="740" w:type="dxa"/>
            <w:vAlign w:val="bottom"/>
            <w:tcBorders>
              <w:bottom w:val="single" w:sz="8" w:color="auto"/>
            </w:tcBorders>
            <w:shd w:val="clear" w:color="auto" w:fill="CFF0FC"/>
          </w:tcPr>
          <w:p>
            <w:pPr>
              <w:spacing w:after="0"/>
              <w:rPr>
                <w:sz w:val="17"/>
                <w:szCs w:val="17"/>
                <w:color w:val="auto"/>
              </w:rPr>
            </w:pPr>
          </w:p>
        </w:tc>
        <w:tc>
          <w:tcPr>
            <w:tcW w:w="1240" w:type="dxa"/>
            <w:vAlign w:val="bottom"/>
            <w:tcBorders>
              <w:bottom w:val="single" w:sz="8" w:color="auto"/>
            </w:tcBorders>
            <w:shd w:val="clear" w:color="auto" w:fill="CFF0FC"/>
          </w:tcPr>
          <w:p>
            <w:pPr>
              <w:spacing w:after="0"/>
              <w:rPr>
                <w:sz w:val="17"/>
                <w:szCs w:val="17"/>
                <w:color w:val="auto"/>
              </w:rPr>
            </w:pPr>
          </w:p>
        </w:tc>
        <w:tc>
          <w:tcPr>
            <w:tcW w:w="580" w:type="dxa"/>
            <w:vAlign w:val="bottom"/>
            <w:tcBorders>
              <w:bottom w:val="single" w:sz="8" w:color="auto"/>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040" w:type="dxa"/>
            <w:vAlign w:val="bottom"/>
            <w:tcBorders>
              <w:bottom w:val="single" w:sz="8" w:color="auto"/>
            </w:tcBorders>
          </w:tcPr>
          <w:p>
            <w:pPr>
              <w:ind w:left="200"/>
              <w:spacing w:after="0" w:line="196" w:lineRule="exact"/>
              <w:rPr>
                <w:sz w:val="20"/>
                <w:szCs w:val="20"/>
                <w:color w:val="auto"/>
              </w:rPr>
            </w:pPr>
            <w:r>
              <w:rPr>
                <w:rFonts w:ascii="Arial" w:cs="Arial" w:eastAsia="Arial" w:hAnsi="Arial"/>
                <w:sz w:val="18"/>
                <w:szCs w:val="18"/>
                <w:b w:val="1"/>
                <w:bCs w:val="1"/>
                <w:color w:val="auto"/>
              </w:rPr>
              <w:t>Basic earnings (loss) per share</w:t>
            </w:r>
          </w:p>
        </w:tc>
        <w:tc>
          <w:tcPr>
            <w:tcW w:w="3640" w:type="dxa"/>
            <w:vAlign w:val="bottom"/>
            <w:tcBorders>
              <w:bottom w:val="single" w:sz="8" w:color="auto"/>
            </w:tcBorders>
          </w:tcPr>
          <w:p>
            <w:pPr>
              <w:jc w:val="right"/>
              <w:ind w:right="910"/>
              <w:spacing w:after="0" w:line="196" w:lineRule="exact"/>
              <w:rPr>
                <w:sz w:val="20"/>
                <w:szCs w:val="20"/>
                <w:color w:val="auto"/>
              </w:rPr>
            </w:pPr>
            <w:r>
              <w:rPr>
                <w:rFonts w:ascii="Arial" w:cs="Arial" w:eastAsia="Arial" w:hAnsi="Arial"/>
                <w:sz w:val="18"/>
                <w:szCs w:val="18"/>
                <w:b w:val="1"/>
                <w:bCs w:val="1"/>
                <w:color w:val="auto"/>
              </w:rPr>
              <w:t>$</w:t>
            </w:r>
          </w:p>
        </w:tc>
        <w:tc>
          <w:tcPr>
            <w:tcW w:w="740" w:type="dxa"/>
            <w:vAlign w:val="bottom"/>
            <w:tcBorders>
              <w:bottom w:val="single" w:sz="8" w:color="auto"/>
            </w:tcBorders>
          </w:tcPr>
          <w:p>
            <w:pPr>
              <w:jc w:val="right"/>
              <w:ind w:right="130"/>
              <w:spacing w:after="0" w:line="196" w:lineRule="exact"/>
              <w:rPr>
                <w:sz w:val="20"/>
                <w:szCs w:val="20"/>
                <w:color w:val="auto"/>
              </w:rPr>
            </w:pPr>
            <w:r>
              <w:rPr>
                <w:rFonts w:ascii="Arial" w:cs="Arial" w:eastAsia="Arial" w:hAnsi="Arial"/>
                <w:sz w:val="18"/>
                <w:szCs w:val="18"/>
                <w:b w:val="1"/>
                <w:bCs w:val="1"/>
                <w:color w:val="auto"/>
              </w:rPr>
              <w:t>0.80</w:t>
            </w:r>
          </w:p>
        </w:tc>
        <w:tc>
          <w:tcPr>
            <w:tcW w:w="1240" w:type="dxa"/>
            <w:vAlign w:val="bottom"/>
            <w:tcBorders>
              <w:bottom w:val="single" w:sz="8" w:color="auto"/>
            </w:tcBorders>
          </w:tcPr>
          <w:p>
            <w:pPr>
              <w:jc w:val="right"/>
              <w:ind w:right="950"/>
              <w:spacing w:after="0" w:line="196" w:lineRule="exact"/>
              <w:rPr>
                <w:sz w:val="20"/>
                <w:szCs w:val="20"/>
                <w:color w:val="auto"/>
              </w:rPr>
            </w:pPr>
            <w:r>
              <w:rPr>
                <w:rFonts w:ascii="Arial" w:cs="Arial" w:eastAsia="Arial" w:hAnsi="Arial"/>
                <w:sz w:val="18"/>
                <w:szCs w:val="18"/>
                <w:color w:val="auto"/>
              </w:rPr>
              <w:t>$</w:t>
            </w:r>
          </w:p>
        </w:tc>
        <w:tc>
          <w:tcPr>
            <w:tcW w:w="58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rPr>
              <w:t>0.22</w:t>
            </w:r>
          </w:p>
        </w:tc>
        <w:tc>
          <w:tcPr>
            <w:tcW w:w="0" w:type="dxa"/>
            <w:vAlign w:val="bottom"/>
          </w:tcPr>
          <w:p>
            <w:pPr>
              <w:spacing w:after="0"/>
              <w:rPr>
                <w:sz w:val="1"/>
                <w:szCs w:val="1"/>
                <w:color w:val="auto"/>
              </w:rPr>
            </w:pPr>
          </w:p>
        </w:tc>
      </w:tr>
      <w:tr>
        <w:trPr>
          <w:trHeight w:val="196"/>
        </w:trPr>
        <w:tc>
          <w:tcPr>
            <w:tcW w:w="5040" w:type="dxa"/>
            <w:vAlign w:val="bottom"/>
            <w:tcBorders>
              <w:bottom w:val="single" w:sz="8" w:color="auto"/>
            </w:tcBorders>
            <w:shd w:val="clear" w:color="auto" w:fill="CFF0FC"/>
          </w:tcPr>
          <w:p>
            <w:pPr>
              <w:ind w:left="200"/>
              <w:spacing w:after="0" w:line="196" w:lineRule="exact"/>
              <w:rPr>
                <w:sz w:val="20"/>
                <w:szCs w:val="20"/>
                <w:color w:val="auto"/>
              </w:rPr>
            </w:pPr>
            <w:r>
              <w:rPr>
                <w:rFonts w:ascii="Arial" w:cs="Arial" w:eastAsia="Arial" w:hAnsi="Arial"/>
                <w:sz w:val="18"/>
                <w:szCs w:val="18"/>
                <w:b w:val="1"/>
                <w:bCs w:val="1"/>
                <w:color w:val="auto"/>
              </w:rPr>
              <w:t>Diluted earnings (loss) per share</w:t>
            </w:r>
          </w:p>
        </w:tc>
        <w:tc>
          <w:tcPr>
            <w:tcW w:w="3640" w:type="dxa"/>
            <w:vAlign w:val="bottom"/>
            <w:tcBorders>
              <w:bottom w:val="single" w:sz="8" w:color="auto"/>
            </w:tcBorders>
            <w:shd w:val="clear" w:color="auto" w:fill="CFF0FC"/>
          </w:tcPr>
          <w:p>
            <w:pPr>
              <w:jc w:val="right"/>
              <w:ind w:right="910"/>
              <w:spacing w:after="0" w:line="196" w:lineRule="exact"/>
              <w:rPr>
                <w:sz w:val="20"/>
                <w:szCs w:val="20"/>
                <w:color w:val="auto"/>
              </w:rPr>
            </w:pPr>
            <w:r>
              <w:rPr>
                <w:rFonts w:ascii="Arial" w:cs="Arial" w:eastAsia="Arial" w:hAnsi="Arial"/>
                <w:sz w:val="18"/>
                <w:szCs w:val="18"/>
                <w:b w:val="1"/>
                <w:bCs w:val="1"/>
                <w:color w:val="auto"/>
              </w:rPr>
              <w:t>$</w:t>
            </w:r>
          </w:p>
        </w:tc>
        <w:tc>
          <w:tcPr>
            <w:tcW w:w="740" w:type="dxa"/>
            <w:vAlign w:val="bottom"/>
            <w:tcBorders>
              <w:bottom w:val="single" w:sz="8" w:color="auto"/>
            </w:tcBorders>
            <w:shd w:val="clear" w:color="auto" w:fill="CFF0FC"/>
          </w:tcPr>
          <w:p>
            <w:pPr>
              <w:jc w:val="right"/>
              <w:ind w:right="130"/>
              <w:spacing w:after="0" w:line="196" w:lineRule="exact"/>
              <w:rPr>
                <w:sz w:val="20"/>
                <w:szCs w:val="20"/>
                <w:color w:val="auto"/>
              </w:rPr>
            </w:pPr>
            <w:r>
              <w:rPr>
                <w:rFonts w:ascii="Arial" w:cs="Arial" w:eastAsia="Arial" w:hAnsi="Arial"/>
                <w:sz w:val="18"/>
                <w:szCs w:val="18"/>
                <w:b w:val="1"/>
                <w:bCs w:val="1"/>
                <w:color w:val="auto"/>
              </w:rPr>
              <w:t>0.70</w:t>
            </w:r>
          </w:p>
        </w:tc>
        <w:tc>
          <w:tcPr>
            <w:tcW w:w="1240" w:type="dxa"/>
            <w:vAlign w:val="bottom"/>
            <w:tcBorders>
              <w:bottom w:val="single" w:sz="8" w:color="auto"/>
            </w:tcBorders>
            <w:shd w:val="clear" w:color="auto" w:fill="CFF0FC"/>
          </w:tcPr>
          <w:p>
            <w:pPr>
              <w:jc w:val="right"/>
              <w:ind w:right="950"/>
              <w:spacing w:after="0" w:line="196" w:lineRule="exact"/>
              <w:rPr>
                <w:sz w:val="20"/>
                <w:szCs w:val="20"/>
                <w:color w:val="auto"/>
              </w:rPr>
            </w:pPr>
            <w:r>
              <w:rPr>
                <w:rFonts w:ascii="Arial" w:cs="Arial" w:eastAsia="Arial" w:hAnsi="Arial"/>
                <w:sz w:val="18"/>
                <w:szCs w:val="18"/>
                <w:color w:val="auto"/>
              </w:rPr>
              <w:t>$</w:t>
            </w:r>
          </w:p>
        </w:tc>
        <w:tc>
          <w:tcPr>
            <w:tcW w:w="580" w:type="dxa"/>
            <w:vAlign w:val="bottom"/>
            <w:tcBorders>
              <w:bottom w:val="single" w:sz="8" w:color="auto"/>
            </w:tcBorders>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0.20</w:t>
            </w:r>
          </w:p>
        </w:tc>
        <w:tc>
          <w:tcPr>
            <w:tcW w:w="0" w:type="dxa"/>
            <w:vAlign w:val="bottom"/>
          </w:tcPr>
          <w:p>
            <w:pPr>
              <w:spacing w:after="0"/>
              <w:rPr>
                <w:sz w:val="1"/>
                <w:szCs w:val="1"/>
                <w:color w:val="auto"/>
              </w:rPr>
            </w:pPr>
          </w:p>
        </w:tc>
      </w:tr>
      <w:tr>
        <w:trPr>
          <w:trHeight w:val="176"/>
        </w:trPr>
        <w:tc>
          <w:tcPr>
            <w:tcW w:w="5040" w:type="dxa"/>
            <w:vAlign w:val="bottom"/>
          </w:tcPr>
          <w:p>
            <w:pPr>
              <w:spacing w:after="0"/>
              <w:rPr>
                <w:sz w:val="20"/>
                <w:szCs w:val="20"/>
                <w:color w:val="auto"/>
              </w:rPr>
            </w:pPr>
            <w:r>
              <w:rPr>
                <w:rFonts w:ascii="Arial" w:cs="Arial" w:eastAsia="Arial" w:hAnsi="Arial"/>
                <w:sz w:val="14"/>
                <w:szCs w:val="14"/>
                <w:color w:val="auto"/>
              </w:rPr>
              <w:t>See accompanying Notes to the unaudited Consolidated Financial Statements.</w:t>
            </w:r>
          </w:p>
        </w:tc>
        <w:tc>
          <w:tcPr>
            <w:tcW w:w="3640" w:type="dxa"/>
            <w:vAlign w:val="bottom"/>
            <w:vMerge w:val="restart"/>
          </w:tcPr>
          <w:p>
            <w:pPr>
              <w:jc w:val="right"/>
              <w:ind w:right="2930"/>
              <w:spacing w:after="0"/>
              <w:rPr>
                <w:sz w:val="20"/>
                <w:szCs w:val="20"/>
                <w:color w:val="auto"/>
              </w:rPr>
            </w:pPr>
            <w:r>
              <w:rPr>
                <w:rFonts w:ascii="Arial" w:cs="Arial" w:eastAsia="Arial" w:hAnsi="Arial"/>
                <w:sz w:val="18"/>
                <w:szCs w:val="18"/>
                <w:color w:val="auto"/>
              </w:rPr>
              <w:t>3</w:t>
            </w:r>
          </w:p>
        </w:tc>
        <w:tc>
          <w:tcPr>
            <w:tcW w:w="7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5040" w:type="dxa"/>
            <w:vAlign w:val="bottom"/>
          </w:tcPr>
          <w:p>
            <w:pPr>
              <w:spacing w:after="0"/>
              <w:rPr>
                <w:sz w:val="17"/>
                <w:szCs w:val="17"/>
                <w:color w:val="auto"/>
              </w:rPr>
            </w:pPr>
          </w:p>
        </w:tc>
        <w:tc>
          <w:tcPr>
            <w:tcW w:w="3640" w:type="dxa"/>
            <w:vAlign w:val="bottom"/>
            <w:vMerge w:val="continue"/>
          </w:tcPr>
          <w:p>
            <w:pPr>
              <w:spacing w:after="0"/>
              <w:rPr>
                <w:sz w:val="17"/>
                <w:szCs w:val="17"/>
                <w:color w:val="auto"/>
              </w:rPr>
            </w:pPr>
          </w:p>
        </w:tc>
        <w:tc>
          <w:tcPr>
            <w:tcW w:w="74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33"/>
        </w:trPr>
        <w:tc>
          <w:tcPr>
            <w:tcW w:w="5040" w:type="dxa"/>
            <w:vAlign w:val="bottom"/>
            <w:tcBorders>
              <w:bottom w:val="single" w:sz="8" w:color="9A9A9A"/>
            </w:tcBorders>
          </w:tcPr>
          <w:p>
            <w:pPr>
              <w:spacing w:after="0"/>
              <w:rPr>
                <w:sz w:val="24"/>
                <w:szCs w:val="24"/>
                <w:color w:val="auto"/>
              </w:rPr>
            </w:pPr>
          </w:p>
        </w:tc>
        <w:tc>
          <w:tcPr>
            <w:tcW w:w="3640" w:type="dxa"/>
            <w:vAlign w:val="bottom"/>
            <w:tcBorders>
              <w:bottom w:val="single" w:sz="8" w:color="9A9A9A"/>
            </w:tcBorders>
          </w:tcPr>
          <w:p>
            <w:pPr>
              <w:spacing w:after="0"/>
              <w:rPr>
                <w:sz w:val="24"/>
                <w:szCs w:val="24"/>
                <w:color w:val="auto"/>
              </w:rPr>
            </w:pPr>
          </w:p>
        </w:tc>
        <w:tc>
          <w:tcPr>
            <w:tcW w:w="740" w:type="dxa"/>
            <w:vAlign w:val="bottom"/>
            <w:tcBorders>
              <w:bottom w:val="single" w:sz="8" w:color="9A9A9A"/>
            </w:tcBorders>
          </w:tcPr>
          <w:p>
            <w:pPr>
              <w:spacing w:after="0"/>
              <w:rPr>
                <w:sz w:val="24"/>
                <w:szCs w:val="24"/>
                <w:color w:val="auto"/>
              </w:rPr>
            </w:pPr>
          </w:p>
        </w:tc>
        <w:tc>
          <w:tcPr>
            <w:tcW w:w="1240" w:type="dxa"/>
            <w:vAlign w:val="bottom"/>
            <w:tcBorders>
              <w:bottom w:val="single" w:sz="8" w:color="9A9A9A"/>
            </w:tcBorders>
          </w:tcPr>
          <w:p>
            <w:pPr>
              <w:spacing w:after="0"/>
              <w:rPr>
                <w:sz w:val="24"/>
                <w:szCs w:val="24"/>
                <w:color w:val="auto"/>
              </w:rPr>
            </w:pPr>
          </w:p>
        </w:tc>
        <w:tc>
          <w:tcPr>
            <w:tcW w:w="58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3" w:name="page4"/>
    <w:bookmarkEnd w:id="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810895" cy="8255"/>
                    </a:xfrm>
                    <a:prstGeom prst="rect">
                      <a:avLst/>
                    </a:prstGeom>
                    <a:noFill/>
                  </pic:spPr>
                </pic:pic>
              </a:graphicData>
            </a:graphic>
          </wp:anchor>
        </w:drawing>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TimkenSteel Corporation</w:t>
      </w:r>
    </w:p>
    <w:p>
      <w:pPr>
        <w:spacing w:after="0" w:line="1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 of Comprehensive Income (Loss) (Unaudited)</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7440" w:type="dxa"/>
            <w:vAlign w:val="bottom"/>
          </w:tcPr>
          <w:p>
            <w:pPr>
              <w:spacing w:after="0"/>
              <w:rPr>
                <w:sz w:val="17"/>
                <w:szCs w:val="17"/>
                <w:color w:val="auto"/>
              </w:rPr>
            </w:pPr>
          </w:p>
        </w:tc>
        <w:tc>
          <w:tcPr>
            <w:tcW w:w="3300" w:type="dxa"/>
            <w:vAlign w:val="bottom"/>
            <w:gridSpan w:val="3"/>
          </w:tcPr>
          <w:p>
            <w:pPr>
              <w:jc w:val="right"/>
              <w:ind w:right="30"/>
              <w:spacing w:after="0"/>
              <w:rPr>
                <w:sz w:val="20"/>
                <w:szCs w:val="20"/>
                <w:color w:val="auto"/>
              </w:rPr>
            </w:pPr>
            <w:r>
              <w:rPr>
                <w:rFonts w:ascii="Arial" w:cs="Arial" w:eastAsia="Arial" w:hAnsi="Arial"/>
                <w:sz w:val="18"/>
                <w:szCs w:val="18"/>
                <w:b w:val="1"/>
                <w:bCs w:val="1"/>
                <w:color w:val="auto"/>
              </w:rPr>
              <w:t>Three Months Ended March 31,</w:t>
            </w:r>
          </w:p>
        </w:tc>
        <w:tc>
          <w:tcPr>
            <w:tcW w:w="500" w:type="dxa"/>
            <w:vAlign w:val="bottom"/>
          </w:tcPr>
          <w:p>
            <w:pPr>
              <w:spacing w:after="0"/>
              <w:rPr>
                <w:sz w:val="17"/>
                <w:szCs w:val="17"/>
                <w:color w:val="auto"/>
              </w:rPr>
            </w:pPr>
          </w:p>
        </w:tc>
      </w:tr>
      <w:tr>
        <w:trPr>
          <w:trHeight w:val="221"/>
        </w:trPr>
        <w:tc>
          <w:tcPr>
            <w:tcW w:w="74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2022</w:t>
            </w:r>
          </w:p>
        </w:tc>
        <w:tc>
          <w:tcPr>
            <w:tcW w:w="68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rPr>
              <w:t>2021</w:t>
            </w:r>
          </w:p>
        </w:tc>
        <w:tc>
          <w:tcPr>
            <w:tcW w:w="500" w:type="dxa"/>
            <w:vAlign w:val="bottom"/>
            <w:tcBorders>
              <w:bottom w:val="single" w:sz="8" w:color="auto"/>
            </w:tcBorders>
          </w:tcPr>
          <w:p>
            <w:pPr>
              <w:spacing w:after="0"/>
              <w:rPr>
                <w:sz w:val="19"/>
                <w:szCs w:val="19"/>
                <w:color w:val="auto"/>
              </w:rPr>
            </w:pPr>
          </w:p>
        </w:tc>
      </w:tr>
      <w:tr>
        <w:trPr>
          <w:trHeight w:val="196"/>
        </w:trPr>
        <w:tc>
          <w:tcPr>
            <w:tcW w:w="744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i w:val="1"/>
                <w:iCs w:val="1"/>
                <w:color w:val="auto"/>
              </w:rPr>
              <w:t>(Dollars in millions)</w:t>
            </w:r>
          </w:p>
        </w:tc>
        <w:tc>
          <w:tcPr>
            <w:tcW w:w="1340" w:type="dxa"/>
            <w:vAlign w:val="bottom"/>
            <w:shd w:val="clear" w:color="auto" w:fill="CFF0FC"/>
          </w:tcPr>
          <w:p>
            <w:pPr>
              <w:spacing w:after="0"/>
              <w:rPr>
                <w:sz w:val="17"/>
                <w:szCs w:val="17"/>
                <w:color w:val="auto"/>
              </w:rPr>
            </w:pPr>
          </w:p>
        </w:tc>
        <w:tc>
          <w:tcPr>
            <w:tcW w:w="680" w:type="dxa"/>
            <w:vAlign w:val="bottom"/>
            <w:shd w:val="clear" w:color="auto" w:fill="CFF0FC"/>
          </w:tcPr>
          <w:p>
            <w:pPr>
              <w:spacing w:after="0"/>
              <w:rPr>
                <w:sz w:val="17"/>
                <w:szCs w:val="17"/>
                <w:color w:val="auto"/>
              </w:rPr>
            </w:pPr>
          </w:p>
        </w:tc>
        <w:tc>
          <w:tcPr>
            <w:tcW w:w="1280" w:type="dxa"/>
            <w:vAlign w:val="bottom"/>
            <w:shd w:val="clear" w:color="auto" w:fill="CFF0FC"/>
          </w:tcPr>
          <w:p>
            <w:pPr>
              <w:spacing w:after="0"/>
              <w:rPr>
                <w:sz w:val="17"/>
                <w:szCs w:val="17"/>
                <w:color w:val="auto"/>
              </w:rPr>
            </w:pPr>
          </w:p>
        </w:tc>
        <w:tc>
          <w:tcPr>
            <w:tcW w:w="500" w:type="dxa"/>
            <w:vAlign w:val="bottom"/>
            <w:shd w:val="clear" w:color="auto" w:fill="CFF0FC"/>
          </w:tcPr>
          <w:p>
            <w:pPr>
              <w:spacing w:after="0"/>
              <w:rPr>
                <w:sz w:val="17"/>
                <w:szCs w:val="17"/>
                <w:color w:val="auto"/>
              </w:rPr>
            </w:pPr>
          </w:p>
        </w:tc>
      </w:tr>
      <w:tr>
        <w:trPr>
          <w:trHeight w:val="203"/>
        </w:trPr>
        <w:tc>
          <w:tcPr>
            <w:tcW w:w="7440" w:type="dxa"/>
            <w:vAlign w:val="bottom"/>
          </w:tcPr>
          <w:p>
            <w:pPr>
              <w:ind w:left="20"/>
              <w:spacing w:after="0" w:line="202" w:lineRule="exact"/>
              <w:rPr>
                <w:sz w:val="20"/>
                <w:szCs w:val="20"/>
                <w:color w:val="auto"/>
              </w:rPr>
            </w:pPr>
            <w:r>
              <w:rPr>
                <w:rFonts w:ascii="Arial" w:cs="Arial" w:eastAsia="Arial" w:hAnsi="Arial"/>
                <w:sz w:val="18"/>
                <w:szCs w:val="18"/>
                <w:color w:val="auto"/>
              </w:rPr>
              <w:t>Net income (loss)</w:t>
            </w:r>
          </w:p>
        </w:tc>
        <w:tc>
          <w:tcPr>
            <w:tcW w:w="1340" w:type="dxa"/>
            <w:vAlign w:val="bottom"/>
          </w:tcPr>
          <w:p>
            <w:pPr>
              <w:jc w:val="right"/>
              <w:ind w:right="950"/>
              <w:spacing w:after="0" w:line="202" w:lineRule="exact"/>
              <w:rPr>
                <w:sz w:val="20"/>
                <w:szCs w:val="20"/>
                <w:color w:val="auto"/>
              </w:rPr>
            </w:pPr>
            <w:r>
              <w:rPr>
                <w:rFonts w:ascii="Arial" w:cs="Arial" w:eastAsia="Arial" w:hAnsi="Arial"/>
                <w:sz w:val="18"/>
                <w:szCs w:val="18"/>
                <w:b w:val="1"/>
                <w:bCs w:val="1"/>
                <w:color w:val="auto"/>
              </w:rPr>
              <w:t>$</w:t>
            </w:r>
          </w:p>
        </w:tc>
        <w:tc>
          <w:tcPr>
            <w:tcW w:w="680" w:type="dxa"/>
            <w:vAlign w:val="bottom"/>
          </w:tcPr>
          <w:p>
            <w:pPr>
              <w:jc w:val="right"/>
              <w:ind w:right="110"/>
              <w:spacing w:after="0" w:line="202" w:lineRule="exact"/>
              <w:rPr>
                <w:sz w:val="20"/>
                <w:szCs w:val="20"/>
                <w:color w:val="auto"/>
              </w:rPr>
            </w:pPr>
            <w:r>
              <w:rPr>
                <w:rFonts w:ascii="Arial" w:cs="Arial" w:eastAsia="Arial" w:hAnsi="Arial"/>
                <w:sz w:val="18"/>
                <w:szCs w:val="18"/>
                <w:b w:val="1"/>
                <w:bCs w:val="1"/>
                <w:color w:val="auto"/>
              </w:rPr>
              <w:t>37.1</w:t>
            </w:r>
          </w:p>
        </w:tc>
        <w:tc>
          <w:tcPr>
            <w:tcW w:w="1280" w:type="dxa"/>
            <w:vAlign w:val="bottom"/>
          </w:tcPr>
          <w:p>
            <w:pPr>
              <w:jc w:val="right"/>
              <w:ind w:right="990"/>
              <w:spacing w:after="0" w:line="202" w:lineRule="exact"/>
              <w:rPr>
                <w:sz w:val="20"/>
                <w:szCs w:val="20"/>
                <w:color w:val="auto"/>
              </w:rPr>
            </w:pPr>
            <w:r>
              <w:rPr>
                <w:rFonts w:ascii="Arial" w:cs="Arial" w:eastAsia="Arial" w:hAnsi="Arial"/>
                <w:sz w:val="18"/>
                <w:szCs w:val="18"/>
                <w:color w:val="auto"/>
              </w:rPr>
              <w:t>$</w:t>
            </w:r>
          </w:p>
        </w:tc>
        <w:tc>
          <w:tcPr>
            <w:tcW w:w="500" w:type="dxa"/>
            <w:vAlign w:val="bottom"/>
          </w:tcPr>
          <w:p>
            <w:pPr>
              <w:jc w:val="right"/>
              <w:ind w:right="10"/>
              <w:spacing w:after="0" w:line="202" w:lineRule="exact"/>
              <w:rPr>
                <w:sz w:val="20"/>
                <w:szCs w:val="20"/>
                <w:color w:val="auto"/>
              </w:rPr>
            </w:pPr>
            <w:r>
              <w:rPr>
                <w:rFonts w:ascii="Arial" w:cs="Arial" w:eastAsia="Arial" w:hAnsi="Arial"/>
                <w:sz w:val="18"/>
                <w:szCs w:val="18"/>
                <w:color w:val="auto"/>
              </w:rPr>
              <w:t>9.8</w:t>
            </w:r>
          </w:p>
        </w:tc>
      </w:tr>
      <w:tr>
        <w:trPr>
          <w:trHeight w:val="162"/>
        </w:trPr>
        <w:tc>
          <w:tcPr>
            <w:tcW w:w="7440" w:type="dxa"/>
            <w:vAlign w:val="bottom"/>
            <w:shd w:val="clear" w:color="auto" w:fill="CFF0FC"/>
          </w:tcPr>
          <w:p>
            <w:pPr>
              <w:ind w:left="20"/>
              <w:spacing w:after="0" w:line="162" w:lineRule="exact"/>
              <w:rPr>
                <w:sz w:val="20"/>
                <w:szCs w:val="20"/>
                <w:color w:val="auto"/>
              </w:rPr>
            </w:pPr>
            <w:r>
              <w:rPr>
                <w:rFonts w:ascii="Arial" w:cs="Arial" w:eastAsia="Arial" w:hAnsi="Arial"/>
                <w:sz w:val="18"/>
                <w:szCs w:val="18"/>
                <w:color w:val="auto"/>
                <w:w w:val="93"/>
              </w:rPr>
              <w:t>Other comprehensive income (loss), net of tax of $0.1 million for the three months ended March 31,</w:t>
            </w:r>
          </w:p>
        </w:tc>
        <w:tc>
          <w:tcPr>
            <w:tcW w:w="134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280" w:type="dxa"/>
            <w:vAlign w:val="bottom"/>
            <w:shd w:val="clear" w:color="auto" w:fill="CFF0FC"/>
          </w:tcPr>
          <w:p>
            <w:pPr>
              <w:spacing w:after="0"/>
              <w:rPr>
                <w:sz w:val="14"/>
                <w:szCs w:val="14"/>
                <w:color w:val="auto"/>
              </w:rPr>
            </w:pPr>
          </w:p>
        </w:tc>
        <w:tc>
          <w:tcPr>
            <w:tcW w:w="500" w:type="dxa"/>
            <w:vAlign w:val="bottom"/>
            <w:shd w:val="clear" w:color="auto" w:fill="CFF0FC"/>
          </w:tcPr>
          <w:p>
            <w:pPr>
              <w:spacing w:after="0"/>
              <w:rPr>
                <w:sz w:val="14"/>
                <w:szCs w:val="14"/>
                <w:color w:val="auto"/>
              </w:rPr>
            </w:pPr>
          </w:p>
        </w:tc>
      </w:tr>
      <w:tr>
        <w:trPr>
          <w:trHeight w:val="216"/>
        </w:trPr>
        <w:tc>
          <w:tcPr>
            <w:tcW w:w="7440" w:type="dxa"/>
            <w:vAlign w:val="bottom"/>
            <w:shd w:val="clear" w:color="auto" w:fill="CFF0FC"/>
          </w:tcPr>
          <w:p>
            <w:pPr>
              <w:ind w:left="20"/>
              <w:spacing w:after="0"/>
              <w:rPr>
                <w:sz w:val="20"/>
                <w:szCs w:val="20"/>
                <w:color w:val="auto"/>
              </w:rPr>
            </w:pPr>
            <w:r>
              <w:rPr>
                <w:rFonts w:ascii="Arial" w:cs="Arial" w:eastAsia="Arial" w:hAnsi="Arial"/>
                <w:sz w:val="18"/>
                <w:szCs w:val="18"/>
                <w:color w:val="auto"/>
              </w:rPr>
              <w:t>2022</w:t>
            </w:r>
          </w:p>
        </w:tc>
        <w:tc>
          <w:tcPr>
            <w:tcW w:w="134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1280" w:type="dxa"/>
            <w:vAlign w:val="bottom"/>
            <w:shd w:val="clear" w:color="auto" w:fill="CFF0FC"/>
          </w:tcPr>
          <w:p>
            <w:pPr>
              <w:spacing w:after="0"/>
              <w:rPr>
                <w:sz w:val="18"/>
                <w:szCs w:val="18"/>
                <w:color w:val="auto"/>
              </w:rPr>
            </w:pPr>
          </w:p>
        </w:tc>
        <w:tc>
          <w:tcPr>
            <w:tcW w:w="500" w:type="dxa"/>
            <w:vAlign w:val="bottom"/>
            <w:shd w:val="clear" w:color="auto" w:fill="CFF0FC"/>
          </w:tcPr>
          <w:p>
            <w:pPr>
              <w:spacing w:after="0"/>
              <w:rPr>
                <w:sz w:val="18"/>
                <w:szCs w:val="18"/>
                <w:color w:val="auto"/>
              </w:rPr>
            </w:pPr>
          </w:p>
        </w:tc>
      </w:tr>
      <w:tr>
        <w:trPr>
          <w:trHeight w:val="203"/>
        </w:trPr>
        <w:tc>
          <w:tcPr>
            <w:tcW w:w="7440" w:type="dxa"/>
            <w:vAlign w:val="bottom"/>
          </w:tcPr>
          <w:p>
            <w:pPr>
              <w:ind w:left="200"/>
              <w:spacing w:after="0" w:line="202" w:lineRule="exact"/>
              <w:rPr>
                <w:sz w:val="20"/>
                <w:szCs w:val="20"/>
                <w:color w:val="auto"/>
              </w:rPr>
            </w:pPr>
            <w:r>
              <w:rPr>
                <w:rFonts w:ascii="Arial" w:cs="Arial" w:eastAsia="Arial" w:hAnsi="Arial"/>
                <w:sz w:val="18"/>
                <w:szCs w:val="18"/>
                <w:color w:val="auto"/>
              </w:rPr>
              <w:t>Foreign currency translation adjustments</w:t>
            </w:r>
          </w:p>
        </w:tc>
        <w:tc>
          <w:tcPr>
            <w:tcW w:w="1340" w:type="dxa"/>
            <w:vAlign w:val="bottom"/>
          </w:tcPr>
          <w:p>
            <w:pPr>
              <w:spacing w:after="0"/>
              <w:rPr>
                <w:sz w:val="17"/>
                <w:szCs w:val="17"/>
                <w:color w:val="auto"/>
              </w:rPr>
            </w:pPr>
          </w:p>
        </w:tc>
        <w:tc>
          <w:tcPr>
            <w:tcW w:w="680" w:type="dxa"/>
            <w:vAlign w:val="bottom"/>
          </w:tcPr>
          <w:p>
            <w:pPr>
              <w:jc w:val="right"/>
              <w:ind w:right="30"/>
              <w:spacing w:after="0" w:line="202" w:lineRule="exact"/>
              <w:rPr>
                <w:sz w:val="20"/>
                <w:szCs w:val="20"/>
                <w:color w:val="auto"/>
              </w:rPr>
            </w:pPr>
            <w:r>
              <w:rPr>
                <w:rFonts w:ascii="Arial" w:cs="Arial" w:eastAsia="Arial" w:hAnsi="Arial"/>
                <w:sz w:val="18"/>
                <w:szCs w:val="18"/>
                <w:b w:val="1"/>
                <w:bCs w:val="1"/>
                <w:color w:val="auto"/>
              </w:rPr>
              <w:t>(0.8 )</w:t>
            </w:r>
          </w:p>
        </w:tc>
        <w:tc>
          <w:tcPr>
            <w:tcW w:w="1280" w:type="dxa"/>
            <w:vAlign w:val="bottom"/>
          </w:tcPr>
          <w:p>
            <w:pPr>
              <w:spacing w:after="0"/>
              <w:rPr>
                <w:sz w:val="17"/>
                <w:szCs w:val="17"/>
                <w:color w:val="auto"/>
              </w:rPr>
            </w:pPr>
          </w:p>
        </w:tc>
        <w:tc>
          <w:tcPr>
            <w:tcW w:w="500" w:type="dxa"/>
            <w:vAlign w:val="bottom"/>
          </w:tcPr>
          <w:p>
            <w:pPr>
              <w:jc w:val="right"/>
              <w:ind w:right="10"/>
              <w:spacing w:after="0" w:line="202" w:lineRule="exact"/>
              <w:rPr>
                <w:sz w:val="20"/>
                <w:szCs w:val="20"/>
                <w:color w:val="auto"/>
              </w:rPr>
            </w:pPr>
            <w:r>
              <w:rPr>
                <w:rFonts w:ascii="Arial" w:cs="Arial" w:eastAsia="Arial" w:hAnsi="Arial"/>
                <w:sz w:val="18"/>
                <w:szCs w:val="18"/>
                <w:color w:val="auto"/>
              </w:rPr>
              <w:t>0.1</w:t>
            </w:r>
          </w:p>
        </w:tc>
      </w:tr>
      <w:tr>
        <w:trPr>
          <w:trHeight w:val="203"/>
        </w:trPr>
        <w:tc>
          <w:tcPr>
            <w:tcW w:w="7440" w:type="dxa"/>
            <w:vAlign w:val="bottom"/>
            <w:tcBorders>
              <w:bottom w:val="single" w:sz="8" w:color="auto"/>
            </w:tcBorders>
            <w:shd w:val="clear" w:color="auto" w:fill="CFF0FC"/>
          </w:tcPr>
          <w:p>
            <w:pPr>
              <w:ind w:left="200"/>
              <w:spacing w:after="0" w:line="202" w:lineRule="exact"/>
              <w:rPr>
                <w:sz w:val="20"/>
                <w:szCs w:val="20"/>
                <w:color w:val="auto"/>
              </w:rPr>
            </w:pPr>
            <w:r>
              <w:rPr>
                <w:rFonts w:ascii="Arial" w:cs="Arial" w:eastAsia="Arial" w:hAnsi="Arial"/>
                <w:sz w:val="18"/>
                <w:szCs w:val="18"/>
                <w:color w:val="auto"/>
              </w:rPr>
              <w:t>Pension and postretirement liability adjustments</w:t>
            </w:r>
          </w:p>
        </w:tc>
        <w:tc>
          <w:tcPr>
            <w:tcW w:w="1340" w:type="dxa"/>
            <w:vAlign w:val="bottom"/>
            <w:tcBorders>
              <w:bottom w:val="single" w:sz="8" w:color="auto"/>
            </w:tcBorders>
            <w:shd w:val="clear" w:color="auto" w:fill="CFF0FC"/>
          </w:tcPr>
          <w:p>
            <w:pPr>
              <w:spacing w:after="0"/>
              <w:rPr>
                <w:sz w:val="17"/>
                <w:szCs w:val="17"/>
                <w:color w:val="auto"/>
              </w:rPr>
            </w:pPr>
          </w:p>
        </w:tc>
        <w:tc>
          <w:tcPr>
            <w:tcW w:w="680" w:type="dxa"/>
            <w:vAlign w:val="bottom"/>
            <w:tcBorders>
              <w:bottom w:val="single" w:sz="8" w:color="auto"/>
            </w:tcBorders>
            <w:shd w:val="clear" w:color="auto" w:fill="CFF0FC"/>
          </w:tcPr>
          <w:p>
            <w:pPr>
              <w:jc w:val="right"/>
              <w:ind w:right="30"/>
              <w:spacing w:after="0" w:line="202" w:lineRule="exact"/>
              <w:rPr>
                <w:sz w:val="20"/>
                <w:szCs w:val="20"/>
                <w:color w:val="auto"/>
              </w:rPr>
            </w:pPr>
            <w:r>
              <w:rPr>
                <w:rFonts w:ascii="Arial" w:cs="Arial" w:eastAsia="Arial" w:hAnsi="Arial"/>
                <w:sz w:val="18"/>
                <w:szCs w:val="18"/>
                <w:b w:val="1"/>
                <w:bCs w:val="1"/>
                <w:color w:val="auto"/>
              </w:rPr>
              <w:t>(1.1 )</w:t>
            </w:r>
          </w:p>
        </w:tc>
        <w:tc>
          <w:tcPr>
            <w:tcW w:w="1280" w:type="dxa"/>
            <w:vAlign w:val="bottom"/>
            <w:tcBorders>
              <w:bottom w:val="single" w:sz="8" w:color="auto"/>
            </w:tcBorders>
            <w:shd w:val="clear" w:color="auto" w:fill="CFF0FC"/>
          </w:tcPr>
          <w:p>
            <w:pPr>
              <w:spacing w:after="0"/>
              <w:rPr>
                <w:sz w:val="17"/>
                <w:szCs w:val="17"/>
                <w:color w:val="auto"/>
              </w:rPr>
            </w:pPr>
          </w:p>
        </w:tc>
        <w:tc>
          <w:tcPr>
            <w:tcW w:w="50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(1.5 )</w:t>
            </w:r>
          </w:p>
        </w:tc>
      </w:tr>
      <w:tr>
        <w:trPr>
          <w:trHeight w:val="196"/>
        </w:trPr>
        <w:tc>
          <w:tcPr>
            <w:tcW w:w="7440" w:type="dxa"/>
            <w:vAlign w:val="bottom"/>
            <w:tcBorders>
              <w:bottom w:val="single" w:sz="8" w:color="auto"/>
            </w:tcBorders>
          </w:tcPr>
          <w:p>
            <w:pPr>
              <w:ind w:left="200"/>
              <w:spacing w:after="0" w:line="196" w:lineRule="exact"/>
              <w:rPr>
                <w:sz w:val="20"/>
                <w:szCs w:val="20"/>
                <w:color w:val="auto"/>
              </w:rPr>
            </w:pPr>
            <w:r>
              <w:rPr>
                <w:rFonts w:ascii="Arial" w:cs="Arial" w:eastAsia="Arial" w:hAnsi="Arial"/>
                <w:sz w:val="18"/>
                <w:szCs w:val="18"/>
                <w:color w:val="auto"/>
              </w:rPr>
              <w:t>Other comprehensive income (loss), net of tax</w:t>
            </w:r>
          </w:p>
        </w:tc>
        <w:tc>
          <w:tcPr>
            <w:tcW w:w="134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ind w:right="30"/>
              <w:spacing w:after="0" w:line="196" w:lineRule="exact"/>
              <w:rPr>
                <w:sz w:val="20"/>
                <w:szCs w:val="20"/>
                <w:color w:val="auto"/>
              </w:rPr>
            </w:pPr>
            <w:r>
              <w:rPr>
                <w:rFonts w:ascii="Arial" w:cs="Arial" w:eastAsia="Arial" w:hAnsi="Arial"/>
                <w:sz w:val="18"/>
                <w:szCs w:val="18"/>
                <w:b w:val="1"/>
                <w:bCs w:val="1"/>
                <w:color w:val="auto"/>
              </w:rPr>
              <w:t>(1.9 )</w:t>
            </w:r>
          </w:p>
        </w:tc>
        <w:tc>
          <w:tcPr>
            <w:tcW w:w="1280" w:type="dxa"/>
            <w:vAlign w:val="bottom"/>
            <w:tcBorders>
              <w:bottom w:val="single" w:sz="8" w:color="auto"/>
            </w:tcBorders>
          </w:tcPr>
          <w:p>
            <w:pPr>
              <w:spacing w:after="0"/>
              <w:rPr>
                <w:sz w:val="17"/>
                <w:szCs w:val="17"/>
                <w:color w:val="auto"/>
              </w:rPr>
            </w:pPr>
          </w:p>
        </w:tc>
        <w:tc>
          <w:tcPr>
            <w:tcW w:w="5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(1.4 )</w:t>
            </w:r>
          </w:p>
        </w:tc>
      </w:tr>
      <w:tr>
        <w:trPr>
          <w:trHeight w:val="196"/>
        </w:trPr>
        <w:tc>
          <w:tcPr>
            <w:tcW w:w="7440" w:type="dxa"/>
            <w:vAlign w:val="bottom"/>
            <w:tcBorders>
              <w:bottom w:val="single" w:sz="8" w:color="auto"/>
            </w:tcBorders>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Comprehensive Income (Loss), net of tax</w:t>
            </w:r>
          </w:p>
        </w:tc>
        <w:tc>
          <w:tcPr>
            <w:tcW w:w="1340" w:type="dxa"/>
            <w:vAlign w:val="bottom"/>
            <w:tcBorders>
              <w:bottom w:val="single" w:sz="8" w:color="auto"/>
            </w:tcBorders>
            <w:shd w:val="clear" w:color="auto" w:fill="CFF0FC"/>
          </w:tcPr>
          <w:p>
            <w:pPr>
              <w:jc w:val="right"/>
              <w:ind w:right="950"/>
              <w:spacing w:after="0" w:line="196" w:lineRule="exact"/>
              <w:rPr>
                <w:sz w:val="20"/>
                <w:szCs w:val="20"/>
                <w:color w:val="auto"/>
              </w:rPr>
            </w:pPr>
            <w:r>
              <w:rPr>
                <w:rFonts w:ascii="Arial" w:cs="Arial" w:eastAsia="Arial" w:hAnsi="Arial"/>
                <w:sz w:val="18"/>
                <w:szCs w:val="18"/>
                <w:b w:val="1"/>
                <w:bCs w:val="1"/>
                <w:color w:val="auto"/>
              </w:rPr>
              <w:t>$</w:t>
            </w:r>
          </w:p>
        </w:tc>
        <w:tc>
          <w:tcPr>
            <w:tcW w:w="680" w:type="dxa"/>
            <w:vAlign w:val="bottom"/>
            <w:tcBorders>
              <w:bottom w:val="single" w:sz="8" w:color="auto"/>
            </w:tcBorders>
            <w:shd w:val="clear" w:color="auto" w:fill="CFF0FC"/>
          </w:tcPr>
          <w:p>
            <w:pPr>
              <w:jc w:val="right"/>
              <w:ind w:right="110"/>
              <w:spacing w:after="0" w:line="196" w:lineRule="exact"/>
              <w:rPr>
                <w:sz w:val="20"/>
                <w:szCs w:val="20"/>
                <w:color w:val="auto"/>
              </w:rPr>
            </w:pPr>
            <w:r>
              <w:rPr>
                <w:rFonts w:ascii="Arial" w:cs="Arial" w:eastAsia="Arial" w:hAnsi="Arial"/>
                <w:sz w:val="18"/>
                <w:szCs w:val="18"/>
                <w:b w:val="1"/>
                <w:bCs w:val="1"/>
                <w:color w:val="auto"/>
              </w:rPr>
              <w:t>35.2</w:t>
            </w:r>
          </w:p>
        </w:tc>
        <w:tc>
          <w:tcPr>
            <w:tcW w:w="1280" w:type="dxa"/>
            <w:vAlign w:val="bottom"/>
            <w:tcBorders>
              <w:bottom w:val="single" w:sz="8" w:color="auto"/>
            </w:tcBorders>
            <w:shd w:val="clear" w:color="auto" w:fill="CFF0FC"/>
          </w:tcPr>
          <w:p>
            <w:pPr>
              <w:jc w:val="right"/>
              <w:ind w:right="990"/>
              <w:spacing w:after="0" w:line="196" w:lineRule="exact"/>
              <w:rPr>
                <w:sz w:val="20"/>
                <w:szCs w:val="20"/>
                <w:color w:val="auto"/>
              </w:rPr>
            </w:pPr>
            <w:r>
              <w:rPr>
                <w:rFonts w:ascii="Arial" w:cs="Arial" w:eastAsia="Arial" w:hAnsi="Arial"/>
                <w:sz w:val="18"/>
                <w:szCs w:val="18"/>
                <w:color w:val="auto"/>
              </w:rPr>
              <w:t>$</w:t>
            </w:r>
          </w:p>
        </w:tc>
        <w:tc>
          <w:tcPr>
            <w:tcW w:w="500" w:type="dxa"/>
            <w:vAlign w:val="bottom"/>
            <w:tcBorders>
              <w:bottom w:val="single" w:sz="8" w:color="auto"/>
            </w:tcBorders>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8.4</w:t>
            </w:r>
          </w:p>
        </w:tc>
      </w:tr>
      <w:tr>
        <w:trPr>
          <w:trHeight w:val="141"/>
        </w:trPr>
        <w:tc>
          <w:tcPr>
            <w:tcW w:w="7440" w:type="dxa"/>
            <w:vAlign w:val="bottom"/>
          </w:tcPr>
          <w:p>
            <w:pPr>
              <w:spacing w:after="0" w:line="141" w:lineRule="exact"/>
              <w:rPr>
                <w:sz w:val="20"/>
                <w:szCs w:val="20"/>
                <w:color w:val="auto"/>
              </w:rPr>
            </w:pPr>
            <w:r>
              <w:rPr>
                <w:rFonts w:ascii="Arial" w:cs="Arial" w:eastAsia="Arial" w:hAnsi="Arial"/>
                <w:sz w:val="14"/>
                <w:szCs w:val="14"/>
                <w:color w:val="auto"/>
              </w:rPr>
              <w:t>See accompanying Notes to the unaudited Consolidated Financial Statements.</w:t>
            </w:r>
          </w:p>
        </w:tc>
        <w:tc>
          <w:tcPr>
            <w:tcW w:w="13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500" w:type="dxa"/>
            <w:vAlign w:val="bottom"/>
          </w:tcPr>
          <w:p>
            <w:pPr>
              <w:spacing w:after="0"/>
              <w:rPr>
                <w:sz w:val="12"/>
                <w:szCs w:val="12"/>
                <w:color w:val="auto"/>
              </w:rPr>
            </w:pPr>
          </w:p>
        </w:tc>
      </w:tr>
      <w:tr>
        <w:trPr>
          <w:trHeight w:val="230"/>
        </w:trPr>
        <w:tc>
          <w:tcPr>
            <w:tcW w:w="7440" w:type="dxa"/>
            <w:vAlign w:val="bottom"/>
          </w:tcPr>
          <w:p>
            <w:pPr>
              <w:ind w:left="5580"/>
              <w:spacing w:after="0"/>
              <w:rPr>
                <w:sz w:val="20"/>
                <w:szCs w:val="20"/>
                <w:color w:val="auto"/>
              </w:rPr>
            </w:pPr>
            <w:r>
              <w:rPr>
                <w:rFonts w:ascii="Arial" w:cs="Arial" w:eastAsia="Arial" w:hAnsi="Arial"/>
                <w:sz w:val="18"/>
                <w:szCs w:val="18"/>
                <w:color w:val="auto"/>
              </w:rPr>
              <w:t>4</w:t>
            </w:r>
          </w:p>
        </w:tc>
        <w:tc>
          <w:tcPr>
            <w:tcW w:w="13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500" w:type="dxa"/>
            <w:vAlign w:val="bottom"/>
          </w:tcPr>
          <w:p>
            <w:pPr>
              <w:spacing w:after="0"/>
              <w:rPr>
                <w:sz w:val="20"/>
                <w:szCs w:val="20"/>
                <w:color w:val="auto"/>
              </w:rPr>
            </w:pPr>
          </w:p>
        </w:tc>
      </w:tr>
      <w:tr>
        <w:trPr>
          <w:trHeight w:val="533"/>
        </w:trPr>
        <w:tc>
          <w:tcPr>
            <w:tcW w:w="7440" w:type="dxa"/>
            <w:vAlign w:val="bottom"/>
            <w:tcBorders>
              <w:bottom w:val="single" w:sz="8" w:color="9A9A9A"/>
            </w:tcBorders>
          </w:tcPr>
          <w:p>
            <w:pPr>
              <w:spacing w:after="0"/>
              <w:rPr>
                <w:sz w:val="24"/>
                <w:szCs w:val="24"/>
                <w:color w:val="auto"/>
              </w:rPr>
            </w:pPr>
          </w:p>
        </w:tc>
        <w:tc>
          <w:tcPr>
            <w:tcW w:w="1340" w:type="dxa"/>
            <w:vAlign w:val="bottom"/>
            <w:tcBorders>
              <w:bottom w:val="single" w:sz="8" w:color="9A9A9A"/>
            </w:tcBorders>
          </w:tcPr>
          <w:p>
            <w:pPr>
              <w:spacing w:after="0"/>
              <w:rPr>
                <w:sz w:val="24"/>
                <w:szCs w:val="24"/>
                <w:color w:val="auto"/>
              </w:rPr>
            </w:pPr>
          </w:p>
        </w:tc>
        <w:tc>
          <w:tcPr>
            <w:tcW w:w="680" w:type="dxa"/>
            <w:vAlign w:val="bottom"/>
            <w:tcBorders>
              <w:bottom w:val="single" w:sz="8" w:color="9A9A9A"/>
            </w:tcBorders>
          </w:tcPr>
          <w:p>
            <w:pPr>
              <w:spacing w:after="0"/>
              <w:rPr>
                <w:sz w:val="24"/>
                <w:szCs w:val="24"/>
                <w:color w:val="auto"/>
              </w:rPr>
            </w:pPr>
          </w:p>
        </w:tc>
        <w:tc>
          <w:tcPr>
            <w:tcW w:w="1280" w:type="dxa"/>
            <w:vAlign w:val="bottom"/>
            <w:tcBorders>
              <w:bottom w:val="single" w:sz="8" w:color="9A9A9A"/>
            </w:tcBorders>
          </w:tcPr>
          <w:p>
            <w:pPr>
              <w:spacing w:after="0"/>
              <w:rPr>
                <w:sz w:val="24"/>
                <w:szCs w:val="24"/>
                <w:color w:val="auto"/>
              </w:rPr>
            </w:pPr>
          </w:p>
        </w:tc>
        <w:tc>
          <w:tcPr>
            <w:tcW w:w="50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07"/>
        </w:trPr>
        <w:tc>
          <w:tcPr>
            <w:tcW w:w="7460" w:type="dxa"/>
            <w:vAlign w:val="bottom"/>
            <w:gridSpan w:val="2"/>
          </w:tcPr>
          <w:p>
            <w:pPr>
              <w:spacing w:after="0"/>
              <w:rPr>
                <w:rFonts w:ascii="Arial" w:cs="Arial" w:eastAsia="Arial" w:hAnsi="Arial"/>
                <w:sz w:val="18"/>
                <w:szCs w:val="18"/>
                <w:color w:val="0563C1"/>
              </w:rPr>
            </w:pPr>
            <w:hyperlink w:anchor="page2">
              <w:r>
                <w:rPr>
                  <w:rFonts w:ascii="Arial" w:cs="Arial" w:eastAsia="Arial" w:hAnsi="Arial"/>
                  <w:sz w:val="18"/>
                  <w:szCs w:val="18"/>
                  <w:color w:val="0563C1"/>
                </w:rPr>
                <w:t>Table of Contents</w:t>
              </w:r>
            </w:hyperlink>
          </w:p>
        </w:tc>
        <w:tc>
          <w:tcPr>
            <w:tcW w:w="48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07"/>
        </w:trPr>
        <w:tc>
          <w:tcPr>
            <w:tcW w:w="1280" w:type="dxa"/>
            <w:vAlign w:val="bottom"/>
            <w:tcBorders>
              <w:top w:val="single" w:sz="8" w:color="0563C1"/>
            </w:tcBorders>
          </w:tcPr>
          <w:p>
            <w:pPr>
              <w:spacing w:after="0"/>
              <w:rPr>
                <w:sz w:val="24"/>
                <w:szCs w:val="24"/>
                <w:color w:val="auto"/>
              </w:rPr>
            </w:pPr>
          </w:p>
        </w:tc>
        <w:tc>
          <w:tcPr>
            <w:tcW w:w="6180" w:type="dxa"/>
            <w:vAlign w:val="bottom"/>
          </w:tcPr>
          <w:p>
            <w:pPr>
              <w:jc w:val="center"/>
              <w:ind w:left="2410"/>
              <w:spacing w:after="0"/>
              <w:rPr>
                <w:sz w:val="20"/>
                <w:szCs w:val="20"/>
                <w:color w:val="auto"/>
              </w:rPr>
            </w:pPr>
            <w:r>
              <w:rPr>
                <w:rFonts w:ascii="Arial" w:cs="Arial" w:eastAsia="Arial" w:hAnsi="Arial"/>
                <w:sz w:val="18"/>
                <w:szCs w:val="18"/>
                <w:b w:val="1"/>
                <w:bCs w:val="1"/>
                <w:color w:val="auto"/>
                <w:w w:val="91"/>
              </w:rPr>
              <w:t>TimkenSteel Corporation</w:t>
            </w:r>
          </w:p>
        </w:tc>
        <w:tc>
          <w:tcPr>
            <w:tcW w:w="4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1280" w:type="dxa"/>
            <w:vAlign w:val="bottom"/>
          </w:tcPr>
          <w:p>
            <w:pPr>
              <w:spacing w:after="0"/>
              <w:rPr>
                <w:sz w:val="20"/>
                <w:szCs w:val="20"/>
                <w:color w:val="auto"/>
              </w:rPr>
            </w:pPr>
          </w:p>
        </w:tc>
        <w:tc>
          <w:tcPr>
            <w:tcW w:w="6180" w:type="dxa"/>
            <w:vAlign w:val="bottom"/>
          </w:tcPr>
          <w:p>
            <w:pPr>
              <w:jc w:val="center"/>
              <w:ind w:left="2430"/>
              <w:spacing w:after="0"/>
              <w:rPr>
                <w:sz w:val="20"/>
                <w:szCs w:val="20"/>
                <w:color w:val="auto"/>
              </w:rPr>
            </w:pPr>
            <w:r>
              <w:rPr>
                <w:rFonts w:ascii="Arial" w:cs="Arial" w:eastAsia="Arial" w:hAnsi="Arial"/>
                <w:sz w:val="18"/>
                <w:szCs w:val="18"/>
                <w:b w:val="1"/>
                <w:bCs w:val="1"/>
                <w:color w:val="auto"/>
                <w:w w:val="89"/>
              </w:rPr>
              <w:t>Consolidated Balance Sheets (Unaudited)</w:t>
            </w:r>
          </w:p>
        </w:tc>
        <w:tc>
          <w:tcPr>
            <w:tcW w:w="48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2"/>
        </w:trPr>
        <w:tc>
          <w:tcPr>
            <w:tcW w:w="1280" w:type="dxa"/>
            <w:vAlign w:val="bottom"/>
          </w:tcPr>
          <w:p>
            <w:pPr>
              <w:spacing w:after="0"/>
              <w:rPr>
                <w:sz w:val="24"/>
                <w:szCs w:val="24"/>
                <w:color w:val="auto"/>
              </w:rPr>
            </w:pPr>
          </w:p>
        </w:tc>
        <w:tc>
          <w:tcPr>
            <w:tcW w:w="61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40" w:type="dxa"/>
            <w:vAlign w:val="bottom"/>
          </w:tcPr>
          <w:p>
            <w:pPr>
              <w:jc w:val="right"/>
              <w:ind w:right="510"/>
              <w:spacing w:after="0"/>
              <w:rPr>
                <w:sz w:val="20"/>
                <w:szCs w:val="20"/>
                <w:color w:val="auto"/>
              </w:rPr>
            </w:pPr>
            <w:r>
              <w:rPr>
                <w:rFonts w:ascii="Arial" w:cs="Arial" w:eastAsia="Arial" w:hAnsi="Arial"/>
                <w:sz w:val="18"/>
                <w:szCs w:val="18"/>
                <w:b w:val="1"/>
                <w:bCs w:val="1"/>
                <w:color w:val="auto"/>
              </w:rPr>
              <w:t>March 31,</w:t>
            </w:r>
          </w:p>
        </w:tc>
        <w:tc>
          <w:tcPr>
            <w:tcW w:w="280" w:type="dxa"/>
            <w:vAlign w:val="bottom"/>
          </w:tcPr>
          <w:p>
            <w:pPr>
              <w:spacing w:after="0"/>
              <w:rPr>
                <w:sz w:val="24"/>
                <w:szCs w:val="24"/>
                <w:color w:val="auto"/>
              </w:rPr>
            </w:pPr>
          </w:p>
        </w:tc>
        <w:tc>
          <w:tcPr>
            <w:tcW w:w="1480" w:type="dxa"/>
            <w:vAlign w:val="bottom"/>
          </w:tcPr>
          <w:p>
            <w:pPr>
              <w:jc w:val="right"/>
              <w:ind w:right="270"/>
              <w:spacing w:after="0"/>
              <w:rPr>
                <w:sz w:val="20"/>
                <w:szCs w:val="20"/>
                <w:color w:val="auto"/>
              </w:rPr>
            </w:pPr>
            <w:r>
              <w:rPr>
                <w:rFonts w:ascii="Arial" w:cs="Arial" w:eastAsia="Arial" w:hAnsi="Arial"/>
                <w:sz w:val="18"/>
                <w:szCs w:val="18"/>
                <w:b w:val="1"/>
                <w:bCs w:val="1"/>
                <w:color w:val="auto"/>
                <w:w w:val="93"/>
              </w:rPr>
              <w:t>December 31,</w:t>
            </w:r>
          </w:p>
        </w:tc>
        <w:tc>
          <w:tcPr>
            <w:tcW w:w="0" w:type="dxa"/>
            <w:vAlign w:val="bottom"/>
          </w:tcPr>
          <w:p>
            <w:pPr>
              <w:spacing w:after="0"/>
              <w:rPr>
                <w:sz w:val="1"/>
                <w:szCs w:val="1"/>
                <w:color w:val="auto"/>
              </w:rPr>
            </w:pPr>
          </w:p>
        </w:tc>
      </w:tr>
      <w:tr>
        <w:trPr>
          <w:trHeight w:val="216"/>
        </w:trPr>
        <w:tc>
          <w:tcPr>
            <w:tcW w:w="1280" w:type="dxa"/>
            <w:vAlign w:val="bottom"/>
            <w:tcBorders>
              <w:bottom w:val="single" w:sz="8" w:color="auto"/>
            </w:tcBorders>
          </w:tcPr>
          <w:p>
            <w:pPr>
              <w:spacing w:after="0"/>
              <w:rPr>
                <w:sz w:val="18"/>
                <w:szCs w:val="18"/>
                <w:color w:val="auto"/>
              </w:rPr>
            </w:pPr>
          </w:p>
        </w:tc>
        <w:tc>
          <w:tcPr>
            <w:tcW w:w="618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1540" w:type="dxa"/>
            <w:vAlign w:val="bottom"/>
            <w:tcBorders>
              <w:bottom w:val="single" w:sz="8" w:color="auto"/>
            </w:tcBorders>
          </w:tcPr>
          <w:p>
            <w:pPr>
              <w:jc w:val="right"/>
              <w:ind w:right="710"/>
              <w:spacing w:after="0"/>
              <w:rPr>
                <w:sz w:val="20"/>
                <w:szCs w:val="20"/>
                <w:color w:val="auto"/>
              </w:rPr>
            </w:pPr>
            <w:r>
              <w:rPr>
                <w:rFonts w:ascii="Arial" w:cs="Arial" w:eastAsia="Arial" w:hAnsi="Arial"/>
                <w:sz w:val="18"/>
                <w:szCs w:val="18"/>
                <w:b w:val="1"/>
                <w:bCs w:val="1"/>
                <w:color w:val="auto"/>
              </w:rPr>
              <w:t>2022</w:t>
            </w:r>
          </w:p>
        </w:tc>
        <w:tc>
          <w:tcPr>
            <w:tcW w:w="28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tcPr>
          <w:p>
            <w:pPr>
              <w:jc w:val="right"/>
              <w:ind w:right="610"/>
              <w:spacing w:after="0"/>
              <w:rPr>
                <w:sz w:val="20"/>
                <w:szCs w:val="20"/>
                <w:color w:val="auto"/>
              </w:rPr>
            </w:pPr>
            <w:r>
              <w:rPr>
                <w:rFonts w:ascii="Arial" w:cs="Arial" w:eastAsia="Arial" w:hAnsi="Arial"/>
                <w:sz w:val="18"/>
                <w:szCs w:val="18"/>
                <w:b w:val="1"/>
                <w:bCs w:val="1"/>
                <w:color w:val="auto"/>
              </w:rPr>
              <w:t>2021</w:t>
            </w:r>
          </w:p>
        </w:tc>
        <w:tc>
          <w:tcPr>
            <w:tcW w:w="0" w:type="dxa"/>
            <w:vAlign w:val="bottom"/>
          </w:tcPr>
          <w:p>
            <w:pPr>
              <w:spacing w:after="0"/>
              <w:rPr>
                <w:sz w:val="1"/>
                <w:szCs w:val="1"/>
                <w:color w:val="auto"/>
              </w:rPr>
            </w:pPr>
          </w:p>
        </w:tc>
      </w:tr>
      <w:tr>
        <w:trPr>
          <w:trHeight w:val="196"/>
        </w:trPr>
        <w:tc>
          <w:tcPr>
            <w:tcW w:w="7460" w:type="dxa"/>
            <w:vAlign w:val="bottom"/>
            <w:gridSpan w:val="2"/>
            <w:shd w:val="clear" w:color="auto" w:fill="CFF0FC"/>
          </w:tcPr>
          <w:p>
            <w:pPr>
              <w:ind w:left="20"/>
              <w:spacing w:after="0" w:line="196" w:lineRule="exact"/>
              <w:rPr>
                <w:sz w:val="20"/>
                <w:szCs w:val="20"/>
                <w:color w:val="auto"/>
              </w:rPr>
            </w:pPr>
            <w:r>
              <w:rPr>
                <w:rFonts w:ascii="Arial" w:cs="Arial" w:eastAsia="Arial" w:hAnsi="Arial"/>
                <w:sz w:val="18"/>
                <w:szCs w:val="18"/>
                <w:i w:val="1"/>
                <w:iCs w:val="1"/>
                <w:color w:val="auto"/>
              </w:rPr>
              <w:t>(Dollars in millions)</w:t>
            </w:r>
          </w:p>
        </w:tc>
        <w:tc>
          <w:tcPr>
            <w:tcW w:w="480" w:type="dxa"/>
            <w:vAlign w:val="bottom"/>
            <w:shd w:val="clear" w:color="auto" w:fill="CFF0FC"/>
          </w:tcPr>
          <w:p>
            <w:pPr>
              <w:spacing w:after="0"/>
              <w:rPr>
                <w:sz w:val="17"/>
                <w:szCs w:val="17"/>
                <w:color w:val="auto"/>
              </w:rPr>
            </w:pPr>
          </w:p>
        </w:tc>
        <w:tc>
          <w:tcPr>
            <w:tcW w:w="154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148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460" w:type="dxa"/>
            <w:vAlign w:val="bottom"/>
            <w:gridSpan w:val="2"/>
          </w:tcPr>
          <w:p>
            <w:pPr>
              <w:ind w:left="20"/>
              <w:spacing w:after="0" w:line="202" w:lineRule="exact"/>
              <w:rPr>
                <w:sz w:val="20"/>
                <w:szCs w:val="20"/>
                <w:color w:val="auto"/>
              </w:rPr>
            </w:pPr>
            <w:r>
              <w:rPr>
                <w:rFonts w:ascii="Arial" w:cs="Arial" w:eastAsia="Arial" w:hAnsi="Arial"/>
                <w:sz w:val="18"/>
                <w:szCs w:val="18"/>
                <w:b w:val="1"/>
                <w:bCs w:val="1"/>
                <w:color w:val="auto"/>
              </w:rPr>
              <w:t>ASSETS</w:t>
            </w:r>
          </w:p>
        </w:tc>
        <w:tc>
          <w:tcPr>
            <w:tcW w:w="48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460" w:type="dxa"/>
            <w:vAlign w:val="bottom"/>
            <w:gridSpan w:val="2"/>
            <w:shd w:val="clear" w:color="auto" w:fill="CFF0FC"/>
          </w:tcPr>
          <w:p>
            <w:pPr>
              <w:ind w:left="20"/>
              <w:spacing w:after="0" w:line="202" w:lineRule="exact"/>
              <w:rPr>
                <w:sz w:val="20"/>
                <w:szCs w:val="20"/>
                <w:color w:val="auto"/>
              </w:rPr>
            </w:pPr>
            <w:r>
              <w:rPr>
                <w:rFonts w:ascii="Arial" w:cs="Arial" w:eastAsia="Arial" w:hAnsi="Arial"/>
                <w:sz w:val="18"/>
                <w:szCs w:val="18"/>
                <w:b w:val="1"/>
                <w:bCs w:val="1"/>
                <w:color w:val="auto"/>
              </w:rPr>
              <w:t>Current Assets</w:t>
            </w:r>
          </w:p>
        </w:tc>
        <w:tc>
          <w:tcPr>
            <w:tcW w:w="480" w:type="dxa"/>
            <w:vAlign w:val="bottom"/>
            <w:shd w:val="clear" w:color="auto" w:fill="CFF0FC"/>
          </w:tcPr>
          <w:p>
            <w:pPr>
              <w:spacing w:after="0"/>
              <w:rPr>
                <w:sz w:val="17"/>
                <w:szCs w:val="17"/>
                <w:color w:val="auto"/>
              </w:rPr>
            </w:pPr>
          </w:p>
        </w:tc>
        <w:tc>
          <w:tcPr>
            <w:tcW w:w="154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148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460" w:type="dxa"/>
            <w:vAlign w:val="bottom"/>
            <w:gridSpan w:val="2"/>
          </w:tcPr>
          <w:p>
            <w:pPr>
              <w:ind w:left="200"/>
              <w:spacing w:after="0" w:line="202" w:lineRule="exact"/>
              <w:rPr>
                <w:sz w:val="20"/>
                <w:szCs w:val="20"/>
                <w:color w:val="auto"/>
              </w:rPr>
            </w:pPr>
            <w:r>
              <w:rPr>
                <w:rFonts w:ascii="Arial" w:cs="Arial" w:eastAsia="Arial" w:hAnsi="Arial"/>
                <w:sz w:val="18"/>
                <w:szCs w:val="18"/>
                <w:color w:val="auto"/>
              </w:rPr>
              <w:t>Cash and cash equivalents</w:t>
            </w:r>
          </w:p>
        </w:tc>
        <w:tc>
          <w:tcPr>
            <w:tcW w:w="480" w:type="dxa"/>
            <w:vAlign w:val="bottom"/>
          </w:tcPr>
          <w:p>
            <w:pPr>
              <w:jc w:val="right"/>
              <w:ind w:right="50"/>
              <w:spacing w:after="0" w:line="202" w:lineRule="exact"/>
              <w:rPr>
                <w:sz w:val="20"/>
                <w:szCs w:val="20"/>
                <w:color w:val="auto"/>
              </w:rPr>
            </w:pPr>
            <w:r>
              <w:rPr>
                <w:rFonts w:ascii="Arial" w:cs="Arial" w:eastAsia="Arial" w:hAnsi="Arial"/>
                <w:sz w:val="18"/>
                <w:szCs w:val="18"/>
                <w:b w:val="1"/>
                <w:bCs w:val="1"/>
                <w:color w:val="auto"/>
              </w:rPr>
              <w:t>$</w:t>
            </w:r>
          </w:p>
        </w:tc>
        <w:tc>
          <w:tcPr>
            <w:tcW w:w="1540" w:type="dxa"/>
            <w:vAlign w:val="bottom"/>
          </w:tcPr>
          <w:p>
            <w:pPr>
              <w:jc w:val="right"/>
              <w:ind w:right="110"/>
              <w:spacing w:after="0" w:line="202" w:lineRule="exact"/>
              <w:rPr>
                <w:sz w:val="20"/>
                <w:szCs w:val="20"/>
                <w:color w:val="auto"/>
              </w:rPr>
            </w:pPr>
            <w:r>
              <w:rPr>
                <w:rFonts w:ascii="Arial" w:cs="Arial" w:eastAsia="Arial" w:hAnsi="Arial"/>
                <w:sz w:val="18"/>
                <w:szCs w:val="18"/>
                <w:b w:val="1"/>
                <w:bCs w:val="1"/>
                <w:color w:val="auto"/>
              </w:rPr>
              <w:t>239.9</w:t>
            </w:r>
          </w:p>
        </w:tc>
        <w:tc>
          <w:tcPr>
            <w:tcW w:w="28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1480" w:type="dxa"/>
            <w:vAlign w:val="bottom"/>
          </w:tcPr>
          <w:p>
            <w:pPr>
              <w:jc w:val="right"/>
              <w:ind w:right="10"/>
              <w:spacing w:after="0" w:line="202" w:lineRule="exact"/>
              <w:rPr>
                <w:sz w:val="20"/>
                <w:szCs w:val="20"/>
                <w:color w:val="auto"/>
              </w:rPr>
            </w:pPr>
            <w:r>
              <w:rPr>
                <w:rFonts w:ascii="Arial" w:cs="Arial" w:eastAsia="Arial" w:hAnsi="Arial"/>
                <w:sz w:val="18"/>
                <w:szCs w:val="18"/>
                <w:color w:val="auto"/>
              </w:rPr>
              <w:t>259.6</w:t>
            </w:r>
          </w:p>
        </w:tc>
        <w:tc>
          <w:tcPr>
            <w:tcW w:w="0" w:type="dxa"/>
            <w:vAlign w:val="bottom"/>
          </w:tcPr>
          <w:p>
            <w:pPr>
              <w:spacing w:after="0"/>
              <w:rPr>
                <w:sz w:val="1"/>
                <w:szCs w:val="1"/>
                <w:color w:val="auto"/>
              </w:rPr>
            </w:pPr>
          </w:p>
        </w:tc>
      </w:tr>
      <w:tr>
        <w:trPr>
          <w:trHeight w:val="203"/>
        </w:trPr>
        <w:tc>
          <w:tcPr>
            <w:tcW w:w="7460" w:type="dxa"/>
            <w:vAlign w:val="bottom"/>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Accounts receivable, net of allowances (2022 - $2.1 million; 2021 - $1.9 million)</w:t>
            </w:r>
          </w:p>
        </w:tc>
        <w:tc>
          <w:tcPr>
            <w:tcW w:w="480" w:type="dxa"/>
            <w:vAlign w:val="bottom"/>
            <w:shd w:val="clear" w:color="auto" w:fill="CFF0FC"/>
          </w:tcPr>
          <w:p>
            <w:pPr>
              <w:spacing w:after="0"/>
              <w:rPr>
                <w:sz w:val="17"/>
                <w:szCs w:val="17"/>
                <w:color w:val="auto"/>
              </w:rPr>
            </w:pPr>
          </w:p>
        </w:tc>
        <w:tc>
          <w:tcPr>
            <w:tcW w:w="1540" w:type="dxa"/>
            <w:vAlign w:val="bottom"/>
            <w:shd w:val="clear" w:color="auto" w:fill="CFF0FC"/>
          </w:tcPr>
          <w:p>
            <w:pPr>
              <w:jc w:val="right"/>
              <w:ind w:right="110"/>
              <w:spacing w:after="0" w:line="202" w:lineRule="exact"/>
              <w:rPr>
                <w:sz w:val="20"/>
                <w:szCs w:val="20"/>
                <w:color w:val="auto"/>
              </w:rPr>
            </w:pPr>
            <w:r>
              <w:rPr>
                <w:rFonts w:ascii="Arial" w:cs="Arial" w:eastAsia="Arial" w:hAnsi="Arial"/>
                <w:sz w:val="18"/>
                <w:szCs w:val="18"/>
                <w:b w:val="1"/>
                <w:bCs w:val="1"/>
                <w:color w:val="auto"/>
              </w:rPr>
              <w:t>135.1</w:t>
            </w:r>
          </w:p>
        </w:tc>
        <w:tc>
          <w:tcPr>
            <w:tcW w:w="280" w:type="dxa"/>
            <w:vAlign w:val="bottom"/>
            <w:shd w:val="clear" w:color="auto" w:fill="CFF0FC"/>
          </w:tcPr>
          <w:p>
            <w:pPr>
              <w:spacing w:after="0"/>
              <w:rPr>
                <w:sz w:val="17"/>
                <w:szCs w:val="17"/>
                <w:color w:val="auto"/>
              </w:rPr>
            </w:pPr>
          </w:p>
        </w:tc>
        <w:tc>
          <w:tcPr>
            <w:tcW w:w="148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100.5</w:t>
            </w:r>
          </w:p>
        </w:tc>
        <w:tc>
          <w:tcPr>
            <w:tcW w:w="0" w:type="dxa"/>
            <w:vAlign w:val="bottom"/>
          </w:tcPr>
          <w:p>
            <w:pPr>
              <w:spacing w:after="0"/>
              <w:rPr>
                <w:sz w:val="1"/>
                <w:szCs w:val="1"/>
                <w:color w:val="auto"/>
              </w:rPr>
            </w:pPr>
          </w:p>
        </w:tc>
      </w:tr>
      <w:tr>
        <w:trPr>
          <w:trHeight w:val="203"/>
        </w:trPr>
        <w:tc>
          <w:tcPr>
            <w:tcW w:w="7460" w:type="dxa"/>
            <w:vAlign w:val="bottom"/>
            <w:gridSpan w:val="2"/>
          </w:tcPr>
          <w:p>
            <w:pPr>
              <w:ind w:left="200"/>
              <w:spacing w:after="0" w:line="202" w:lineRule="exact"/>
              <w:rPr>
                <w:sz w:val="20"/>
                <w:szCs w:val="20"/>
                <w:color w:val="auto"/>
              </w:rPr>
            </w:pPr>
            <w:r>
              <w:rPr>
                <w:rFonts w:ascii="Arial" w:cs="Arial" w:eastAsia="Arial" w:hAnsi="Arial"/>
                <w:sz w:val="18"/>
                <w:szCs w:val="18"/>
                <w:color w:val="auto"/>
              </w:rPr>
              <w:t>Inventories, net</w:t>
            </w:r>
          </w:p>
        </w:tc>
        <w:tc>
          <w:tcPr>
            <w:tcW w:w="480" w:type="dxa"/>
            <w:vAlign w:val="bottom"/>
          </w:tcPr>
          <w:p>
            <w:pPr>
              <w:spacing w:after="0"/>
              <w:rPr>
                <w:sz w:val="17"/>
                <w:szCs w:val="17"/>
                <w:color w:val="auto"/>
              </w:rPr>
            </w:pPr>
          </w:p>
        </w:tc>
        <w:tc>
          <w:tcPr>
            <w:tcW w:w="1540" w:type="dxa"/>
            <w:vAlign w:val="bottom"/>
          </w:tcPr>
          <w:p>
            <w:pPr>
              <w:jc w:val="right"/>
              <w:ind w:right="110"/>
              <w:spacing w:after="0" w:line="202" w:lineRule="exact"/>
              <w:rPr>
                <w:sz w:val="20"/>
                <w:szCs w:val="20"/>
                <w:color w:val="auto"/>
              </w:rPr>
            </w:pPr>
            <w:r>
              <w:rPr>
                <w:rFonts w:ascii="Arial" w:cs="Arial" w:eastAsia="Arial" w:hAnsi="Arial"/>
                <w:sz w:val="18"/>
                <w:szCs w:val="18"/>
                <w:b w:val="1"/>
                <w:bCs w:val="1"/>
                <w:color w:val="auto"/>
              </w:rPr>
              <w:t>230.1</w:t>
            </w:r>
          </w:p>
        </w:tc>
        <w:tc>
          <w:tcPr>
            <w:tcW w:w="280" w:type="dxa"/>
            <w:vAlign w:val="bottom"/>
          </w:tcPr>
          <w:p>
            <w:pPr>
              <w:spacing w:after="0"/>
              <w:rPr>
                <w:sz w:val="17"/>
                <w:szCs w:val="17"/>
                <w:color w:val="auto"/>
              </w:rPr>
            </w:pPr>
          </w:p>
        </w:tc>
        <w:tc>
          <w:tcPr>
            <w:tcW w:w="1480" w:type="dxa"/>
            <w:vAlign w:val="bottom"/>
          </w:tcPr>
          <w:p>
            <w:pPr>
              <w:jc w:val="right"/>
              <w:ind w:right="10"/>
              <w:spacing w:after="0" w:line="202" w:lineRule="exact"/>
              <w:rPr>
                <w:sz w:val="20"/>
                <w:szCs w:val="20"/>
                <w:color w:val="auto"/>
              </w:rPr>
            </w:pPr>
            <w:r>
              <w:rPr>
                <w:rFonts w:ascii="Arial" w:cs="Arial" w:eastAsia="Arial" w:hAnsi="Arial"/>
                <w:sz w:val="18"/>
                <w:szCs w:val="18"/>
                <w:color w:val="auto"/>
              </w:rPr>
              <w:t>210.9</w:t>
            </w:r>
          </w:p>
        </w:tc>
        <w:tc>
          <w:tcPr>
            <w:tcW w:w="0" w:type="dxa"/>
            <w:vAlign w:val="bottom"/>
          </w:tcPr>
          <w:p>
            <w:pPr>
              <w:spacing w:after="0"/>
              <w:rPr>
                <w:sz w:val="1"/>
                <w:szCs w:val="1"/>
                <w:color w:val="auto"/>
              </w:rPr>
            </w:pPr>
          </w:p>
        </w:tc>
      </w:tr>
      <w:tr>
        <w:trPr>
          <w:trHeight w:val="203"/>
        </w:trPr>
        <w:tc>
          <w:tcPr>
            <w:tcW w:w="7460" w:type="dxa"/>
            <w:vAlign w:val="bottom"/>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Deferred charges and prepaid expenses</w:t>
            </w:r>
          </w:p>
        </w:tc>
        <w:tc>
          <w:tcPr>
            <w:tcW w:w="480" w:type="dxa"/>
            <w:vAlign w:val="bottom"/>
            <w:shd w:val="clear" w:color="auto" w:fill="CFF0FC"/>
          </w:tcPr>
          <w:p>
            <w:pPr>
              <w:spacing w:after="0"/>
              <w:rPr>
                <w:sz w:val="17"/>
                <w:szCs w:val="17"/>
                <w:color w:val="auto"/>
              </w:rPr>
            </w:pPr>
          </w:p>
        </w:tc>
        <w:tc>
          <w:tcPr>
            <w:tcW w:w="1540" w:type="dxa"/>
            <w:vAlign w:val="bottom"/>
            <w:shd w:val="clear" w:color="auto" w:fill="CFF0FC"/>
          </w:tcPr>
          <w:p>
            <w:pPr>
              <w:jc w:val="right"/>
              <w:ind w:right="110"/>
              <w:spacing w:after="0" w:line="202" w:lineRule="exact"/>
              <w:rPr>
                <w:sz w:val="20"/>
                <w:szCs w:val="20"/>
                <w:color w:val="auto"/>
              </w:rPr>
            </w:pPr>
            <w:r>
              <w:rPr>
                <w:rFonts w:ascii="Arial" w:cs="Arial" w:eastAsia="Arial" w:hAnsi="Arial"/>
                <w:sz w:val="18"/>
                <w:szCs w:val="18"/>
                <w:b w:val="1"/>
                <w:bCs w:val="1"/>
                <w:color w:val="auto"/>
              </w:rPr>
              <w:t>3.6</w:t>
            </w:r>
          </w:p>
        </w:tc>
        <w:tc>
          <w:tcPr>
            <w:tcW w:w="280" w:type="dxa"/>
            <w:vAlign w:val="bottom"/>
            <w:shd w:val="clear" w:color="auto" w:fill="CFF0FC"/>
          </w:tcPr>
          <w:p>
            <w:pPr>
              <w:spacing w:after="0"/>
              <w:rPr>
                <w:sz w:val="17"/>
                <w:szCs w:val="17"/>
                <w:color w:val="auto"/>
              </w:rPr>
            </w:pPr>
          </w:p>
        </w:tc>
        <w:tc>
          <w:tcPr>
            <w:tcW w:w="148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3.9</w:t>
            </w:r>
          </w:p>
        </w:tc>
        <w:tc>
          <w:tcPr>
            <w:tcW w:w="0" w:type="dxa"/>
            <w:vAlign w:val="bottom"/>
          </w:tcPr>
          <w:p>
            <w:pPr>
              <w:spacing w:after="0"/>
              <w:rPr>
                <w:sz w:val="1"/>
                <w:szCs w:val="1"/>
                <w:color w:val="auto"/>
              </w:rPr>
            </w:pPr>
          </w:p>
        </w:tc>
      </w:tr>
      <w:tr>
        <w:trPr>
          <w:trHeight w:val="203"/>
        </w:trPr>
        <w:tc>
          <w:tcPr>
            <w:tcW w:w="7460" w:type="dxa"/>
            <w:vAlign w:val="bottom"/>
            <w:gridSpan w:val="2"/>
          </w:tcPr>
          <w:p>
            <w:pPr>
              <w:ind w:left="200"/>
              <w:spacing w:after="0" w:line="202" w:lineRule="exact"/>
              <w:rPr>
                <w:sz w:val="20"/>
                <w:szCs w:val="20"/>
                <w:color w:val="auto"/>
              </w:rPr>
            </w:pPr>
            <w:r>
              <w:rPr>
                <w:rFonts w:ascii="Arial" w:cs="Arial" w:eastAsia="Arial" w:hAnsi="Arial"/>
                <w:sz w:val="18"/>
                <w:szCs w:val="18"/>
                <w:color w:val="auto"/>
              </w:rPr>
              <w:t>Assets held for sale</w:t>
            </w:r>
          </w:p>
        </w:tc>
        <w:tc>
          <w:tcPr>
            <w:tcW w:w="480" w:type="dxa"/>
            <w:vAlign w:val="bottom"/>
          </w:tcPr>
          <w:p>
            <w:pPr>
              <w:spacing w:after="0"/>
              <w:rPr>
                <w:sz w:val="17"/>
                <w:szCs w:val="17"/>
                <w:color w:val="auto"/>
              </w:rPr>
            </w:pPr>
          </w:p>
        </w:tc>
        <w:tc>
          <w:tcPr>
            <w:tcW w:w="1540" w:type="dxa"/>
            <w:vAlign w:val="bottom"/>
          </w:tcPr>
          <w:p>
            <w:pPr>
              <w:jc w:val="right"/>
              <w:ind w:right="110"/>
              <w:spacing w:after="0" w:line="202" w:lineRule="exact"/>
              <w:rPr>
                <w:sz w:val="20"/>
                <w:szCs w:val="20"/>
                <w:color w:val="auto"/>
              </w:rPr>
            </w:pPr>
            <w:r>
              <w:rPr>
                <w:rFonts w:ascii="Arial" w:cs="Arial" w:eastAsia="Arial" w:hAnsi="Arial"/>
                <w:sz w:val="18"/>
                <w:szCs w:val="18"/>
                <w:b w:val="1"/>
                <w:bCs w:val="1"/>
                <w:color w:val="auto"/>
              </w:rPr>
              <w:t>4.3</w:t>
            </w:r>
          </w:p>
        </w:tc>
        <w:tc>
          <w:tcPr>
            <w:tcW w:w="280" w:type="dxa"/>
            <w:vAlign w:val="bottom"/>
          </w:tcPr>
          <w:p>
            <w:pPr>
              <w:spacing w:after="0"/>
              <w:rPr>
                <w:sz w:val="17"/>
                <w:szCs w:val="17"/>
                <w:color w:val="auto"/>
              </w:rPr>
            </w:pPr>
          </w:p>
        </w:tc>
        <w:tc>
          <w:tcPr>
            <w:tcW w:w="1480" w:type="dxa"/>
            <w:vAlign w:val="bottom"/>
          </w:tcPr>
          <w:p>
            <w:pPr>
              <w:jc w:val="right"/>
              <w:ind w:right="10"/>
              <w:spacing w:after="0" w:line="202" w:lineRule="exact"/>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03"/>
        </w:trPr>
        <w:tc>
          <w:tcPr>
            <w:tcW w:w="7460" w:type="dxa"/>
            <w:vAlign w:val="bottom"/>
            <w:tcBorders>
              <w:bottom w:val="single" w:sz="8" w:color="auto"/>
            </w:tcBorders>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Other current assets</w:t>
            </w:r>
          </w:p>
        </w:tc>
        <w:tc>
          <w:tcPr>
            <w:tcW w:w="480" w:type="dxa"/>
            <w:vAlign w:val="bottom"/>
            <w:tcBorders>
              <w:bottom w:val="single" w:sz="8" w:color="auto"/>
            </w:tcBorders>
            <w:shd w:val="clear" w:color="auto" w:fill="CFF0FC"/>
          </w:tcPr>
          <w:p>
            <w:pPr>
              <w:spacing w:after="0"/>
              <w:rPr>
                <w:sz w:val="17"/>
                <w:szCs w:val="17"/>
                <w:color w:val="auto"/>
              </w:rPr>
            </w:pPr>
          </w:p>
        </w:tc>
        <w:tc>
          <w:tcPr>
            <w:tcW w:w="1540" w:type="dxa"/>
            <w:vAlign w:val="bottom"/>
            <w:tcBorders>
              <w:bottom w:val="single" w:sz="8" w:color="auto"/>
            </w:tcBorders>
            <w:shd w:val="clear" w:color="auto" w:fill="CFF0FC"/>
          </w:tcPr>
          <w:p>
            <w:pPr>
              <w:jc w:val="right"/>
              <w:ind w:right="110"/>
              <w:spacing w:after="0" w:line="202" w:lineRule="exact"/>
              <w:rPr>
                <w:sz w:val="20"/>
                <w:szCs w:val="20"/>
                <w:color w:val="auto"/>
              </w:rPr>
            </w:pPr>
            <w:r>
              <w:rPr>
                <w:rFonts w:ascii="Arial" w:cs="Arial" w:eastAsia="Arial" w:hAnsi="Arial"/>
                <w:sz w:val="18"/>
                <w:szCs w:val="18"/>
                <w:b w:val="1"/>
                <w:bCs w:val="1"/>
                <w:color w:val="auto"/>
              </w:rPr>
              <w:t>2.2</w:t>
            </w:r>
          </w:p>
        </w:tc>
        <w:tc>
          <w:tcPr>
            <w:tcW w:w="280" w:type="dxa"/>
            <w:vAlign w:val="bottom"/>
            <w:tcBorders>
              <w:bottom w:val="single" w:sz="8" w:color="auto"/>
            </w:tcBorders>
            <w:shd w:val="clear" w:color="auto" w:fill="CFF0FC"/>
          </w:tcPr>
          <w:p>
            <w:pPr>
              <w:spacing w:after="0"/>
              <w:rPr>
                <w:sz w:val="17"/>
                <w:szCs w:val="17"/>
                <w:color w:val="auto"/>
              </w:rPr>
            </w:pPr>
          </w:p>
        </w:tc>
        <w:tc>
          <w:tcPr>
            <w:tcW w:w="1480" w:type="dxa"/>
            <w:vAlign w:val="bottom"/>
            <w:tcBorders>
              <w:bottom w:val="single" w:sz="8" w:color="auto"/>
            </w:tcBorders>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196"/>
        </w:trPr>
        <w:tc>
          <w:tcPr>
            <w:tcW w:w="7460" w:type="dxa"/>
            <w:vAlign w:val="bottom"/>
            <w:gridSpan w:val="2"/>
          </w:tcPr>
          <w:p>
            <w:pPr>
              <w:ind w:left="20"/>
              <w:spacing w:after="0" w:line="196" w:lineRule="exact"/>
              <w:rPr>
                <w:sz w:val="20"/>
                <w:szCs w:val="20"/>
                <w:color w:val="auto"/>
              </w:rPr>
            </w:pPr>
            <w:r>
              <w:rPr>
                <w:rFonts w:ascii="Arial" w:cs="Arial" w:eastAsia="Arial" w:hAnsi="Arial"/>
                <w:sz w:val="18"/>
                <w:szCs w:val="18"/>
                <w:b w:val="1"/>
                <w:bCs w:val="1"/>
                <w:color w:val="auto"/>
              </w:rPr>
              <w:t>Total Current Assets</w:t>
            </w:r>
          </w:p>
        </w:tc>
        <w:tc>
          <w:tcPr>
            <w:tcW w:w="480" w:type="dxa"/>
            <w:vAlign w:val="bottom"/>
          </w:tcPr>
          <w:p>
            <w:pPr>
              <w:spacing w:after="0"/>
              <w:rPr>
                <w:sz w:val="17"/>
                <w:szCs w:val="17"/>
                <w:color w:val="auto"/>
              </w:rPr>
            </w:pPr>
          </w:p>
        </w:tc>
        <w:tc>
          <w:tcPr>
            <w:tcW w:w="1540" w:type="dxa"/>
            <w:vAlign w:val="bottom"/>
          </w:tcPr>
          <w:p>
            <w:pPr>
              <w:jc w:val="right"/>
              <w:ind w:right="110"/>
              <w:spacing w:after="0" w:line="196" w:lineRule="exact"/>
              <w:rPr>
                <w:sz w:val="20"/>
                <w:szCs w:val="20"/>
                <w:color w:val="auto"/>
              </w:rPr>
            </w:pPr>
            <w:r>
              <w:rPr>
                <w:rFonts w:ascii="Arial" w:cs="Arial" w:eastAsia="Arial" w:hAnsi="Arial"/>
                <w:sz w:val="18"/>
                <w:szCs w:val="18"/>
                <w:b w:val="1"/>
                <w:bCs w:val="1"/>
                <w:color w:val="auto"/>
              </w:rPr>
              <w:t>615.2</w:t>
            </w:r>
          </w:p>
        </w:tc>
        <w:tc>
          <w:tcPr>
            <w:tcW w:w="280" w:type="dxa"/>
            <w:vAlign w:val="bottom"/>
          </w:tcPr>
          <w:p>
            <w:pPr>
              <w:spacing w:after="0"/>
              <w:rPr>
                <w:sz w:val="17"/>
                <w:szCs w:val="17"/>
                <w:color w:val="auto"/>
              </w:rPr>
            </w:pPr>
          </w:p>
        </w:tc>
        <w:tc>
          <w:tcPr>
            <w:tcW w:w="1480" w:type="dxa"/>
            <w:vAlign w:val="bottom"/>
          </w:tcPr>
          <w:p>
            <w:pPr>
              <w:jc w:val="right"/>
              <w:ind w:right="10"/>
              <w:spacing w:after="0" w:line="196" w:lineRule="exact"/>
              <w:rPr>
                <w:sz w:val="20"/>
                <w:szCs w:val="20"/>
                <w:color w:val="auto"/>
              </w:rPr>
            </w:pPr>
            <w:r>
              <w:rPr>
                <w:rFonts w:ascii="Arial" w:cs="Arial" w:eastAsia="Arial" w:hAnsi="Arial"/>
                <w:sz w:val="18"/>
                <w:szCs w:val="18"/>
                <w:color w:val="auto"/>
              </w:rPr>
              <w:t>582.3</w:t>
            </w:r>
          </w:p>
        </w:tc>
        <w:tc>
          <w:tcPr>
            <w:tcW w:w="0" w:type="dxa"/>
            <w:vAlign w:val="bottom"/>
          </w:tcPr>
          <w:p>
            <w:pPr>
              <w:spacing w:after="0"/>
              <w:rPr>
                <w:sz w:val="1"/>
                <w:szCs w:val="1"/>
                <w:color w:val="auto"/>
              </w:rPr>
            </w:pPr>
          </w:p>
        </w:tc>
      </w:tr>
      <w:tr>
        <w:trPr>
          <w:trHeight w:val="203"/>
        </w:trPr>
        <w:tc>
          <w:tcPr>
            <w:tcW w:w="1280" w:type="dxa"/>
            <w:vAlign w:val="bottom"/>
            <w:shd w:val="clear" w:color="auto" w:fill="CFF0FC"/>
          </w:tcPr>
          <w:p>
            <w:pPr>
              <w:spacing w:after="0"/>
              <w:rPr>
                <w:sz w:val="17"/>
                <w:szCs w:val="17"/>
                <w:color w:val="auto"/>
              </w:rPr>
            </w:pPr>
          </w:p>
        </w:tc>
        <w:tc>
          <w:tcPr>
            <w:tcW w:w="6180" w:type="dxa"/>
            <w:vAlign w:val="bottom"/>
            <w:shd w:val="clear" w:color="auto" w:fill="CFF0FC"/>
          </w:tcPr>
          <w:p>
            <w:pPr>
              <w:spacing w:after="0"/>
              <w:rPr>
                <w:sz w:val="17"/>
                <w:szCs w:val="17"/>
                <w:color w:val="auto"/>
              </w:rPr>
            </w:pPr>
          </w:p>
        </w:tc>
        <w:tc>
          <w:tcPr>
            <w:tcW w:w="480" w:type="dxa"/>
            <w:vAlign w:val="bottom"/>
            <w:shd w:val="clear" w:color="auto" w:fill="CFF0FC"/>
          </w:tcPr>
          <w:p>
            <w:pPr>
              <w:spacing w:after="0"/>
              <w:rPr>
                <w:sz w:val="17"/>
                <w:szCs w:val="17"/>
                <w:color w:val="auto"/>
              </w:rPr>
            </w:pPr>
          </w:p>
        </w:tc>
        <w:tc>
          <w:tcPr>
            <w:tcW w:w="154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148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460" w:type="dxa"/>
            <w:vAlign w:val="bottom"/>
            <w:gridSpan w:val="2"/>
          </w:tcPr>
          <w:p>
            <w:pPr>
              <w:ind w:left="200"/>
              <w:spacing w:after="0" w:line="202" w:lineRule="exact"/>
              <w:rPr>
                <w:sz w:val="20"/>
                <w:szCs w:val="20"/>
                <w:color w:val="auto"/>
              </w:rPr>
            </w:pPr>
            <w:r>
              <w:rPr>
                <w:rFonts w:ascii="Arial" w:cs="Arial" w:eastAsia="Arial" w:hAnsi="Arial"/>
                <w:sz w:val="18"/>
                <w:szCs w:val="18"/>
                <w:color w:val="auto"/>
              </w:rPr>
              <w:t>Property, plant and equipment, net</w:t>
            </w:r>
          </w:p>
        </w:tc>
        <w:tc>
          <w:tcPr>
            <w:tcW w:w="480" w:type="dxa"/>
            <w:vAlign w:val="bottom"/>
          </w:tcPr>
          <w:p>
            <w:pPr>
              <w:spacing w:after="0"/>
              <w:rPr>
                <w:sz w:val="17"/>
                <w:szCs w:val="17"/>
                <w:color w:val="auto"/>
              </w:rPr>
            </w:pPr>
          </w:p>
        </w:tc>
        <w:tc>
          <w:tcPr>
            <w:tcW w:w="1540" w:type="dxa"/>
            <w:vAlign w:val="bottom"/>
          </w:tcPr>
          <w:p>
            <w:pPr>
              <w:jc w:val="right"/>
              <w:ind w:right="110"/>
              <w:spacing w:after="0" w:line="202" w:lineRule="exact"/>
              <w:rPr>
                <w:sz w:val="20"/>
                <w:szCs w:val="20"/>
                <w:color w:val="auto"/>
              </w:rPr>
            </w:pPr>
            <w:r>
              <w:rPr>
                <w:rFonts w:ascii="Arial" w:cs="Arial" w:eastAsia="Arial" w:hAnsi="Arial"/>
                <w:sz w:val="18"/>
                <w:szCs w:val="18"/>
                <w:b w:val="1"/>
                <w:bCs w:val="1"/>
                <w:color w:val="auto"/>
              </w:rPr>
              <w:t>500.8</w:t>
            </w:r>
          </w:p>
        </w:tc>
        <w:tc>
          <w:tcPr>
            <w:tcW w:w="280" w:type="dxa"/>
            <w:vAlign w:val="bottom"/>
          </w:tcPr>
          <w:p>
            <w:pPr>
              <w:spacing w:after="0"/>
              <w:rPr>
                <w:sz w:val="17"/>
                <w:szCs w:val="17"/>
                <w:color w:val="auto"/>
              </w:rPr>
            </w:pPr>
          </w:p>
        </w:tc>
        <w:tc>
          <w:tcPr>
            <w:tcW w:w="1480" w:type="dxa"/>
            <w:vAlign w:val="bottom"/>
          </w:tcPr>
          <w:p>
            <w:pPr>
              <w:jc w:val="right"/>
              <w:ind w:right="10"/>
              <w:spacing w:after="0" w:line="202" w:lineRule="exact"/>
              <w:rPr>
                <w:sz w:val="20"/>
                <w:szCs w:val="20"/>
                <w:color w:val="auto"/>
              </w:rPr>
            </w:pPr>
            <w:r>
              <w:rPr>
                <w:rFonts w:ascii="Arial" w:cs="Arial" w:eastAsia="Arial" w:hAnsi="Arial"/>
                <w:sz w:val="18"/>
                <w:szCs w:val="18"/>
                <w:color w:val="auto"/>
              </w:rPr>
              <w:t>510.2</w:t>
            </w:r>
          </w:p>
        </w:tc>
        <w:tc>
          <w:tcPr>
            <w:tcW w:w="0" w:type="dxa"/>
            <w:vAlign w:val="bottom"/>
          </w:tcPr>
          <w:p>
            <w:pPr>
              <w:spacing w:after="0"/>
              <w:rPr>
                <w:sz w:val="1"/>
                <w:szCs w:val="1"/>
                <w:color w:val="auto"/>
              </w:rPr>
            </w:pPr>
          </w:p>
        </w:tc>
      </w:tr>
      <w:tr>
        <w:trPr>
          <w:trHeight w:val="203"/>
        </w:trPr>
        <w:tc>
          <w:tcPr>
            <w:tcW w:w="7460" w:type="dxa"/>
            <w:vAlign w:val="bottom"/>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Operating lease right-of-use assets</w:t>
            </w:r>
          </w:p>
        </w:tc>
        <w:tc>
          <w:tcPr>
            <w:tcW w:w="480" w:type="dxa"/>
            <w:vAlign w:val="bottom"/>
            <w:shd w:val="clear" w:color="auto" w:fill="CFF0FC"/>
          </w:tcPr>
          <w:p>
            <w:pPr>
              <w:spacing w:after="0"/>
              <w:rPr>
                <w:sz w:val="17"/>
                <w:szCs w:val="17"/>
                <w:color w:val="auto"/>
              </w:rPr>
            </w:pPr>
          </w:p>
        </w:tc>
        <w:tc>
          <w:tcPr>
            <w:tcW w:w="1540" w:type="dxa"/>
            <w:vAlign w:val="bottom"/>
            <w:shd w:val="clear" w:color="auto" w:fill="CFF0FC"/>
          </w:tcPr>
          <w:p>
            <w:pPr>
              <w:jc w:val="right"/>
              <w:ind w:right="110"/>
              <w:spacing w:after="0" w:line="202" w:lineRule="exact"/>
              <w:rPr>
                <w:sz w:val="20"/>
                <w:szCs w:val="20"/>
                <w:color w:val="auto"/>
              </w:rPr>
            </w:pPr>
            <w:r>
              <w:rPr>
                <w:rFonts w:ascii="Arial" w:cs="Arial" w:eastAsia="Arial" w:hAnsi="Arial"/>
                <w:sz w:val="18"/>
                <w:szCs w:val="18"/>
                <w:b w:val="1"/>
                <w:bCs w:val="1"/>
                <w:color w:val="auto"/>
              </w:rPr>
              <w:t>13.8</w:t>
            </w:r>
          </w:p>
        </w:tc>
        <w:tc>
          <w:tcPr>
            <w:tcW w:w="280" w:type="dxa"/>
            <w:vAlign w:val="bottom"/>
            <w:shd w:val="clear" w:color="auto" w:fill="CFF0FC"/>
          </w:tcPr>
          <w:p>
            <w:pPr>
              <w:spacing w:after="0"/>
              <w:rPr>
                <w:sz w:val="17"/>
                <w:szCs w:val="17"/>
                <w:color w:val="auto"/>
              </w:rPr>
            </w:pPr>
          </w:p>
        </w:tc>
        <w:tc>
          <w:tcPr>
            <w:tcW w:w="148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14.5</w:t>
            </w:r>
          </w:p>
        </w:tc>
        <w:tc>
          <w:tcPr>
            <w:tcW w:w="0" w:type="dxa"/>
            <w:vAlign w:val="bottom"/>
          </w:tcPr>
          <w:p>
            <w:pPr>
              <w:spacing w:after="0"/>
              <w:rPr>
                <w:sz w:val="1"/>
                <w:szCs w:val="1"/>
                <w:color w:val="auto"/>
              </w:rPr>
            </w:pPr>
          </w:p>
        </w:tc>
      </w:tr>
      <w:tr>
        <w:trPr>
          <w:trHeight w:val="203"/>
        </w:trPr>
        <w:tc>
          <w:tcPr>
            <w:tcW w:w="7460" w:type="dxa"/>
            <w:vAlign w:val="bottom"/>
            <w:gridSpan w:val="2"/>
          </w:tcPr>
          <w:p>
            <w:pPr>
              <w:ind w:left="200"/>
              <w:spacing w:after="0" w:line="202" w:lineRule="exact"/>
              <w:rPr>
                <w:sz w:val="20"/>
                <w:szCs w:val="20"/>
                <w:color w:val="auto"/>
              </w:rPr>
            </w:pPr>
            <w:r>
              <w:rPr>
                <w:rFonts w:ascii="Arial" w:cs="Arial" w:eastAsia="Arial" w:hAnsi="Arial"/>
                <w:sz w:val="18"/>
                <w:szCs w:val="18"/>
                <w:color w:val="auto"/>
              </w:rPr>
              <w:t>Pension assets</w:t>
            </w:r>
          </w:p>
        </w:tc>
        <w:tc>
          <w:tcPr>
            <w:tcW w:w="480" w:type="dxa"/>
            <w:vAlign w:val="bottom"/>
          </w:tcPr>
          <w:p>
            <w:pPr>
              <w:spacing w:after="0"/>
              <w:rPr>
                <w:sz w:val="17"/>
                <w:szCs w:val="17"/>
                <w:color w:val="auto"/>
              </w:rPr>
            </w:pPr>
          </w:p>
        </w:tc>
        <w:tc>
          <w:tcPr>
            <w:tcW w:w="1540" w:type="dxa"/>
            <w:vAlign w:val="bottom"/>
          </w:tcPr>
          <w:p>
            <w:pPr>
              <w:jc w:val="right"/>
              <w:ind w:right="110"/>
              <w:spacing w:after="0" w:line="202" w:lineRule="exact"/>
              <w:rPr>
                <w:sz w:val="20"/>
                <w:szCs w:val="20"/>
                <w:color w:val="auto"/>
              </w:rPr>
            </w:pPr>
            <w:r>
              <w:rPr>
                <w:rFonts w:ascii="Arial" w:cs="Arial" w:eastAsia="Arial" w:hAnsi="Arial"/>
                <w:sz w:val="18"/>
                <w:szCs w:val="18"/>
                <w:b w:val="1"/>
                <w:bCs w:val="1"/>
                <w:color w:val="auto"/>
              </w:rPr>
              <w:t>48.2</w:t>
            </w:r>
          </w:p>
        </w:tc>
        <w:tc>
          <w:tcPr>
            <w:tcW w:w="280" w:type="dxa"/>
            <w:vAlign w:val="bottom"/>
          </w:tcPr>
          <w:p>
            <w:pPr>
              <w:spacing w:after="0"/>
              <w:rPr>
                <w:sz w:val="17"/>
                <w:szCs w:val="17"/>
                <w:color w:val="auto"/>
              </w:rPr>
            </w:pPr>
          </w:p>
        </w:tc>
        <w:tc>
          <w:tcPr>
            <w:tcW w:w="1480" w:type="dxa"/>
            <w:vAlign w:val="bottom"/>
          </w:tcPr>
          <w:p>
            <w:pPr>
              <w:jc w:val="right"/>
              <w:ind w:right="10"/>
              <w:spacing w:after="0" w:line="202" w:lineRule="exact"/>
              <w:rPr>
                <w:sz w:val="20"/>
                <w:szCs w:val="20"/>
                <w:color w:val="auto"/>
              </w:rPr>
            </w:pPr>
            <w:r>
              <w:rPr>
                <w:rFonts w:ascii="Arial" w:cs="Arial" w:eastAsia="Arial" w:hAnsi="Arial"/>
                <w:sz w:val="18"/>
                <w:szCs w:val="18"/>
                <w:color w:val="auto"/>
              </w:rPr>
              <w:t>43.1</w:t>
            </w:r>
          </w:p>
        </w:tc>
        <w:tc>
          <w:tcPr>
            <w:tcW w:w="0" w:type="dxa"/>
            <w:vAlign w:val="bottom"/>
          </w:tcPr>
          <w:p>
            <w:pPr>
              <w:spacing w:after="0"/>
              <w:rPr>
                <w:sz w:val="1"/>
                <w:szCs w:val="1"/>
                <w:color w:val="auto"/>
              </w:rPr>
            </w:pPr>
          </w:p>
        </w:tc>
      </w:tr>
      <w:tr>
        <w:trPr>
          <w:trHeight w:val="203"/>
        </w:trPr>
        <w:tc>
          <w:tcPr>
            <w:tcW w:w="7460" w:type="dxa"/>
            <w:vAlign w:val="bottom"/>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Intangible assets, net</w:t>
            </w:r>
          </w:p>
        </w:tc>
        <w:tc>
          <w:tcPr>
            <w:tcW w:w="480" w:type="dxa"/>
            <w:vAlign w:val="bottom"/>
            <w:shd w:val="clear" w:color="auto" w:fill="CFF0FC"/>
          </w:tcPr>
          <w:p>
            <w:pPr>
              <w:spacing w:after="0"/>
              <w:rPr>
                <w:sz w:val="17"/>
                <w:szCs w:val="17"/>
                <w:color w:val="auto"/>
              </w:rPr>
            </w:pPr>
          </w:p>
        </w:tc>
        <w:tc>
          <w:tcPr>
            <w:tcW w:w="1540" w:type="dxa"/>
            <w:vAlign w:val="bottom"/>
            <w:shd w:val="clear" w:color="auto" w:fill="CFF0FC"/>
          </w:tcPr>
          <w:p>
            <w:pPr>
              <w:jc w:val="right"/>
              <w:ind w:right="110"/>
              <w:spacing w:after="0" w:line="202" w:lineRule="exact"/>
              <w:rPr>
                <w:sz w:val="20"/>
                <w:szCs w:val="20"/>
                <w:color w:val="auto"/>
              </w:rPr>
            </w:pPr>
            <w:r>
              <w:rPr>
                <w:rFonts w:ascii="Arial" w:cs="Arial" w:eastAsia="Arial" w:hAnsi="Arial"/>
                <w:sz w:val="18"/>
                <w:szCs w:val="18"/>
                <w:b w:val="1"/>
                <w:bCs w:val="1"/>
                <w:color w:val="auto"/>
              </w:rPr>
              <w:t>6.1</w:t>
            </w:r>
          </w:p>
        </w:tc>
        <w:tc>
          <w:tcPr>
            <w:tcW w:w="280" w:type="dxa"/>
            <w:vAlign w:val="bottom"/>
            <w:shd w:val="clear" w:color="auto" w:fill="CFF0FC"/>
          </w:tcPr>
          <w:p>
            <w:pPr>
              <w:spacing w:after="0"/>
              <w:rPr>
                <w:sz w:val="17"/>
                <w:szCs w:val="17"/>
                <w:color w:val="auto"/>
              </w:rPr>
            </w:pPr>
          </w:p>
        </w:tc>
        <w:tc>
          <w:tcPr>
            <w:tcW w:w="148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6.7</w:t>
            </w:r>
          </w:p>
        </w:tc>
        <w:tc>
          <w:tcPr>
            <w:tcW w:w="0" w:type="dxa"/>
            <w:vAlign w:val="bottom"/>
          </w:tcPr>
          <w:p>
            <w:pPr>
              <w:spacing w:after="0"/>
              <w:rPr>
                <w:sz w:val="1"/>
                <w:szCs w:val="1"/>
                <w:color w:val="auto"/>
              </w:rPr>
            </w:pPr>
          </w:p>
        </w:tc>
      </w:tr>
      <w:tr>
        <w:trPr>
          <w:trHeight w:val="203"/>
        </w:trPr>
        <w:tc>
          <w:tcPr>
            <w:tcW w:w="7460" w:type="dxa"/>
            <w:vAlign w:val="bottom"/>
            <w:tcBorders>
              <w:bottom w:val="single" w:sz="8" w:color="auto"/>
            </w:tcBorders>
            <w:gridSpan w:val="2"/>
          </w:tcPr>
          <w:p>
            <w:pPr>
              <w:ind w:left="200"/>
              <w:spacing w:after="0" w:line="202" w:lineRule="exact"/>
              <w:rPr>
                <w:sz w:val="20"/>
                <w:szCs w:val="20"/>
                <w:color w:val="auto"/>
              </w:rPr>
            </w:pPr>
            <w:r>
              <w:rPr>
                <w:rFonts w:ascii="Arial" w:cs="Arial" w:eastAsia="Arial" w:hAnsi="Arial"/>
                <w:sz w:val="18"/>
                <w:szCs w:val="18"/>
                <w:color w:val="auto"/>
              </w:rPr>
              <w:t>Other non-current assets</w:t>
            </w:r>
          </w:p>
        </w:tc>
        <w:tc>
          <w:tcPr>
            <w:tcW w:w="480" w:type="dxa"/>
            <w:vAlign w:val="bottom"/>
            <w:tcBorders>
              <w:bottom w:val="single" w:sz="8" w:color="auto"/>
            </w:tcBorders>
          </w:tcPr>
          <w:p>
            <w:pPr>
              <w:spacing w:after="0"/>
              <w:rPr>
                <w:sz w:val="17"/>
                <w:szCs w:val="17"/>
                <w:color w:val="auto"/>
              </w:rPr>
            </w:pPr>
          </w:p>
        </w:tc>
        <w:tc>
          <w:tcPr>
            <w:tcW w:w="1540" w:type="dxa"/>
            <w:vAlign w:val="bottom"/>
            <w:tcBorders>
              <w:bottom w:val="single" w:sz="8" w:color="auto"/>
            </w:tcBorders>
          </w:tcPr>
          <w:p>
            <w:pPr>
              <w:jc w:val="right"/>
              <w:ind w:right="110"/>
              <w:spacing w:after="0" w:line="202" w:lineRule="exact"/>
              <w:rPr>
                <w:sz w:val="20"/>
                <w:szCs w:val="20"/>
                <w:color w:val="auto"/>
              </w:rPr>
            </w:pPr>
            <w:r>
              <w:rPr>
                <w:rFonts w:ascii="Arial" w:cs="Arial" w:eastAsia="Arial" w:hAnsi="Arial"/>
                <w:sz w:val="18"/>
                <w:szCs w:val="18"/>
                <w:b w:val="1"/>
                <w:bCs w:val="1"/>
                <w:color w:val="auto"/>
              </w:rPr>
              <w:t>1.9</w:t>
            </w:r>
          </w:p>
        </w:tc>
        <w:tc>
          <w:tcPr>
            <w:tcW w:w="28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7460" w:type="dxa"/>
            <w:vAlign w:val="bottom"/>
            <w:tcBorders>
              <w:bottom w:val="single" w:sz="8" w:color="auto"/>
            </w:tcBorders>
            <w:gridSpan w:val="2"/>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Total Assets</w:t>
            </w:r>
          </w:p>
        </w:tc>
        <w:tc>
          <w:tcPr>
            <w:tcW w:w="480" w:type="dxa"/>
            <w:vAlign w:val="bottom"/>
            <w:tcBorders>
              <w:bottom w:val="single" w:sz="8" w:color="auto"/>
            </w:tcBorders>
            <w:shd w:val="clear" w:color="auto" w:fill="CFF0FC"/>
          </w:tcPr>
          <w:p>
            <w:pPr>
              <w:jc w:val="right"/>
              <w:ind w:right="50"/>
              <w:spacing w:after="0" w:line="196" w:lineRule="exact"/>
              <w:rPr>
                <w:sz w:val="20"/>
                <w:szCs w:val="20"/>
                <w:color w:val="auto"/>
              </w:rPr>
            </w:pPr>
            <w:r>
              <w:rPr>
                <w:rFonts w:ascii="Arial" w:cs="Arial" w:eastAsia="Arial" w:hAnsi="Arial"/>
                <w:sz w:val="18"/>
                <w:szCs w:val="18"/>
                <w:b w:val="1"/>
                <w:bCs w:val="1"/>
                <w:color w:val="auto"/>
              </w:rPr>
              <w:t>$</w:t>
            </w:r>
          </w:p>
        </w:tc>
        <w:tc>
          <w:tcPr>
            <w:tcW w:w="1540" w:type="dxa"/>
            <w:vAlign w:val="bottom"/>
            <w:tcBorders>
              <w:bottom w:val="single" w:sz="8" w:color="auto"/>
            </w:tcBorders>
            <w:shd w:val="clear" w:color="auto" w:fill="CFF0FC"/>
          </w:tcPr>
          <w:p>
            <w:pPr>
              <w:jc w:val="right"/>
              <w:ind w:right="110"/>
              <w:spacing w:after="0" w:line="196" w:lineRule="exact"/>
              <w:rPr>
                <w:sz w:val="20"/>
                <w:szCs w:val="20"/>
                <w:color w:val="auto"/>
              </w:rPr>
            </w:pPr>
            <w:r>
              <w:rPr>
                <w:rFonts w:ascii="Arial" w:cs="Arial" w:eastAsia="Arial" w:hAnsi="Arial"/>
                <w:sz w:val="18"/>
                <w:szCs w:val="18"/>
                <w:b w:val="1"/>
                <w:bCs w:val="1"/>
                <w:color w:val="auto"/>
              </w:rPr>
              <w:t>1,186.0</w:t>
            </w:r>
          </w:p>
        </w:tc>
        <w:tc>
          <w:tcPr>
            <w:tcW w:w="28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1480" w:type="dxa"/>
            <w:vAlign w:val="bottom"/>
            <w:tcBorders>
              <w:bottom w:val="single" w:sz="8" w:color="auto"/>
            </w:tcBorders>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1,158.9</w:t>
            </w:r>
          </w:p>
        </w:tc>
        <w:tc>
          <w:tcPr>
            <w:tcW w:w="0" w:type="dxa"/>
            <w:vAlign w:val="bottom"/>
          </w:tcPr>
          <w:p>
            <w:pPr>
              <w:spacing w:after="0"/>
              <w:rPr>
                <w:sz w:val="1"/>
                <w:szCs w:val="1"/>
                <w:color w:val="auto"/>
              </w:rPr>
            </w:pPr>
          </w:p>
        </w:tc>
      </w:tr>
      <w:tr>
        <w:trPr>
          <w:trHeight w:val="196"/>
        </w:trPr>
        <w:tc>
          <w:tcPr>
            <w:tcW w:w="1280" w:type="dxa"/>
            <w:vAlign w:val="bottom"/>
          </w:tcPr>
          <w:p>
            <w:pPr>
              <w:spacing w:after="0"/>
              <w:rPr>
                <w:sz w:val="17"/>
                <w:szCs w:val="17"/>
                <w:color w:val="auto"/>
              </w:rPr>
            </w:pPr>
          </w:p>
        </w:tc>
        <w:tc>
          <w:tcPr>
            <w:tcW w:w="61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460" w:type="dxa"/>
            <w:vAlign w:val="bottom"/>
            <w:gridSpan w:val="2"/>
            <w:shd w:val="clear" w:color="auto" w:fill="CFF0FC"/>
          </w:tcPr>
          <w:p>
            <w:pPr>
              <w:ind w:left="20"/>
              <w:spacing w:after="0" w:line="202" w:lineRule="exact"/>
              <w:rPr>
                <w:sz w:val="20"/>
                <w:szCs w:val="20"/>
                <w:color w:val="auto"/>
              </w:rPr>
            </w:pPr>
            <w:r>
              <w:rPr>
                <w:rFonts w:ascii="Arial" w:cs="Arial" w:eastAsia="Arial" w:hAnsi="Arial"/>
                <w:sz w:val="18"/>
                <w:szCs w:val="18"/>
                <w:b w:val="1"/>
                <w:bCs w:val="1"/>
                <w:color w:val="auto"/>
              </w:rPr>
              <w:t>LIABILITIES AND SHAREHOLDERS’ EQUITY</w:t>
            </w:r>
          </w:p>
        </w:tc>
        <w:tc>
          <w:tcPr>
            <w:tcW w:w="480" w:type="dxa"/>
            <w:vAlign w:val="bottom"/>
            <w:shd w:val="clear" w:color="auto" w:fill="CFF0FC"/>
          </w:tcPr>
          <w:p>
            <w:pPr>
              <w:spacing w:after="0"/>
              <w:rPr>
                <w:sz w:val="17"/>
                <w:szCs w:val="17"/>
                <w:color w:val="auto"/>
              </w:rPr>
            </w:pPr>
          </w:p>
        </w:tc>
        <w:tc>
          <w:tcPr>
            <w:tcW w:w="154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148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460" w:type="dxa"/>
            <w:vAlign w:val="bottom"/>
            <w:gridSpan w:val="2"/>
          </w:tcPr>
          <w:p>
            <w:pPr>
              <w:ind w:left="20"/>
              <w:spacing w:after="0" w:line="202" w:lineRule="exact"/>
              <w:rPr>
                <w:sz w:val="20"/>
                <w:szCs w:val="20"/>
                <w:color w:val="auto"/>
              </w:rPr>
            </w:pPr>
            <w:r>
              <w:rPr>
                <w:rFonts w:ascii="Arial" w:cs="Arial" w:eastAsia="Arial" w:hAnsi="Arial"/>
                <w:sz w:val="18"/>
                <w:szCs w:val="18"/>
                <w:b w:val="1"/>
                <w:bCs w:val="1"/>
                <w:color w:val="auto"/>
              </w:rPr>
              <w:t>Current Liabilities</w:t>
            </w:r>
          </w:p>
        </w:tc>
        <w:tc>
          <w:tcPr>
            <w:tcW w:w="48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460" w:type="dxa"/>
            <w:vAlign w:val="bottom"/>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Accounts payable</w:t>
            </w:r>
          </w:p>
        </w:tc>
        <w:tc>
          <w:tcPr>
            <w:tcW w:w="480" w:type="dxa"/>
            <w:vAlign w:val="bottom"/>
            <w:shd w:val="clear" w:color="auto" w:fill="CFF0FC"/>
          </w:tcPr>
          <w:p>
            <w:pPr>
              <w:jc w:val="right"/>
              <w:ind w:right="50"/>
              <w:spacing w:after="0" w:line="202" w:lineRule="exact"/>
              <w:rPr>
                <w:sz w:val="20"/>
                <w:szCs w:val="20"/>
                <w:color w:val="auto"/>
              </w:rPr>
            </w:pPr>
            <w:r>
              <w:rPr>
                <w:rFonts w:ascii="Arial" w:cs="Arial" w:eastAsia="Arial" w:hAnsi="Arial"/>
                <w:sz w:val="18"/>
                <w:szCs w:val="18"/>
                <w:b w:val="1"/>
                <w:bCs w:val="1"/>
                <w:color w:val="auto"/>
              </w:rPr>
              <w:t>$</w:t>
            </w:r>
          </w:p>
        </w:tc>
        <w:tc>
          <w:tcPr>
            <w:tcW w:w="1540" w:type="dxa"/>
            <w:vAlign w:val="bottom"/>
            <w:shd w:val="clear" w:color="auto" w:fill="CFF0FC"/>
          </w:tcPr>
          <w:p>
            <w:pPr>
              <w:jc w:val="right"/>
              <w:ind w:right="110"/>
              <w:spacing w:after="0" w:line="202" w:lineRule="exact"/>
              <w:rPr>
                <w:sz w:val="20"/>
                <w:szCs w:val="20"/>
                <w:color w:val="auto"/>
              </w:rPr>
            </w:pPr>
            <w:r>
              <w:rPr>
                <w:rFonts w:ascii="Arial" w:cs="Arial" w:eastAsia="Arial" w:hAnsi="Arial"/>
                <w:sz w:val="18"/>
                <w:szCs w:val="18"/>
                <w:b w:val="1"/>
                <w:bCs w:val="1"/>
                <w:color w:val="auto"/>
              </w:rPr>
              <w:t>168.5</w:t>
            </w:r>
          </w:p>
        </w:tc>
        <w:tc>
          <w:tcPr>
            <w:tcW w:w="2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w:t>
            </w:r>
          </w:p>
        </w:tc>
        <w:tc>
          <w:tcPr>
            <w:tcW w:w="148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141.9</w:t>
            </w:r>
          </w:p>
        </w:tc>
        <w:tc>
          <w:tcPr>
            <w:tcW w:w="0" w:type="dxa"/>
            <w:vAlign w:val="bottom"/>
          </w:tcPr>
          <w:p>
            <w:pPr>
              <w:spacing w:after="0"/>
              <w:rPr>
                <w:sz w:val="1"/>
                <w:szCs w:val="1"/>
                <w:color w:val="auto"/>
              </w:rPr>
            </w:pPr>
          </w:p>
        </w:tc>
      </w:tr>
      <w:tr>
        <w:trPr>
          <w:trHeight w:val="203"/>
        </w:trPr>
        <w:tc>
          <w:tcPr>
            <w:tcW w:w="7460" w:type="dxa"/>
            <w:vAlign w:val="bottom"/>
            <w:gridSpan w:val="2"/>
          </w:tcPr>
          <w:p>
            <w:pPr>
              <w:ind w:left="200"/>
              <w:spacing w:after="0" w:line="202" w:lineRule="exact"/>
              <w:rPr>
                <w:sz w:val="20"/>
                <w:szCs w:val="20"/>
                <w:color w:val="auto"/>
              </w:rPr>
            </w:pPr>
            <w:r>
              <w:rPr>
                <w:rFonts w:ascii="Arial" w:cs="Arial" w:eastAsia="Arial" w:hAnsi="Arial"/>
                <w:sz w:val="18"/>
                <w:szCs w:val="18"/>
                <w:color w:val="auto"/>
              </w:rPr>
              <w:t>Salaries, wages and benefits</w:t>
            </w:r>
          </w:p>
        </w:tc>
        <w:tc>
          <w:tcPr>
            <w:tcW w:w="480" w:type="dxa"/>
            <w:vAlign w:val="bottom"/>
          </w:tcPr>
          <w:p>
            <w:pPr>
              <w:spacing w:after="0"/>
              <w:rPr>
                <w:sz w:val="17"/>
                <w:szCs w:val="17"/>
                <w:color w:val="auto"/>
              </w:rPr>
            </w:pPr>
          </w:p>
        </w:tc>
        <w:tc>
          <w:tcPr>
            <w:tcW w:w="1540" w:type="dxa"/>
            <w:vAlign w:val="bottom"/>
          </w:tcPr>
          <w:p>
            <w:pPr>
              <w:jc w:val="right"/>
              <w:ind w:right="110"/>
              <w:spacing w:after="0" w:line="202" w:lineRule="exact"/>
              <w:rPr>
                <w:sz w:val="20"/>
                <w:szCs w:val="20"/>
                <w:color w:val="auto"/>
              </w:rPr>
            </w:pPr>
            <w:r>
              <w:rPr>
                <w:rFonts w:ascii="Arial" w:cs="Arial" w:eastAsia="Arial" w:hAnsi="Arial"/>
                <w:sz w:val="18"/>
                <w:szCs w:val="18"/>
                <w:b w:val="1"/>
                <w:bCs w:val="1"/>
                <w:color w:val="auto"/>
              </w:rPr>
              <w:t>21.2</w:t>
            </w:r>
          </w:p>
        </w:tc>
        <w:tc>
          <w:tcPr>
            <w:tcW w:w="280" w:type="dxa"/>
            <w:vAlign w:val="bottom"/>
          </w:tcPr>
          <w:p>
            <w:pPr>
              <w:spacing w:after="0"/>
              <w:rPr>
                <w:sz w:val="17"/>
                <w:szCs w:val="17"/>
                <w:color w:val="auto"/>
              </w:rPr>
            </w:pPr>
          </w:p>
        </w:tc>
        <w:tc>
          <w:tcPr>
            <w:tcW w:w="1480" w:type="dxa"/>
            <w:vAlign w:val="bottom"/>
          </w:tcPr>
          <w:p>
            <w:pPr>
              <w:jc w:val="right"/>
              <w:ind w:right="10"/>
              <w:spacing w:after="0" w:line="202" w:lineRule="exact"/>
              <w:rPr>
                <w:sz w:val="20"/>
                <w:szCs w:val="20"/>
                <w:color w:val="auto"/>
              </w:rPr>
            </w:pPr>
            <w:r>
              <w:rPr>
                <w:rFonts w:ascii="Arial" w:cs="Arial" w:eastAsia="Arial" w:hAnsi="Arial"/>
                <w:sz w:val="18"/>
                <w:szCs w:val="18"/>
                <w:color w:val="auto"/>
              </w:rPr>
              <w:t>37.9</w:t>
            </w:r>
          </w:p>
        </w:tc>
        <w:tc>
          <w:tcPr>
            <w:tcW w:w="0" w:type="dxa"/>
            <w:vAlign w:val="bottom"/>
          </w:tcPr>
          <w:p>
            <w:pPr>
              <w:spacing w:after="0"/>
              <w:rPr>
                <w:sz w:val="1"/>
                <w:szCs w:val="1"/>
                <w:color w:val="auto"/>
              </w:rPr>
            </w:pPr>
          </w:p>
        </w:tc>
      </w:tr>
      <w:tr>
        <w:trPr>
          <w:trHeight w:val="203"/>
        </w:trPr>
        <w:tc>
          <w:tcPr>
            <w:tcW w:w="7460" w:type="dxa"/>
            <w:vAlign w:val="bottom"/>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Accrued pension and postretirement costs</w:t>
            </w:r>
          </w:p>
        </w:tc>
        <w:tc>
          <w:tcPr>
            <w:tcW w:w="480" w:type="dxa"/>
            <w:vAlign w:val="bottom"/>
            <w:shd w:val="clear" w:color="auto" w:fill="CFF0FC"/>
          </w:tcPr>
          <w:p>
            <w:pPr>
              <w:spacing w:after="0"/>
              <w:rPr>
                <w:sz w:val="17"/>
                <w:szCs w:val="17"/>
                <w:color w:val="auto"/>
              </w:rPr>
            </w:pPr>
          </w:p>
        </w:tc>
        <w:tc>
          <w:tcPr>
            <w:tcW w:w="1540" w:type="dxa"/>
            <w:vAlign w:val="bottom"/>
            <w:shd w:val="clear" w:color="auto" w:fill="CFF0FC"/>
          </w:tcPr>
          <w:p>
            <w:pPr>
              <w:jc w:val="right"/>
              <w:ind w:right="110"/>
              <w:spacing w:after="0" w:line="202" w:lineRule="exact"/>
              <w:rPr>
                <w:sz w:val="20"/>
                <w:szCs w:val="20"/>
                <w:color w:val="auto"/>
              </w:rPr>
            </w:pPr>
            <w:r>
              <w:rPr>
                <w:rFonts w:ascii="Arial" w:cs="Arial" w:eastAsia="Arial" w:hAnsi="Arial"/>
                <w:sz w:val="18"/>
                <w:szCs w:val="18"/>
                <w:b w:val="1"/>
                <w:bCs w:val="1"/>
                <w:color w:val="auto"/>
              </w:rPr>
              <w:t>2.6</w:t>
            </w:r>
          </w:p>
        </w:tc>
        <w:tc>
          <w:tcPr>
            <w:tcW w:w="280" w:type="dxa"/>
            <w:vAlign w:val="bottom"/>
            <w:shd w:val="clear" w:color="auto" w:fill="CFF0FC"/>
          </w:tcPr>
          <w:p>
            <w:pPr>
              <w:spacing w:after="0"/>
              <w:rPr>
                <w:sz w:val="17"/>
                <w:szCs w:val="17"/>
                <w:color w:val="auto"/>
              </w:rPr>
            </w:pPr>
          </w:p>
        </w:tc>
        <w:tc>
          <w:tcPr>
            <w:tcW w:w="148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03"/>
        </w:trPr>
        <w:tc>
          <w:tcPr>
            <w:tcW w:w="7460" w:type="dxa"/>
            <w:vAlign w:val="bottom"/>
            <w:gridSpan w:val="2"/>
          </w:tcPr>
          <w:p>
            <w:pPr>
              <w:ind w:left="200"/>
              <w:spacing w:after="0" w:line="202" w:lineRule="exact"/>
              <w:rPr>
                <w:sz w:val="20"/>
                <w:szCs w:val="20"/>
                <w:color w:val="auto"/>
              </w:rPr>
            </w:pPr>
            <w:r>
              <w:rPr>
                <w:rFonts w:ascii="Arial" w:cs="Arial" w:eastAsia="Arial" w:hAnsi="Arial"/>
                <w:sz w:val="18"/>
                <w:szCs w:val="18"/>
                <w:color w:val="auto"/>
              </w:rPr>
              <w:t>Current operating lease liabilities</w:t>
            </w:r>
          </w:p>
        </w:tc>
        <w:tc>
          <w:tcPr>
            <w:tcW w:w="480" w:type="dxa"/>
            <w:vAlign w:val="bottom"/>
          </w:tcPr>
          <w:p>
            <w:pPr>
              <w:spacing w:after="0"/>
              <w:rPr>
                <w:sz w:val="17"/>
                <w:szCs w:val="17"/>
                <w:color w:val="auto"/>
              </w:rPr>
            </w:pPr>
          </w:p>
        </w:tc>
        <w:tc>
          <w:tcPr>
            <w:tcW w:w="1540" w:type="dxa"/>
            <w:vAlign w:val="bottom"/>
          </w:tcPr>
          <w:p>
            <w:pPr>
              <w:jc w:val="right"/>
              <w:ind w:right="110"/>
              <w:spacing w:after="0" w:line="202" w:lineRule="exact"/>
              <w:rPr>
                <w:sz w:val="20"/>
                <w:szCs w:val="20"/>
                <w:color w:val="auto"/>
              </w:rPr>
            </w:pPr>
            <w:r>
              <w:rPr>
                <w:rFonts w:ascii="Arial" w:cs="Arial" w:eastAsia="Arial" w:hAnsi="Arial"/>
                <w:sz w:val="18"/>
                <w:szCs w:val="18"/>
                <w:b w:val="1"/>
                <w:bCs w:val="1"/>
                <w:color w:val="auto"/>
              </w:rPr>
              <w:t>5.7</w:t>
            </w:r>
          </w:p>
        </w:tc>
        <w:tc>
          <w:tcPr>
            <w:tcW w:w="280" w:type="dxa"/>
            <w:vAlign w:val="bottom"/>
          </w:tcPr>
          <w:p>
            <w:pPr>
              <w:spacing w:after="0"/>
              <w:rPr>
                <w:sz w:val="17"/>
                <w:szCs w:val="17"/>
                <w:color w:val="auto"/>
              </w:rPr>
            </w:pPr>
          </w:p>
        </w:tc>
        <w:tc>
          <w:tcPr>
            <w:tcW w:w="1480" w:type="dxa"/>
            <w:vAlign w:val="bottom"/>
          </w:tcPr>
          <w:p>
            <w:pPr>
              <w:jc w:val="right"/>
              <w:ind w:right="10"/>
              <w:spacing w:after="0" w:line="202" w:lineRule="exact"/>
              <w:rPr>
                <w:sz w:val="20"/>
                <w:szCs w:val="20"/>
                <w:color w:val="auto"/>
              </w:rPr>
            </w:pPr>
            <w:r>
              <w:rPr>
                <w:rFonts w:ascii="Arial" w:cs="Arial" w:eastAsia="Arial" w:hAnsi="Arial"/>
                <w:sz w:val="18"/>
                <w:szCs w:val="18"/>
                <w:color w:val="auto"/>
              </w:rPr>
              <w:t>5.7</w:t>
            </w:r>
          </w:p>
        </w:tc>
        <w:tc>
          <w:tcPr>
            <w:tcW w:w="0" w:type="dxa"/>
            <w:vAlign w:val="bottom"/>
          </w:tcPr>
          <w:p>
            <w:pPr>
              <w:spacing w:after="0"/>
              <w:rPr>
                <w:sz w:val="1"/>
                <w:szCs w:val="1"/>
                <w:color w:val="auto"/>
              </w:rPr>
            </w:pPr>
          </w:p>
        </w:tc>
      </w:tr>
      <w:tr>
        <w:trPr>
          <w:trHeight w:val="203"/>
        </w:trPr>
        <w:tc>
          <w:tcPr>
            <w:tcW w:w="7460" w:type="dxa"/>
            <w:vAlign w:val="bottom"/>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Current convertible notes, net</w:t>
            </w:r>
          </w:p>
        </w:tc>
        <w:tc>
          <w:tcPr>
            <w:tcW w:w="480" w:type="dxa"/>
            <w:vAlign w:val="bottom"/>
            <w:shd w:val="clear" w:color="auto" w:fill="CFF0FC"/>
          </w:tcPr>
          <w:p>
            <w:pPr>
              <w:spacing w:after="0"/>
              <w:rPr>
                <w:sz w:val="17"/>
                <w:szCs w:val="17"/>
                <w:color w:val="auto"/>
              </w:rPr>
            </w:pPr>
          </w:p>
        </w:tc>
        <w:tc>
          <w:tcPr>
            <w:tcW w:w="1540" w:type="dxa"/>
            <w:vAlign w:val="bottom"/>
            <w:shd w:val="clear" w:color="auto" w:fill="CFF0FC"/>
          </w:tcPr>
          <w:p>
            <w:pPr>
              <w:jc w:val="right"/>
              <w:ind w:right="110"/>
              <w:spacing w:after="0" w:line="202" w:lineRule="exact"/>
              <w:rPr>
                <w:sz w:val="20"/>
                <w:szCs w:val="20"/>
                <w:color w:val="auto"/>
              </w:rPr>
            </w:pPr>
            <w:r>
              <w:rPr>
                <w:rFonts w:ascii="Arial" w:cs="Arial" w:eastAsia="Arial" w:hAnsi="Arial"/>
                <w:sz w:val="18"/>
                <w:szCs w:val="18"/>
                <w:b w:val="1"/>
                <w:bCs w:val="1"/>
                <w:color w:val="auto"/>
              </w:rPr>
              <w:t>35.2</w:t>
            </w:r>
          </w:p>
        </w:tc>
        <w:tc>
          <w:tcPr>
            <w:tcW w:w="280" w:type="dxa"/>
            <w:vAlign w:val="bottom"/>
            <w:shd w:val="clear" w:color="auto" w:fill="CFF0FC"/>
          </w:tcPr>
          <w:p>
            <w:pPr>
              <w:spacing w:after="0"/>
              <w:rPr>
                <w:sz w:val="17"/>
                <w:szCs w:val="17"/>
                <w:color w:val="auto"/>
              </w:rPr>
            </w:pPr>
          </w:p>
        </w:tc>
        <w:tc>
          <w:tcPr>
            <w:tcW w:w="148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44.9</w:t>
            </w:r>
          </w:p>
        </w:tc>
        <w:tc>
          <w:tcPr>
            <w:tcW w:w="0" w:type="dxa"/>
            <w:vAlign w:val="bottom"/>
          </w:tcPr>
          <w:p>
            <w:pPr>
              <w:spacing w:after="0"/>
              <w:rPr>
                <w:sz w:val="1"/>
                <w:szCs w:val="1"/>
                <w:color w:val="auto"/>
              </w:rPr>
            </w:pPr>
          </w:p>
        </w:tc>
      </w:tr>
      <w:tr>
        <w:trPr>
          <w:trHeight w:val="203"/>
        </w:trPr>
        <w:tc>
          <w:tcPr>
            <w:tcW w:w="7460" w:type="dxa"/>
            <w:vAlign w:val="bottom"/>
            <w:tcBorders>
              <w:bottom w:val="single" w:sz="8" w:color="auto"/>
            </w:tcBorders>
            <w:gridSpan w:val="2"/>
          </w:tcPr>
          <w:p>
            <w:pPr>
              <w:ind w:left="200"/>
              <w:spacing w:after="0" w:line="202" w:lineRule="exact"/>
              <w:rPr>
                <w:sz w:val="20"/>
                <w:szCs w:val="20"/>
                <w:color w:val="auto"/>
              </w:rPr>
            </w:pPr>
            <w:r>
              <w:rPr>
                <w:rFonts w:ascii="Arial" w:cs="Arial" w:eastAsia="Arial" w:hAnsi="Arial"/>
                <w:sz w:val="18"/>
                <w:szCs w:val="18"/>
                <w:color w:val="auto"/>
              </w:rPr>
              <w:t>Other current liabilities</w:t>
            </w:r>
          </w:p>
        </w:tc>
        <w:tc>
          <w:tcPr>
            <w:tcW w:w="480" w:type="dxa"/>
            <w:vAlign w:val="bottom"/>
            <w:tcBorders>
              <w:bottom w:val="single" w:sz="8" w:color="auto"/>
            </w:tcBorders>
          </w:tcPr>
          <w:p>
            <w:pPr>
              <w:spacing w:after="0"/>
              <w:rPr>
                <w:sz w:val="17"/>
                <w:szCs w:val="17"/>
                <w:color w:val="auto"/>
              </w:rPr>
            </w:pPr>
          </w:p>
        </w:tc>
        <w:tc>
          <w:tcPr>
            <w:tcW w:w="1540" w:type="dxa"/>
            <w:vAlign w:val="bottom"/>
            <w:tcBorders>
              <w:bottom w:val="single" w:sz="8" w:color="auto"/>
            </w:tcBorders>
          </w:tcPr>
          <w:p>
            <w:pPr>
              <w:jc w:val="right"/>
              <w:ind w:right="110"/>
              <w:spacing w:after="0" w:line="202" w:lineRule="exact"/>
              <w:rPr>
                <w:sz w:val="20"/>
                <w:szCs w:val="20"/>
                <w:color w:val="auto"/>
              </w:rPr>
            </w:pPr>
            <w:r>
              <w:rPr>
                <w:rFonts w:ascii="Arial" w:cs="Arial" w:eastAsia="Arial" w:hAnsi="Arial"/>
                <w:sz w:val="18"/>
                <w:szCs w:val="18"/>
                <w:b w:val="1"/>
                <w:bCs w:val="1"/>
                <w:color w:val="auto"/>
              </w:rPr>
              <w:t>13.0</w:t>
            </w:r>
          </w:p>
        </w:tc>
        <w:tc>
          <w:tcPr>
            <w:tcW w:w="28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color w:val="auto"/>
              </w:rPr>
              <w:t>16.1</w:t>
            </w:r>
          </w:p>
        </w:tc>
        <w:tc>
          <w:tcPr>
            <w:tcW w:w="0" w:type="dxa"/>
            <w:vAlign w:val="bottom"/>
          </w:tcPr>
          <w:p>
            <w:pPr>
              <w:spacing w:after="0"/>
              <w:rPr>
                <w:sz w:val="1"/>
                <w:szCs w:val="1"/>
                <w:color w:val="auto"/>
              </w:rPr>
            </w:pPr>
          </w:p>
        </w:tc>
      </w:tr>
      <w:tr>
        <w:trPr>
          <w:trHeight w:val="196"/>
        </w:trPr>
        <w:tc>
          <w:tcPr>
            <w:tcW w:w="7460" w:type="dxa"/>
            <w:vAlign w:val="bottom"/>
            <w:gridSpan w:val="2"/>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Total Current Liabilities</w:t>
            </w:r>
          </w:p>
        </w:tc>
        <w:tc>
          <w:tcPr>
            <w:tcW w:w="480" w:type="dxa"/>
            <w:vAlign w:val="bottom"/>
            <w:shd w:val="clear" w:color="auto" w:fill="CFF0FC"/>
          </w:tcPr>
          <w:p>
            <w:pPr>
              <w:spacing w:after="0"/>
              <w:rPr>
                <w:sz w:val="17"/>
                <w:szCs w:val="17"/>
                <w:color w:val="auto"/>
              </w:rPr>
            </w:pPr>
          </w:p>
        </w:tc>
        <w:tc>
          <w:tcPr>
            <w:tcW w:w="1540" w:type="dxa"/>
            <w:vAlign w:val="bottom"/>
            <w:shd w:val="clear" w:color="auto" w:fill="CFF0FC"/>
          </w:tcPr>
          <w:p>
            <w:pPr>
              <w:jc w:val="right"/>
              <w:ind w:right="110"/>
              <w:spacing w:after="0" w:line="196" w:lineRule="exact"/>
              <w:rPr>
                <w:sz w:val="20"/>
                <w:szCs w:val="20"/>
                <w:color w:val="auto"/>
              </w:rPr>
            </w:pPr>
            <w:r>
              <w:rPr>
                <w:rFonts w:ascii="Arial" w:cs="Arial" w:eastAsia="Arial" w:hAnsi="Arial"/>
                <w:sz w:val="18"/>
                <w:szCs w:val="18"/>
                <w:b w:val="1"/>
                <w:bCs w:val="1"/>
                <w:color w:val="auto"/>
              </w:rPr>
              <w:t>246.2</w:t>
            </w:r>
          </w:p>
        </w:tc>
        <w:tc>
          <w:tcPr>
            <w:tcW w:w="280" w:type="dxa"/>
            <w:vAlign w:val="bottom"/>
            <w:shd w:val="clear" w:color="auto" w:fill="CFF0FC"/>
          </w:tcPr>
          <w:p>
            <w:pPr>
              <w:spacing w:after="0"/>
              <w:rPr>
                <w:sz w:val="17"/>
                <w:szCs w:val="17"/>
                <w:color w:val="auto"/>
              </w:rPr>
            </w:pPr>
          </w:p>
        </w:tc>
        <w:tc>
          <w:tcPr>
            <w:tcW w:w="148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250.8</w:t>
            </w:r>
          </w:p>
        </w:tc>
        <w:tc>
          <w:tcPr>
            <w:tcW w:w="0" w:type="dxa"/>
            <w:vAlign w:val="bottom"/>
          </w:tcPr>
          <w:p>
            <w:pPr>
              <w:spacing w:after="0"/>
              <w:rPr>
                <w:sz w:val="1"/>
                <w:szCs w:val="1"/>
                <w:color w:val="auto"/>
              </w:rPr>
            </w:pPr>
          </w:p>
        </w:tc>
      </w:tr>
      <w:tr>
        <w:trPr>
          <w:trHeight w:val="203"/>
        </w:trPr>
        <w:tc>
          <w:tcPr>
            <w:tcW w:w="1280" w:type="dxa"/>
            <w:vAlign w:val="bottom"/>
          </w:tcPr>
          <w:p>
            <w:pPr>
              <w:spacing w:after="0"/>
              <w:rPr>
                <w:sz w:val="17"/>
                <w:szCs w:val="17"/>
                <w:color w:val="auto"/>
              </w:rPr>
            </w:pPr>
          </w:p>
        </w:tc>
        <w:tc>
          <w:tcPr>
            <w:tcW w:w="61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460" w:type="dxa"/>
            <w:vAlign w:val="bottom"/>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Credit Agreement</w:t>
            </w:r>
          </w:p>
        </w:tc>
        <w:tc>
          <w:tcPr>
            <w:tcW w:w="480" w:type="dxa"/>
            <w:vAlign w:val="bottom"/>
            <w:shd w:val="clear" w:color="auto" w:fill="CFF0FC"/>
          </w:tcPr>
          <w:p>
            <w:pPr>
              <w:spacing w:after="0"/>
              <w:rPr>
                <w:sz w:val="17"/>
                <w:szCs w:val="17"/>
                <w:color w:val="auto"/>
              </w:rPr>
            </w:pPr>
          </w:p>
        </w:tc>
        <w:tc>
          <w:tcPr>
            <w:tcW w:w="1540" w:type="dxa"/>
            <w:vAlign w:val="bottom"/>
            <w:shd w:val="clear" w:color="auto" w:fill="CFF0FC"/>
          </w:tcPr>
          <w:p>
            <w:pPr>
              <w:jc w:val="right"/>
              <w:ind w:right="110"/>
              <w:spacing w:after="0" w:line="202" w:lineRule="exact"/>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FF0FC"/>
          </w:tcPr>
          <w:p>
            <w:pPr>
              <w:spacing w:after="0"/>
              <w:rPr>
                <w:sz w:val="17"/>
                <w:szCs w:val="17"/>
                <w:color w:val="auto"/>
              </w:rPr>
            </w:pPr>
          </w:p>
        </w:tc>
        <w:tc>
          <w:tcPr>
            <w:tcW w:w="148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7460" w:type="dxa"/>
            <w:vAlign w:val="bottom"/>
            <w:gridSpan w:val="2"/>
          </w:tcPr>
          <w:p>
            <w:pPr>
              <w:ind w:left="200"/>
              <w:spacing w:after="0" w:line="202" w:lineRule="exact"/>
              <w:rPr>
                <w:sz w:val="20"/>
                <w:szCs w:val="20"/>
                <w:color w:val="auto"/>
              </w:rPr>
            </w:pPr>
            <w:r>
              <w:rPr>
                <w:rFonts w:ascii="Arial" w:cs="Arial" w:eastAsia="Arial" w:hAnsi="Arial"/>
                <w:sz w:val="18"/>
                <w:szCs w:val="18"/>
                <w:color w:val="auto"/>
              </w:rPr>
              <w:t>Non-current operating lease liabilities</w:t>
            </w:r>
          </w:p>
        </w:tc>
        <w:tc>
          <w:tcPr>
            <w:tcW w:w="480" w:type="dxa"/>
            <w:vAlign w:val="bottom"/>
          </w:tcPr>
          <w:p>
            <w:pPr>
              <w:spacing w:after="0"/>
              <w:rPr>
                <w:sz w:val="17"/>
                <w:szCs w:val="17"/>
                <w:color w:val="auto"/>
              </w:rPr>
            </w:pPr>
          </w:p>
        </w:tc>
        <w:tc>
          <w:tcPr>
            <w:tcW w:w="1540" w:type="dxa"/>
            <w:vAlign w:val="bottom"/>
          </w:tcPr>
          <w:p>
            <w:pPr>
              <w:jc w:val="right"/>
              <w:ind w:right="110"/>
              <w:spacing w:after="0" w:line="202" w:lineRule="exact"/>
              <w:rPr>
                <w:sz w:val="20"/>
                <w:szCs w:val="20"/>
                <w:color w:val="auto"/>
              </w:rPr>
            </w:pPr>
            <w:r>
              <w:rPr>
                <w:rFonts w:ascii="Arial" w:cs="Arial" w:eastAsia="Arial" w:hAnsi="Arial"/>
                <w:sz w:val="18"/>
                <w:szCs w:val="18"/>
                <w:b w:val="1"/>
                <w:bCs w:val="1"/>
                <w:color w:val="auto"/>
              </w:rPr>
              <w:t>8.1</w:t>
            </w:r>
          </w:p>
        </w:tc>
        <w:tc>
          <w:tcPr>
            <w:tcW w:w="280" w:type="dxa"/>
            <w:vAlign w:val="bottom"/>
          </w:tcPr>
          <w:p>
            <w:pPr>
              <w:spacing w:after="0"/>
              <w:rPr>
                <w:sz w:val="17"/>
                <w:szCs w:val="17"/>
                <w:color w:val="auto"/>
              </w:rPr>
            </w:pPr>
          </w:p>
        </w:tc>
        <w:tc>
          <w:tcPr>
            <w:tcW w:w="1480" w:type="dxa"/>
            <w:vAlign w:val="bottom"/>
          </w:tcPr>
          <w:p>
            <w:pPr>
              <w:jc w:val="right"/>
              <w:ind w:right="10"/>
              <w:spacing w:after="0" w:line="202" w:lineRule="exact"/>
              <w:rPr>
                <w:sz w:val="20"/>
                <w:szCs w:val="20"/>
                <w:color w:val="auto"/>
              </w:rPr>
            </w:pPr>
            <w:r>
              <w:rPr>
                <w:rFonts w:ascii="Arial" w:cs="Arial" w:eastAsia="Arial" w:hAnsi="Arial"/>
                <w:sz w:val="18"/>
                <w:szCs w:val="18"/>
                <w:color w:val="auto"/>
              </w:rPr>
              <w:t>8.8</w:t>
            </w:r>
          </w:p>
        </w:tc>
        <w:tc>
          <w:tcPr>
            <w:tcW w:w="0" w:type="dxa"/>
            <w:vAlign w:val="bottom"/>
          </w:tcPr>
          <w:p>
            <w:pPr>
              <w:spacing w:after="0"/>
              <w:rPr>
                <w:sz w:val="1"/>
                <w:szCs w:val="1"/>
                <w:color w:val="auto"/>
              </w:rPr>
            </w:pPr>
          </w:p>
        </w:tc>
      </w:tr>
      <w:tr>
        <w:trPr>
          <w:trHeight w:val="203"/>
        </w:trPr>
        <w:tc>
          <w:tcPr>
            <w:tcW w:w="7460" w:type="dxa"/>
            <w:vAlign w:val="bottom"/>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Accrued pension and postretirement costs</w:t>
            </w:r>
          </w:p>
        </w:tc>
        <w:tc>
          <w:tcPr>
            <w:tcW w:w="480" w:type="dxa"/>
            <w:vAlign w:val="bottom"/>
            <w:shd w:val="clear" w:color="auto" w:fill="CFF0FC"/>
          </w:tcPr>
          <w:p>
            <w:pPr>
              <w:spacing w:after="0"/>
              <w:rPr>
                <w:sz w:val="17"/>
                <w:szCs w:val="17"/>
                <w:color w:val="auto"/>
              </w:rPr>
            </w:pPr>
          </w:p>
        </w:tc>
        <w:tc>
          <w:tcPr>
            <w:tcW w:w="1540" w:type="dxa"/>
            <w:vAlign w:val="bottom"/>
            <w:shd w:val="clear" w:color="auto" w:fill="CFF0FC"/>
          </w:tcPr>
          <w:p>
            <w:pPr>
              <w:jc w:val="right"/>
              <w:ind w:right="110"/>
              <w:spacing w:after="0" w:line="202" w:lineRule="exact"/>
              <w:rPr>
                <w:sz w:val="20"/>
                <w:szCs w:val="20"/>
                <w:color w:val="auto"/>
              </w:rPr>
            </w:pPr>
            <w:r>
              <w:rPr>
                <w:rFonts w:ascii="Arial" w:cs="Arial" w:eastAsia="Arial" w:hAnsi="Arial"/>
                <w:sz w:val="18"/>
                <w:szCs w:val="18"/>
                <w:b w:val="1"/>
                <w:bCs w:val="1"/>
                <w:color w:val="auto"/>
              </w:rPr>
              <w:t>217.3</w:t>
            </w:r>
          </w:p>
        </w:tc>
        <w:tc>
          <w:tcPr>
            <w:tcW w:w="280" w:type="dxa"/>
            <w:vAlign w:val="bottom"/>
            <w:shd w:val="clear" w:color="auto" w:fill="CFF0FC"/>
          </w:tcPr>
          <w:p>
            <w:pPr>
              <w:spacing w:after="0"/>
              <w:rPr>
                <w:sz w:val="17"/>
                <w:szCs w:val="17"/>
                <w:color w:val="auto"/>
              </w:rPr>
            </w:pPr>
          </w:p>
        </w:tc>
        <w:tc>
          <w:tcPr>
            <w:tcW w:w="148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223.0</w:t>
            </w:r>
          </w:p>
        </w:tc>
        <w:tc>
          <w:tcPr>
            <w:tcW w:w="0" w:type="dxa"/>
            <w:vAlign w:val="bottom"/>
          </w:tcPr>
          <w:p>
            <w:pPr>
              <w:spacing w:after="0"/>
              <w:rPr>
                <w:sz w:val="1"/>
                <w:szCs w:val="1"/>
                <w:color w:val="auto"/>
              </w:rPr>
            </w:pPr>
          </w:p>
        </w:tc>
      </w:tr>
      <w:tr>
        <w:trPr>
          <w:trHeight w:val="203"/>
        </w:trPr>
        <w:tc>
          <w:tcPr>
            <w:tcW w:w="7460" w:type="dxa"/>
            <w:vAlign w:val="bottom"/>
            <w:gridSpan w:val="2"/>
          </w:tcPr>
          <w:p>
            <w:pPr>
              <w:ind w:left="200"/>
              <w:spacing w:after="0" w:line="202" w:lineRule="exact"/>
              <w:rPr>
                <w:sz w:val="20"/>
                <w:szCs w:val="20"/>
                <w:color w:val="auto"/>
              </w:rPr>
            </w:pPr>
            <w:r>
              <w:rPr>
                <w:rFonts w:ascii="Arial" w:cs="Arial" w:eastAsia="Arial" w:hAnsi="Arial"/>
                <w:sz w:val="18"/>
                <w:szCs w:val="18"/>
                <w:color w:val="auto"/>
              </w:rPr>
              <w:t>Deferred income taxes</w:t>
            </w:r>
          </w:p>
        </w:tc>
        <w:tc>
          <w:tcPr>
            <w:tcW w:w="480" w:type="dxa"/>
            <w:vAlign w:val="bottom"/>
          </w:tcPr>
          <w:p>
            <w:pPr>
              <w:spacing w:after="0"/>
              <w:rPr>
                <w:sz w:val="17"/>
                <w:szCs w:val="17"/>
                <w:color w:val="auto"/>
              </w:rPr>
            </w:pPr>
          </w:p>
        </w:tc>
        <w:tc>
          <w:tcPr>
            <w:tcW w:w="1540" w:type="dxa"/>
            <w:vAlign w:val="bottom"/>
          </w:tcPr>
          <w:p>
            <w:pPr>
              <w:jc w:val="right"/>
              <w:ind w:right="110"/>
              <w:spacing w:after="0" w:line="202" w:lineRule="exact"/>
              <w:rPr>
                <w:sz w:val="20"/>
                <w:szCs w:val="20"/>
                <w:color w:val="auto"/>
              </w:rPr>
            </w:pPr>
            <w:r>
              <w:rPr>
                <w:rFonts w:ascii="Arial" w:cs="Arial" w:eastAsia="Arial" w:hAnsi="Arial"/>
                <w:sz w:val="18"/>
                <w:szCs w:val="18"/>
                <w:b w:val="1"/>
                <w:bCs w:val="1"/>
                <w:color w:val="auto"/>
              </w:rPr>
              <w:t>2.1</w:t>
            </w:r>
          </w:p>
        </w:tc>
        <w:tc>
          <w:tcPr>
            <w:tcW w:w="280" w:type="dxa"/>
            <w:vAlign w:val="bottom"/>
          </w:tcPr>
          <w:p>
            <w:pPr>
              <w:spacing w:after="0"/>
              <w:rPr>
                <w:sz w:val="17"/>
                <w:szCs w:val="17"/>
                <w:color w:val="auto"/>
              </w:rPr>
            </w:pPr>
          </w:p>
        </w:tc>
        <w:tc>
          <w:tcPr>
            <w:tcW w:w="1480" w:type="dxa"/>
            <w:vAlign w:val="bottom"/>
          </w:tcPr>
          <w:p>
            <w:pPr>
              <w:jc w:val="right"/>
              <w:ind w:right="10"/>
              <w:spacing w:after="0" w:line="202" w:lineRule="exact"/>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03"/>
        </w:trPr>
        <w:tc>
          <w:tcPr>
            <w:tcW w:w="7460" w:type="dxa"/>
            <w:vAlign w:val="bottom"/>
            <w:tcBorders>
              <w:bottom w:val="single" w:sz="8" w:color="auto"/>
            </w:tcBorders>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Other non-current liabilities</w:t>
            </w:r>
          </w:p>
        </w:tc>
        <w:tc>
          <w:tcPr>
            <w:tcW w:w="480" w:type="dxa"/>
            <w:vAlign w:val="bottom"/>
            <w:tcBorders>
              <w:bottom w:val="single" w:sz="8" w:color="auto"/>
            </w:tcBorders>
            <w:shd w:val="clear" w:color="auto" w:fill="CFF0FC"/>
          </w:tcPr>
          <w:p>
            <w:pPr>
              <w:spacing w:after="0"/>
              <w:rPr>
                <w:sz w:val="17"/>
                <w:szCs w:val="17"/>
                <w:color w:val="auto"/>
              </w:rPr>
            </w:pPr>
          </w:p>
        </w:tc>
        <w:tc>
          <w:tcPr>
            <w:tcW w:w="1540" w:type="dxa"/>
            <w:vAlign w:val="bottom"/>
            <w:tcBorders>
              <w:bottom w:val="single" w:sz="8" w:color="auto"/>
            </w:tcBorders>
            <w:shd w:val="clear" w:color="auto" w:fill="CFF0FC"/>
          </w:tcPr>
          <w:p>
            <w:pPr>
              <w:jc w:val="right"/>
              <w:ind w:right="110"/>
              <w:spacing w:after="0" w:line="202" w:lineRule="exact"/>
              <w:rPr>
                <w:sz w:val="20"/>
                <w:szCs w:val="20"/>
                <w:color w:val="auto"/>
              </w:rPr>
            </w:pPr>
            <w:r>
              <w:rPr>
                <w:rFonts w:ascii="Arial" w:cs="Arial" w:eastAsia="Arial" w:hAnsi="Arial"/>
                <w:sz w:val="18"/>
                <w:szCs w:val="18"/>
                <w:b w:val="1"/>
                <w:bCs w:val="1"/>
                <w:color w:val="auto"/>
              </w:rPr>
              <w:t>9.1</w:t>
            </w:r>
          </w:p>
        </w:tc>
        <w:tc>
          <w:tcPr>
            <w:tcW w:w="280" w:type="dxa"/>
            <w:vAlign w:val="bottom"/>
            <w:tcBorders>
              <w:bottom w:val="single" w:sz="8" w:color="auto"/>
            </w:tcBorders>
            <w:shd w:val="clear" w:color="auto" w:fill="CFF0FC"/>
          </w:tcPr>
          <w:p>
            <w:pPr>
              <w:spacing w:after="0"/>
              <w:rPr>
                <w:sz w:val="17"/>
                <w:szCs w:val="17"/>
                <w:color w:val="auto"/>
              </w:rPr>
            </w:pPr>
          </w:p>
        </w:tc>
        <w:tc>
          <w:tcPr>
            <w:tcW w:w="1480" w:type="dxa"/>
            <w:vAlign w:val="bottom"/>
            <w:tcBorders>
              <w:bottom w:val="single" w:sz="8" w:color="auto"/>
            </w:tcBorders>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196"/>
        </w:trPr>
        <w:tc>
          <w:tcPr>
            <w:tcW w:w="7460" w:type="dxa"/>
            <w:vAlign w:val="bottom"/>
            <w:gridSpan w:val="2"/>
          </w:tcPr>
          <w:p>
            <w:pPr>
              <w:ind w:left="20"/>
              <w:spacing w:after="0" w:line="196" w:lineRule="exact"/>
              <w:rPr>
                <w:sz w:val="20"/>
                <w:szCs w:val="20"/>
                <w:color w:val="auto"/>
              </w:rPr>
            </w:pPr>
            <w:r>
              <w:rPr>
                <w:rFonts w:ascii="Arial" w:cs="Arial" w:eastAsia="Arial" w:hAnsi="Arial"/>
                <w:sz w:val="18"/>
                <w:szCs w:val="18"/>
                <w:b w:val="1"/>
                <w:bCs w:val="1"/>
                <w:color w:val="auto"/>
              </w:rPr>
              <w:t>Total Liabilities</w:t>
            </w:r>
          </w:p>
        </w:tc>
        <w:tc>
          <w:tcPr>
            <w:tcW w:w="480" w:type="dxa"/>
            <w:vAlign w:val="bottom"/>
          </w:tcPr>
          <w:p>
            <w:pPr>
              <w:spacing w:after="0"/>
              <w:rPr>
                <w:sz w:val="17"/>
                <w:szCs w:val="17"/>
                <w:color w:val="auto"/>
              </w:rPr>
            </w:pPr>
          </w:p>
        </w:tc>
        <w:tc>
          <w:tcPr>
            <w:tcW w:w="1540" w:type="dxa"/>
            <w:vAlign w:val="bottom"/>
          </w:tcPr>
          <w:p>
            <w:pPr>
              <w:jc w:val="right"/>
              <w:ind w:right="110"/>
              <w:spacing w:after="0" w:line="196" w:lineRule="exact"/>
              <w:rPr>
                <w:sz w:val="20"/>
                <w:szCs w:val="20"/>
                <w:color w:val="auto"/>
              </w:rPr>
            </w:pPr>
            <w:r>
              <w:rPr>
                <w:rFonts w:ascii="Arial" w:cs="Arial" w:eastAsia="Arial" w:hAnsi="Arial"/>
                <w:sz w:val="18"/>
                <w:szCs w:val="18"/>
                <w:b w:val="1"/>
                <w:bCs w:val="1"/>
                <w:color w:val="auto"/>
              </w:rPr>
              <w:t>482.8</w:t>
            </w:r>
          </w:p>
        </w:tc>
        <w:tc>
          <w:tcPr>
            <w:tcW w:w="280" w:type="dxa"/>
            <w:vAlign w:val="bottom"/>
          </w:tcPr>
          <w:p>
            <w:pPr>
              <w:spacing w:after="0"/>
              <w:rPr>
                <w:sz w:val="17"/>
                <w:szCs w:val="17"/>
                <w:color w:val="auto"/>
              </w:rPr>
            </w:pPr>
          </w:p>
        </w:tc>
        <w:tc>
          <w:tcPr>
            <w:tcW w:w="1480" w:type="dxa"/>
            <w:vAlign w:val="bottom"/>
          </w:tcPr>
          <w:p>
            <w:pPr>
              <w:jc w:val="right"/>
              <w:ind w:right="10"/>
              <w:spacing w:after="0" w:line="196" w:lineRule="exact"/>
              <w:rPr>
                <w:sz w:val="20"/>
                <w:szCs w:val="20"/>
                <w:color w:val="auto"/>
              </w:rPr>
            </w:pPr>
            <w:r>
              <w:rPr>
                <w:rFonts w:ascii="Arial" w:cs="Arial" w:eastAsia="Arial" w:hAnsi="Arial"/>
                <w:sz w:val="18"/>
                <w:szCs w:val="18"/>
                <w:color w:val="auto"/>
              </w:rPr>
              <w:t>494.3</w:t>
            </w:r>
          </w:p>
        </w:tc>
        <w:tc>
          <w:tcPr>
            <w:tcW w:w="0" w:type="dxa"/>
            <w:vAlign w:val="bottom"/>
          </w:tcPr>
          <w:p>
            <w:pPr>
              <w:spacing w:after="0"/>
              <w:rPr>
                <w:sz w:val="1"/>
                <w:szCs w:val="1"/>
                <w:color w:val="auto"/>
              </w:rPr>
            </w:pPr>
          </w:p>
        </w:tc>
      </w:tr>
      <w:tr>
        <w:trPr>
          <w:trHeight w:val="203"/>
        </w:trPr>
        <w:tc>
          <w:tcPr>
            <w:tcW w:w="1280" w:type="dxa"/>
            <w:vAlign w:val="bottom"/>
            <w:shd w:val="clear" w:color="auto" w:fill="CFF0FC"/>
          </w:tcPr>
          <w:p>
            <w:pPr>
              <w:spacing w:after="0"/>
              <w:rPr>
                <w:sz w:val="17"/>
                <w:szCs w:val="17"/>
                <w:color w:val="auto"/>
              </w:rPr>
            </w:pPr>
          </w:p>
        </w:tc>
        <w:tc>
          <w:tcPr>
            <w:tcW w:w="6180" w:type="dxa"/>
            <w:vAlign w:val="bottom"/>
            <w:shd w:val="clear" w:color="auto" w:fill="CFF0FC"/>
          </w:tcPr>
          <w:p>
            <w:pPr>
              <w:spacing w:after="0"/>
              <w:rPr>
                <w:sz w:val="17"/>
                <w:szCs w:val="17"/>
                <w:color w:val="auto"/>
              </w:rPr>
            </w:pPr>
          </w:p>
        </w:tc>
        <w:tc>
          <w:tcPr>
            <w:tcW w:w="480" w:type="dxa"/>
            <w:vAlign w:val="bottom"/>
            <w:shd w:val="clear" w:color="auto" w:fill="CFF0FC"/>
          </w:tcPr>
          <w:p>
            <w:pPr>
              <w:spacing w:after="0"/>
              <w:rPr>
                <w:sz w:val="17"/>
                <w:szCs w:val="17"/>
                <w:color w:val="auto"/>
              </w:rPr>
            </w:pPr>
          </w:p>
        </w:tc>
        <w:tc>
          <w:tcPr>
            <w:tcW w:w="154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148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460" w:type="dxa"/>
            <w:vAlign w:val="bottom"/>
            <w:gridSpan w:val="2"/>
          </w:tcPr>
          <w:p>
            <w:pPr>
              <w:ind w:left="20"/>
              <w:spacing w:after="0" w:line="202" w:lineRule="exact"/>
              <w:rPr>
                <w:sz w:val="20"/>
                <w:szCs w:val="20"/>
                <w:color w:val="auto"/>
              </w:rPr>
            </w:pPr>
            <w:r>
              <w:rPr>
                <w:rFonts w:ascii="Arial" w:cs="Arial" w:eastAsia="Arial" w:hAnsi="Arial"/>
                <w:sz w:val="18"/>
                <w:szCs w:val="18"/>
                <w:b w:val="1"/>
                <w:bCs w:val="1"/>
                <w:color w:val="auto"/>
              </w:rPr>
              <w:t>Shareholders’ Equity</w:t>
            </w:r>
          </w:p>
        </w:tc>
        <w:tc>
          <w:tcPr>
            <w:tcW w:w="48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460" w:type="dxa"/>
            <w:vAlign w:val="bottom"/>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Preferred shares, without par value; authorized 10.0 million shares, none issued</w:t>
            </w:r>
          </w:p>
        </w:tc>
        <w:tc>
          <w:tcPr>
            <w:tcW w:w="480" w:type="dxa"/>
            <w:vAlign w:val="bottom"/>
            <w:shd w:val="clear" w:color="auto" w:fill="CFF0FC"/>
          </w:tcPr>
          <w:p>
            <w:pPr>
              <w:spacing w:after="0"/>
              <w:rPr>
                <w:sz w:val="17"/>
                <w:szCs w:val="17"/>
                <w:color w:val="auto"/>
              </w:rPr>
            </w:pPr>
          </w:p>
        </w:tc>
        <w:tc>
          <w:tcPr>
            <w:tcW w:w="1540" w:type="dxa"/>
            <w:vAlign w:val="bottom"/>
            <w:shd w:val="clear" w:color="auto" w:fill="CFF0FC"/>
          </w:tcPr>
          <w:p>
            <w:pPr>
              <w:jc w:val="right"/>
              <w:ind w:right="110"/>
              <w:spacing w:after="0" w:line="202" w:lineRule="exact"/>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FF0FC"/>
          </w:tcPr>
          <w:p>
            <w:pPr>
              <w:spacing w:after="0"/>
              <w:rPr>
                <w:sz w:val="17"/>
                <w:szCs w:val="17"/>
                <w:color w:val="auto"/>
              </w:rPr>
            </w:pPr>
          </w:p>
        </w:tc>
        <w:tc>
          <w:tcPr>
            <w:tcW w:w="148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62"/>
        </w:trPr>
        <w:tc>
          <w:tcPr>
            <w:tcW w:w="7460" w:type="dxa"/>
            <w:vAlign w:val="bottom"/>
            <w:gridSpan w:val="2"/>
          </w:tcPr>
          <w:p>
            <w:pPr>
              <w:ind w:left="200"/>
              <w:spacing w:after="0" w:line="162" w:lineRule="exact"/>
              <w:rPr>
                <w:sz w:val="20"/>
                <w:szCs w:val="20"/>
                <w:color w:val="auto"/>
              </w:rPr>
            </w:pPr>
            <w:r>
              <w:rPr>
                <w:rFonts w:ascii="Arial" w:cs="Arial" w:eastAsia="Arial" w:hAnsi="Arial"/>
                <w:sz w:val="18"/>
                <w:szCs w:val="18"/>
                <w:color w:val="auto"/>
              </w:rPr>
              <w:t>Common shares, without par value; authorized 200.0 million shares;</w:t>
            </w:r>
          </w:p>
        </w:tc>
        <w:tc>
          <w:tcPr>
            <w:tcW w:w="480" w:type="dxa"/>
            <w:vAlign w:val="bottom"/>
          </w:tcPr>
          <w:p>
            <w:pPr>
              <w:spacing w:after="0"/>
              <w:rPr>
                <w:sz w:val="14"/>
                <w:szCs w:val="14"/>
                <w:color w:val="auto"/>
              </w:rPr>
            </w:pPr>
          </w:p>
        </w:tc>
        <w:tc>
          <w:tcPr>
            <w:tcW w:w="1540" w:type="dxa"/>
            <w:vAlign w:val="bottom"/>
            <w:vMerge w:val="restart"/>
          </w:tcPr>
          <w:p>
            <w:pPr>
              <w:jc w:val="right"/>
              <w:ind w:right="110"/>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4"/>
                <w:szCs w:val="14"/>
                <w:color w:val="auto"/>
              </w:rPr>
            </w:pPr>
          </w:p>
        </w:tc>
        <w:tc>
          <w:tcPr>
            <w:tcW w:w="1480" w:type="dxa"/>
            <w:vAlign w:val="bottom"/>
            <w:vMerge w:val="restart"/>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460" w:type="dxa"/>
            <w:vAlign w:val="bottom"/>
            <w:gridSpan w:val="2"/>
          </w:tcPr>
          <w:p>
            <w:pPr>
              <w:ind w:left="340"/>
              <w:spacing w:after="0"/>
              <w:rPr>
                <w:sz w:val="20"/>
                <w:szCs w:val="20"/>
                <w:color w:val="auto"/>
              </w:rPr>
            </w:pPr>
            <w:r>
              <w:rPr>
                <w:rFonts w:ascii="Arial" w:cs="Arial" w:eastAsia="Arial" w:hAnsi="Arial"/>
                <w:sz w:val="18"/>
                <w:szCs w:val="18"/>
                <w:color w:val="auto"/>
              </w:rPr>
              <w:t>issued 2022 - 46.9 million shares and 2021 - 46.3 million shares</w:t>
            </w:r>
          </w:p>
        </w:tc>
        <w:tc>
          <w:tcPr>
            <w:tcW w:w="480" w:type="dxa"/>
            <w:vAlign w:val="bottom"/>
          </w:tcPr>
          <w:p>
            <w:pPr>
              <w:spacing w:after="0"/>
              <w:rPr>
                <w:sz w:val="18"/>
                <w:szCs w:val="18"/>
                <w:color w:val="auto"/>
              </w:rPr>
            </w:pPr>
          </w:p>
        </w:tc>
        <w:tc>
          <w:tcPr>
            <w:tcW w:w="154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14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7460" w:type="dxa"/>
            <w:vAlign w:val="bottom"/>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Additional paid-in capital</w:t>
            </w:r>
          </w:p>
        </w:tc>
        <w:tc>
          <w:tcPr>
            <w:tcW w:w="480" w:type="dxa"/>
            <w:vAlign w:val="bottom"/>
            <w:shd w:val="clear" w:color="auto" w:fill="CFF0FC"/>
          </w:tcPr>
          <w:p>
            <w:pPr>
              <w:spacing w:after="0"/>
              <w:rPr>
                <w:sz w:val="17"/>
                <w:szCs w:val="17"/>
                <w:color w:val="auto"/>
              </w:rPr>
            </w:pPr>
          </w:p>
        </w:tc>
        <w:tc>
          <w:tcPr>
            <w:tcW w:w="1540" w:type="dxa"/>
            <w:vAlign w:val="bottom"/>
            <w:shd w:val="clear" w:color="auto" w:fill="CFF0FC"/>
          </w:tcPr>
          <w:p>
            <w:pPr>
              <w:jc w:val="right"/>
              <w:ind w:right="110"/>
              <w:spacing w:after="0" w:line="202" w:lineRule="exact"/>
              <w:rPr>
                <w:sz w:val="20"/>
                <w:szCs w:val="20"/>
                <w:color w:val="auto"/>
              </w:rPr>
            </w:pPr>
            <w:r>
              <w:rPr>
                <w:rFonts w:ascii="Arial" w:cs="Arial" w:eastAsia="Arial" w:hAnsi="Arial"/>
                <w:sz w:val="18"/>
                <w:szCs w:val="18"/>
                <w:b w:val="1"/>
                <w:bCs w:val="1"/>
                <w:color w:val="auto"/>
              </w:rPr>
              <w:t>840.3</w:t>
            </w:r>
          </w:p>
        </w:tc>
        <w:tc>
          <w:tcPr>
            <w:tcW w:w="280" w:type="dxa"/>
            <w:vAlign w:val="bottom"/>
            <w:shd w:val="clear" w:color="auto" w:fill="CFF0FC"/>
          </w:tcPr>
          <w:p>
            <w:pPr>
              <w:spacing w:after="0"/>
              <w:rPr>
                <w:sz w:val="17"/>
                <w:szCs w:val="17"/>
                <w:color w:val="auto"/>
              </w:rPr>
            </w:pPr>
          </w:p>
        </w:tc>
        <w:tc>
          <w:tcPr>
            <w:tcW w:w="148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832.1</w:t>
            </w:r>
          </w:p>
        </w:tc>
        <w:tc>
          <w:tcPr>
            <w:tcW w:w="0" w:type="dxa"/>
            <w:vAlign w:val="bottom"/>
          </w:tcPr>
          <w:p>
            <w:pPr>
              <w:spacing w:after="0"/>
              <w:rPr>
                <w:sz w:val="1"/>
                <w:szCs w:val="1"/>
                <w:color w:val="auto"/>
              </w:rPr>
            </w:pPr>
          </w:p>
        </w:tc>
      </w:tr>
      <w:tr>
        <w:trPr>
          <w:trHeight w:val="203"/>
        </w:trPr>
        <w:tc>
          <w:tcPr>
            <w:tcW w:w="7460" w:type="dxa"/>
            <w:vAlign w:val="bottom"/>
            <w:gridSpan w:val="2"/>
          </w:tcPr>
          <w:p>
            <w:pPr>
              <w:ind w:left="200"/>
              <w:spacing w:after="0" w:line="202" w:lineRule="exact"/>
              <w:rPr>
                <w:sz w:val="20"/>
                <w:szCs w:val="20"/>
                <w:color w:val="auto"/>
              </w:rPr>
            </w:pPr>
            <w:r>
              <w:rPr>
                <w:rFonts w:ascii="Arial" w:cs="Arial" w:eastAsia="Arial" w:hAnsi="Arial"/>
                <w:sz w:val="18"/>
                <w:szCs w:val="18"/>
                <w:color w:val="auto"/>
              </w:rPr>
              <w:t>Retained deficit</w:t>
            </w:r>
          </w:p>
        </w:tc>
        <w:tc>
          <w:tcPr>
            <w:tcW w:w="480" w:type="dxa"/>
            <w:vAlign w:val="bottom"/>
          </w:tcPr>
          <w:p>
            <w:pPr>
              <w:spacing w:after="0"/>
              <w:rPr>
                <w:sz w:val="17"/>
                <w:szCs w:val="17"/>
                <w:color w:val="auto"/>
              </w:rPr>
            </w:pPr>
          </w:p>
        </w:tc>
        <w:tc>
          <w:tcPr>
            <w:tcW w:w="1540" w:type="dxa"/>
            <w:vAlign w:val="bottom"/>
          </w:tcPr>
          <w:p>
            <w:pPr>
              <w:jc w:val="right"/>
              <w:ind w:right="30"/>
              <w:spacing w:after="0" w:line="202" w:lineRule="exact"/>
              <w:rPr>
                <w:sz w:val="20"/>
                <w:szCs w:val="20"/>
                <w:color w:val="auto"/>
              </w:rPr>
            </w:pPr>
            <w:r>
              <w:rPr>
                <w:rFonts w:ascii="Arial" w:cs="Arial" w:eastAsia="Arial" w:hAnsi="Arial"/>
                <w:sz w:val="18"/>
                <w:szCs w:val="18"/>
                <w:b w:val="1"/>
                <w:bCs w:val="1"/>
                <w:color w:val="auto"/>
              </w:rPr>
              <w:t>(151.1 )</w:t>
            </w:r>
          </w:p>
        </w:tc>
        <w:tc>
          <w:tcPr>
            <w:tcW w:w="280" w:type="dxa"/>
            <w:vAlign w:val="bottom"/>
          </w:tcPr>
          <w:p>
            <w:pPr>
              <w:spacing w:after="0"/>
              <w:rPr>
                <w:sz w:val="17"/>
                <w:szCs w:val="17"/>
                <w:color w:val="auto"/>
              </w:rPr>
            </w:pPr>
          </w:p>
        </w:tc>
        <w:tc>
          <w:tcPr>
            <w:tcW w:w="1480" w:type="dxa"/>
            <w:vAlign w:val="bottom"/>
          </w:tcPr>
          <w:p>
            <w:pPr>
              <w:jc w:val="right"/>
              <w:spacing w:after="0" w:line="202" w:lineRule="exact"/>
              <w:rPr>
                <w:sz w:val="20"/>
                <w:szCs w:val="20"/>
                <w:color w:val="auto"/>
              </w:rPr>
            </w:pPr>
            <w:r>
              <w:rPr>
                <w:rFonts w:ascii="Arial" w:cs="Arial" w:eastAsia="Arial" w:hAnsi="Arial"/>
                <w:sz w:val="18"/>
                <w:szCs w:val="18"/>
                <w:color w:val="auto"/>
              </w:rPr>
              <w:t>(188.2 )</w:t>
            </w:r>
          </w:p>
        </w:tc>
        <w:tc>
          <w:tcPr>
            <w:tcW w:w="0" w:type="dxa"/>
            <w:vAlign w:val="bottom"/>
          </w:tcPr>
          <w:p>
            <w:pPr>
              <w:spacing w:after="0"/>
              <w:rPr>
                <w:sz w:val="1"/>
                <w:szCs w:val="1"/>
                <w:color w:val="auto"/>
              </w:rPr>
            </w:pPr>
          </w:p>
        </w:tc>
      </w:tr>
      <w:tr>
        <w:trPr>
          <w:trHeight w:val="203"/>
        </w:trPr>
        <w:tc>
          <w:tcPr>
            <w:tcW w:w="7460" w:type="dxa"/>
            <w:vAlign w:val="bottom"/>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Treasury shares - 2022 - 0.2 million; 2021 - None</w:t>
            </w:r>
          </w:p>
        </w:tc>
        <w:tc>
          <w:tcPr>
            <w:tcW w:w="480" w:type="dxa"/>
            <w:vAlign w:val="bottom"/>
            <w:shd w:val="clear" w:color="auto" w:fill="CFF0FC"/>
          </w:tcPr>
          <w:p>
            <w:pPr>
              <w:spacing w:after="0"/>
              <w:rPr>
                <w:sz w:val="17"/>
                <w:szCs w:val="17"/>
                <w:color w:val="auto"/>
              </w:rPr>
            </w:pPr>
          </w:p>
        </w:tc>
        <w:tc>
          <w:tcPr>
            <w:tcW w:w="1540" w:type="dxa"/>
            <w:vAlign w:val="bottom"/>
            <w:shd w:val="clear" w:color="auto" w:fill="CFF0FC"/>
          </w:tcPr>
          <w:p>
            <w:pPr>
              <w:jc w:val="right"/>
              <w:ind w:right="30"/>
              <w:spacing w:after="0" w:line="202" w:lineRule="exact"/>
              <w:rPr>
                <w:sz w:val="20"/>
                <w:szCs w:val="20"/>
                <w:color w:val="auto"/>
              </w:rPr>
            </w:pPr>
            <w:r>
              <w:rPr>
                <w:rFonts w:ascii="Arial" w:cs="Arial" w:eastAsia="Arial" w:hAnsi="Arial"/>
                <w:sz w:val="18"/>
                <w:szCs w:val="18"/>
                <w:b w:val="1"/>
                <w:bCs w:val="1"/>
                <w:color w:val="auto"/>
              </w:rPr>
              <w:t>(4.8 )</w:t>
            </w:r>
          </w:p>
        </w:tc>
        <w:tc>
          <w:tcPr>
            <w:tcW w:w="280" w:type="dxa"/>
            <w:vAlign w:val="bottom"/>
            <w:shd w:val="clear" w:color="auto" w:fill="CFF0FC"/>
          </w:tcPr>
          <w:p>
            <w:pPr>
              <w:spacing w:after="0"/>
              <w:rPr>
                <w:sz w:val="17"/>
                <w:szCs w:val="17"/>
                <w:color w:val="auto"/>
              </w:rPr>
            </w:pPr>
          </w:p>
        </w:tc>
        <w:tc>
          <w:tcPr>
            <w:tcW w:w="148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7460" w:type="dxa"/>
            <w:vAlign w:val="bottom"/>
            <w:tcBorders>
              <w:bottom w:val="single" w:sz="8" w:color="auto"/>
            </w:tcBorders>
            <w:gridSpan w:val="2"/>
          </w:tcPr>
          <w:p>
            <w:pPr>
              <w:ind w:left="200"/>
              <w:spacing w:after="0" w:line="202" w:lineRule="exact"/>
              <w:rPr>
                <w:sz w:val="20"/>
                <w:szCs w:val="20"/>
                <w:color w:val="auto"/>
              </w:rPr>
            </w:pPr>
            <w:r>
              <w:rPr>
                <w:rFonts w:ascii="Arial" w:cs="Arial" w:eastAsia="Arial" w:hAnsi="Arial"/>
                <w:sz w:val="18"/>
                <w:szCs w:val="18"/>
                <w:color w:val="auto"/>
              </w:rPr>
              <w:t>Accumulated other comprehensive income (loss)</w:t>
            </w:r>
          </w:p>
        </w:tc>
        <w:tc>
          <w:tcPr>
            <w:tcW w:w="480" w:type="dxa"/>
            <w:vAlign w:val="bottom"/>
            <w:tcBorders>
              <w:bottom w:val="single" w:sz="8" w:color="auto"/>
            </w:tcBorders>
          </w:tcPr>
          <w:p>
            <w:pPr>
              <w:spacing w:after="0"/>
              <w:rPr>
                <w:sz w:val="17"/>
                <w:szCs w:val="17"/>
                <w:color w:val="auto"/>
              </w:rPr>
            </w:pPr>
          </w:p>
        </w:tc>
        <w:tc>
          <w:tcPr>
            <w:tcW w:w="1540" w:type="dxa"/>
            <w:vAlign w:val="bottom"/>
            <w:tcBorders>
              <w:bottom w:val="single" w:sz="8" w:color="auto"/>
            </w:tcBorders>
          </w:tcPr>
          <w:p>
            <w:pPr>
              <w:jc w:val="right"/>
              <w:ind w:right="110"/>
              <w:spacing w:after="0" w:line="202" w:lineRule="exact"/>
              <w:rPr>
                <w:sz w:val="20"/>
                <w:szCs w:val="20"/>
                <w:color w:val="auto"/>
              </w:rPr>
            </w:pPr>
            <w:r>
              <w:rPr>
                <w:rFonts w:ascii="Arial" w:cs="Arial" w:eastAsia="Arial" w:hAnsi="Arial"/>
                <w:sz w:val="18"/>
                <w:szCs w:val="18"/>
                <w:b w:val="1"/>
                <w:bCs w:val="1"/>
                <w:color w:val="auto"/>
              </w:rPr>
              <w:t>18.8</w:t>
            </w:r>
          </w:p>
        </w:tc>
        <w:tc>
          <w:tcPr>
            <w:tcW w:w="28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color w:val="auto"/>
              </w:rPr>
              <w:t>20.7</w:t>
            </w:r>
          </w:p>
        </w:tc>
        <w:tc>
          <w:tcPr>
            <w:tcW w:w="0" w:type="dxa"/>
            <w:vAlign w:val="bottom"/>
          </w:tcPr>
          <w:p>
            <w:pPr>
              <w:spacing w:after="0"/>
              <w:rPr>
                <w:sz w:val="1"/>
                <w:szCs w:val="1"/>
                <w:color w:val="auto"/>
              </w:rPr>
            </w:pPr>
          </w:p>
        </w:tc>
      </w:tr>
      <w:tr>
        <w:trPr>
          <w:trHeight w:val="196"/>
        </w:trPr>
        <w:tc>
          <w:tcPr>
            <w:tcW w:w="7460" w:type="dxa"/>
            <w:vAlign w:val="bottom"/>
            <w:tcBorders>
              <w:bottom w:val="single" w:sz="8" w:color="auto"/>
            </w:tcBorders>
            <w:gridSpan w:val="2"/>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Total Shareholders’ Equity</w:t>
            </w:r>
          </w:p>
        </w:tc>
        <w:tc>
          <w:tcPr>
            <w:tcW w:w="480" w:type="dxa"/>
            <w:vAlign w:val="bottom"/>
            <w:tcBorders>
              <w:bottom w:val="single" w:sz="8" w:color="auto"/>
            </w:tcBorders>
            <w:shd w:val="clear" w:color="auto" w:fill="CFF0FC"/>
          </w:tcPr>
          <w:p>
            <w:pPr>
              <w:spacing w:after="0"/>
              <w:rPr>
                <w:sz w:val="17"/>
                <w:szCs w:val="17"/>
                <w:color w:val="auto"/>
              </w:rPr>
            </w:pPr>
          </w:p>
        </w:tc>
        <w:tc>
          <w:tcPr>
            <w:tcW w:w="1540" w:type="dxa"/>
            <w:vAlign w:val="bottom"/>
            <w:tcBorders>
              <w:bottom w:val="single" w:sz="8" w:color="auto"/>
            </w:tcBorders>
            <w:shd w:val="clear" w:color="auto" w:fill="CFF0FC"/>
          </w:tcPr>
          <w:p>
            <w:pPr>
              <w:jc w:val="right"/>
              <w:ind w:right="110"/>
              <w:spacing w:after="0" w:line="196" w:lineRule="exact"/>
              <w:rPr>
                <w:sz w:val="20"/>
                <w:szCs w:val="20"/>
                <w:color w:val="auto"/>
              </w:rPr>
            </w:pPr>
            <w:r>
              <w:rPr>
                <w:rFonts w:ascii="Arial" w:cs="Arial" w:eastAsia="Arial" w:hAnsi="Arial"/>
                <w:sz w:val="18"/>
                <w:szCs w:val="18"/>
                <w:b w:val="1"/>
                <w:bCs w:val="1"/>
                <w:color w:val="auto"/>
              </w:rPr>
              <w:t>703.2</w:t>
            </w:r>
          </w:p>
        </w:tc>
        <w:tc>
          <w:tcPr>
            <w:tcW w:w="280" w:type="dxa"/>
            <w:vAlign w:val="bottom"/>
            <w:tcBorders>
              <w:bottom w:val="single" w:sz="8" w:color="auto"/>
            </w:tcBorders>
            <w:shd w:val="clear" w:color="auto" w:fill="CFF0FC"/>
          </w:tcPr>
          <w:p>
            <w:pPr>
              <w:spacing w:after="0"/>
              <w:rPr>
                <w:sz w:val="17"/>
                <w:szCs w:val="17"/>
                <w:color w:val="auto"/>
              </w:rPr>
            </w:pPr>
          </w:p>
        </w:tc>
        <w:tc>
          <w:tcPr>
            <w:tcW w:w="1480" w:type="dxa"/>
            <w:vAlign w:val="bottom"/>
            <w:tcBorders>
              <w:bottom w:val="single" w:sz="8" w:color="auto"/>
            </w:tcBorders>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664.6</w:t>
            </w:r>
          </w:p>
        </w:tc>
        <w:tc>
          <w:tcPr>
            <w:tcW w:w="0" w:type="dxa"/>
            <w:vAlign w:val="bottom"/>
          </w:tcPr>
          <w:p>
            <w:pPr>
              <w:spacing w:after="0"/>
              <w:rPr>
                <w:sz w:val="1"/>
                <w:szCs w:val="1"/>
                <w:color w:val="auto"/>
              </w:rPr>
            </w:pPr>
          </w:p>
        </w:tc>
      </w:tr>
      <w:tr>
        <w:trPr>
          <w:trHeight w:val="196"/>
        </w:trPr>
        <w:tc>
          <w:tcPr>
            <w:tcW w:w="7460" w:type="dxa"/>
            <w:vAlign w:val="bottom"/>
            <w:tcBorders>
              <w:bottom w:val="single" w:sz="8" w:color="auto"/>
            </w:tcBorders>
            <w:gridSpan w:val="2"/>
          </w:tcPr>
          <w:p>
            <w:pPr>
              <w:ind w:left="20"/>
              <w:spacing w:after="0" w:line="196" w:lineRule="exact"/>
              <w:rPr>
                <w:sz w:val="20"/>
                <w:szCs w:val="20"/>
                <w:color w:val="auto"/>
              </w:rPr>
            </w:pPr>
            <w:r>
              <w:rPr>
                <w:rFonts w:ascii="Arial" w:cs="Arial" w:eastAsia="Arial" w:hAnsi="Arial"/>
                <w:sz w:val="18"/>
                <w:szCs w:val="18"/>
                <w:b w:val="1"/>
                <w:bCs w:val="1"/>
                <w:color w:val="auto"/>
              </w:rPr>
              <w:t>Total Liabilities and Shareholders’ Equity</w:t>
            </w:r>
          </w:p>
        </w:tc>
        <w:tc>
          <w:tcPr>
            <w:tcW w:w="480" w:type="dxa"/>
            <w:vAlign w:val="bottom"/>
            <w:tcBorders>
              <w:bottom w:val="single" w:sz="8" w:color="auto"/>
            </w:tcBorders>
          </w:tcPr>
          <w:p>
            <w:pPr>
              <w:jc w:val="right"/>
              <w:ind w:right="50"/>
              <w:spacing w:after="0" w:line="196" w:lineRule="exact"/>
              <w:rPr>
                <w:sz w:val="20"/>
                <w:szCs w:val="20"/>
                <w:color w:val="auto"/>
              </w:rPr>
            </w:pPr>
            <w:r>
              <w:rPr>
                <w:rFonts w:ascii="Arial" w:cs="Arial" w:eastAsia="Arial" w:hAnsi="Arial"/>
                <w:sz w:val="18"/>
                <w:szCs w:val="18"/>
                <w:b w:val="1"/>
                <w:bCs w:val="1"/>
                <w:color w:val="auto"/>
              </w:rPr>
              <w:t>$</w:t>
            </w:r>
          </w:p>
        </w:tc>
        <w:tc>
          <w:tcPr>
            <w:tcW w:w="1540" w:type="dxa"/>
            <w:vAlign w:val="bottom"/>
            <w:tcBorders>
              <w:bottom w:val="single" w:sz="8" w:color="auto"/>
            </w:tcBorders>
          </w:tcPr>
          <w:p>
            <w:pPr>
              <w:jc w:val="right"/>
              <w:ind w:right="110"/>
              <w:spacing w:after="0" w:line="196" w:lineRule="exact"/>
              <w:rPr>
                <w:sz w:val="20"/>
                <w:szCs w:val="20"/>
                <w:color w:val="auto"/>
              </w:rPr>
            </w:pPr>
            <w:r>
              <w:rPr>
                <w:rFonts w:ascii="Arial" w:cs="Arial" w:eastAsia="Arial" w:hAnsi="Arial"/>
                <w:sz w:val="18"/>
                <w:szCs w:val="18"/>
                <w:b w:val="1"/>
                <w:bCs w:val="1"/>
                <w:color w:val="auto"/>
              </w:rPr>
              <w:t>1,186.0</w:t>
            </w:r>
          </w:p>
        </w:tc>
        <w:tc>
          <w:tcPr>
            <w:tcW w:w="2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w:t>
            </w:r>
          </w:p>
        </w:tc>
        <w:tc>
          <w:tcPr>
            <w:tcW w:w="148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rPr>
              <w:t>1,158.9</w:t>
            </w:r>
          </w:p>
        </w:tc>
        <w:tc>
          <w:tcPr>
            <w:tcW w:w="0" w:type="dxa"/>
            <w:vAlign w:val="bottom"/>
          </w:tcPr>
          <w:p>
            <w:pPr>
              <w:spacing w:after="0"/>
              <w:rPr>
                <w:sz w:val="1"/>
                <w:szCs w:val="1"/>
                <w:color w:val="auto"/>
              </w:rPr>
            </w:pPr>
          </w:p>
        </w:tc>
      </w:tr>
      <w:tr>
        <w:trPr>
          <w:trHeight w:val="141"/>
        </w:trPr>
        <w:tc>
          <w:tcPr>
            <w:tcW w:w="7460" w:type="dxa"/>
            <w:vAlign w:val="bottom"/>
            <w:gridSpan w:val="2"/>
          </w:tcPr>
          <w:p>
            <w:pPr>
              <w:spacing w:after="0" w:line="141" w:lineRule="exact"/>
              <w:rPr>
                <w:sz w:val="20"/>
                <w:szCs w:val="20"/>
                <w:color w:val="auto"/>
              </w:rPr>
            </w:pPr>
            <w:r>
              <w:rPr>
                <w:rFonts w:ascii="Arial" w:cs="Arial" w:eastAsia="Arial" w:hAnsi="Arial"/>
                <w:sz w:val="14"/>
                <w:szCs w:val="14"/>
                <w:color w:val="auto"/>
              </w:rPr>
              <w:t>See accompanying Notes to the unaudited Consolidated Financial Statements.</w:t>
            </w:r>
          </w:p>
        </w:tc>
        <w:tc>
          <w:tcPr>
            <w:tcW w:w="48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30"/>
        </w:trPr>
        <w:tc>
          <w:tcPr>
            <w:tcW w:w="7460" w:type="dxa"/>
            <w:vAlign w:val="bottom"/>
            <w:gridSpan w:val="2"/>
          </w:tcPr>
          <w:p>
            <w:pPr>
              <w:jc w:val="center"/>
              <w:ind w:left="3690"/>
              <w:spacing w:after="0"/>
              <w:rPr>
                <w:sz w:val="20"/>
                <w:szCs w:val="20"/>
                <w:color w:val="auto"/>
              </w:rPr>
            </w:pPr>
            <w:r>
              <w:rPr>
                <w:rFonts w:ascii="Arial" w:cs="Arial" w:eastAsia="Arial" w:hAnsi="Arial"/>
                <w:sz w:val="18"/>
                <w:szCs w:val="18"/>
                <w:color w:val="auto"/>
                <w:w w:val="79"/>
              </w:rPr>
              <w:t>5</w:t>
            </w:r>
          </w:p>
        </w:tc>
        <w:tc>
          <w:tcPr>
            <w:tcW w:w="48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33"/>
        </w:trPr>
        <w:tc>
          <w:tcPr>
            <w:tcW w:w="1280" w:type="dxa"/>
            <w:vAlign w:val="bottom"/>
            <w:tcBorders>
              <w:bottom w:val="single" w:sz="8" w:color="9A9A9A"/>
            </w:tcBorders>
          </w:tcPr>
          <w:p>
            <w:pPr>
              <w:spacing w:after="0"/>
              <w:rPr>
                <w:sz w:val="24"/>
                <w:szCs w:val="24"/>
                <w:color w:val="auto"/>
              </w:rPr>
            </w:pPr>
          </w:p>
        </w:tc>
        <w:tc>
          <w:tcPr>
            <w:tcW w:w="6180" w:type="dxa"/>
            <w:vAlign w:val="bottom"/>
            <w:tcBorders>
              <w:bottom w:val="single" w:sz="8" w:color="9A9A9A"/>
            </w:tcBorders>
          </w:tcPr>
          <w:p>
            <w:pPr>
              <w:spacing w:after="0"/>
              <w:rPr>
                <w:sz w:val="24"/>
                <w:szCs w:val="24"/>
                <w:color w:val="auto"/>
              </w:rPr>
            </w:pPr>
          </w:p>
        </w:tc>
        <w:tc>
          <w:tcPr>
            <w:tcW w:w="480" w:type="dxa"/>
            <w:vAlign w:val="bottom"/>
            <w:tcBorders>
              <w:bottom w:val="single" w:sz="8" w:color="9A9A9A"/>
            </w:tcBorders>
          </w:tcPr>
          <w:p>
            <w:pPr>
              <w:spacing w:after="0"/>
              <w:rPr>
                <w:sz w:val="24"/>
                <w:szCs w:val="24"/>
                <w:color w:val="auto"/>
              </w:rPr>
            </w:pPr>
          </w:p>
        </w:tc>
        <w:tc>
          <w:tcPr>
            <w:tcW w:w="154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148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07"/>
        </w:trPr>
        <w:tc>
          <w:tcPr>
            <w:tcW w:w="3080" w:type="dxa"/>
            <w:vAlign w:val="bottom"/>
            <w:gridSpan w:val="2"/>
          </w:tcPr>
          <w:p>
            <w:pPr>
              <w:spacing w:after="0"/>
              <w:rPr>
                <w:rFonts w:ascii="Arial" w:cs="Arial" w:eastAsia="Arial" w:hAnsi="Arial"/>
                <w:sz w:val="18"/>
                <w:szCs w:val="18"/>
                <w:color w:val="0563C1"/>
              </w:rPr>
            </w:pPr>
            <w:hyperlink w:anchor="page2">
              <w:r>
                <w:rPr>
                  <w:rFonts w:ascii="Arial" w:cs="Arial" w:eastAsia="Arial" w:hAnsi="Arial"/>
                  <w:sz w:val="18"/>
                  <w:szCs w:val="18"/>
                  <w:color w:val="0563C1"/>
                </w:rPr>
                <w:t>Table of Contents</w:t>
              </w:r>
            </w:hyperlink>
          </w:p>
        </w:tc>
        <w:tc>
          <w:tcPr>
            <w:tcW w:w="17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07"/>
        </w:trPr>
        <w:tc>
          <w:tcPr>
            <w:tcW w:w="1280" w:type="dxa"/>
            <w:vAlign w:val="bottom"/>
            <w:tcBorders>
              <w:top w:val="single" w:sz="8" w:color="0563C1"/>
            </w:tcBorders>
          </w:tcPr>
          <w:p>
            <w:pPr>
              <w:spacing w:after="0"/>
              <w:rPr>
                <w:sz w:val="24"/>
                <w:szCs w:val="24"/>
                <w:color w:val="auto"/>
              </w:rPr>
            </w:pPr>
          </w:p>
        </w:tc>
        <w:tc>
          <w:tcPr>
            <w:tcW w:w="1800" w:type="dxa"/>
            <w:vAlign w:val="bottom"/>
          </w:tcPr>
          <w:p>
            <w:pPr>
              <w:spacing w:after="0"/>
              <w:rPr>
                <w:sz w:val="24"/>
                <w:szCs w:val="24"/>
                <w:color w:val="auto"/>
              </w:rPr>
            </w:pPr>
          </w:p>
        </w:tc>
        <w:tc>
          <w:tcPr>
            <w:tcW w:w="4300" w:type="dxa"/>
            <w:vAlign w:val="bottom"/>
            <w:gridSpan w:val="5"/>
          </w:tcPr>
          <w:p>
            <w:pPr>
              <w:jc w:val="right"/>
              <w:ind w:right="690"/>
              <w:spacing w:after="0"/>
              <w:rPr>
                <w:sz w:val="20"/>
                <w:szCs w:val="20"/>
                <w:color w:val="auto"/>
              </w:rPr>
            </w:pPr>
            <w:r>
              <w:rPr>
                <w:rFonts w:ascii="Arial" w:cs="Arial" w:eastAsia="Arial" w:hAnsi="Arial"/>
                <w:sz w:val="18"/>
                <w:szCs w:val="18"/>
                <w:b w:val="1"/>
                <w:bCs w:val="1"/>
                <w:color w:val="auto"/>
              </w:rPr>
              <w:t>TimkenSteel Corporation</w:t>
            </w: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128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5540" w:type="dxa"/>
            <w:vAlign w:val="bottom"/>
            <w:gridSpan w:val="7"/>
          </w:tcPr>
          <w:p>
            <w:pPr>
              <w:jc w:val="right"/>
              <w:ind w:right="530"/>
              <w:spacing w:after="0"/>
              <w:rPr>
                <w:sz w:val="20"/>
                <w:szCs w:val="20"/>
                <w:color w:val="auto"/>
              </w:rPr>
            </w:pPr>
            <w:r>
              <w:rPr>
                <w:rFonts w:ascii="Arial" w:cs="Arial" w:eastAsia="Arial" w:hAnsi="Arial"/>
                <w:sz w:val="18"/>
                <w:szCs w:val="18"/>
                <w:b w:val="1"/>
                <w:bCs w:val="1"/>
                <w:color w:val="auto"/>
                <w:w w:val="92"/>
              </w:rPr>
              <w:t>Consolidated Statements of Shareholders’ Equity (Unaudited)</w:t>
            </w:r>
          </w:p>
        </w:tc>
        <w:tc>
          <w:tcPr>
            <w:tcW w:w="16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1"/>
        </w:trPr>
        <w:tc>
          <w:tcPr>
            <w:tcW w:w="128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740" w:type="dxa"/>
            <w:vAlign w:val="bottom"/>
            <w:vMerge w:val="restart"/>
          </w:tcPr>
          <w:p>
            <w:pPr>
              <w:jc w:val="center"/>
              <w:ind w:left="330"/>
              <w:spacing w:after="0"/>
              <w:rPr>
                <w:sz w:val="20"/>
                <w:szCs w:val="20"/>
                <w:color w:val="auto"/>
              </w:rPr>
            </w:pPr>
            <w:r>
              <w:rPr>
                <w:rFonts w:ascii="Arial" w:cs="Arial" w:eastAsia="Arial" w:hAnsi="Arial"/>
                <w:sz w:val="18"/>
                <w:szCs w:val="18"/>
                <w:b w:val="1"/>
                <w:bCs w:val="1"/>
                <w:color w:val="auto"/>
                <w:w w:val="92"/>
              </w:rPr>
              <w:t>Common</w:t>
            </w:r>
          </w:p>
        </w:tc>
        <w:tc>
          <w:tcPr>
            <w:tcW w:w="220" w:type="dxa"/>
            <w:vAlign w:val="bottom"/>
          </w:tcPr>
          <w:p>
            <w:pPr>
              <w:spacing w:after="0"/>
              <w:rPr>
                <w:sz w:val="24"/>
                <w:szCs w:val="24"/>
                <w:color w:val="auto"/>
              </w:rPr>
            </w:pPr>
          </w:p>
        </w:tc>
        <w:tc>
          <w:tcPr>
            <w:tcW w:w="1080" w:type="dxa"/>
            <w:vAlign w:val="bottom"/>
            <w:vMerge w:val="restart"/>
          </w:tcPr>
          <w:p>
            <w:pPr>
              <w:jc w:val="right"/>
              <w:ind w:right="170"/>
              <w:spacing w:after="0"/>
              <w:rPr>
                <w:sz w:val="20"/>
                <w:szCs w:val="20"/>
                <w:color w:val="auto"/>
              </w:rPr>
            </w:pPr>
            <w:r>
              <w:rPr>
                <w:rFonts w:ascii="Arial" w:cs="Arial" w:eastAsia="Arial" w:hAnsi="Arial"/>
                <w:sz w:val="18"/>
                <w:szCs w:val="18"/>
                <w:b w:val="1"/>
                <w:bCs w:val="1"/>
                <w:color w:val="auto"/>
                <w:w w:val="90"/>
              </w:rPr>
              <w:t>Additional</w:t>
            </w: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80" w:type="dxa"/>
            <w:vAlign w:val="bottom"/>
          </w:tcPr>
          <w:p>
            <w:pPr>
              <w:jc w:val="center"/>
              <w:ind w:right="130"/>
              <w:spacing w:after="0"/>
              <w:rPr>
                <w:sz w:val="20"/>
                <w:szCs w:val="20"/>
                <w:color w:val="auto"/>
              </w:rPr>
            </w:pPr>
            <w:r>
              <w:rPr>
                <w:rFonts w:ascii="Arial" w:cs="Arial" w:eastAsia="Arial" w:hAnsi="Arial"/>
                <w:sz w:val="18"/>
                <w:szCs w:val="18"/>
                <w:b w:val="1"/>
                <w:bCs w:val="1"/>
                <w:color w:val="auto"/>
                <w:w w:val="90"/>
              </w:rPr>
              <w:t>Accumulated</w:t>
            </w:r>
          </w:p>
        </w:tc>
        <w:tc>
          <w:tcPr>
            <w:tcW w:w="2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128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174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08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vMerge w:val="restart"/>
          </w:tcPr>
          <w:p>
            <w:pPr>
              <w:jc w:val="right"/>
              <w:ind w:right="210"/>
              <w:spacing w:after="0"/>
              <w:rPr>
                <w:sz w:val="20"/>
                <w:szCs w:val="20"/>
                <w:color w:val="auto"/>
              </w:rPr>
            </w:pPr>
            <w:r>
              <w:rPr>
                <w:rFonts w:ascii="Arial" w:cs="Arial" w:eastAsia="Arial" w:hAnsi="Arial"/>
                <w:sz w:val="18"/>
                <w:szCs w:val="18"/>
                <w:b w:val="1"/>
                <w:bCs w:val="1"/>
                <w:color w:val="auto"/>
                <w:w w:val="94"/>
              </w:rPr>
              <w:t>Retained</w:t>
            </w:r>
          </w:p>
        </w:tc>
        <w:tc>
          <w:tcPr>
            <w:tcW w:w="200" w:type="dxa"/>
            <w:vAlign w:val="bottom"/>
          </w:tcPr>
          <w:p>
            <w:pPr>
              <w:spacing w:after="0"/>
              <w:rPr>
                <w:sz w:val="15"/>
                <w:szCs w:val="15"/>
                <w:color w:val="auto"/>
              </w:rPr>
            </w:pPr>
          </w:p>
        </w:tc>
        <w:tc>
          <w:tcPr>
            <w:tcW w:w="1040" w:type="dxa"/>
            <w:vAlign w:val="bottom"/>
            <w:vMerge w:val="restart"/>
          </w:tcPr>
          <w:p>
            <w:pPr>
              <w:jc w:val="center"/>
              <w:ind w:right="190"/>
              <w:spacing w:after="0"/>
              <w:rPr>
                <w:sz w:val="20"/>
                <w:szCs w:val="20"/>
                <w:color w:val="auto"/>
              </w:rPr>
            </w:pPr>
            <w:r>
              <w:rPr>
                <w:rFonts w:ascii="Arial" w:cs="Arial" w:eastAsia="Arial" w:hAnsi="Arial"/>
                <w:sz w:val="18"/>
                <w:szCs w:val="18"/>
                <w:b w:val="1"/>
                <w:bCs w:val="1"/>
                <w:color w:val="auto"/>
                <w:w w:val="89"/>
              </w:rPr>
              <w:t>Treasury</w:t>
            </w:r>
          </w:p>
        </w:tc>
        <w:tc>
          <w:tcPr>
            <w:tcW w:w="160" w:type="dxa"/>
            <w:vAlign w:val="bottom"/>
          </w:tcPr>
          <w:p>
            <w:pPr>
              <w:spacing w:after="0"/>
              <w:rPr>
                <w:sz w:val="15"/>
                <w:szCs w:val="15"/>
                <w:color w:val="auto"/>
              </w:rPr>
            </w:pPr>
          </w:p>
        </w:tc>
        <w:tc>
          <w:tcPr>
            <w:tcW w:w="1280" w:type="dxa"/>
            <w:vAlign w:val="bottom"/>
          </w:tcPr>
          <w:p>
            <w:pPr>
              <w:jc w:val="center"/>
              <w:ind w:right="130"/>
              <w:spacing w:after="0" w:line="176" w:lineRule="exact"/>
              <w:rPr>
                <w:sz w:val="20"/>
                <w:szCs w:val="20"/>
                <w:color w:val="auto"/>
              </w:rPr>
            </w:pPr>
            <w:r>
              <w:rPr>
                <w:rFonts w:ascii="Arial" w:cs="Arial" w:eastAsia="Arial" w:hAnsi="Arial"/>
                <w:sz w:val="18"/>
                <w:szCs w:val="18"/>
                <w:b w:val="1"/>
                <w:bCs w:val="1"/>
                <w:color w:val="auto"/>
                <w:w w:val="95"/>
              </w:rPr>
              <w:t>Other</w:t>
            </w:r>
          </w:p>
        </w:tc>
        <w:tc>
          <w:tcPr>
            <w:tcW w:w="28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3080" w:type="dxa"/>
            <w:vAlign w:val="bottom"/>
            <w:gridSpan w:val="2"/>
            <w:vMerge w:val="restart"/>
          </w:tcPr>
          <w:p>
            <w:pPr>
              <w:ind w:left="20"/>
              <w:spacing w:after="0"/>
              <w:rPr>
                <w:sz w:val="20"/>
                <w:szCs w:val="20"/>
                <w:color w:val="auto"/>
              </w:rPr>
            </w:pPr>
            <w:r>
              <w:rPr>
                <w:rFonts w:ascii="Arial" w:cs="Arial" w:eastAsia="Arial" w:hAnsi="Arial"/>
                <w:sz w:val="18"/>
                <w:szCs w:val="18"/>
                <w:i w:val="1"/>
                <w:iCs w:val="1"/>
                <w:color w:val="auto"/>
              </w:rPr>
              <w:t>(Dollars in millions)</w:t>
            </w:r>
          </w:p>
        </w:tc>
        <w:tc>
          <w:tcPr>
            <w:tcW w:w="1740" w:type="dxa"/>
            <w:vAlign w:val="bottom"/>
          </w:tcPr>
          <w:p>
            <w:pPr>
              <w:jc w:val="center"/>
              <w:ind w:left="330"/>
              <w:spacing w:after="0" w:line="176" w:lineRule="exact"/>
              <w:rPr>
                <w:sz w:val="20"/>
                <w:szCs w:val="20"/>
                <w:color w:val="auto"/>
              </w:rPr>
            </w:pPr>
            <w:r>
              <w:rPr>
                <w:rFonts w:ascii="Arial" w:cs="Arial" w:eastAsia="Arial" w:hAnsi="Arial"/>
                <w:sz w:val="18"/>
                <w:szCs w:val="18"/>
                <w:b w:val="1"/>
                <w:bCs w:val="1"/>
                <w:color w:val="auto"/>
                <w:w w:val="86"/>
              </w:rPr>
              <w:t>Shares</w:t>
            </w:r>
          </w:p>
        </w:tc>
        <w:tc>
          <w:tcPr>
            <w:tcW w:w="220" w:type="dxa"/>
            <w:vAlign w:val="bottom"/>
          </w:tcPr>
          <w:p>
            <w:pPr>
              <w:spacing w:after="0"/>
              <w:rPr>
                <w:sz w:val="15"/>
                <w:szCs w:val="15"/>
                <w:color w:val="auto"/>
              </w:rPr>
            </w:pPr>
          </w:p>
        </w:tc>
        <w:tc>
          <w:tcPr>
            <w:tcW w:w="1080" w:type="dxa"/>
            <w:vAlign w:val="bottom"/>
          </w:tcPr>
          <w:p>
            <w:pPr>
              <w:jc w:val="right"/>
              <w:ind w:right="290"/>
              <w:spacing w:after="0" w:line="176" w:lineRule="exact"/>
              <w:rPr>
                <w:sz w:val="20"/>
                <w:szCs w:val="20"/>
                <w:color w:val="auto"/>
              </w:rPr>
            </w:pPr>
            <w:r>
              <w:rPr>
                <w:rFonts w:ascii="Arial" w:cs="Arial" w:eastAsia="Arial" w:hAnsi="Arial"/>
                <w:sz w:val="18"/>
                <w:szCs w:val="18"/>
                <w:b w:val="1"/>
                <w:bCs w:val="1"/>
                <w:color w:val="auto"/>
              </w:rPr>
              <w:t>Paid-in</w:t>
            </w:r>
          </w:p>
        </w:tc>
        <w:tc>
          <w:tcPr>
            <w:tcW w:w="220" w:type="dxa"/>
            <w:vAlign w:val="bottom"/>
          </w:tcPr>
          <w:p>
            <w:pPr>
              <w:spacing w:after="0"/>
              <w:rPr>
                <w:sz w:val="15"/>
                <w:szCs w:val="15"/>
                <w:color w:val="auto"/>
              </w:rPr>
            </w:pPr>
          </w:p>
        </w:tc>
        <w:tc>
          <w:tcPr>
            <w:tcW w:w="104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1040" w:type="dxa"/>
            <w:vAlign w:val="bottom"/>
            <w:vMerge w:val="continue"/>
          </w:tcPr>
          <w:p>
            <w:pPr>
              <w:spacing w:after="0"/>
              <w:rPr>
                <w:sz w:val="15"/>
                <w:szCs w:val="15"/>
                <w:color w:val="auto"/>
              </w:rPr>
            </w:pPr>
          </w:p>
        </w:tc>
        <w:tc>
          <w:tcPr>
            <w:tcW w:w="1440" w:type="dxa"/>
            <w:vAlign w:val="bottom"/>
            <w:gridSpan w:val="2"/>
          </w:tcPr>
          <w:p>
            <w:pPr>
              <w:ind w:left="80"/>
              <w:spacing w:after="0" w:line="176" w:lineRule="exact"/>
              <w:rPr>
                <w:sz w:val="20"/>
                <w:szCs w:val="20"/>
                <w:color w:val="auto"/>
              </w:rPr>
            </w:pPr>
            <w:r>
              <w:rPr>
                <w:rFonts w:ascii="Arial" w:cs="Arial" w:eastAsia="Arial" w:hAnsi="Arial"/>
                <w:sz w:val="18"/>
                <w:szCs w:val="18"/>
                <w:b w:val="1"/>
                <w:bCs w:val="1"/>
                <w:color w:val="auto"/>
                <w:w w:val="99"/>
              </w:rPr>
              <w:t>Comprehensive</w:t>
            </w:r>
          </w:p>
        </w:tc>
        <w:tc>
          <w:tcPr>
            <w:tcW w:w="280" w:type="dxa"/>
            <w:vAlign w:val="bottom"/>
          </w:tcPr>
          <w:p>
            <w:pPr>
              <w:spacing w:after="0"/>
              <w:rPr>
                <w:sz w:val="15"/>
                <w:szCs w:val="15"/>
                <w:color w:val="auto"/>
              </w:rPr>
            </w:pPr>
          </w:p>
        </w:tc>
        <w:tc>
          <w:tcPr>
            <w:tcW w:w="900" w:type="dxa"/>
            <w:vAlign w:val="bottom"/>
            <w:vMerge w:val="restart"/>
          </w:tcPr>
          <w:p>
            <w:pPr>
              <w:jc w:val="right"/>
              <w:ind w:right="31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16"/>
        </w:trPr>
        <w:tc>
          <w:tcPr>
            <w:tcW w:w="3080" w:type="dxa"/>
            <w:vAlign w:val="bottom"/>
            <w:tcBorders>
              <w:bottom w:val="single" w:sz="8" w:color="auto"/>
            </w:tcBorders>
            <w:gridSpan w:val="2"/>
            <w:vMerge w:val="continue"/>
          </w:tcPr>
          <w:p>
            <w:pPr>
              <w:spacing w:after="0"/>
              <w:rPr>
                <w:sz w:val="18"/>
                <w:szCs w:val="18"/>
                <w:color w:val="auto"/>
              </w:rPr>
            </w:pPr>
          </w:p>
        </w:tc>
        <w:tc>
          <w:tcPr>
            <w:tcW w:w="1740" w:type="dxa"/>
            <w:vAlign w:val="bottom"/>
            <w:tcBorders>
              <w:bottom w:val="single" w:sz="8" w:color="auto"/>
            </w:tcBorders>
          </w:tcPr>
          <w:p>
            <w:pPr>
              <w:jc w:val="center"/>
              <w:ind w:left="330"/>
              <w:spacing w:after="0"/>
              <w:rPr>
                <w:sz w:val="20"/>
                <w:szCs w:val="20"/>
                <w:color w:val="auto"/>
              </w:rPr>
            </w:pPr>
            <w:r>
              <w:rPr>
                <w:rFonts w:ascii="Arial" w:cs="Arial" w:eastAsia="Arial" w:hAnsi="Arial"/>
                <w:sz w:val="18"/>
                <w:szCs w:val="18"/>
                <w:b w:val="1"/>
                <w:bCs w:val="1"/>
                <w:color w:val="auto"/>
                <w:w w:val="90"/>
              </w:rPr>
              <w:t>Outstanding</w:t>
            </w:r>
          </w:p>
        </w:tc>
        <w:tc>
          <w:tcPr>
            <w:tcW w:w="22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Capital</w:t>
            </w:r>
          </w:p>
        </w:tc>
        <w:tc>
          <w:tcPr>
            <w:tcW w:w="2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Deficit</w:t>
            </w:r>
          </w:p>
        </w:tc>
        <w:tc>
          <w:tcPr>
            <w:tcW w:w="20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center"/>
              <w:ind w:right="190"/>
              <w:spacing w:after="0"/>
              <w:rPr>
                <w:sz w:val="20"/>
                <w:szCs w:val="20"/>
                <w:color w:val="auto"/>
              </w:rPr>
            </w:pPr>
            <w:r>
              <w:rPr>
                <w:rFonts w:ascii="Arial" w:cs="Arial" w:eastAsia="Arial" w:hAnsi="Arial"/>
                <w:sz w:val="18"/>
                <w:szCs w:val="18"/>
                <w:b w:val="1"/>
                <w:bCs w:val="1"/>
                <w:color w:val="auto"/>
                <w:w w:val="86"/>
              </w:rPr>
              <w:t>Shares</w:t>
            </w:r>
          </w:p>
        </w:tc>
        <w:tc>
          <w:tcPr>
            <w:tcW w:w="144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88"/>
              </w:rPr>
              <w:t>Income (Loss)</w:t>
            </w:r>
          </w:p>
        </w:tc>
        <w:tc>
          <w:tcPr>
            <w:tcW w:w="2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3080" w:type="dxa"/>
            <w:vAlign w:val="bottom"/>
            <w:tcBorders>
              <w:bottom w:val="single" w:sz="8" w:color="auto"/>
            </w:tcBorders>
            <w:gridSpan w:val="2"/>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Balance at December 31, 2021</w:t>
            </w:r>
          </w:p>
        </w:tc>
        <w:tc>
          <w:tcPr>
            <w:tcW w:w="1740" w:type="dxa"/>
            <w:vAlign w:val="bottom"/>
            <w:tcBorders>
              <w:bottom w:val="single" w:sz="8" w:color="auto"/>
            </w:tcBorders>
            <w:shd w:val="clear" w:color="auto" w:fill="CFF0FC"/>
          </w:tcPr>
          <w:p>
            <w:pPr>
              <w:jc w:val="right"/>
              <w:ind w:right="50"/>
              <w:spacing w:after="0" w:line="196" w:lineRule="exact"/>
              <w:rPr>
                <w:sz w:val="20"/>
                <w:szCs w:val="20"/>
                <w:color w:val="auto"/>
              </w:rPr>
            </w:pPr>
            <w:r>
              <w:rPr>
                <w:rFonts w:ascii="Arial" w:cs="Arial" w:eastAsia="Arial" w:hAnsi="Arial"/>
                <w:sz w:val="18"/>
                <w:szCs w:val="18"/>
                <w:color w:val="auto"/>
              </w:rPr>
              <w:t>46,268,855</w:t>
            </w:r>
          </w:p>
        </w:tc>
        <w:tc>
          <w:tcPr>
            <w:tcW w:w="22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shd w:val="clear" w:color="auto" w:fill="CFF0FC"/>
          </w:tcPr>
          <w:p>
            <w:pPr>
              <w:jc w:val="right"/>
              <w:ind w:right="50"/>
              <w:spacing w:after="0" w:line="196" w:lineRule="exact"/>
              <w:rPr>
                <w:sz w:val="20"/>
                <w:szCs w:val="20"/>
                <w:color w:val="auto"/>
              </w:rPr>
            </w:pPr>
            <w:r>
              <w:rPr>
                <w:rFonts w:ascii="Arial" w:cs="Arial" w:eastAsia="Arial" w:hAnsi="Arial"/>
                <w:sz w:val="18"/>
                <w:szCs w:val="18"/>
                <w:color w:val="auto"/>
              </w:rPr>
              <w:t>832.1</w:t>
            </w:r>
          </w:p>
        </w:tc>
        <w:tc>
          <w:tcPr>
            <w:tcW w:w="22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(188.2 )</w:t>
            </w:r>
          </w:p>
        </w:tc>
        <w:tc>
          <w:tcPr>
            <w:tcW w:w="20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shd w:val="clear" w:color="auto" w:fill="CFF0FC"/>
          </w:tcPr>
          <w:p>
            <w:pPr>
              <w:jc w:val="right"/>
              <w:ind w:right="70"/>
              <w:spacing w:after="0" w:line="196" w:lineRule="exact"/>
              <w:rPr>
                <w:sz w:val="20"/>
                <w:szCs w:val="20"/>
                <w:color w:val="auto"/>
              </w:rPr>
            </w:pPr>
            <w:r>
              <w:rPr>
                <w:rFonts w:ascii="Arial" w:cs="Arial" w:eastAsia="Arial" w:hAnsi="Arial"/>
                <w:sz w:val="18"/>
                <w:szCs w:val="18"/>
                <w:color w:val="auto"/>
              </w:rPr>
              <w:t>—</w:t>
            </w:r>
          </w:p>
        </w:tc>
        <w:tc>
          <w:tcPr>
            <w:tcW w:w="160" w:type="dxa"/>
            <w:vAlign w:val="bottom"/>
            <w:tcBorders>
              <w:bottom w:val="single" w:sz="8" w:color="auto"/>
            </w:tcBorders>
            <w:shd w:val="clear" w:color="auto" w:fill="CFF0FC"/>
          </w:tcPr>
          <w:p>
            <w:pPr>
              <w:ind w:left="60"/>
              <w:spacing w:after="0" w:line="196" w:lineRule="exact"/>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auto"/>
            </w:tcBorders>
            <w:shd w:val="clear" w:color="auto" w:fill="CFF0FC"/>
          </w:tcPr>
          <w:p>
            <w:pPr>
              <w:jc w:val="right"/>
              <w:ind w:right="50"/>
              <w:spacing w:after="0" w:line="196" w:lineRule="exact"/>
              <w:rPr>
                <w:sz w:val="20"/>
                <w:szCs w:val="20"/>
                <w:color w:val="auto"/>
              </w:rPr>
            </w:pPr>
            <w:r>
              <w:rPr>
                <w:rFonts w:ascii="Arial" w:cs="Arial" w:eastAsia="Arial" w:hAnsi="Arial"/>
                <w:sz w:val="18"/>
                <w:szCs w:val="18"/>
                <w:color w:val="auto"/>
              </w:rPr>
              <w:t>20.7</w:t>
            </w:r>
          </w:p>
        </w:tc>
        <w:tc>
          <w:tcPr>
            <w:tcW w:w="280" w:type="dxa"/>
            <w:vAlign w:val="bottom"/>
            <w:tcBorders>
              <w:bottom w:val="single" w:sz="8" w:color="auto"/>
            </w:tcBorders>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w:t>
            </w:r>
          </w:p>
        </w:tc>
        <w:tc>
          <w:tcPr>
            <w:tcW w:w="900" w:type="dxa"/>
            <w:vAlign w:val="bottom"/>
            <w:tcBorders>
              <w:bottom w:val="single" w:sz="8" w:color="auto"/>
            </w:tcBorders>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664.6</w:t>
            </w:r>
          </w:p>
        </w:tc>
        <w:tc>
          <w:tcPr>
            <w:tcW w:w="0" w:type="dxa"/>
            <w:vAlign w:val="bottom"/>
          </w:tcPr>
          <w:p>
            <w:pPr>
              <w:spacing w:after="0"/>
              <w:rPr>
                <w:sz w:val="1"/>
                <w:szCs w:val="1"/>
                <w:color w:val="auto"/>
              </w:rPr>
            </w:pPr>
          </w:p>
        </w:tc>
      </w:tr>
      <w:tr>
        <w:trPr>
          <w:trHeight w:val="196"/>
        </w:trPr>
        <w:tc>
          <w:tcPr>
            <w:tcW w:w="3080" w:type="dxa"/>
            <w:vAlign w:val="bottom"/>
            <w:gridSpan w:val="2"/>
          </w:tcPr>
          <w:p>
            <w:pPr>
              <w:ind w:left="200"/>
              <w:spacing w:after="0" w:line="196" w:lineRule="exact"/>
              <w:rPr>
                <w:sz w:val="20"/>
                <w:szCs w:val="20"/>
                <w:color w:val="auto"/>
              </w:rPr>
            </w:pPr>
            <w:r>
              <w:rPr>
                <w:rFonts w:ascii="Arial" w:cs="Arial" w:eastAsia="Arial" w:hAnsi="Arial"/>
                <w:sz w:val="18"/>
                <w:szCs w:val="18"/>
                <w:color w:val="auto"/>
              </w:rPr>
              <w:t>Net income (loss)</w:t>
            </w:r>
          </w:p>
        </w:tc>
        <w:tc>
          <w:tcPr>
            <w:tcW w:w="1740" w:type="dxa"/>
            <w:vAlign w:val="bottom"/>
          </w:tcPr>
          <w:p>
            <w:pPr>
              <w:jc w:val="right"/>
              <w:ind w:right="50"/>
              <w:spacing w:after="0" w:line="196" w:lineRule="exact"/>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7"/>
                <w:szCs w:val="17"/>
                <w:color w:val="auto"/>
              </w:rPr>
            </w:pPr>
          </w:p>
        </w:tc>
        <w:tc>
          <w:tcPr>
            <w:tcW w:w="1080" w:type="dxa"/>
            <w:vAlign w:val="bottom"/>
          </w:tcPr>
          <w:p>
            <w:pPr>
              <w:jc w:val="right"/>
              <w:ind w:right="50"/>
              <w:spacing w:after="0" w:line="196" w:lineRule="exact"/>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7"/>
                <w:szCs w:val="17"/>
                <w:color w:val="auto"/>
              </w:rPr>
            </w:pPr>
          </w:p>
        </w:tc>
        <w:tc>
          <w:tcPr>
            <w:tcW w:w="1040" w:type="dxa"/>
            <w:vAlign w:val="bottom"/>
          </w:tcPr>
          <w:p>
            <w:pPr>
              <w:jc w:val="right"/>
              <w:ind w:right="50"/>
              <w:spacing w:after="0" w:line="196" w:lineRule="exact"/>
              <w:rPr>
                <w:sz w:val="20"/>
                <w:szCs w:val="20"/>
                <w:color w:val="auto"/>
              </w:rPr>
            </w:pPr>
            <w:r>
              <w:rPr>
                <w:rFonts w:ascii="Arial" w:cs="Arial" w:eastAsia="Arial" w:hAnsi="Arial"/>
                <w:sz w:val="18"/>
                <w:szCs w:val="18"/>
                <w:b w:val="1"/>
                <w:bCs w:val="1"/>
                <w:color w:val="auto"/>
              </w:rPr>
              <w:t>37.1</w:t>
            </w:r>
          </w:p>
        </w:tc>
        <w:tc>
          <w:tcPr>
            <w:tcW w:w="200" w:type="dxa"/>
            <w:vAlign w:val="bottom"/>
          </w:tcPr>
          <w:p>
            <w:pPr>
              <w:spacing w:after="0"/>
              <w:rPr>
                <w:sz w:val="17"/>
                <w:szCs w:val="17"/>
                <w:color w:val="auto"/>
              </w:rPr>
            </w:pPr>
          </w:p>
        </w:tc>
        <w:tc>
          <w:tcPr>
            <w:tcW w:w="1040" w:type="dxa"/>
            <w:vAlign w:val="bottom"/>
          </w:tcPr>
          <w:p>
            <w:pPr>
              <w:jc w:val="right"/>
              <w:ind w:right="70"/>
              <w:spacing w:after="0" w:line="196" w:lineRule="exact"/>
              <w:rPr>
                <w:sz w:val="20"/>
                <w:szCs w:val="20"/>
                <w:color w:val="auto"/>
              </w:rPr>
            </w:pPr>
            <w:r>
              <w:rPr>
                <w:rFonts w:ascii="Arial" w:cs="Arial" w:eastAsia="Arial" w:hAnsi="Arial"/>
                <w:sz w:val="18"/>
                <w:szCs w:val="18"/>
                <w:b w:val="1"/>
                <w:bCs w:val="1"/>
                <w:color w:val="auto"/>
              </w:rPr>
              <w:t>—</w:t>
            </w:r>
          </w:p>
        </w:tc>
        <w:tc>
          <w:tcPr>
            <w:tcW w:w="160" w:type="dxa"/>
            <w:vAlign w:val="bottom"/>
          </w:tcPr>
          <w:p>
            <w:pPr>
              <w:spacing w:after="0"/>
              <w:rPr>
                <w:sz w:val="17"/>
                <w:szCs w:val="17"/>
                <w:color w:val="auto"/>
              </w:rPr>
            </w:pPr>
          </w:p>
        </w:tc>
        <w:tc>
          <w:tcPr>
            <w:tcW w:w="1280" w:type="dxa"/>
            <w:vAlign w:val="bottom"/>
          </w:tcPr>
          <w:p>
            <w:pPr>
              <w:jc w:val="right"/>
              <w:ind w:right="50"/>
              <w:spacing w:after="0" w:line="196" w:lineRule="exact"/>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7"/>
                <w:szCs w:val="17"/>
                <w:color w:val="auto"/>
              </w:rPr>
            </w:pPr>
          </w:p>
        </w:tc>
        <w:tc>
          <w:tcPr>
            <w:tcW w:w="900" w:type="dxa"/>
            <w:vAlign w:val="bottom"/>
          </w:tcPr>
          <w:p>
            <w:pPr>
              <w:jc w:val="right"/>
              <w:ind w:right="10"/>
              <w:spacing w:after="0" w:line="196" w:lineRule="exact"/>
              <w:rPr>
                <w:sz w:val="20"/>
                <w:szCs w:val="20"/>
                <w:color w:val="auto"/>
              </w:rPr>
            </w:pPr>
            <w:r>
              <w:rPr>
                <w:rFonts w:ascii="Arial" w:cs="Arial" w:eastAsia="Arial" w:hAnsi="Arial"/>
                <w:sz w:val="18"/>
                <w:szCs w:val="18"/>
                <w:b w:val="1"/>
                <w:bCs w:val="1"/>
                <w:color w:val="auto"/>
              </w:rPr>
              <w:t>37.1</w:t>
            </w:r>
          </w:p>
        </w:tc>
        <w:tc>
          <w:tcPr>
            <w:tcW w:w="0" w:type="dxa"/>
            <w:vAlign w:val="bottom"/>
          </w:tcPr>
          <w:p>
            <w:pPr>
              <w:spacing w:after="0"/>
              <w:rPr>
                <w:sz w:val="1"/>
                <w:szCs w:val="1"/>
                <w:color w:val="auto"/>
              </w:rPr>
            </w:pPr>
          </w:p>
        </w:tc>
      </w:tr>
      <w:tr>
        <w:trPr>
          <w:trHeight w:val="203"/>
        </w:trPr>
        <w:tc>
          <w:tcPr>
            <w:tcW w:w="3080" w:type="dxa"/>
            <w:vAlign w:val="bottom"/>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Other comprehensive income (loss)</w:t>
            </w:r>
          </w:p>
        </w:tc>
        <w:tc>
          <w:tcPr>
            <w:tcW w:w="1740" w:type="dxa"/>
            <w:vAlign w:val="bottom"/>
            <w:shd w:val="clear" w:color="auto" w:fill="CFF0FC"/>
          </w:tcPr>
          <w:p>
            <w:pPr>
              <w:jc w:val="right"/>
              <w:ind w:right="50"/>
              <w:spacing w:after="0" w:line="202" w:lineRule="exact"/>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FF0FC"/>
          </w:tcPr>
          <w:p>
            <w:pPr>
              <w:spacing w:after="0"/>
              <w:rPr>
                <w:sz w:val="17"/>
                <w:szCs w:val="17"/>
                <w:color w:val="auto"/>
              </w:rPr>
            </w:pPr>
          </w:p>
        </w:tc>
        <w:tc>
          <w:tcPr>
            <w:tcW w:w="1080" w:type="dxa"/>
            <w:vAlign w:val="bottom"/>
            <w:shd w:val="clear" w:color="auto" w:fill="CFF0FC"/>
          </w:tcPr>
          <w:p>
            <w:pPr>
              <w:jc w:val="right"/>
              <w:ind w:right="50"/>
              <w:spacing w:after="0" w:line="202" w:lineRule="exact"/>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FF0FC"/>
          </w:tcPr>
          <w:p>
            <w:pPr>
              <w:spacing w:after="0"/>
              <w:rPr>
                <w:sz w:val="17"/>
                <w:szCs w:val="17"/>
                <w:color w:val="auto"/>
              </w:rPr>
            </w:pPr>
          </w:p>
        </w:tc>
        <w:tc>
          <w:tcPr>
            <w:tcW w:w="1040" w:type="dxa"/>
            <w:vAlign w:val="bottom"/>
            <w:shd w:val="clear" w:color="auto" w:fill="CFF0FC"/>
          </w:tcPr>
          <w:p>
            <w:pPr>
              <w:jc w:val="right"/>
              <w:ind w:right="50"/>
              <w:spacing w:after="0" w:line="202" w:lineRule="exact"/>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FF0FC"/>
          </w:tcPr>
          <w:p>
            <w:pPr>
              <w:spacing w:after="0"/>
              <w:rPr>
                <w:sz w:val="17"/>
                <w:szCs w:val="17"/>
                <w:color w:val="auto"/>
              </w:rPr>
            </w:pPr>
          </w:p>
        </w:tc>
        <w:tc>
          <w:tcPr>
            <w:tcW w:w="1040" w:type="dxa"/>
            <w:vAlign w:val="bottom"/>
            <w:shd w:val="clear" w:color="auto" w:fill="CFF0FC"/>
          </w:tcPr>
          <w:p>
            <w:pPr>
              <w:jc w:val="right"/>
              <w:ind w:right="70"/>
              <w:spacing w:after="0" w:line="202" w:lineRule="exact"/>
              <w:rPr>
                <w:sz w:val="20"/>
                <w:szCs w:val="20"/>
                <w:color w:val="auto"/>
              </w:rPr>
            </w:pPr>
            <w:r>
              <w:rPr>
                <w:rFonts w:ascii="Arial" w:cs="Arial" w:eastAsia="Arial" w:hAnsi="Arial"/>
                <w:sz w:val="18"/>
                <w:szCs w:val="18"/>
                <w:b w:val="1"/>
                <w:bCs w:val="1"/>
                <w:color w:val="auto"/>
              </w:rPr>
              <w:t>—</w:t>
            </w:r>
          </w:p>
        </w:tc>
        <w:tc>
          <w:tcPr>
            <w:tcW w:w="160" w:type="dxa"/>
            <w:vAlign w:val="bottom"/>
            <w:shd w:val="clear" w:color="auto" w:fill="CFF0FC"/>
          </w:tcPr>
          <w:p>
            <w:pPr>
              <w:spacing w:after="0"/>
              <w:rPr>
                <w:sz w:val="17"/>
                <w:szCs w:val="17"/>
                <w:color w:val="auto"/>
              </w:rPr>
            </w:pPr>
          </w:p>
        </w:tc>
        <w:tc>
          <w:tcPr>
            <w:tcW w:w="12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b w:val="1"/>
                <w:bCs w:val="1"/>
                <w:color w:val="auto"/>
              </w:rPr>
              <w:t>(1.9 )</w:t>
            </w:r>
          </w:p>
        </w:tc>
        <w:tc>
          <w:tcPr>
            <w:tcW w:w="280" w:type="dxa"/>
            <w:vAlign w:val="bottom"/>
            <w:shd w:val="clear" w:color="auto" w:fill="CFF0FC"/>
          </w:tcPr>
          <w:p>
            <w:pPr>
              <w:spacing w:after="0"/>
              <w:rPr>
                <w:sz w:val="17"/>
                <w:szCs w:val="17"/>
                <w:color w:val="auto"/>
              </w:rPr>
            </w:pPr>
          </w:p>
        </w:tc>
        <w:tc>
          <w:tcPr>
            <w:tcW w:w="90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b w:val="1"/>
                <w:bCs w:val="1"/>
                <w:color w:val="auto"/>
              </w:rPr>
              <w:t>(1.9 )</w:t>
            </w:r>
          </w:p>
        </w:tc>
        <w:tc>
          <w:tcPr>
            <w:tcW w:w="0" w:type="dxa"/>
            <w:vAlign w:val="bottom"/>
          </w:tcPr>
          <w:p>
            <w:pPr>
              <w:spacing w:after="0"/>
              <w:rPr>
                <w:sz w:val="1"/>
                <w:szCs w:val="1"/>
                <w:color w:val="auto"/>
              </w:rPr>
            </w:pPr>
          </w:p>
        </w:tc>
      </w:tr>
      <w:tr>
        <w:trPr>
          <w:trHeight w:val="203"/>
        </w:trPr>
        <w:tc>
          <w:tcPr>
            <w:tcW w:w="3080" w:type="dxa"/>
            <w:vAlign w:val="bottom"/>
            <w:gridSpan w:val="2"/>
          </w:tcPr>
          <w:p>
            <w:pPr>
              <w:ind w:left="200"/>
              <w:spacing w:after="0" w:line="202" w:lineRule="exact"/>
              <w:rPr>
                <w:sz w:val="20"/>
                <w:szCs w:val="20"/>
                <w:color w:val="auto"/>
              </w:rPr>
            </w:pPr>
            <w:r>
              <w:rPr>
                <w:rFonts w:ascii="Arial" w:cs="Arial" w:eastAsia="Arial" w:hAnsi="Arial"/>
                <w:sz w:val="18"/>
                <w:szCs w:val="18"/>
                <w:color w:val="auto"/>
                <w:w w:val="98"/>
              </w:rPr>
              <w:t>Stock-based compensation expense</w:t>
            </w:r>
          </w:p>
        </w:tc>
        <w:tc>
          <w:tcPr>
            <w:tcW w:w="1740" w:type="dxa"/>
            <w:vAlign w:val="bottom"/>
          </w:tcPr>
          <w:p>
            <w:pPr>
              <w:jc w:val="right"/>
              <w:ind w:right="50"/>
              <w:spacing w:after="0" w:line="202" w:lineRule="exact"/>
              <w:rPr>
                <w:sz w:val="20"/>
                <w:szCs w:val="20"/>
                <w:color w:val="auto"/>
              </w:rPr>
            </w:pPr>
            <w:r>
              <w:rPr>
                <w:rFonts w:ascii="Arial" w:cs="Arial" w:eastAsia="Arial" w:hAnsi="Arial"/>
                <w:sz w:val="18"/>
                <w:szCs w:val="18"/>
                <w:b w:val="1"/>
                <w:bCs w:val="1"/>
                <w:color w:val="auto"/>
              </w:rPr>
              <w:t>298,648</w:t>
            </w:r>
          </w:p>
        </w:tc>
        <w:tc>
          <w:tcPr>
            <w:tcW w:w="220" w:type="dxa"/>
            <w:vAlign w:val="bottom"/>
          </w:tcPr>
          <w:p>
            <w:pPr>
              <w:spacing w:after="0"/>
              <w:rPr>
                <w:sz w:val="17"/>
                <w:szCs w:val="17"/>
                <w:color w:val="auto"/>
              </w:rPr>
            </w:pPr>
          </w:p>
        </w:tc>
        <w:tc>
          <w:tcPr>
            <w:tcW w:w="1080" w:type="dxa"/>
            <w:vAlign w:val="bottom"/>
          </w:tcPr>
          <w:p>
            <w:pPr>
              <w:jc w:val="right"/>
              <w:ind w:right="50"/>
              <w:spacing w:after="0" w:line="202" w:lineRule="exact"/>
              <w:rPr>
                <w:sz w:val="20"/>
                <w:szCs w:val="20"/>
                <w:color w:val="auto"/>
              </w:rPr>
            </w:pPr>
            <w:r>
              <w:rPr>
                <w:rFonts w:ascii="Arial" w:cs="Arial" w:eastAsia="Arial" w:hAnsi="Arial"/>
                <w:sz w:val="18"/>
                <w:szCs w:val="18"/>
                <w:b w:val="1"/>
                <w:bCs w:val="1"/>
                <w:color w:val="auto"/>
              </w:rPr>
              <w:t>2.1</w:t>
            </w:r>
          </w:p>
        </w:tc>
        <w:tc>
          <w:tcPr>
            <w:tcW w:w="220" w:type="dxa"/>
            <w:vAlign w:val="bottom"/>
          </w:tcPr>
          <w:p>
            <w:pPr>
              <w:spacing w:after="0"/>
              <w:rPr>
                <w:sz w:val="17"/>
                <w:szCs w:val="17"/>
                <w:color w:val="auto"/>
              </w:rPr>
            </w:pPr>
          </w:p>
        </w:tc>
        <w:tc>
          <w:tcPr>
            <w:tcW w:w="1040" w:type="dxa"/>
            <w:vAlign w:val="bottom"/>
          </w:tcPr>
          <w:p>
            <w:pPr>
              <w:jc w:val="right"/>
              <w:ind w:right="50"/>
              <w:spacing w:after="0" w:line="202" w:lineRule="exact"/>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7"/>
                <w:szCs w:val="17"/>
                <w:color w:val="auto"/>
              </w:rPr>
            </w:pPr>
          </w:p>
        </w:tc>
        <w:tc>
          <w:tcPr>
            <w:tcW w:w="1040" w:type="dxa"/>
            <w:vAlign w:val="bottom"/>
          </w:tcPr>
          <w:p>
            <w:pPr>
              <w:jc w:val="right"/>
              <w:ind w:right="70"/>
              <w:spacing w:after="0" w:line="202" w:lineRule="exact"/>
              <w:rPr>
                <w:sz w:val="20"/>
                <w:szCs w:val="20"/>
                <w:color w:val="auto"/>
              </w:rPr>
            </w:pPr>
            <w:r>
              <w:rPr>
                <w:rFonts w:ascii="Arial" w:cs="Arial" w:eastAsia="Arial" w:hAnsi="Arial"/>
                <w:sz w:val="18"/>
                <w:szCs w:val="18"/>
                <w:b w:val="1"/>
                <w:bCs w:val="1"/>
                <w:color w:val="auto"/>
              </w:rPr>
              <w:t>—</w:t>
            </w:r>
          </w:p>
        </w:tc>
        <w:tc>
          <w:tcPr>
            <w:tcW w:w="160" w:type="dxa"/>
            <w:vAlign w:val="bottom"/>
          </w:tcPr>
          <w:p>
            <w:pPr>
              <w:spacing w:after="0"/>
              <w:rPr>
                <w:sz w:val="17"/>
                <w:szCs w:val="17"/>
                <w:color w:val="auto"/>
              </w:rPr>
            </w:pPr>
          </w:p>
        </w:tc>
        <w:tc>
          <w:tcPr>
            <w:tcW w:w="1280" w:type="dxa"/>
            <w:vAlign w:val="bottom"/>
          </w:tcPr>
          <w:p>
            <w:pPr>
              <w:jc w:val="right"/>
              <w:ind w:right="50"/>
              <w:spacing w:after="0" w:line="202" w:lineRule="exact"/>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7"/>
                <w:szCs w:val="17"/>
                <w:color w:val="auto"/>
              </w:rPr>
            </w:pPr>
          </w:p>
        </w:tc>
        <w:tc>
          <w:tcPr>
            <w:tcW w:w="900" w:type="dxa"/>
            <w:vAlign w:val="bottom"/>
          </w:tcPr>
          <w:p>
            <w:pPr>
              <w:jc w:val="right"/>
              <w:ind w:right="10"/>
              <w:spacing w:after="0" w:line="202" w:lineRule="exact"/>
              <w:rPr>
                <w:sz w:val="20"/>
                <w:szCs w:val="20"/>
                <w:color w:val="auto"/>
              </w:rPr>
            </w:pPr>
            <w:r>
              <w:rPr>
                <w:rFonts w:ascii="Arial" w:cs="Arial" w:eastAsia="Arial" w:hAnsi="Arial"/>
                <w:sz w:val="18"/>
                <w:szCs w:val="18"/>
                <w:b w:val="1"/>
                <w:bCs w:val="1"/>
                <w:color w:val="auto"/>
              </w:rPr>
              <w:t>2.1</w:t>
            </w:r>
          </w:p>
        </w:tc>
        <w:tc>
          <w:tcPr>
            <w:tcW w:w="0" w:type="dxa"/>
            <w:vAlign w:val="bottom"/>
          </w:tcPr>
          <w:p>
            <w:pPr>
              <w:spacing w:after="0"/>
              <w:rPr>
                <w:sz w:val="1"/>
                <w:szCs w:val="1"/>
                <w:color w:val="auto"/>
              </w:rPr>
            </w:pPr>
          </w:p>
        </w:tc>
      </w:tr>
      <w:tr>
        <w:trPr>
          <w:trHeight w:val="203"/>
        </w:trPr>
        <w:tc>
          <w:tcPr>
            <w:tcW w:w="3080" w:type="dxa"/>
            <w:vAlign w:val="bottom"/>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Stock option activity</w:t>
            </w:r>
          </w:p>
        </w:tc>
        <w:tc>
          <w:tcPr>
            <w:tcW w:w="1740" w:type="dxa"/>
            <w:vAlign w:val="bottom"/>
            <w:shd w:val="clear" w:color="auto" w:fill="CFF0FC"/>
          </w:tcPr>
          <w:p>
            <w:pPr>
              <w:jc w:val="right"/>
              <w:ind w:right="50"/>
              <w:spacing w:after="0" w:line="202" w:lineRule="exact"/>
              <w:rPr>
                <w:sz w:val="20"/>
                <w:szCs w:val="20"/>
                <w:color w:val="auto"/>
              </w:rPr>
            </w:pPr>
            <w:r>
              <w:rPr>
                <w:rFonts w:ascii="Arial" w:cs="Arial" w:eastAsia="Arial" w:hAnsi="Arial"/>
                <w:sz w:val="18"/>
                <w:szCs w:val="18"/>
                <w:b w:val="1"/>
                <w:bCs w:val="1"/>
                <w:color w:val="auto"/>
              </w:rPr>
              <w:t>406,750</w:t>
            </w:r>
          </w:p>
        </w:tc>
        <w:tc>
          <w:tcPr>
            <w:tcW w:w="220" w:type="dxa"/>
            <w:vAlign w:val="bottom"/>
            <w:shd w:val="clear" w:color="auto" w:fill="CFF0FC"/>
          </w:tcPr>
          <w:p>
            <w:pPr>
              <w:spacing w:after="0"/>
              <w:rPr>
                <w:sz w:val="17"/>
                <w:szCs w:val="17"/>
                <w:color w:val="auto"/>
              </w:rPr>
            </w:pPr>
          </w:p>
        </w:tc>
        <w:tc>
          <w:tcPr>
            <w:tcW w:w="1080" w:type="dxa"/>
            <w:vAlign w:val="bottom"/>
            <w:shd w:val="clear" w:color="auto" w:fill="CFF0FC"/>
          </w:tcPr>
          <w:p>
            <w:pPr>
              <w:jc w:val="right"/>
              <w:ind w:right="50"/>
              <w:spacing w:after="0" w:line="202" w:lineRule="exact"/>
              <w:rPr>
                <w:sz w:val="20"/>
                <w:szCs w:val="20"/>
                <w:color w:val="auto"/>
              </w:rPr>
            </w:pPr>
            <w:r>
              <w:rPr>
                <w:rFonts w:ascii="Arial" w:cs="Arial" w:eastAsia="Arial" w:hAnsi="Arial"/>
                <w:sz w:val="18"/>
                <w:szCs w:val="18"/>
                <w:b w:val="1"/>
                <w:bCs w:val="1"/>
                <w:color w:val="auto"/>
              </w:rPr>
              <w:t>6.3</w:t>
            </w:r>
          </w:p>
        </w:tc>
        <w:tc>
          <w:tcPr>
            <w:tcW w:w="220" w:type="dxa"/>
            <w:vAlign w:val="bottom"/>
            <w:shd w:val="clear" w:color="auto" w:fill="CFF0FC"/>
          </w:tcPr>
          <w:p>
            <w:pPr>
              <w:spacing w:after="0"/>
              <w:rPr>
                <w:sz w:val="17"/>
                <w:szCs w:val="17"/>
                <w:color w:val="auto"/>
              </w:rPr>
            </w:pPr>
          </w:p>
        </w:tc>
        <w:tc>
          <w:tcPr>
            <w:tcW w:w="1040" w:type="dxa"/>
            <w:vAlign w:val="bottom"/>
            <w:shd w:val="clear" w:color="auto" w:fill="CFF0FC"/>
          </w:tcPr>
          <w:p>
            <w:pPr>
              <w:jc w:val="right"/>
              <w:ind w:right="50"/>
              <w:spacing w:after="0" w:line="202" w:lineRule="exact"/>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FF0FC"/>
          </w:tcPr>
          <w:p>
            <w:pPr>
              <w:spacing w:after="0"/>
              <w:rPr>
                <w:sz w:val="17"/>
                <w:szCs w:val="17"/>
                <w:color w:val="auto"/>
              </w:rPr>
            </w:pPr>
          </w:p>
        </w:tc>
        <w:tc>
          <w:tcPr>
            <w:tcW w:w="1040" w:type="dxa"/>
            <w:vAlign w:val="bottom"/>
            <w:shd w:val="clear" w:color="auto" w:fill="CFF0FC"/>
          </w:tcPr>
          <w:p>
            <w:pPr>
              <w:jc w:val="right"/>
              <w:ind w:right="70"/>
              <w:spacing w:after="0" w:line="202" w:lineRule="exact"/>
              <w:rPr>
                <w:sz w:val="20"/>
                <w:szCs w:val="20"/>
                <w:color w:val="auto"/>
              </w:rPr>
            </w:pPr>
            <w:r>
              <w:rPr>
                <w:rFonts w:ascii="Arial" w:cs="Arial" w:eastAsia="Arial" w:hAnsi="Arial"/>
                <w:sz w:val="18"/>
                <w:szCs w:val="18"/>
                <w:b w:val="1"/>
                <w:bCs w:val="1"/>
                <w:color w:val="auto"/>
              </w:rPr>
              <w:t>—</w:t>
            </w:r>
          </w:p>
        </w:tc>
        <w:tc>
          <w:tcPr>
            <w:tcW w:w="160" w:type="dxa"/>
            <w:vAlign w:val="bottom"/>
            <w:shd w:val="clear" w:color="auto" w:fill="CFF0FC"/>
          </w:tcPr>
          <w:p>
            <w:pPr>
              <w:spacing w:after="0"/>
              <w:rPr>
                <w:sz w:val="17"/>
                <w:szCs w:val="17"/>
                <w:color w:val="auto"/>
              </w:rPr>
            </w:pPr>
          </w:p>
        </w:tc>
        <w:tc>
          <w:tcPr>
            <w:tcW w:w="1280" w:type="dxa"/>
            <w:vAlign w:val="bottom"/>
            <w:shd w:val="clear" w:color="auto" w:fill="CFF0FC"/>
          </w:tcPr>
          <w:p>
            <w:pPr>
              <w:jc w:val="right"/>
              <w:ind w:right="50"/>
              <w:spacing w:after="0" w:line="202" w:lineRule="exact"/>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FF0FC"/>
          </w:tcPr>
          <w:p>
            <w:pPr>
              <w:spacing w:after="0"/>
              <w:rPr>
                <w:sz w:val="17"/>
                <w:szCs w:val="17"/>
                <w:color w:val="auto"/>
              </w:rPr>
            </w:pPr>
          </w:p>
        </w:tc>
        <w:tc>
          <w:tcPr>
            <w:tcW w:w="90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b w:val="1"/>
                <w:bCs w:val="1"/>
                <w:color w:val="auto"/>
              </w:rPr>
              <w:t>6.3</w:t>
            </w:r>
          </w:p>
        </w:tc>
        <w:tc>
          <w:tcPr>
            <w:tcW w:w="0" w:type="dxa"/>
            <w:vAlign w:val="bottom"/>
          </w:tcPr>
          <w:p>
            <w:pPr>
              <w:spacing w:after="0"/>
              <w:rPr>
                <w:sz w:val="1"/>
                <w:szCs w:val="1"/>
                <w:color w:val="auto"/>
              </w:rPr>
            </w:pPr>
          </w:p>
        </w:tc>
      </w:tr>
      <w:tr>
        <w:trPr>
          <w:trHeight w:val="203"/>
        </w:trPr>
        <w:tc>
          <w:tcPr>
            <w:tcW w:w="3080" w:type="dxa"/>
            <w:vAlign w:val="bottom"/>
            <w:gridSpan w:val="2"/>
          </w:tcPr>
          <w:p>
            <w:pPr>
              <w:ind w:left="200"/>
              <w:spacing w:after="0" w:line="202" w:lineRule="exact"/>
              <w:rPr>
                <w:sz w:val="20"/>
                <w:szCs w:val="20"/>
                <w:color w:val="auto"/>
              </w:rPr>
            </w:pPr>
            <w:r>
              <w:rPr>
                <w:rFonts w:ascii="Arial" w:cs="Arial" w:eastAsia="Arial" w:hAnsi="Arial"/>
                <w:sz w:val="18"/>
                <w:szCs w:val="18"/>
                <w:color w:val="auto"/>
              </w:rPr>
              <w:t>Purchase of treasury shares</w:t>
            </w:r>
          </w:p>
        </w:tc>
        <w:tc>
          <w:tcPr>
            <w:tcW w:w="1740" w:type="dxa"/>
            <w:vAlign w:val="bottom"/>
          </w:tcPr>
          <w:p>
            <w:pPr>
              <w:jc w:val="right"/>
              <w:spacing w:after="0" w:line="202" w:lineRule="exact"/>
              <w:rPr>
                <w:sz w:val="20"/>
                <w:szCs w:val="20"/>
                <w:color w:val="auto"/>
              </w:rPr>
            </w:pPr>
            <w:r>
              <w:rPr>
                <w:rFonts w:ascii="Arial" w:cs="Arial" w:eastAsia="Arial" w:hAnsi="Arial"/>
                <w:sz w:val="18"/>
                <w:szCs w:val="18"/>
                <w:b w:val="1"/>
                <w:bCs w:val="1"/>
                <w:color w:val="auto"/>
              </w:rPr>
              <w:t>(169,816 )</w:t>
            </w:r>
          </w:p>
        </w:tc>
        <w:tc>
          <w:tcPr>
            <w:tcW w:w="220" w:type="dxa"/>
            <w:vAlign w:val="bottom"/>
          </w:tcPr>
          <w:p>
            <w:pPr>
              <w:spacing w:after="0"/>
              <w:rPr>
                <w:sz w:val="17"/>
                <w:szCs w:val="17"/>
                <w:color w:val="auto"/>
              </w:rPr>
            </w:pPr>
          </w:p>
        </w:tc>
        <w:tc>
          <w:tcPr>
            <w:tcW w:w="1080" w:type="dxa"/>
            <w:vAlign w:val="bottom"/>
          </w:tcPr>
          <w:p>
            <w:pPr>
              <w:jc w:val="right"/>
              <w:ind w:right="50"/>
              <w:spacing w:after="0" w:line="202" w:lineRule="exact"/>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7"/>
                <w:szCs w:val="17"/>
                <w:color w:val="auto"/>
              </w:rPr>
            </w:pPr>
          </w:p>
        </w:tc>
        <w:tc>
          <w:tcPr>
            <w:tcW w:w="1040" w:type="dxa"/>
            <w:vAlign w:val="bottom"/>
          </w:tcPr>
          <w:p>
            <w:pPr>
              <w:jc w:val="right"/>
              <w:ind w:right="50"/>
              <w:spacing w:after="0" w:line="202" w:lineRule="exact"/>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7"/>
                <w:szCs w:val="17"/>
                <w:color w:val="auto"/>
              </w:rPr>
            </w:pPr>
          </w:p>
        </w:tc>
        <w:tc>
          <w:tcPr>
            <w:tcW w:w="1040" w:type="dxa"/>
            <w:vAlign w:val="bottom"/>
          </w:tcPr>
          <w:p>
            <w:pPr>
              <w:jc w:val="right"/>
              <w:spacing w:after="0" w:line="202" w:lineRule="exact"/>
              <w:rPr>
                <w:sz w:val="20"/>
                <w:szCs w:val="20"/>
                <w:color w:val="auto"/>
              </w:rPr>
            </w:pPr>
            <w:r>
              <w:rPr>
                <w:rFonts w:ascii="Arial" w:cs="Arial" w:eastAsia="Arial" w:hAnsi="Arial"/>
                <w:sz w:val="18"/>
                <w:szCs w:val="18"/>
                <w:b w:val="1"/>
                <w:bCs w:val="1"/>
                <w:color w:val="auto"/>
              </w:rPr>
              <w:t>(3.4 )</w:t>
            </w:r>
          </w:p>
        </w:tc>
        <w:tc>
          <w:tcPr>
            <w:tcW w:w="160" w:type="dxa"/>
            <w:vAlign w:val="bottom"/>
          </w:tcPr>
          <w:p>
            <w:pPr>
              <w:spacing w:after="0"/>
              <w:rPr>
                <w:sz w:val="17"/>
                <w:szCs w:val="17"/>
                <w:color w:val="auto"/>
              </w:rPr>
            </w:pPr>
          </w:p>
        </w:tc>
        <w:tc>
          <w:tcPr>
            <w:tcW w:w="1280" w:type="dxa"/>
            <w:vAlign w:val="bottom"/>
          </w:tcPr>
          <w:p>
            <w:pPr>
              <w:jc w:val="right"/>
              <w:ind w:right="50"/>
              <w:spacing w:after="0" w:line="202" w:lineRule="exact"/>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7"/>
                <w:szCs w:val="17"/>
                <w:color w:val="auto"/>
              </w:rPr>
            </w:pPr>
          </w:p>
        </w:tc>
        <w:tc>
          <w:tcPr>
            <w:tcW w:w="900" w:type="dxa"/>
            <w:vAlign w:val="bottom"/>
          </w:tcPr>
          <w:p>
            <w:pPr>
              <w:jc w:val="right"/>
              <w:spacing w:after="0" w:line="202" w:lineRule="exact"/>
              <w:rPr>
                <w:sz w:val="20"/>
                <w:szCs w:val="20"/>
                <w:color w:val="auto"/>
              </w:rPr>
            </w:pPr>
            <w:r>
              <w:rPr>
                <w:rFonts w:ascii="Arial" w:cs="Arial" w:eastAsia="Arial" w:hAnsi="Arial"/>
                <w:sz w:val="18"/>
                <w:szCs w:val="18"/>
                <w:b w:val="1"/>
                <w:bCs w:val="1"/>
                <w:color w:val="auto"/>
              </w:rPr>
              <w:t>(3.4 )</w:t>
            </w:r>
          </w:p>
        </w:tc>
        <w:tc>
          <w:tcPr>
            <w:tcW w:w="0" w:type="dxa"/>
            <w:vAlign w:val="bottom"/>
          </w:tcPr>
          <w:p>
            <w:pPr>
              <w:spacing w:after="0"/>
              <w:rPr>
                <w:sz w:val="1"/>
                <w:szCs w:val="1"/>
                <w:color w:val="auto"/>
              </w:rPr>
            </w:pPr>
          </w:p>
        </w:tc>
      </w:tr>
      <w:tr>
        <w:trPr>
          <w:trHeight w:val="203"/>
        </w:trPr>
        <w:tc>
          <w:tcPr>
            <w:tcW w:w="3080" w:type="dxa"/>
            <w:vAlign w:val="bottom"/>
            <w:tcBorders>
              <w:bottom w:val="single" w:sz="8" w:color="auto"/>
            </w:tcBorders>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Shares surrendered for taxes</w:t>
            </w:r>
          </w:p>
        </w:tc>
        <w:tc>
          <w:tcPr>
            <w:tcW w:w="174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b w:val="1"/>
                <w:bCs w:val="1"/>
                <w:color w:val="auto"/>
              </w:rPr>
              <w:t>(91,853 )</w:t>
            </w:r>
          </w:p>
        </w:tc>
        <w:tc>
          <w:tcPr>
            <w:tcW w:w="220" w:type="dxa"/>
            <w:vAlign w:val="bottom"/>
            <w:tcBorders>
              <w:bottom w:val="single" w:sz="8" w:color="auto"/>
            </w:tcBorders>
            <w:shd w:val="clear" w:color="auto" w:fill="CFF0FC"/>
          </w:tcPr>
          <w:p>
            <w:pPr>
              <w:spacing w:after="0"/>
              <w:rPr>
                <w:sz w:val="17"/>
                <w:szCs w:val="17"/>
                <w:color w:val="auto"/>
              </w:rPr>
            </w:pPr>
          </w:p>
        </w:tc>
        <w:tc>
          <w:tcPr>
            <w:tcW w:w="108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b w:val="1"/>
                <w:bCs w:val="1"/>
                <w:color w:val="auto"/>
              </w:rPr>
              <w:t>(0.2 )</w:t>
            </w:r>
          </w:p>
        </w:tc>
        <w:tc>
          <w:tcPr>
            <w:tcW w:w="220" w:type="dxa"/>
            <w:vAlign w:val="bottom"/>
            <w:tcBorders>
              <w:bottom w:val="single" w:sz="8" w:color="auto"/>
            </w:tcBorders>
            <w:shd w:val="clear" w:color="auto" w:fill="CFF0FC"/>
          </w:tcPr>
          <w:p>
            <w:pPr>
              <w:spacing w:after="0"/>
              <w:rPr>
                <w:sz w:val="17"/>
                <w:szCs w:val="17"/>
                <w:color w:val="auto"/>
              </w:rPr>
            </w:pPr>
          </w:p>
        </w:tc>
        <w:tc>
          <w:tcPr>
            <w:tcW w:w="1040" w:type="dxa"/>
            <w:vAlign w:val="bottom"/>
            <w:tcBorders>
              <w:bottom w:val="single" w:sz="8" w:color="auto"/>
            </w:tcBorders>
            <w:shd w:val="clear" w:color="auto" w:fill="CFF0FC"/>
          </w:tcPr>
          <w:p>
            <w:pPr>
              <w:jc w:val="right"/>
              <w:ind w:right="50"/>
              <w:spacing w:after="0" w:line="202" w:lineRule="exact"/>
              <w:rPr>
                <w:sz w:val="20"/>
                <w:szCs w:val="20"/>
                <w:color w:val="auto"/>
              </w:rPr>
            </w:pPr>
            <w:r>
              <w:rPr>
                <w:rFonts w:ascii="Arial" w:cs="Arial" w:eastAsia="Arial" w:hAnsi="Arial"/>
                <w:sz w:val="18"/>
                <w:szCs w:val="18"/>
                <w:b w:val="1"/>
                <w:bCs w:val="1"/>
                <w:color w:val="auto"/>
              </w:rPr>
              <w:t>—</w:t>
            </w:r>
          </w:p>
        </w:tc>
        <w:tc>
          <w:tcPr>
            <w:tcW w:w="200" w:type="dxa"/>
            <w:vAlign w:val="bottom"/>
            <w:tcBorders>
              <w:bottom w:val="single" w:sz="8" w:color="auto"/>
            </w:tcBorders>
            <w:shd w:val="clear" w:color="auto" w:fill="CFF0FC"/>
          </w:tcPr>
          <w:p>
            <w:pPr>
              <w:spacing w:after="0"/>
              <w:rPr>
                <w:sz w:val="17"/>
                <w:szCs w:val="17"/>
                <w:color w:val="auto"/>
              </w:rPr>
            </w:pPr>
          </w:p>
        </w:tc>
        <w:tc>
          <w:tcPr>
            <w:tcW w:w="104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b w:val="1"/>
                <w:bCs w:val="1"/>
                <w:color w:val="auto"/>
              </w:rPr>
              <w:t>(1.4 )</w:t>
            </w:r>
          </w:p>
        </w:tc>
        <w:tc>
          <w:tcPr>
            <w:tcW w:w="160" w:type="dxa"/>
            <w:vAlign w:val="bottom"/>
            <w:tcBorders>
              <w:bottom w:val="single" w:sz="8" w:color="auto"/>
            </w:tcBorders>
            <w:shd w:val="clear" w:color="auto" w:fill="CFF0FC"/>
          </w:tcPr>
          <w:p>
            <w:pPr>
              <w:spacing w:after="0"/>
              <w:rPr>
                <w:sz w:val="17"/>
                <w:szCs w:val="17"/>
                <w:color w:val="auto"/>
              </w:rPr>
            </w:pPr>
          </w:p>
        </w:tc>
        <w:tc>
          <w:tcPr>
            <w:tcW w:w="1280" w:type="dxa"/>
            <w:vAlign w:val="bottom"/>
            <w:tcBorders>
              <w:bottom w:val="single" w:sz="8" w:color="auto"/>
            </w:tcBorders>
            <w:shd w:val="clear" w:color="auto" w:fill="CFF0FC"/>
          </w:tcPr>
          <w:p>
            <w:pPr>
              <w:jc w:val="right"/>
              <w:ind w:right="50"/>
              <w:spacing w:after="0" w:line="202" w:lineRule="exact"/>
              <w:rPr>
                <w:sz w:val="20"/>
                <w:szCs w:val="20"/>
                <w:color w:val="auto"/>
              </w:rPr>
            </w:pPr>
            <w:r>
              <w:rPr>
                <w:rFonts w:ascii="Arial" w:cs="Arial" w:eastAsia="Arial" w:hAnsi="Arial"/>
                <w:sz w:val="18"/>
                <w:szCs w:val="18"/>
                <w:b w:val="1"/>
                <w:bCs w:val="1"/>
                <w:color w:val="auto"/>
              </w:rPr>
              <w:t>—</w:t>
            </w:r>
          </w:p>
        </w:tc>
        <w:tc>
          <w:tcPr>
            <w:tcW w:w="280" w:type="dxa"/>
            <w:vAlign w:val="bottom"/>
            <w:tcBorders>
              <w:bottom w:val="single" w:sz="8" w:color="auto"/>
            </w:tcBorders>
            <w:shd w:val="clear" w:color="auto" w:fill="CFF0FC"/>
          </w:tcPr>
          <w:p>
            <w:pPr>
              <w:spacing w:after="0"/>
              <w:rPr>
                <w:sz w:val="17"/>
                <w:szCs w:val="17"/>
                <w:color w:val="auto"/>
              </w:rPr>
            </w:pPr>
          </w:p>
        </w:tc>
        <w:tc>
          <w:tcPr>
            <w:tcW w:w="90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b w:val="1"/>
                <w:bCs w:val="1"/>
                <w:color w:val="auto"/>
              </w:rPr>
              <w:t>(1.6 )</w:t>
            </w:r>
          </w:p>
        </w:tc>
        <w:tc>
          <w:tcPr>
            <w:tcW w:w="0" w:type="dxa"/>
            <w:vAlign w:val="bottom"/>
          </w:tcPr>
          <w:p>
            <w:pPr>
              <w:spacing w:after="0"/>
              <w:rPr>
                <w:sz w:val="1"/>
                <w:szCs w:val="1"/>
                <w:color w:val="auto"/>
              </w:rPr>
            </w:pPr>
          </w:p>
        </w:tc>
      </w:tr>
      <w:tr>
        <w:trPr>
          <w:trHeight w:val="196"/>
        </w:trPr>
        <w:tc>
          <w:tcPr>
            <w:tcW w:w="3080" w:type="dxa"/>
            <w:vAlign w:val="bottom"/>
            <w:tcBorders>
              <w:bottom w:val="single" w:sz="8" w:color="auto"/>
            </w:tcBorders>
            <w:gridSpan w:val="2"/>
          </w:tcPr>
          <w:p>
            <w:pPr>
              <w:ind w:left="20"/>
              <w:spacing w:after="0" w:line="196" w:lineRule="exact"/>
              <w:rPr>
                <w:sz w:val="20"/>
                <w:szCs w:val="20"/>
                <w:color w:val="auto"/>
              </w:rPr>
            </w:pPr>
            <w:r>
              <w:rPr>
                <w:rFonts w:ascii="Arial" w:cs="Arial" w:eastAsia="Arial" w:hAnsi="Arial"/>
                <w:sz w:val="18"/>
                <w:szCs w:val="18"/>
                <w:b w:val="1"/>
                <w:bCs w:val="1"/>
                <w:color w:val="auto"/>
              </w:rPr>
              <w:t>Balance at March 31, 2022</w:t>
            </w:r>
          </w:p>
        </w:tc>
        <w:tc>
          <w:tcPr>
            <w:tcW w:w="1740" w:type="dxa"/>
            <w:vAlign w:val="bottom"/>
            <w:tcBorders>
              <w:bottom w:val="single" w:sz="8" w:color="auto"/>
            </w:tcBorders>
          </w:tcPr>
          <w:p>
            <w:pPr>
              <w:jc w:val="right"/>
              <w:ind w:right="50"/>
              <w:spacing w:after="0" w:line="196" w:lineRule="exact"/>
              <w:rPr>
                <w:sz w:val="20"/>
                <w:szCs w:val="20"/>
                <w:color w:val="auto"/>
              </w:rPr>
            </w:pPr>
            <w:r>
              <w:rPr>
                <w:rFonts w:ascii="Arial" w:cs="Arial" w:eastAsia="Arial" w:hAnsi="Arial"/>
                <w:sz w:val="18"/>
                <w:szCs w:val="18"/>
                <w:b w:val="1"/>
                <w:bCs w:val="1"/>
                <w:color w:val="auto"/>
              </w:rPr>
              <w:t>46,712,584</w:t>
            </w:r>
          </w:p>
        </w:tc>
        <w:tc>
          <w:tcPr>
            <w:tcW w:w="2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1080" w:type="dxa"/>
            <w:vAlign w:val="bottom"/>
            <w:tcBorders>
              <w:bottom w:val="single" w:sz="8" w:color="auto"/>
            </w:tcBorders>
          </w:tcPr>
          <w:p>
            <w:pPr>
              <w:jc w:val="right"/>
              <w:ind w:right="50"/>
              <w:spacing w:after="0" w:line="196" w:lineRule="exact"/>
              <w:rPr>
                <w:sz w:val="20"/>
                <w:szCs w:val="20"/>
                <w:color w:val="auto"/>
              </w:rPr>
            </w:pPr>
            <w:r>
              <w:rPr>
                <w:rFonts w:ascii="Arial" w:cs="Arial" w:eastAsia="Arial" w:hAnsi="Arial"/>
                <w:sz w:val="18"/>
                <w:szCs w:val="18"/>
                <w:b w:val="1"/>
                <w:bCs w:val="1"/>
                <w:color w:val="auto"/>
              </w:rPr>
              <w:t>840.3</w:t>
            </w:r>
          </w:p>
        </w:tc>
        <w:tc>
          <w:tcPr>
            <w:tcW w:w="2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10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(151.1 )</w:t>
            </w:r>
          </w:p>
        </w:tc>
        <w:tc>
          <w:tcPr>
            <w:tcW w:w="2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10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(4.8 )</w:t>
            </w:r>
          </w:p>
        </w:tc>
        <w:tc>
          <w:tcPr>
            <w:tcW w:w="160" w:type="dxa"/>
            <w:vAlign w:val="bottom"/>
            <w:tcBorders>
              <w:bottom w:val="single" w:sz="8" w:color="auto"/>
            </w:tcBorders>
          </w:tcPr>
          <w:p>
            <w:pPr>
              <w:ind w:left="60"/>
              <w:spacing w:after="0" w:line="196" w:lineRule="exact"/>
              <w:rPr>
                <w:sz w:val="20"/>
                <w:szCs w:val="20"/>
                <w:color w:val="auto"/>
              </w:rPr>
            </w:pPr>
            <w:r>
              <w:rPr>
                <w:rFonts w:ascii="Arial" w:cs="Arial" w:eastAsia="Arial" w:hAnsi="Arial"/>
                <w:sz w:val="18"/>
                <w:szCs w:val="18"/>
                <w:b w:val="1"/>
                <w:bCs w:val="1"/>
                <w:color w:val="auto"/>
                <w:w w:val="79"/>
              </w:rPr>
              <w:t>$</w:t>
            </w:r>
          </w:p>
        </w:tc>
        <w:tc>
          <w:tcPr>
            <w:tcW w:w="1280" w:type="dxa"/>
            <w:vAlign w:val="bottom"/>
            <w:tcBorders>
              <w:bottom w:val="single" w:sz="8" w:color="auto"/>
            </w:tcBorders>
          </w:tcPr>
          <w:p>
            <w:pPr>
              <w:jc w:val="right"/>
              <w:ind w:right="50"/>
              <w:spacing w:after="0" w:line="196" w:lineRule="exact"/>
              <w:rPr>
                <w:sz w:val="20"/>
                <w:szCs w:val="20"/>
                <w:color w:val="auto"/>
              </w:rPr>
            </w:pPr>
            <w:r>
              <w:rPr>
                <w:rFonts w:ascii="Arial" w:cs="Arial" w:eastAsia="Arial" w:hAnsi="Arial"/>
                <w:sz w:val="18"/>
                <w:szCs w:val="18"/>
                <w:b w:val="1"/>
                <w:bCs w:val="1"/>
                <w:color w:val="auto"/>
              </w:rPr>
              <w:t>18.8</w:t>
            </w:r>
          </w:p>
        </w:tc>
        <w:tc>
          <w:tcPr>
            <w:tcW w:w="28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b w:val="1"/>
                <w:bCs w:val="1"/>
                <w:color w:val="auto"/>
              </w:rPr>
              <w:t>$</w:t>
            </w:r>
          </w:p>
        </w:tc>
        <w:tc>
          <w:tcPr>
            <w:tcW w:w="90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b w:val="1"/>
                <w:bCs w:val="1"/>
                <w:color w:val="auto"/>
              </w:rPr>
              <w:t>703.2</w:t>
            </w:r>
          </w:p>
        </w:tc>
        <w:tc>
          <w:tcPr>
            <w:tcW w:w="0" w:type="dxa"/>
            <w:vAlign w:val="bottom"/>
          </w:tcPr>
          <w:p>
            <w:pPr>
              <w:spacing w:after="0"/>
              <w:rPr>
                <w:sz w:val="1"/>
                <w:szCs w:val="1"/>
                <w:color w:val="auto"/>
              </w:rPr>
            </w:pPr>
          </w:p>
        </w:tc>
      </w:tr>
      <w:tr>
        <w:trPr>
          <w:trHeight w:val="398"/>
        </w:trPr>
        <w:tc>
          <w:tcPr>
            <w:tcW w:w="128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740" w:type="dxa"/>
            <w:vAlign w:val="bottom"/>
            <w:vMerge w:val="restart"/>
          </w:tcPr>
          <w:p>
            <w:pPr>
              <w:jc w:val="center"/>
              <w:ind w:left="210"/>
              <w:spacing w:after="0"/>
              <w:rPr>
                <w:sz w:val="20"/>
                <w:szCs w:val="20"/>
                <w:color w:val="auto"/>
              </w:rPr>
            </w:pPr>
            <w:r>
              <w:rPr>
                <w:rFonts w:ascii="Arial" w:cs="Arial" w:eastAsia="Arial" w:hAnsi="Arial"/>
                <w:sz w:val="18"/>
                <w:szCs w:val="18"/>
                <w:b w:val="1"/>
                <w:bCs w:val="1"/>
                <w:color w:val="auto"/>
                <w:w w:val="92"/>
              </w:rPr>
              <w:t>Common</w:t>
            </w:r>
          </w:p>
        </w:tc>
        <w:tc>
          <w:tcPr>
            <w:tcW w:w="1300" w:type="dxa"/>
            <w:vAlign w:val="bottom"/>
            <w:gridSpan w:val="2"/>
            <w:vMerge w:val="restart"/>
          </w:tcPr>
          <w:p>
            <w:pPr>
              <w:jc w:val="right"/>
              <w:ind w:right="210"/>
              <w:spacing w:after="0"/>
              <w:rPr>
                <w:sz w:val="20"/>
                <w:szCs w:val="20"/>
                <w:color w:val="auto"/>
              </w:rPr>
            </w:pPr>
            <w:r>
              <w:rPr>
                <w:rFonts w:ascii="Arial" w:cs="Arial" w:eastAsia="Arial" w:hAnsi="Arial"/>
                <w:sz w:val="18"/>
                <w:szCs w:val="18"/>
                <w:b w:val="1"/>
                <w:bCs w:val="1"/>
                <w:color w:val="auto"/>
              </w:rPr>
              <w:t>Additional</w:t>
            </w: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80" w:type="dxa"/>
            <w:vAlign w:val="bottom"/>
          </w:tcPr>
          <w:p>
            <w:pPr>
              <w:jc w:val="center"/>
              <w:ind w:right="170"/>
              <w:spacing w:after="0"/>
              <w:rPr>
                <w:sz w:val="20"/>
                <w:szCs w:val="20"/>
                <w:color w:val="auto"/>
              </w:rPr>
            </w:pPr>
            <w:r>
              <w:rPr>
                <w:rFonts w:ascii="Arial" w:cs="Arial" w:eastAsia="Arial" w:hAnsi="Arial"/>
                <w:sz w:val="18"/>
                <w:szCs w:val="18"/>
                <w:b w:val="1"/>
                <w:bCs w:val="1"/>
                <w:color w:val="auto"/>
                <w:w w:val="90"/>
              </w:rPr>
              <w:t>Accumulated</w:t>
            </w:r>
          </w:p>
        </w:tc>
        <w:tc>
          <w:tcPr>
            <w:tcW w:w="2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5"/>
        </w:trPr>
        <w:tc>
          <w:tcPr>
            <w:tcW w:w="128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1740" w:type="dxa"/>
            <w:vAlign w:val="bottom"/>
            <w:vMerge w:val="continue"/>
          </w:tcPr>
          <w:p>
            <w:pPr>
              <w:spacing w:after="0"/>
              <w:rPr>
                <w:sz w:val="15"/>
                <w:szCs w:val="15"/>
                <w:color w:val="auto"/>
              </w:rPr>
            </w:pPr>
          </w:p>
        </w:tc>
        <w:tc>
          <w:tcPr>
            <w:tcW w:w="1300" w:type="dxa"/>
            <w:vAlign w:val="bottom"/>
            <w:gridSpan w:val="2"/>
            <w:vMerge w:val="continue"/>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vMerge w:val="restart"/>
          </w:tcPr>
          <w:p>
            <w:pPr>
              <w:jc w:val="right"/>
              <w:ind w:right="250"/>
              <w:spacing w:after="0"/>
              <w:rPr>
                <w:sz w:val="20"/>
                <w:szCs w:val="20"/>
                <w:color w:val="auto"/>
              </w:rPr>
            </w:pPr>
            <w:r>
              <w:rPr>
                <w:rFonts w:ascii="Arial" w:cs="Arial" w:eastAsia="Arial" w:hAnsi="Arial"/>
                <w:sz w:val="18"/>
                <w:szCs w:val="18"/>
                <w:b w:val="1"/>
                <w:bCs w:val="1"/>
                <w:color w:val="auto"/>
                <w:w w:val="89"/>
              </w:rPr>
              <w:t>Retained</w:t>
            </w:r>
          </w:p>
        </w:tc>
        <w:tc>
          <w:tcPr>
            <w:tcW w:w="200" w:type="dxa"/>
            <w:vAlign w:val="bottom"/>
          </w:tcPr>
          <w:p>
            <w:pPr>
              <w:spacing w:after="0"/>
              <w:rPr>
                <w:sz w:val="15"/>
                <w:szCs w:val="15"/>
                <w:color w:val="auto"/>
              </w:rPr>
            </w:pPr>
          </w:p>
        </w:tc>
        <w:tc>
          <w:tcPr>
            <w:tcW w:w="1040" w:type="dxa"/>
            <w:vAlign w:val="bottom"/>
            <w:vMerge w:val="restart"/>
          </w:tcPr>
          <w:p>
            <w:pPr>
              <w:jc w:val="center"/>
              <w:ind w:right="210"/>
              <w:spacing w:after="0"/>
              <w:rPr>
                <w:sz w:val="20"/>
                <w:szCs w:val="20"/>
                <w:color w:val="auto"/>
              </w:rPr>
            </w:pPr>
            <w:r>
              <w:rPr>
                <w:rFonts w:ascii="Arial" w:cs="Arial" w:eastAsia="Arial" w:hAnsi="Arial"/>
                <w:sz w:val="18"/>
                <w:szCs w:val="18"/>
                <w:b w:val="1"/>
                <w:bCs w:val="1"/>
                <w:color w:val="auto"/>
                <w:w w:val="92"/>
              </w:rPr>
              <w:t>Treasury</w:t>
            </w:r>
          </w:p>
        </w:tc>
        <w:tc>
          <w:tcPr>
            <w:tcW w:w="160" w:type="dxa"/>
            <w:vAlign w:val="bottom"/>
          </w:tcPr>
          <w:p>
            <w:pPr>
              <w:spacing w:after="0"/>
              <w:rPr>
                <w:sz w:val="15"/>
                <w:szCs w:val="15"/>
                <w:color w:val="auto"/>
              </w:rPr>
            </w:pPr>
          </w:p>
        </w:tc>
        <w:tc>
          <w:tcPr>
            <w:tcW w:w="1280" w:type="dxa"/>
            <w:vAlign w:val="bottom"/>
          </w:tcPr>
          <w:p>
            <w:pPr>
              <w:jc w:val="center"/>
              <w:ind w:right="170"/>
              <w:spacing w:after="0" w:line="176" w:lineRule="exact"/>
              <w:rPr>
                <w:sz w:val="20"/>
                <w:szCs w:val="20"/>
                <w:color w:val="auto"/>
              </w:rPr>
            </w:pPr>
            <w:r>
              <w:rPr>
                <w:rFonts w:ascii="Arial" w:cs="Arial" w:eastAsia="Arial" w:hAnsi="Arial"/>
                <w:sz w:val="18"/>
                <w:szCs w:val="18"/>
                <w:b w:val="1"/>
                <w:bCs w:val="1"/>
                <w:color w:val="auto"/>
                <w:w w:val="95"/>
              </w:rPr>
              <w:t>Other</w:t>
            </w:r>
          </w:p>
        </w:tc>
        <w:tc>
          <w:tcPr>
            <w:tcW w:w="28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128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1740" w:type="dxa"/>
            <w:vAlign w:val="bottom"/>
          </w:tcPr>
          <w:p>
            <w:pPr>
              <w:jc w:val="center"/>
              <w:ind w:left="210"/>
              <w:spacing w:after="0" w:line="176" w:lineRule="exact"/>
              <w:rPr>
                <w:sz w:val="20"/>
                <w:szCs w:val="20"/>
                <w:color w:val="auto"/>
              </w:rPr>
            </w:pPr>
            <w:r>
              <w:rPr>
                <w:rFonts w:ascii="Arial" w:cs="Arial" w:eastAsia="Arial" w:hAnsi="Arial"/>
                <w:sz w:val="18"/>
                <w:szCs w:val="18"/>
                <w:b w:val="1"/>
                <w:bCs w:val="1"/>
                <w:color w:val="auto"/>
                <w:w w:val="86"/>
              </w:rPr>
              <w:t>Shares</w:t>
            </w:r>
          </w:p>
        </w:tc>
        <w:tc>
          <w:tcPr>
            <w:tcW w:w="220" w:type="dxa"/>
            <w:vAlign w:val="bottom"/>
          </w:tcPr>
          <w:p>
            <w:pPr>
              <w:spacing w:after="0"/>
              <w:rPr>
                <w:sz w:val="15"/>
                <w:szCs w:val="15"/>
                <w:color w:val="auto"/>
              </w:rPr>
            </w:pPr>
          </w:p>
        </w:tc>
        <w:tc>
          <w:tcPr>
            <w:tcW w:w="1080" w:type="dxa"/>
            <w:vAlign w:val="bottom"/>
          </w:tcPr>
          <w:p>
            <w:pPr>
              <w:jc w:val="right"/>
              <w:ind w:right="350"/>
              <w:spacing w:after="0" w:line="176" w:lineRule="exact"/>
              <w:rPr>
                <w:sz w:val="20"/>
                <w:szCs w:val="20"/>
                <w:color w:val="auto"/>
              </w:rPr>
            </w:pPr>
            <w:r>
              <w:rPr>
                <w:rFonts w:ascii="Arial" w:cs="Arial" w:eastAsia="Arial" w:hAnsi="Arial"/>
                <w:sz w:val="18"/>
                <w:szCs w:val="18"/>
                <w:b w:val="1"/>
                <w:bCs w:val="1"/>
                <w:color w:val="auto"/>
              </w:rPr>
              <w:t>Paid-in</w:t>
            </w:r>
          </w:p>
        </w:tc>
        <w:tc>
          <w:tcPr>
            <w:tcW w:w="220" w:type="dxa"/>
            <w:vAlign w:val="bottom"/>
          </w:tcPr>
          <w:p>
            <w:pPr>
              <w:spacing w:after="0"/>
              <w:rPr>
                <w:sz w:val="15"/>
                <w:szCs w:val="15"/>
                <w:color w:val="auto"/>
              </w:rPr>
            </w:pPr>
          </w:p>
        </w:tc>
        <w:tc>
          <w:tcPr>
            <w:tcW w:w="104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1040" w:type="dxa"/>
            <w:vAlign w:val="bottom"/>
            <w:vMerge w:val="continue"/>
          </w:tcPr>
          <w:p>
            <w:pPr>
              <w:spacing w:after="0"/>
              <w:rPr>
                <w:sz w:val="15"/>
                <w:szCs w:val="15"/>
                <w:color w:val="auto"/>
              </w:rPr>
            </w:pPr>
          </w:p>
        </w:tc>
        <w:tc>
          <w:tcPr>
            <w:tcW w:w="1440" w:type="dxa"/>
            <w:vAlign w:val="bottom"/>
            <w:gridSpan w:val="2"/>
          </w:tcPr>
          <w:p>
            <w:pPr>
              <w:jc w:val="center"/>
              <w:spacing w:after="0" w:line="176" w:lineRule="exact"/>
              <w:rPr>
                <w:sz w:val="20"/>
                <w:szCs w:val="20"/>
                <w:color w:val="auto"/>
              </w:rPr>
            </w:pPr>
            <w:r>
              <w:rPr>
                <w:rFonts w:ascii="Arial" w:cs="Arial" w:eastAsia="Arial" w:hAnsi="Arial"/>
                <w:sz w:val="18"/>
                <w:szCs w:val="18"/>
                <w:b w:val="1"/>
                <w:bCs w:val="1"/>
                <w:color w:val="auto"/>
                <w:w w:val="88"/>
              </w:rPr>
              <w:t>Comprehensive</w:t>
            </w:r>
          </w:p>
        </w:tc>
        <w:tc>
          <w:tcPr>
            <w:tcW w:w="280" w:type="dxa"/>
            <w:vAlign w:val="bottom"/>
          </w:tcPr>
          <w:p>
            <w:pPr>
              <w:spacing w:after="0"/>
              <w:rPr>
                <w:sz w:val="15"/>
                <w:szCs w:val="15"/>
                <w:color w:val="auto"/>
              </w:rPr>
            </w:pPr>
          </w:p>
        </w:tc>
        <w:tc>
          <w:tcPr>
            <w:tcW w:w="900" w:type="dxa"/>
            <w:vAlign w:val="bottom"/>
            <w:vMerge w:val="restart"/>
          </w:tcPr>
          <w:p>
            <w:pPr>
              <w:jc w:val="right"/>
              <w:ind w:right="33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16"/>
        </w:trPr>
        <w:tc>
          <w:tcPr>
            <w:tcW w:w="1280" w:type="dxa"/>
            <w:vAlign w:val="bottom"/>
            <w:tcBorders>
              <w:bottom w:val="single" w:sz="8" w:color="auto"/>
            </w:tcBorders>
          </w:tcPr>
          <w:p>
            <w:pPr>
              <w:spacing w:after="0"/>
              <w:rPr>
                <w:sz w:val="18"/>
                <w:szCs w:val="18"/>
                <w:color w:val="auto"/>
              </w:rPr>
            </w:pPr>
          </w:p>
        </w:tc>
        <w:tc>
          <w:tcPr>
            <w:tcW w:w="1800" w:type="dxa"/>
            <w:vAlign w:val="bottom"/>
            <w:tcBorders>
              <w:bottom w:val="single" w:sz="8" w:color="auto"/>
            </w:tcBorders>
          </w:tcPr>
          <w:p>
            <w:pPr>
              <w:spacing w:after="0"/>
              <w:rPr>
                <w:sz w:val="18"/>
                <w:szCs w:val="18"/>
                <w:color w:val="auto"/>
              </w:rPr>
            </w:pPr>
          </w:p>
        </w:tc>
        <w:tc>
          <w:tcPr>
            <w:tcW w:w="1740" w:type="dxa"/>
            <w:vAlign w:val="bottom"/>
            <w:tcBorders>
              <w:bottom w:val="single" w:sz="8" w:color="auto"/>
            </w:tcBorders>
          </w:tcPr>
          <w:p>
            <w:pPr>
              <w:jc w:val="center"/>
              <w:ind w:left="210"/>
              <w:spacing w:after="0"/>
              <w:rPr>
                <w:sz w:val="20"/>
                <w:szCs w:val="20"/>
                <w:color w:val="auto"/>
              </w:rPr>
            </w:pPr>
            <w:r>
              <w:rPr>
                <w:rFonts w:ascii="Arial" w:cs="Arial" w:eastAsia="Arial" w:hAnsi="Arial"/>
                <w:sz w:val="18"/>
                <w:szCs w:val="18"/>
                <w:b w:val="1"/>
                <w:bCs w:val="1"/>
                <w:color w:val="auto"/>
                <w:w w:val="90"/>
              </w:rPr>
              <w:t>Outstanding</w:t>
            </w:r>
          </w:p>
        </w:tc>
        <w:tc>
          <w:tcPr>
            <w:tcW w:w="22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Capital</w:t>
            </w:r>
          </w:p>
        </w:tc>
        <w:tc>
          <w:tcPr>
            <w:tcW w:w="2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Deficit</w:t>
            </w:r>
          </w:p>
        </w:tc>
        <w:tc>
          <w:tcPr>
            <w:tcW w:w="20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center"/>
              <w:ind w:right="190"/>
              <w:spacing w:after="0"/>
              <w:rPr>
                <w:sz w:val="20"/>
                <w:szCs w:val="20"/>
                <w:color w:val="auto"/>
              </w:rPr>
            </w:pPr>
            <w:r>
              <w:rPr>
                <w:rFonts w:ascii="Arial" w:cs="Arial" w:eastAsia="Arial" w:hAnsi="Arial"/>
                <w:sz w:val="18"/>
                <w:szCs w:val="18"/>
                <w:b w:val="1"/>
                <w:bCs w:val="1"/>
                <w:color w:val="auto"/>
                <w:w w:val="86"/>
              </w:rPr>
              <w:t>Shares</w:t>
            </w:r>
          </w:p>
        </w:tc>
        <w:tc>
          <w:tcPr>
            <w:tcW w:w="144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88"/>
              </w:rPr>
              <w:t>Income (Loss)</w:t>
            </w:r>
          </w:p>
        </w:tc>
        <w:tc>
          <w:tcPr>
            <w:tcW w:w="2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3080" w:type="dxa"/>
            <w:vAlign w:val="bottom"/>
            <w:tcBorders>
              <w:bottom w:val="single" w:sz="8" w:color="auto"/>
            </w:tcBorders>
            <w:gridSpan w:val="2"/>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Balance at December 31, 2020</w:t>
            </w:r>
          </w:p>
        </w:tc>
        <w:tc>
          <w:tcPr>
            <w:tcW w:w="1740" w:type="dxa"/>
            <w:vAlign w:val="bottom"/>
            <w:tcBorders>
              <w:bottom w:val="single" w:sz="8" w:color="auto"/>
            </w:tcBorders>
            <w:shd w:val="clear" w:color="auto" w:fill="CFF0FC"/>
          </w:tcPr>
          <w:p>
            <w:pPr>
              <w:jc w:val="right"/>
              <w:ind w:right="110"/>
              <w:spacing w:after="0" w:line="196" w:lineRule="exact"/>
              <w:rPr>
                <w:sz w:val="20"/>
                <w:szCs w:val="20"/>
                <w:color w:val="auto"/>
              </w:rPr>
            </w:pPr>
            <w:r>
              <w:rPr>
                <w:rFonts w:ascii="Arial" w:cs="Arial" w:eastAsia="Arial" w:hAnsi="Arial"/>
                <w:sz w:val="18"/>
                <w:szCs w:val="18"/>
                <w:color w:val="auto"/>
              </w:rPr>
              <w:t>45,164,308</w:t>
            </w:r>
          </w:p>
        </w:tc>
        <w:tc>
          <w:tcPr>
            <w:tcW w:w="22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shd w:val="clear" w:color="auto" w:fill="CFF0FC"/>
          </w:tcPr>
          <w:p>
            <w:pPr>
              <w:jc w:val="right"/>
              <w:ind w:right="90"/>
              <w:spacing w:after="0" w:line="196" w:lineRule="exact"/>
              <w:rPr>
                <w:sz w:val="20"/>
                <w:szCs w:val="20"/>
                <w:color w:val="auto"/>
              </w:rPr>
            </w:pPr>
            <w:r>
              <w:rPr>
                <w:rFonts w:ascii="Arial" w:cs="Arial" w:eastAsia="Arial" w:hAnsi="Arial"/>
                <w:sz w:val="18"/>
                <w:szCs w:val="18"/>
                <w:color w:val="auto"/>
              </w:rPr>
              <w:t>843.4</w:t>
            </w:r>
          </w:p>
        </w:tc>
        <w:tc>
          <w:tcPr>
            <w:tcW w:w="22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(363.4 )</w:t>
            </w:r>
          </w:p>
        </w:tc>
        <w:tc>
          <w:tcPr>
            <w:tcW w:w="20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(12.9 )</w:t>
            </w:r>
          </w:p>
        </w:tc>
        <w:tc>
          <w:tcPr>
            <w:tcW w:w="160" w:type="dxa"/>
            <w:vAlign w:val="bottom"/>
            <w:tcBorders>
              <w:bottom w:val="single" w:sz="8" w:color="auto"/>
            </w:tcBorders>
            <w:shd w:val="clear" w:color="auto" w:fill="CFF0FC"/>
          </w:tcPr>
          <w:p>
            <w:pPr>
              <w:ind w:left="60"/>
              <w:spacing w:after="0" w:line="196" w:lineRule="exact"/>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auto"/>
            </w:tcBorders>
            <w:shd w:val="clear" w:color="auto" w:fill="CFF0FC"/>
          </w:tcPr>
          <w:p>
            <w:pPr>
              <w:jc w:val="right"/>
              <w:ind w:right="70"/>
              <w:spacing w:after="0" w:line="196" w:lineRule="exact"/>
              <w:rPr>
                <w:sz w:val="20"/>
                <w:szCs w:val="20"/>
                <w:color w:val="auto"/>
              </w:rPr>
            </w:pPr>
            <w:r>
              <w:rPr>
                <w:rFonts w:ascii="Arial" w:cs="Arial" w:eastAsia="Arial" w:hAnsi="Arial"/>
                <w:sz w:val="18"/>
                <w:szCs w:val="18"/>
                <w:color w:val="auto"/>
              </w:rPr>
              <w:t>40.4</w:t>
            </w:r>
          </w:p>
        </w:tc>
        <w:tc>
          <w:tcPr>
            <w:tcW w:w="280" w:type="dxa"/>
            <w:vAlign w:val="bottom"/>
            <w:tcBorders>
              <w:bottom w:val="single" w:sz="8" w:color="auto"/>
            </w:tcBorders>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w:t>
            </w:r>
          </w:p>
        </w:tc>
        <w:tc>
          <w:tcPr>
            <w:tcW w:w="900" w:type="dxa"/>
            <w:vAlign w:val="bottom"/>
            <w:tcBorders>
              <w:bottom w:val="single" w:sz="8" w:color="auto"/>
            </w:tcBorders>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507.5</w:t>
            </w:r>
          </w:p>
        </w:tc>
        <w:tc>
          <w:tcPr>
            <w:tcW w:w="0" w:type="dxa"/>
            <w:vAlign w:val="bottom"/>
          </w:tcPr>
          <w:p>
            <w:pPr>
              <w:spacing w:after="0"/>
              <w:rPr>
                <w:sz w:val="1"/>
                <w:szCs w:val="1"/>
                <w:color w:val="auto"/>
              </w:rPr>
            </w:pPr>
          </w:p>
        </w:tc>
      </w:tr>
      <w:tr>
        <w:trPr>
          <w:trHeight w:val="196"/>
        </w:trPr>
        <w:tc>
          <w:tcPr>
            <w:tcW w:w="3080" w:type="dxa"/>
            <w:vAlign w:val="bottom"/>
            <w:gridSpan w:val="2"/>
          </w:tcPr>
          <w:p>
            <w:pPr>
              <w:ind w:left="200"/>
              <w:spacing w:after="0" w:line="196" w:lineRule="exact"/>
              <w:rPr>
                <w:sz w:val="20"/>
                <w:szCs w:val="20"/>
                <w:color w:val="auto"/>
              </w:rPr>
            </w:pPr>
            <w:r>
              <w:rPr>
                <w:rFonts w:ascii="Arial" w:cs="Arial" w:eastAsia="Arial" w:hAnsi="Arial"/>
                <w:sz w:val="18"/>
                <w:szCs w:val="18"/>
                <w:color w:val="auto"/>
              </w:rPr>
              <w:t>Net income (loss)</w:t>
            </w:r>
          </w:p>
        </w:tc>
        <w:tc>
          <w:tcPr>
            <w:tcW w:w="1740" w:type="dxa"/>
            <w:vAlign w:val="bottom"/>
          </w:tcPr>
          <w:p>
            <w:pPr>
              <w:jc w:val="right"/>
              <w:ind w:right="110"/>
              <w:spacing w:after="0" w:line="196"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7"/>
                <w:szCs w:val="17"/>
                <w:color w:val="auto"/>
              </w:rPr>
            </w:pPr>
          </w:p>
        </w:tc>
        <w:tc>
          <w:tcPr>
            <w:tcW w:w="1080" w:type="dxa"/>
            <w:vAlign w:val="bottom"/>
          </w:tcPr>
          <w:p>
            <w:pPr>
              <w:jc w:val="right"/>
              <w:ind w:right="90"/>
              <w:spacing w:after="0" w:line="196"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7"/>
                <w:szCs w:val="17"/>
                <w:color w:val="auto"/>
              </w:rPr>
            </w:pPr>
          </w:p>
        </w:tc>
        <w:tc>
          <w:tcPr>
            <w:tcW w:w="1040" w:type="dxa"/>
            <w:vAlign w:val="bottom"/>
          </w:tcPr>
          <w:p>
            <w:pPr>
              <w:jc w:val="right"/>
              <w:ind w:right="70"/>
              <w:spacing w:after="0" w:line="196" w:lineRule="exact"/>
              <w:rPr>
                <w:sz w:val="20"/>
                <w:szCs w:val="20"/>
                <w:color w:val="auto"/>
              </w:rPr>
            </w:pPr>
            <w:r>
              <w:rPr>
                <w:rFonts w:ascii="Arial" w:cs="Arial" w:eastAsia="Arial" w:hAnsi="Arial"/>
                <w:sz w:val="18"/>
                <w:szCs w:val="18"/>
                <w:color w:val="auto"/>
              </w:rPr>
              <w:t>9.8</w:t>
            </w:r>
          </w:p>
        </w:tc>
        <w:tc>
          <w:tcPr>
            <w:tcW w:w="200" w:type="dxa"/>
            <w:vAlign w:val="bottom"/>
          </w:tcPr>
          <w:p>
            <w:pPr>
              <w:spacing w:after="0"/>
              <w:rPr>
                <w:sz w:val="17"/>
                <w:szCs w:val="17"/>
                <w:color w:val="auto"/>
              </w:rPr>
            </w:pPr>
          </w:p>
        </w:tc>
        <w:tc>
          <w:tcPr>
            <w:tcW w:w="1040" w:type="dxa"/>
            <w:vAlign w:val="bottom"/>
          </w:tcPr>
          <w:p>
            <w:pPr>
              <w:jc w:val="right"/>
              <w:ind w:right="70"/>
              <w:spacing w:after="0" w:line="196" w:lineRule="exact"/>
              <w:rPr>
                <w:sz w:val="20"/>
                <w:szCs w:val="20"/>
                <w:color w:val="auto"/>
              </w:rPr>
            </w:pPr>
            <w:r>
              <w:rPr>
                <w:rFonts w:ascii="Arial" w:cs="Arial" w:eastAsia="Arial" w:hAnsi="Arial"/>
                <w:sz w:val="18"/>
                <w:szCs w:val="18"/>
                <w:color w:val="auto"/>
              </w:rPr>
              <w:t>—</w:t>
            </w:r>
          </w:p>
        </w:tc>
        <w:tc>
          <w:tcPr>
            <w:tcW w:w="160" w:type="dxa"/>
            <w:vAlign w:val="bottom"/>
          </w:tcPr>
          <w:p>
            <w:pPr>
              <w:spacing w:after="0"/>
              <w:rPr>
                <w:sz w:val="17"/>
                <w:szCs w:val="17"/>
                <w:color w:val="auto"/>
              </w:rPr>
            </w:pPr>
          </w:p>
        </w:tc>
        <w:tc>
          <w:tcPr>
            <w:tcW w:w="1280" w:type="dxa"/>
            <w:vAlign w:val="bottom"/>
          </w:tcPr>
          <w:p>
            <w:pPr>
              <w:jc w:val="right"/>
              <w:ind w:right="70"/>
              <w:spacing w:after="0" w:line="196" w:lineRule="exact"/>
              <w:rPr>
                <w:sz w:val="20"/>
                <w:szCs w:val="20"/>
                <w:color w:val="auto"/>
              </w:rPr>
            </w:pPr>
            <w:r>
              <w:rPr>
                <w:rFonts w:ascii="Arial" w:cs="Arial" w:eastAsia="Arial" w:hAnsi="Arial"/>
                <w:sz w:val="18"/>
                <w:szCs w:val="18"/>
                <w:color w:val="auto"/>
              </w:rPr>
              <w:t>—</w:t>
            </w:r>
          </w:p>
        </w:tc>
        <w:tc>
          <w:tcPr>
            <w:tcW w:w="280" w:type="dxa"/>
            <w:vAlign w:val="bottom"/>
          </w:tcPr>
          <w:p>
            <w:pPr>
              <w:spacing w:after="0"/>
              <w:rPr>
                <w:sz w:val="17"/>
                <w:szCs w:val="17"/>
                <w:color w:val="auto"/>
              </w:rPr>
            </w:pPr>
          </w:p>
        </w:tc>
        <w:tc>
          <w:tcPr>
            <w:tcW w:w="900" w:type="dxa"/>
            <w:vAlign w:val="bottom"/>
          </w:tcPr>
          <w:p>
            <w:pPr>
              <w:jc w:val="right"/>
              <w:ind w:right="10"/>
              <w:spacing w:after="0" w:line="196" w:lineRule="exact"/>
              <w:rPr>
                <w:sz w:val="20"/>
                <w:szCs w:val="20"/>
                <w:color w:val="auto"/>
              </w:rPr>
            </w:pPr>
            <w:r>
              <w:rPr>
                <w:rFonts w:ascii="Arial" w:cs="Arial" w:eastAsia="Arial" w:hAnsi="Arial"/>
                <w:sz w:val="18"/>
                <w:szCs w:val="18"/>
                <w:color w:val="auto"/>
              </w:rPr>
              <w:t>9.8</w:t>
            </w:r>
          </w:p>
        </w:tc>
        <w:tc>
          <w:tcPr>
            <w:tcW w:w="0" w:type="dxa"/>
            <w:vAlign w:val="bottom"/>
          </w:tcPr>
          <w:p>
            <w:pPr>
              <w:spacing w:after="0"/>
              <w:rPr>
                <w:sz w:val="1"/>
                <w:szCs w:val="1"/>
                <w:color w:val="auto"/>
              </w:rPr>
            </w:pPr>
          </w:p>
        </w:tc>
      </w:tr>
      <w:tr>
        <w:trPr>
          <w:trHeight w:val="203"/>
        </w:trPr>
        <w:tc>
          <w:tcPr>
            <w:tcW w:w="3080" w:type="dxa"/>
            <w:vAlign w:val="bottom"/>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Other comprehensive income (loss)</w:t>
            </w:r>
          </w:p>
        </w:tc>
        <w:tc>
          <w:tcPr>
            <w:tcW w:w="1740" w:type="dxa"/>
            <w:vAlign w:val="bottom"/>
            <w:shd w:val="clear" w:color="auto" w:fill="CFF0FC"/>
          </w:tcPr>
          <w:p>
            <w:pPr>
              <w:jc w:val="right"/>
              <w:ind w:right="110"/>
              <w:spacing w:after="0" w:line="202" w:lineRule="exact"/>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7"/>
                <w:szCs w:val="17"/>
                <w:color w:val="auto"/>
              </w:rPr>
            </w:pPr>
          </w:p>
        </w:tc>
        <w:tc>
          <w:tcPr>
            <w:tcW w:w="1080" w:type="dxa"/>
            <w:vAlign w:val="bottom"/>
            <w:shd w:val="clear" w:color="auto" w:fill="CFF0FC"/>
          </w:tcPr>
          <w:p>
            <w:pPr>
              <w:jc w:val="right"/>
              <w:ind w:right="90"/>
              <w:spacing w:after="0" w:line="202" w:lineRule="exact"/>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7"/>
                <w:szCs w:val="17"/>
                <w:color w:val="auto"/>
              </w:rPr>
            </w:pPr>
          </w:p>
        </w:tc>
        <w:tc>
          <w:tcPr>
            <w:tcW w:w="1040" w:type="dxa"/>
            <w:vAlign w:val="bottom"/>
            <w:shd w:val="clear" w:color="auto" w:fill="CFF0FC"/>
          </w:tcPr>
          <w:p>
            <w:pPr>
              <w:jc w:val="right"/>
              <w:ind w:right="70"/>
              <w:spacing w:after="0" w:line="202" w:lineRule="exact"/>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7"/>
                <w:szCs w:val="17"/>
                <w:color w:val="auto"/>
              </w:rPr>
            </w:pPr>
          </w:p>
        </w:tc>
        <w:tc>
          <w:tcPr>
            <w:tcW w:w="1040" w:type="dxa"/>
            <w:vAlign w:val="bottom"/>
            <w:shd w:val="clear" w:color="auto" w:fill="CFF0FC"/>
          </w:tcPr>
          <w:p>
            <w:pPr>
              <w:jc w:val="right"/>
              <w:ind w:right="70"/>
              <w:spacing w:after="0" w:line="202" w:lineRule="exact"/>
              <w:rPr>
                <w:sz w:val="20"/>
                <w:szCs w:val="20"/>
                <w:color w:val="auto"/>
              </w:rPr>
            </w:pPr>
            <w:r>
              <w:rPr>
                <w:rFonts w:ascii="Arial" w:cs="Arial" w:eastAsia="Arial" w:hAnsi="Arial"/>
                <w:sz w:val="18"/>
                <w:szCs w:val="18"/>
                <w:color w:val="auto"/>
              </w:rPr>
              <w:t>—</w:t>
            </w:r>
          </w:p>
        </w:tc>
        <w:tc>
          <w:tcPr>
            <w:tcW w:w="160" w:type="dxa"/>
            <w:vAlign w:val="bottom"/>
            <w:shd w:val="clear" w:color="auto" w:fill="CFF0FC"/>
          </w:tcPr>
          <w:p>
            <w:pPr>
              <w:spacing w:after="0"/>
              <w:rPr>
                <w:sz w:val="17"/>
                <w:szCs w:val="17"/>
                <w:color w:val="auto"/>
              </w:rPr>
            </w:pPr>
          </w:p>
        </w:tc>
        <w:tc>
          <w:tcPr>
            <w:tcW w:w="12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(1.4 )</w:t>
            </w:r>
          </w:p>
        </w:tc>
        <w:tc>
          <w:tcPr>
            <w:tcW w:w="280" w:type="dxa"/>
            <w:vAlign w:val="bottom"/>
            <w:shd w:val="clear" w:color="auto" w:fill="CFF0FC"/>
          </w:tcPr>
          <w:p>
            <w:pPr>
              <w:spacing w:after="0"/>
              <w:rPr>
                <w:sz w:val="17"/>
                <w:szCs w:val="17"/>
                <w:color w:val="auto"/>
              </w:rPr>
            </w:pPr>
          </w:p>
        </w:tc>
        <w:tc>
          <w:tcPr>
            <w:tcW w:w="90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(1.4 )</w:t>
            </w:r>
          </w:p>
        </w:tc>
        <w:tc>
          <w:tcPr>
            <w:tcW w:w="0" w:type="dxa"/>
            <w:vAlign w:val="bottom"/>
          </w:tcPr>
          <w:p>
            <w:pPr>
              <w:spacing w:after="0"/>
              <w:rPr>
                <w:sz w:val="1"/>
                <w:szCs w:val="1"/>
                <w:color w:val="auto"/>
              </w:rPr>
            </w:pPr>
          </w:p>
        </w:tc>
      </w:tr>
      <w:tr>
        <w:trPr>
          <w:trHeight w:val="203"/>
        </w:trPr>
        <w:tc>
          <w:tcPr>
            <w:tcW w:w="3080" w:type="dxa"/>
            <w:vAlign w:val="bottom"/>
            <w:gridSpan w:val="2"/>
          </w:tcPr>
          <w:p>
            <w:pPr>
              <w:ind w:left="200"/>
              <w:spacing w:after="0" w:line="202" w:lineRule="exact"/>
              <w:rPr>
                <w:sz w:val="20"/>
                <w:szCs w:val="20"/>
                <w:color w:val="auto"/>
              </w:rPr>
            </w:pPr>
            <w:r>
              <w:rPr>
                <w:rFonts w:ascii="Arial" w:cs="Arial" w:eastAsia="Arial" w:hAnsi="Arial"/>
                <w:sz w:val="18"/>
                <w:szCs w:val="18"/>
                <w:color w:val="auto"/>
                <w:w w:val="96"/>
              </w:rPr>
              <w:t>Adoption of new accounting standard</w:t>
            </w:r>
          </w:p>
        </w:tc>
        <w:tc>
          <w:tcPr>
            <w:tcW w:w="1740" w:type="dxa"/>
            <w:vAlign w:val="bottom"/>
          </w:tcPr>
          <w:p>
            <w:pPr>
              <w:jc w:val="right"/>
              <w:ind w:right="110"/>
              <w:spacing w:after="0" w:line="202"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7"/>
                <w:szCs w:val="17"/>
                <w:color w:val="auto"/>
              </w:rPr>
            </w:pPr>
          </w:p>
        </w:tc>
        <w:tc>
          <w:tcPr>
            <w:tcW w:w="1080" w:type="dxa"/>
            <w:vAlign w:val="bottom"/>
          </w:tcPr>
          <w:p>
            <w:pPr>
              <w:jc w:val="right"/>
              <w:ind w:right="10"/>
              <w:spacing w:after="0" w:line="202" w:lineRule="exact"/>
              <w:rPr>
                <w:sz w:val="20"/>
                <w:szCs w:val="20"/>
                <w:color w:val="auto"/>
              </w:rPr>
            </w:pPr>
            <w:r>
              <w:rPr>
                <w:rFonts w:ascii="Arial" w:cs="Arial" w:eastAsia="Arial" w:hAnsi="Arial"/>
                <w:sz w:val="18"/>
                <w:szCs w:val="18"/>
                <w:color w:val="auto"/>
              </w:rPr>
              <w:t>(10.6 )</w:t>
            </w:r>
          </w:p>
        </w:tc>
        <w:tc>
          <w:tcPr>
            <w:tcW w:w="220" w:type="dxa"/>
            <w:vAlign w:val="bottom"/>
          </w:tcPr>
          <w:p>
            <w:pPr>
              <w:spacing w:after="0"/>
              <w:rPr>
                <w:sz w:val="17"/>
                <w:szCs w:val="17"/>
                <w:color w:val="auto"/>
              </w:rPr>
            </w:pPr>
          </w:p>
        </w:tc>
        <w:tc>
          <w:tcPr>
            <w:tcW w:w="1040" w:type="dxa"/>
            <w:vAlign w:val="bottom"/>
          </w:tcPr>
          <w:p>
            <w:pPr>
              <w:jc w:val="right"/>
              <w:ind w:right="70"/>
              <w:spacing w:after="0" w:line="202" w:lineRule="exact"/>
              <w:rPr>
                <w:sz w:val="20"/>
                <w:szCs w:val="20"/>
                <w:color w:val="auto"/>
              </w:rPr>
            </w:pPr>
            <w:r>
              <w:rPr>
                <w:rFonts w:ascii="Arial" w:cs="Arial" w:eastAsia="Arial" w:hAnsi="Arial"/>
                <w:sz w:val="18"/>
                <w:szCs w:val="18"/>
                <w:color w:val="auto"/>
              </w:rPr>
              <w:t>4.2</w:t>
            </w:r>
          </w:p>
        </w:tc>
        <w:tc>
          <w:tcPr>
            <w:tcW w:w="200" w:type="dxa"/>
            <w:vAlign w:val="bottom"/>
          </w:tcPr>
          <w:p>
            <w:pPr>
              <w:spacing w:after="0"/>
              <w:rPr>
                <w:sz w:val="17"/>
                <w:szCs w:val="17"/>
                <w:color w:val="auto"/>
              </w:rPr>
            </w:pPr>
          </w:p>
        </w:tc>
        <w:tc>
          <w:tcPr>
            <w:tcW w:w="1040" w:type="dxa"/>
            <w:vAlign w:val="bottom"/>
          </w:tcPr>
          <w:p>
            <w:pPr>
              <w:jc w:val="right"/>
              <w:ind w:right="70"/>
              <w:spacing w:after="0" w:line="202" w:lineRule="exact"/>
              <w:rPr>
                <w:sz w:val="20"/>
                <w:szCs w:val="20"/>
                <w:color w:val="auto"/>
              </w:rPr>
            </w:pPr>
            <w:r>
              <w:rPr>
                <w:rFonts w:ascii="Arial" w:cs="Arial" w:eastAsia="Arial" w:hAnsi="Arial"/>
                <w:sz w:val="18"/>
                <w:szCs w:val="18"/>
                <w:color w:val="auto"/>
              </w:rPr>
              <w:t>—</w:t>
            </w:r>
          </w:p>
        </w:tc>
        <w:tc>
          <w:tcPr>
            <w:tcW w:w="160" w:type="dxa"/>
            <w:vAlign w:val="bottom"/>
          </w:tcPr>
          <w:p>
            <w:pPr>
              <w:spacing w:after="0"/>
              <w:rPr>
                <w:sz w:val="17"/>
                <w:szCs w:val="17"/>
                <w:color w:val="auto"/>
              </w:rPr>
            </w:pPr>
          </w:p>
        </w:tc>
        <w:tc>
          <w:tcPr>
            <w:tcW w:w="1280" w:type="dxa"/>
            <w:vAlign w:val="bottom"/>
          </w:tcPr>
          <w:p>
            <w:pPr>
              <w:jc w:val="right"/>
              <w:ind w:right="70"/>
              <w:spacing w:after="0" w:line="202" w:lineRule="exact"/>
              <w:rPr>
                <w:sz w:val="20"/>
                <w:szCs w:val="20"/>
                <w:color w:val="auto"/>
              </w:rPr>
            </w:pPr>
            <w:r>
              <w:rPr>
                <w:rFonts w:ascii="Arial" w:cs="Arial" w:eastAsia="Arial" w:hAnsi="Arial"/>
                <w:sz w:val="18"/>
                <w:szCs w:val="18"/>
                <w:color w:val="auto"/>
              </w:rPr>
              <w:t>—</w:t>
            </w:r>
          </w:p>
        </w:tc>
        <w:tc>
          <w:tcPr>
            <w:tcW w:w="280" w:type="dxa"/>
            <w:vAlign w:val="bottom"/>
          </w:tcPr>
          <w:p>
            <w:pPr>
              <w:spacing w:after="0"/>
              <w:rPr>
                <w:sz w:val="17"/>
                <w:szCs w:val="17"/>
                <w:color w:val="auto"/>
              </w:rPr>
            </w:pPr>
          </w:p>
        </w:tc>
        <w:tc>
          <w:tcPr>
            <w:tcW w:w="900" w:type="dxa"/>
            <w:vAlign w:val="bottom"/>
          </w:tcPr>
          <w:p>
            <w:pPr>
              <w:jc w:val="right"/>
              <w:spacing w:after="0" w:line="202" w:lineRule="exact"/>
              <w:rPr>
                <w:sz w:val="20"/>
                <w:szCs w:val="20"/>
                <w:color w:val="auto"/>
              </w:rPr>
            </w:pPr>
            <w:r>
              <w:rPr>
                <w:rFonts w:ascii="Arial" w:cs="Arial" w:eastAsia="Arial" w:hAnsi="Arial"/>
                <w:sz w:val="18"/>
                <w:szCs w:val="18"/>
                <w:color w:val="auto"/>
              </w:rPr>
              <w:t>(6.4 )</w:t>
            </w:r>
          </w:p>
        </w:tc>
        <w:tc>
          <w:tcPr>
            <w:tcW w:w="0" w:type="dxa"/>
            <w:vAlign w:val="bottom"/>
          </w:tcPr>
          <w:p>
            <w:pPr>
              <w:spacing w:after="0"/>
              <w:rPr>
                <w:sz w:val="1"/>
                <w:szCs w:val="1"/>
                <w:color w:val="auto"/>
              </w:rPr>
            </w:pPr>
          </w:p>
        </w:tc>
      </w:tr>
      <w:tr>
        <w:trPr>
          <w:trHeight w:val="203"/>
        </w:trPr>
        <w:tc>
          <w:tcPr>
            <w:tcW w:w="3080" w:type="dxa"/>
            <w:vAlign w:val="bottom"/>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w w:val="98"/>
              </w:rPr>
              <w:t>Stock-based compensation expense</w:t>
            </w:r>
          </w:p>
        </w:tc>
        <w:tc>
          <w:tcPr>
            <w:tcW w:w="1740" w:type="dxa"/>
            <w:vAlign w:val="bottom"/>
            <w:shd w:val="clear" w:color="auto" w:fill="CFF0FC"/>
          </w:tcPr>
          <w:p>
            <w:pPr>
              <w:jc w:val="right"/>
              <w:ind w:right="110"/>
              <w:spacing w:after="0" w:line="202" w:lineRule="exact"/>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7"/>
                <w:szCs w:val="17"/>
                <w:color w:val="auto"/>
              </w:rPr>
            </w:pPr>
          </w:p>
        </w:tc>
        <w:tc>
          <w:tcPr>
            <w:tcW w:w="1080" w:type="dxa"/>
            <w:vAlign w:val="bottom"/>
            <w:shd w:val="clear" w:color="auto" w:fill="CFF0FC"/>
          </w:tcPr>
          <w:p>
            <w:pPr>
              <w:jc w:val="right"/>
              <w:ind w:right="90"/>
              <w:spacing w:after="0" w:line="202" w:lineRule="exact"/>
              <w:rPr>
                <w:sz w:val="20"/>
                <w:szCs w:val="20"/>
                <w:color w:val="auto"/>
              </w:rPr>
            </w:pPr>
            <w:r>
              <w:rPr>
                <w:rFonts w:ascii="Arial" w:cs="Arial" w:eastAsia="Arial" w:hAnsi="Arial"/>
                <w:sz w:val="18"/>
                <w:szCs w:val="18"/>
                <w:color w:val="auto"/>
              </w:rPr>
              <w:t>1.8</w:t>
            </w:r>
          </w:p>
        </w:tc>
        <w:tc>
          <w:tcPr>
            <w:tcW w:w="220" w:type="dxa"/>
            <w:vAlign w:val="bottom"/>
            <w:shd w:val="clear" w:color="auto" w:fill="CFF0FC"/>
          </w:tcPr>
          <w:p>
            <w:pPr>
              <w:spacing w:after="0"/>
              <w:rPr>
                <w:sz w:val="17"/>
                <w:szCs w:val="17"/>
                <w:color w:val="auto"/>
              </w:rPr>
            </w:pPr>
          </w:p>
        </w:tc>
        <w:tc>
          <w:tcPr>
            <w:tcW w:w="1040" w:type="dxa"/>
            <w:vAlign w:val="bottom"/>
            <w:shd w:val="clear" w:color="auto" w:fill="CFF0FC"/>
          </w:tcPr>
          <w:p>
            <w:pPr>
              <w:jc w:val="right"/>
              <w:ind w:right="70"/>
              <w:spacing w:after="0" w:line="202" w:lineRule="exact"/>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7"/>
                <w:szCs w:val="17"/>
                <w:color w:val="auto"/>
              </w:rPr>
            </w:pPr>
          </w:p>
        </w:tc>
        <w:tc>
          <w:tcPr>
            <w:tcW w:w="1040" w:type="dxa"/>
            <w:vAlign w:val="bottom"/>
            <w:shd w:val="clear" w:color="auto" w:fill="CFF0FC"/>
          </w:tcPr>
          <w:p>
            <w:pPr>
              <w:jc w:val="right"/>
              <w:ind w:right="70"/>
              <w:spacing w:after="0" w:line="202" w:lineRule="exact"/>
              <w:rPr>
                <w:sz w:val="20"/>
                <w:szCs w:val="20"/>
                <w:color w:val="auto"/>
              </w:rPr>
            </w:pPr>
            <w:r>
              <w:rPr>
                <w:rFonts w:ascii="Arial" w:cs="Arial" w:eastAsia="Arial" w:hAnsi="Arial"/>
                <w:sz w:val="18"/>
                <w:szCs w:val="18"/>
                <w:color w:val="auto"/>
              </w:rPr>
              <w:t>—</w:t>
            </w:r>
          </w:p>
        </w:tc>
        <w:tc>
          <w:tcPr>
            <w:tcW w:w="160" w:type="dxa"/>
            <w:vAlign w:val="bottom"/>
            <w:shd w:val="clear" w:color="auto" w:fill="CFF0FC"/>
          </w:tcPr>
          <w:p>
            <w:pPr>
              <w:spacing w:after="0"/>
              <w:rPr>
                <w:sz w:val="17"/>
                <w:szCs w:val="17"/>
                <w:color w:val="auto"/>
              </w:rPr>
            </w:pPr>
          </w:p>
        </w:tc>
        <w:tc>
          <w:tcPr>
            <w:tcW w:w="1280" w:type="dxa"/>
            <w:vAlign w:val="bottom"/>
            <w:shd w:val="clear" w:color="auto" w:fill="CFF0FC"/>
          </w:tcPr>
          <w:p>
            <w:pPr>
              <w:jc w:val="right"/>
              <w:ind w:right="70"/>
              <w:spacing w:after="0" w:line="202" w:lineRule="exact"/>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17"/>
                <w:szCs w:val="17"/>
                <w:color w:val="auto"/>
              </w:rPr>
            </w:pPr>
          </w:p>
        </w:tc>
        <w:tc>
          <w:tcPr>
            <w:tcW w:w="90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03"/>
        </w:trPr>
        <w:tc>
          <w:tcPr>
            <w:tcW w:w="3080" w:type="dxa"/>
            <w:vAlign w:val="bottom"/>
            <w:gridSpan w:val="2"/>
          </w:tcPr>
          <w:p>
            <w:pPr>
              <w:ind w:left="200"/>
              <w:spacing w:after="0" w:line="202" w:lineRule="exact"/>
              <w:rPr>
                <w:sz w:val="20"/>
                <w:szCs w:val="20"/>
                <w:color w:val="auto"/>
              </w:rPr>
            </w:pPr>
            <w:r>
              <w:rPr>
                <w:rFonts w:ascii="Arial" w:cs="Arial" w:eastAsia="Arial" w:hAnsi="Arial"/>
                <w:sz w:val="18"/>
                <w:szCs w:val="18"/>
                <w:color w:val="auto"/>
              </w:rPr>
              <w:t>Stock option activity</w:t>
            </w:r>
          </w:p>
        </w:tc>
        <w:tc>
          <w:tcPr>
            <w:tcW w:w="1740" w:type="dxa"/>
            <w:vAlign w:val="bottom"/>
          </w:tcPr>
          <w:p>
            <w:pPr>
              <w:jc w:val="right"/>
              <w:ind w:right="110"/>
              <w:spacing w:after="0" w:line="202"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7"/>
                <w:szCs w:val="17"/>
                <w:color w:val="auto"/>
              </w:rPr>
            </w:pPr>
          </w:p>
        </w:tc>
        <w:tc>
          <w:tcPr>
            <w:tcW w:w="1080" w:type="dxa"/>
            <w:vAlign w:val="bottom"/>
          </w:tcPr>
          <w:p>
            <w:pPr>
              <w:jc w:val="right"/>
              <w:ind w:right="90"/>
              <w:spacing w:after="0" w:line="202" w:lineRule="exact"/>
              <w:rPr>
                <w:sz w:val="20"/>
                <w:szCs w:val="20"/>
                <w:color w:val="auto"/>
              </w:rPr>
            </w:pPr>
            <w:r>
              <w:rPr>
                <w:rFonts w:ascii="Arial" w:cs="Arial" w:eastAsia="Arial" w:hAnsi="Arial"/>
                <w:sz w:val="18"/>
                <w:szCs w:val="18"/>
                <w:color w:val="auto"/>
              </w:rPr>
              <w:t>2.5</w:t>
            </w:r>
          </w:p>
        </w:tc>
        <w:tc>
          <w:tcPr>
            <w:tcW w:w="220" w:type="dxa"/>
            <w:vAlign w:val="bottom"/>
          </w:tcPr>
          <w:p>
            <w:pPr>
              <w:spacing w:after="0"/>
              <w:rPr>
                <w:sz w:val="17"/>
                <w:szCs w:val="17"/>
                <w:color w:val="auto"/>
              </w:rPr>
            </w:pPr>
          </w:p>
        </w:tc>
        <w:tc>
          <w:tcPr>
            <w:tcW w:w="1040" w:type="dxa"/>
            <w:vAlign w:val="bottom"/>
          </w:tcPr>
          <w:p>
            <w:pPr>
              <w:jc w:val="right"/>
              <w:ind w:right="70"/>
              <w:spacing w:after="0" w:line="202" w:lineRule="exact"/>
              <w:rPr>
                <w:sz w:val="20"/>
                <w:szCs w:val="20"/>
                <w:color w:val="auto"/>
              </w:rPr>
            </w:pPr>
            <w:r>
              <w:rPr>
                <w:rFonts w:ascii="Arial" w:cs="Arial" w:eastAsia="Arial" w:hAnsi="Arial"/>
                <w:sz w:val="18"/>
                <w:szCs w:val="18"/>
                <w:color w:val="auto"/>
              </w:rPr>
              <w:t>—</w:t>
            </w:r>
          </w:p>
        </w:tc>
        <w:tc>
          <w:tcPr>
            <w:tcW w:w="200" w:type="dxa"/>
            <w:vAlign w:val="bottom"/>
          </w:tcPr>
          <w:p>
            <w:pPr>
              <w:spacing w:after="0"/>
              <w:rPr>
                <w:sz w:val="17"/>
                <w:szCs w:val="17"/>
                <w:color w:val="auto"/>
              </w:rPr>
            </w:pPr>
          </w:p>
        </w:tc>
        <w:tc>
          <w:tcPr>
            <w:tcW w:w="1040" w:type="dxa"/>
            <w:vAlign w:val="bottom"/>
          </w:tcPr>
          <w:p>
            <w:pPr>
              <w:jc w:val="right"/>
              <w:ind w:right="70"/>
              <w:spacing w:after="0" w:line="202" w:lineRule="exact"/>
              <w:rPr>
                <w:sz w:val="20"/>
                <w:szCs w:val="20"/>
                <w:color w:val="auto"/>
              </w:rPr>
            </w:pPr>
            <w:r>
              <w:rPr>
                <w:rFonts w:ascii="Arial" w:cs="Arial" w:eastAsia="Arial" w:hAnsi="Arial"/>
                <w:sz w:val="18"/>
                <w:szCs w:val="18"/>
                <w:color w:val="auto"/>
              </w:rPr>
              <w:t>—</w:t>
            </w:r>
          </w:p>
        </w:tc>
        <w:tc>
          <w:tcPr>
            <w:tcW w:w="160" w:type="dxa"/>
            <w:vAlign w:val="bottom"/>
          </w:tcPr>
          <w:p>
            <w:pPr>
              <w:spacing w:after="0"/>
              <w:rPr>
                <w:sz w:val="17"/>
                <w:szCs w:val="17"/>
                <w:color w:val="auto"/>
              </w:rPr>
            </w:pPr>
          </w:p>
        </w:tc>
        <w:tc>
          <w:tcPr>
            <w:tcW w:w="1280" w:type="dxa"/>
            <w:vAlign w:val="bottom"/>
          </w:tcPr>
          <w:p>
            <w:pPr>
              <w:jc w:val="right"/>
              <w:ind w:right="70"/>
              <w:spacing w:after="0" w:line="202" w:lineRule="exact"/>
              <w:rPr>
                <w:sz w:val="20"/>
                <w:szCs w:val="20"/>
                <w:color w:val="auto"/>
              </w:rPr>
            </w:pPr>
            <w:r>
              <w:rPr>
                <w:rFonts w:ascii="Arial" w:cs="Arial" w:eastAsia="Arial" w:hAnsi="Arial"/>
                <w:sz w:val="18"/>
                <w:szCs w:val="18"/>
                <w:color w:val="auto"/>
              </w:rPr>
              <w:t>—</w:t>
            </w:r>
          </w:p>
        </w:tc>
        <w:tc>
          <w:tcPr>
            <w:tcW w:w="280" w:type="dxa"/>
            <w:vAlign w:val="bottom"/>
          </w:tcPr>
          <w:p>
            <w:pPr>
              <w:spacing w:after="0"/>
              <w:rPr>
                <w:sz w:val="17"/>
                <w:szCs w:val="17"/>
                <w:color w:val="auto"/>
              </w:rPr>
            </w:pPr>
          </w:p>
        </w:tc>
        <w:tc>
          <w:tcPr>
            <w:tcW w:w="900" w:type="dxa"/>
            <w:vAlign w:val="bottom"/>
          </w:tcPr>
          <w:p>
            <w:pPr>
              <w:jc w:val="right"/>
              <w:ind w:right="10"/>
              <w:spacing w:after="0" w:line="202" w:lineRule="exact"/>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03"/>
        </w:trPr>
        <w:tc>
          <w:tcPr>
            <w:tcW w:w="3080" w:type="dxa"/>
            <w:vAlign w:val="bottom"/>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Issuance of treasury shares</w:t>
            </w:r>
          </w:p>
        </w:tc>
        <w:tc>
          <w:tcPr>
            <w:tcW w:w="1740" w:type="dxa"/>
            <w:vAlign w:val="bottom"/>
            <w:shd w:val="clear" w:color="auto" w:fill="CFF0FC"/>
          </w:tcPr>
          <w:p>
            <w:pPr>
              <w:jc w:val="right"/>
              <w:ind w:right="110"/>
              <w:spacing w:after="0" w:line="202" w:lineRule="exact"/>
              <w:rPr>
                <w:sz w:val="20"/>
                <w:szCs w:val="20"/>
                <w:color w:val="auto"/>
              </w:rPr>
            </w:pPr>
            <w:r>
              <w:rPr>
                <w:rFonts w:ascii="Arial" w:cs="Arial" w:eastAsia="Arial" w:hAnsi="Arial"/>
                <w:sz w:val="18"/>
                <w:szCs w:val="18"/>
                <w:color w:val="auto"/>
              </w:rPr>
              <w:t>580,248</w:t>
            </w:r>
          </w:p>
        </w:tc>
        <w:tc>
          <w:tcPr>
            <w:tcW w:w="220" w:type="dxa"/>
            <w:vAlign w:val="bottom"/>
            <w:shd w:val="clear" w:color="auto" w:fill="CFF0FC"/>
          </w:tcPr>
          <w:p>
            <w:pPr>
              <w:spacing w:after="0"/>
              <w:rPr>
                <w:sz w:val="17"/>
                <w:szCs w:val="17"/>
                <w:color w:val="auto"/>
              </w:rPr>
            </w:pPr>
          </w:p>
        </w:tc>
        <w:tc>
          <w:tcPr>
            <w:tcW w:w="108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(12.4 )</w:t>
            </w:r>
          </w:p>
        </w:tc>
        <w:tc>
          <w:tcPr>
            <w:tcW w:w="220" w:type="dxa"/>
            <w:vAlign w:val="bottom"/>
            <w:shd w:val="clear" w:color="auto" w:fill="CFF0FC"/>
          </w:tcPr>
          <w:p>
            <w:pPr>
              <w:spacing w:after="0"/>
              <w:rPr>
                <w:sz w:val="17"/>
                <w:szCs w:val="17"/>
                <w:color w:val="auto"/>
              </w:rPr>
            </w:pPr>
          </w:p>
        </w:tc>
        <w:tc>
          <w:tcPr>
            <w:tcW w:w="1040" w:type="dxa"/>
            <w:vAlign w:val="bottom"/>
            <w:shd w:val="clear" w:color="auto" w:fill="CFF0FC"/>
          </w:tcPr>
          <w:p>
            <w:pPr>
              <w:jc w:val="right"/>
              <w:ind w:right="70"/>
              <w:spacing w:after="0" w:line="202" w:lineRule="exact"/>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7"/>
                <w:szCs w:val="17"/>
                <w:color w:val="auto"/>
              </w:rPr>
            </w:pPr>
          </w:p>
        </w:tc>
        <w:tc>
          <w:tcPr>
            <w:tcW w:w="1040" w:type="dxa"/>
            <w:vAlign w:val="bottom"/>
            <w:shd w:val="clear" w:color="auto" w:fill="CFF0FC"/>
          </w:tcPr>
          <w:p>
            <w:pPr>
              <w:jc w:val="right"/>
              <w:ind w:right="70"/>
              <w:spacing w:after="0" w:line="202" w:lineRule="exact"/>
              <w:rPr>
                <w:sz w:val="20"/>
                <w:szCs w:val="20"/>
                <w:color w:val="auto"/>
              </w:rPr>
            </w:pPr>
            <w:r>
              <w:rPr>
                <w:rFonts w:ascii="Arial" w:cs="Arial" w:eastAsia="Arial" w:hAnsi="Arial"/>
                <w:sz w:val="18"/>
                <w:szCs w:val="18"/>
                <w:color w:val="auto"/>
              </w:rPr>
              <w:t>12.4</w:t>
            </w:r>
          </w:p>
        </w:tc>
        <w:tc>
          <w:tcPr>
            <w:tcW w:w="160" w:type="dxa"/>
            <w:vAlign w:val="bottom"/>
            <w:shd w:val="clear" w:color="auto" w:fill="CFF0FC"/>
          </w:tcPr>
          <w:p>
            <w:pPr>
              <w:spacing w:after="0"/>
              <w:rPr>
                <w:sz w:val="17"/>
                <w:szCs w:val="17"/>
                <w:color w:val="auto"/>
              </w:rPr>
            </w:pPr>
          </w:p>
        </w:tc>
        <w:tc>
          <w:tcPr>
            <w:tcW w:w="1280" w:type="dxa"/>
            <w:vAlign w:val="bottom"/>
            <w:shd w:val="clear" w:color="auto" w:fill="CFF0FC"/>
          </w:tcPr>
          <w:p>
            <w:pPr>
              <w:jc w:val="right"/>
              <w:ind w:right="70"/>
              <w:spacing w:after="0" w:line="202" w:lineRule="exact"/>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17"/>
                <w:szCs w:val="17"/>
                <w:color w:val="auto"/>
              </w:rPr>
            </w:pPr>
          </w:p>
        </w:tc>
        <w:tc>
          <w:tcPr>
            <w:tcW w:w="90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3080" w:type="dxa"/>
            <w:vAlign w:val="bottom"/>
            <w:tcBorders>
              <w:bottom w:val="single" w:sz="8" w:color="auto"/>
            </w:tcBorders>
            <w:gridSpan w:val="2"/>
          </w:tcPr>
          <w:p>
            <w:pPr>
              <w:ind w:left="200"/>
              <w:spacing w:after="0" w:line="202" w:lineRule="exact"/>
              <w:rPr>
                <w:sz w:val="20"/>
                <w:szCs w:val="20"/>
                <w:color w:val="auto"/>
              </w:rPr>
            </w:pPr>
            <w:r>
              <w:rPr>
                <w:rFonts w:ascii="Arial" w:cs="Arial" w:eastAsia="Arial" w:hAnsi="Arial"/>
                <w:sz w:val="18"/>
                <w:szCs w:val="18"/>
                <w:color w:val="auto"/>
              </w:rPr>
              <w:t>Shares surrendered for taxes</w:t>
            </w:r>
          </w:p>
        </w:tc>
        <w:tc>
          <w:tcPr>
            <w:tcW w:w="174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color w:val="auto"/>
              </w:rPr>
              <w:t>(72,174 )</w:t>
            </w:r>
          </w:p>
        </w:tc>
        <w:tc>
          <w:tcPr>
            <w:tcW w:w="22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90"/>
              <w:spacing w:after="0" w:line="202" w:lineRule="exact"/>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70"/>
              <w:spacing w:after="0" w:line="202" w:lineRule="exact"/>
              <w:rPr>
                <w:sz w:val="20"/>
                <w:szCs w:val="20"/>
                <w:color w:val="auto"/>
              </w:rPr>
            </w:pPr>
            <w:r>
              <w:rPr>
                <w:rFonts w:ascii="Arial" w:cs="Arial" w:eastAsia="Arial" w:hAnsi="Arial"/>
                <w:sz w:val="18"/>
                <w:szCs w:val="18"/>
                <w:color w:val="auto"/>
              </w:rPr>
              <w:t>—</w:t>
            </w:r>
          </w:p>
        </w:tc>
        <w:tc>
          <w:tcPr>
            <w:tcW w:w="20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(0.5 )</w:t>
            </w:r>
          </w:p>
        </w:tc>
        <w:tc>
          <w:tcPr>
            <w:tcW w:w="16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jc w:val="right"/>
              <w:ind w:right="70"/>
              <w:spacing w:after="0" w:line="202" w:lineRule="exact"/>
              <w:rPr>
                <w:sz w:val="20"/>
                <w:szCs w:val="20"/>
                <w:color w:val="auto"/>
              </w:rPr>
            </w:pPr>
            <w:r>
              <w:rPr>
                <w:rFonts w:ascii="Arial" w:cs="Arial" w:eastAsia="Arial" w:hAnsi="Arial"/>
                <w:sz w:val="18"/>
                <w:szCs w:val="18"/>
                <w:color w:val="auto"/>
              </w:rPr>
              <w:t>—</w:t>
            </w:r>
          </w:p>
        </w:tc>
        <w:tc>
          <w:tcPr>
            <w:tcW w:w="28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(0.5 )</w:t>
            </w:r>
          </w:p>
        </w:tc>
        <w:tc>
          <w:tcPr>
            <w:tcW w:w="0" w:type="dxa"/>
            <w:vAlign w:val="bottom"/>
          </w:tcPr>
          <w:p>
            <w:pPr>
              <w:spacing w:after="0"/>
              <w:rPr>
                <w:sz w:val="1"/>
                <w:szCs w:val="1"/>
                <w:color w:val="auto"/>
              </w:rPr>
            </w:pPr>
          </w:p>
        </w:tc>
      </w:tr>
      <w:tr>
        <w:trPr>
          <w:trHeight w:val="196"/>
        </w:trPr>
        <w:tc>
          <w:tcPr>
            <w:tcW w:w="3080" w:type="dxa"/>
            <w:vAlign w:val="bottom"/>
            <w:tcBorders>
              <w:bottom w:val="single" w:sz="8" w:color="auto"/>
            </w:tcBorders>
            <w:gridSpan w:val="2"/>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Balance at March 31, 2021</w:t>
            </w:r>
          </w:p>
        </w:tc>
        <w:tc>
          <w:tcPr>
            <w:tcW w:w="1740" w:type="dxa"/>
            <w:vAlign w:val="bottom"/>
            <w:tcBorders>
              <w:bottom w:val="single" w:sz="8" w:color="auto"/>
            </w:tcBorders>
            <w:shd w:val="clear" w:color="auto" w:fill="CFF0FC"/>
          </w:tcPr>
          <w:p>
            <w:pPr>
              <w:jc w:val="right"/>
              <w:ind w:right="110"/>
              <w:spacing w:after="0" w:line="196" w:lineRule="exact"/>
              <w:rPr>
                <w:sz w:val="20"/>
                <w:szCs w:val="20"/>
                <w:color w:val="auto"/>
              </w:rPr>
            </w:pPr>
            <w:r>
              <w:rPr>
                <w:rFonts w:ascii="Arial" w:cs="Arial" w:eastAsia="Arial" w:hAnsi="Arial"/>
                <w:sz w:val="18"/>
                <w:szCs w:val="18"/>
                <w:color w:val="auto"/>
              </w:rPr>
              <w:t>45,672,382</w:t>
            </w:r>
          </w:p>
        </w:tc>
        <w:tc>
          <w:tcPr>
            <w:tcW w:w="22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shd w:val="clear" w:color="auto" w:fill="CFF0FC"/>
          </w:tcPr>
          <w:p>
            <w:pPr>
              <w:jc w:val="right"/>
              <w:ind w:right="90"/>
              <w:spacing w:after="0" w:line="196" w:lineRule="exact"/>
              <w:rPr>
                <w:sz w:val="20"/>
                <w:szCs w:val="20"/>
                <w:color w:val="auto"/>
              </w:rPr>
            </w:pPr>
            <w:r>
              <w:rPr>
                <w:rFonts w:ascii="Arial" w:cs="Arial" w:eastAsia="Arial" w:hAnsi="Arial"/>
                <w:sz w:val="18"/>
                <w:szCs w:val="18"/>
                <w:color w:val="auto"/>
              </w:rPr>
              <w:t>824.7</w:t>
            </w:r>
          </w:p>
        </w:tc>
        <w:tc>
          <w:tcPr>
            <w:tcW w:w="22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(349.4 )</w:t>
            </w:r>
          </w:p>
        </w:tc>
        <w:tc>
          <w:tcPr>
            <w:tcW w:w="20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(1.0 )</w:t>
            </w:r>
          </w:p>
        </w:tc>
        <w:tc>
          <w:tcPr>
            <w:tcW w:w="160" w:type="dxa"/>
            <w:vAlign w:val="bottom"/>
            <w:tcBorders>
              <w:bottom w:val="single" w:sz="8" w:color="auto"/>
            </w:tcBorders>
            <w:shd w:val="clear" w:color="auto" w:fill="CFF0FC"/>
          </w:tcPr>
          <w:p>
            <w:pPr>
              <w:ind w:left="60"/>
              <w:spacing w:after="0" w:line="196" w:lineRule="exact"/>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auto"/>
            </w:tcBorders>
            <w:shd w:val="clear" w:color="auto" w:fill="CFF0FC"/>
          </w:tcPr>
          <w:p>
            <w:pPr>
              <w:jc w:val="right"/>
              <w:ind w:right="70"/>
              <w:spacing w:after="0" w:line="196" w:lineRule="exact"/>
              <w:rPr>
                <w:sz w:val="20"/>
                <w:szCs w:val="20"/>
                <w:color w:val="auto"/>
              </w:rPr>
            </w:pPr>
            <w:r>
              <w:rPr>
                <w:rFonts w:ascii="Arial" w:cs="Arial" w:eastAsia="Arial" w:hAnsi="Arial"/>
                <w:sz w:val="18"/>
                <w:szCs w:val="18"/>
                <w:color w:val="auto"/>
              </w:rPr>
              <w:t>39.0</w:t>
            </w:r>
          </w:p>
        </w:tc>
        <w:tc>
          <w:tcPr>
            <w:tcW w:w="280" w:type="dxa"/>
            <w:vAlign w:val="bottom"/>
            <w:tcBorders>
              <w:bottom w:val="single" w:sz="8" w:color="auto"/>
            </w:tcBorders>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w:t>
            </w:r>
          </w:p>
        </w:tc>
        <w:tc>
          <w:tcPr>
            <w:tcW w:w="900" w:type="dxa"/>
            <w:vAlign w:val="bottom"/>
            <w:tcBorders>
              <w:bottom w:val="single" w:sz="8" w:color="auto"/>
            </w:tcBorders>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513.3</w:t>
            </w:r>
          </w:p>
        </w:tc>
        <w:tc>
          <w:tcPr>
            <w:tcW w:w="0" w:type="dxa"/>
            <w:vAlign w:val="bottom"/>
          </w:tcPr>
          <w:p>
            <w:pPr>
              <w:spacing w:after="0"/>
              <w:rPr>
                <w:sz w:val="1"/>
                <w:szCs w:val="1"/>
                <w:color w:val="auto"/>
              </w:rPr>
            </w:pPr>
          </w:p>
        </w:tc>
      </w:tr>
      <w:tr>
        <w:trPr>
          <w:trHeight w:val="176"/>
        </w:trPr>
        <w:tc>
          <w:tcPr>
            <w:tcW w:w="4820" w:type="dxa"/>
            <w:vAlign w:val="bottom"/>
            <w:gridSpan w:val="3"/>
          </w:tcPr>
          <w:p>
            <w:pPr>
              <w:spacing w:after="0"/>
              <w:rPr>
                <w:sz w:val="20"/>
                <w:szCs w:val="20"/>
                <w:color w:val="auto"/>
              </w:rPr>
            </w:pPr>
            <w:r>
              <w:rPr>
                <w:rFonts w:ascii="Arial" w:cs="Arial" w:eastAsia="Arial" w:hAnsi="Arial"/>
                <w:sz w:val="14"/>
                <w:szCs w:val="14"/>
                <w:color w:val="auto"/>
                <w:w w:val="98"/>
              </w:rPr>
              <w:t>See accompanying Notes to the unaudited Consolidated Financial Statements.</w:t>
            </w:r>
          </w:p>
        </w:tc>
        <w:tc>
          <w:tcPr>
            <w:tcW w:w="220" w:type="dxa"/>
            <w:vAlign w:val="bottom"/>
          </w:tcPr>
          <w:p>
            <w:pPr>
              <w:spacing w:after="0"/>
              <w:rPr>
                <w:sz w:val="15"/>
                <w:szCs w:val="15"/>
                <w:color w:val="auto"/>
              </w:rPr>
            </w:pPr>
          </w:p>
        </w:tc>
        <w:tc>
          <w:tcPr>
            <w:tcW w:w="1080" w:type="dxa"/>
            <w:vAlign w:val="bottom"/>
            <w:vMerge w:val="restart"/>
          </w:tcPr>
          <w:p>
            <w:pPr>
              <w:jc w:val="right"/>
              <w:ind w:right="370"/>
              <w:spacing w:after="0"/>
              <w:rPr>
                <w:sz w:val="20"/>
                <w:szCs w:val="20"/>
                <w:color w:val="auto"/>
              </w:rPr>
            </w:pPr>
            <w:r>
              <w:rPr>
                <w:rFonts w:ascii="Arial" w:cs="Arial" w:eastAsia="Arial" w:hAnsi="Arial"/>
                <w:sz w:val="18"/>
                <w:szCs w:val="18"/>
                <w:color w:val="auto"/>
              </w:rPr>
              <w:t>6</w:t>
            </w:r>
          </w:p>
        </w:tc>
        <w:tc>
          <w:tcPr>
            <w:tcW w:w="2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1280" w:type="dxa"/>
            <w:vAlign w:val="bottom"/>
          </w:tcPr>
          <w:p>
            <w:pPr>
              <w:spacing w:after="0"/>
              <w:rPr>
                <w:sz w:val="17"/>
                <w:szCs w:val="17"/>
                <w:color w:val="auto"/>
              </w:rPr>
            </w:pPr>
          </w:p>
        </w:tc>
        <w:tc>
          <w:tcPr>
            <w:tcW w:w="1800" w:type="dxa"/>
            <w:vAlign w:val="bottom"/>
          </w:tcPr>
          <w:p>
            <w:pPr>
              <w:spacing w:after="0"/>
              <w:rPr>
                <w:sz w:val="17"/>
                <w:szCs w:val="17"/>
                <w:color w:val="auto"/>
              </w:rPr>
            </w:pPr>
          </w:p>
        </w:tc>
        <w:tc>
          <w:tcPr>
            <w:tcW w:w="17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8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33"/>
        </w:trPr>
        <w:tc>
          <w:tcPr>
            <w:tcW w:w="1280" w:type="dxa"/>
            <w:vAlign w:val="bottom"/>
            <w:tcBorders>
              <w:bottom w:val="single" w:sz="8" w:color="9A9A9A"/>
            </w:tcBorders>
          </w:tcPr>
          <w:p>
            <w:pPr>
              <w:spacing w:after="0"/>
              <w:rPr>
                <w:sz w:val="24"/>
                <w:szCs w:val="24"/>
                <w:color w:val="auto"/>
              </w:rPr>
            </w:pPr>
          </w:p>
        </w:tc>
        <w:tc>
          <w:tcPr>
            <w:tcW w:w="1800" w:type="dxa"/>
            <w:vAlign w:val="bottom"/>
            <w:tcBorders>
              <w:bottom w:val="single" w:sz="8" w:color="9A9A9A"/>
            </w:tcBorders>
          </w:tcPr>
          <w:p>
            <w:pPr>
              <w:spacing w:after="0"/>
              <w:rPr>
                <w:sz w:val="24"/>
                <w:szCs w:val="24"/>
                <w:color w:val="auto"/>
              </w:rPr>
            </w:pPr>
          </w:p>
        </w:tc>
        <w:tc>
          <w:tcPr>
            <w:tcW w:w="174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108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1040" w:type="dxa"/>
            <w:vAlign w:val="bottom"/>
            <w:tcBorders>
              <w:bottom w:val="single" w:sz="8" w:color="9A9A9A"/>
            </w:tcBorders>
          </w:tcPr>
          <w:p>
            <w:pPr>
              <w:spacing w:after="0"/>
              <w:rPr>
                <w:sz w:val="24"/>
                <w:szCs w:val="24"/>
                <w:color w:val="auto"/>
              </w:rPr>
            </w:pPr>
          </w:p>
        </w:tc>
        <w:tc>
          <w:tcPr>
            <w:tcW w:w="200" w:type="dxa"/>
            <w:vAlign w:val="bottom"/>
            <w:tcBorders>
              <w:bottom w:val="single" w:sz="8" w:color="9A9A9A"/>
            </w:tcBorders>
          </w:tcPr>
          <w:p>
            <w:pPr>
              <w:spacing w:after="0"/>
              <w:rPr>
                <w:sz w:val="24"/>
                <w:szCs w:val="24"/>
                <w:color w:val="auto"/>
              </w:rPr>
            </w:pPr>
          </w:p>
        </w:tc>
        <w:tc>
          <w:tcPr>
            <w:tcW w:w="1040" w:type="dxa"/>
            <w:vAlign w:val="bottom"/>
            <w:tcBorders>
              <w:bottom w:val="single" w:sz="8" w:color="9A9A9A"/>
            </w:tcBorders>
          </w:tcPr>
          <w:p>
            <w:pPr>
              <w:spacing w:after="0"/>
              <w:rPr>
                <w:sz w:val="24"/>
                <w:szCs w:val="24"/>
                <w:color w:val="auto"/>
              </w:rPr>
            </w:pPr>
          </w:p>
        </w:tc>
        <w:tc>
          <w:tcPr>
            <w:tcW w:w="160" w:type="dxa"/>
            <w:vAlign w:val="bottom"/>
            <w:tcBorders>
              <w:bottom w:val="single" w:sz="8" w:color="9A9A9A"/>
            </w:tcBorders>
          </w:tcPr>
          <w:p>
            <w:pPr>
              <w:spacing w:after="0"/>
              <w:rPr>
                <w:sz w:val="24"/>
                <w:szCs w:val="24"/>
                <w:color w:val="auto"/>
              </w:rPr>
            </w:pPr>
          </w:p>
        </w:tc>
        <w:tc>
          <w:tcPr>
            <w:tcW w:w="128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90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6" w:name="page7"/>
    <w:bookmarkEnd w:id="6"/>
    <w:tbl>
      <w:tblPr>
        <w:tblLayout w:type="fixed"/>
        <w:tblInd w:w="0" w:type="dxa"/>
        <w:tblCellMar>
          <w:top w:w="0" w:type="dxa"/>
          <w:left w:w="0" w:type="dxa"/>
          <w:bottom w:w="0" w:type="dxa"/>
          <w:right w:w="0" w:type="dxa"/>
        </w:tblCellMar>
      </w:tblPr>
      <w:tr>
        <w:trPr>
          <w:trHeight w:val="207"/>
        </w:trPr>
        <w:tc>
          <w:tcPr>
            <w:tcW w:w="8080" w:type="dxa"/>
            <w:vAlign w:val="bottom"/>
            <w:gridSpan w:val="2"/>
          </w:tcPr>
          <w:p>
            <w:pPr>
              <w:spacing w:after="0"/>
              <w:rPr>
                <w:rFonts w:ascii="Arial" w:cs="Arial" w:eastAsia="Arial" w:hAnsi="Arial"/>
                <w:sz w:val="18"/>
                <w:szCs w:val="18"/>
                <w:color w:val="0563C1"/>
              </w:rPr>
            </w:pPr>
            <w:hyperlink w:anchor="page2">
              <w:r>
                <w:rPr>
                  <w:rFonts w:ascii="Arial" w:cs="Arial" w:eastAsia="Arial" w:hAnsi="Arial"/>
                  <w:sz w:val="18"/>
                  <w:szCs w:val="18"/>
                  <w:color w:val="0563C1"/>
                </w:rPr>
                <w:t>Table of Contents</w:t>
              </w:r>
            </w:hyperlink>
          </w:p>
        </w:tc>
        <w:tc>
          <w:tcPr>
            <w:tcW w:w="7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00" w:type="dxa"/>
            <w:vAlign w:val="bottom"/>
          </w:tcPr>
          <w:p>
            <w:pPr>
              <w:spacing w:after="0"/>
              <w:rPr>
                <w:sz w:val="17"/>
                <w:szCs w:val="17"/>
                <w:color w:val="auto"/>
              </w:rPr>
            </w:pPr>
          </w:p>
        </w:tc>
      </w:tr>
      <w:tr>
        <w:trPr>
          <w:trHeight w:val="407"/>
        </w:trPr>
        <w:tc>
          <w:tcPr>
            <w:tcW w:w="1280" w:type="dxa"/>
            <w:vAlign w:val="bottom"/>
            <w:tcBorders>
              <w:top w:val="single" w:sz="8" w:color="0563C1"/>
            </w:tcBorders>
          </w:tcPr>
          <w:p>
            <w:pPr>
              <w:spacing w:after="0"/>
              <w:rPr>
                <w:sz w:val="24"/>
                <w:szCs w:val="24"/>
                <w:color w:val="auto"/>
              </w:rPr>
            </w:pPr>
          </w:p>
        </w:tc>
        <w:tc>
          <w:tcPr>
            <w:tcW w:w="6800" w:type="dxa"/>
            <w:vAlign w:val="bottom"/>
          </w:tcPr>
          <w:p>
            <w:pPr>
              <w:jc w:val="center"/>
              <w:ind w:left="1790"/>
              <w:spacing w:after="0"/>
              <w:rPr>
                <w:sz w:val="20"/>
                <w:szCs w:val="20"/>
                <w:color w:val="auto"/>
              </w:rPr>
            </w:pPr>
            <w:r>
              <w:rPr>
                <w:rFonts w:ascii="Arial" w:cs="Arial" w:eastAsia="Arial" w:hAnsi="Arial"/>
                <w:sz w:val="18"/>
                <w:szCs w:val="18"/>
                <w:b w:val="1"/>
                <w:bCs w:val="1"/>
                <w:color w:val="auto"/>
                <w:w w:val="91"/>
              </w:rPr>
              <w:t>TimkenSteel Corporation</w:t>
            </w:r>
          </w:p>
        </w:tc>
        <w:tc>
          <w:tcPr>
            <w:tcW w:w="7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234"/>
        </w:trPr>
        <w:tc>
          <w:tcPr>
            <w:tcW w:w="1280" w:type="dxa"/>
            <w:vAlign w:val="bottom"/>
          </w:tcPr>
          <w:p>
            <w:pPr>
              <w:spacing w:after="0"/>
              <w:rPr>
                <w:sz w:val="20"/>
                <w:szCs w:val="20"/>
                <w:color w:val="auto"/>
              </w:rPr>
            </w:pPr>
          </w:p>
        </w:tc>
        <w:tc>
          <w:tcPr>
            <w:tcW w:w="6800" w:type="dxa"/>
            <w:vAlign w:val="bottom"/>
          </w:tcPr>
          <w:p>
            <w:pPr>
              <w:jc w:val="center"/>
              <w:ind w:left="1790"/>
              <w:spacing w:after="0"/>
              <w:rPr>
                <w:sz w:val="20"/>
                <w:szCs w:val="20"/>
                <w:color w:val="auto"/>
              </w:rPr>
            </w:pPr>
            <w:r>
              <w:rPr>
                <w:rFonts w:ascii="Arial" w:cs="Arial" w:eastAsia="Arial" w:hAnsi="Arial"/>
                <w:sz w:val="18"/>
                <w:szCs w:val="18"/>
                <w:b w:val="1"/>
                <w:bCs w:val="1"/>
                <w:color w:val="auto"/>
                <w:w w:val="89"/>
              </w:rPr>
              <w:t>Consolidated Statements of Cash Flows (Unaudited)</w:t>
            </w:r>
          </w:p>
        </w:tc>
        <w:tc>
          <w:tcPr>
            <w:tcW w:w="70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0" w:type="dxa"/>
            <w:vAlign w:val="bottom"/>
          </w:tcPr>
          <w:p>
            <w:pPr>
              <w:spacing w:after="0"/>
              <w:rPr>
                <w:sz w:val="20"/>
                <w:szCs w:val="20"/>
                <w:color w:val="auto"/>
              </w:rPr>
            </w:pPr>
          </w:p>
        </w:tc>
      </w:tr>
      <w:tr>
        <w:trPr>
          <w:trHeight w:val="373"/>
        </w:trPr>
        <w:tc>
          <w:tcPr>
            <w:tcW w:w="1280" w:type="dxa"/>
            <w:vAlign w:val="bottom"/>
          </w:tcPr>
          <w:p>
            <w:pPr>
              <w:spacing w:after="0"/>
              <w:rPr>
                <w:sz w:val="24"/>
                <w:szCs w:val="24"/>
                <w:color w:val="auto"/>
              </w:rPr>
            </w:pPr>
          </w:p>
        </w:tc>
        <w:tc>
          <w:tcPr>
            <w:tcW w:w="6800" w:type="dxa"/>
            <w:vAlign w:val="bottom"/>
          </w:tcPr>
          <w:p>
            <w:pPr>
              <w:spacing w:after="0"/>
              <w:rPr>
                <w:sz w:val="24"/>
                <w:szCs w:val="24"/>
                <w:color w:val="auto"/>
              </w:rPr>
            </w:pPr>
          </w:p>
        </w:tc>
        <w:tc>
          <w:tcPr>
            <w:tcW w:w="3160" w:type="dxa"/>
            <w:vAlign w:val="bottom"/>
            <w:gridSpan w:val="4"/>
          </w:tcPr>
          <w:p>
            <w:pPr>
              <w:jc w:val="right"/>
              <w:ind w:right="70"/>
              <w:spacing w:after="0"/>
              <w:rPr>
                <w:sz w:val="20"/>
                <w:szCs w:val="20"/>
                <w:color w:val="auto"/>
              </w:rPr>
            </w:pPr>
            <w:r>
              <w:rPr>
                <w:rFonts w:ascii="Arial" w:cs="Arial" w:eastAsia="Arial" w:hAnsi="Arial"/>
                <w:sz w:val="18"/>
                <w:szCs w:val="18"/>
                <w:b w:val="1"/>
                <w:bCs w:val="1"/>
                <w:color w:val="auto"/>
              </w:rPr>
              <w:t>Three Months Ended March 31,</w:t>
            </w:r>
          </w:p>
        </w:tc>
      </w:tr>
      <w:tr>
        <w:trPr>
          <w:trHeight w:val="221"/>
        </w:trPr>
        <w:tc>
          <w:tcPr>
            <w:tcW w:w="1280" w:type="dxa"/>
            <w:vAlign w:val="bottom"/>
            <w:tcBorders>
              <w:bottom w:val="single" w:sz="8" w:color="auto"/>
            </w:tcBorders>
          </w:tcPr>
          <w:p>
            <w:pPr>
              <w:spacing w:after="0"/>
              <w:rPr>
                <w:sz w:val="19"/>
                <w:szCs w:val="19"/>
                <w:color w:val="auto"/>
              </w:rPr>
            </w:pPr>
          </w:p>
        </w:tc>
        <w:tc>
          <w:tcPr>
            <w:tcW w:w="68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36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2021</w:t>
            </w:r>
          </w:p>
        </w:tc>
      </w:tr>
      <w:tr>
        <w:trPr>
          <w:trHeight w:val="196"/>
        </w:trPr>
        <w:tc>
          <w:tcPr>
            <w:tcW w:w="8080" w:type="dxa"/>
            <w:vAlign w:val="bottom"/>
            <w:gridSpan w:val="2"/>
            <w:shd w:val="clear" w:color="auto" w:fill="CFF0FC"/>
          </w:tcPr>
          <w:p>
            <w:pPr>
              <w:ind w:left="20"/>
              <w:spacing w:after="0" w:line="196" w:lineRule="exact"/>
              <w:rPr>
                <w:sz w:val="20"/>
                <w:szCs w:val="20"/>
                <w:color w:val="auto"/>
              </w:rPr>
            </w:pPr>
            <w:r>
              <w:rPr>
                <w:rFonts w:ascii="Arial" w:cs="Arial" w:eastAsia="Arial" w:hAnsi="Arial"/>
                <w:sz w:val="18"/>
                <w:szCs w:val="18"/>
                <w:i w:val="1"/>
                <w:iCs w:val="1"/>
                <w:color w:val="auto"/>
              </w:rPr>
              <w:t>(Dollars in millions)</w:t>
            </w:r>
          </w:p>
        </w:tc>
        <w:tc>
          <w:tcPr>
            <w:tcW w:w="700" w:type="dxa"/>
            <w:vAlign w:val="bottom"/>
            <w:shd w:val="clear" w:color="auto" w:fill="CFF0FC"/>
          </w:tcPr>
          <w:p>
            <w:pPr>
              <w:spacing w:after="0"/>
              <w:rPr>
                <w:sz w:val="17"/>
                <w:szCs w:val="17"/>
                <w:color w:val="auto"/>
              </w:rPr>
            </w:pPr>
          </w:p>
        </w:tc>
        <w:tc>
          <w:tcPr>
            <w:tcW w:w="110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1000" w:type="dxa"/>
            <w:vAlign w:val="bottom"/>
            <w:shd w:val="clear" w:color="auto" w:fill="CFF0FC"/>
          </w:tcPr>
          <w:p>
            <w:pPr>
              <w:spacing w:after="0"/>
              <w:rPr>
                <w:sz w:val="17"/>
                <w:szCs w:val="17"/>
                <w:color w:val="auto"/>
              </w:rPr>
            </w:pPr>
          </w:p>
        </w:tc>
      </w:tr>
      <w:tr>
        <w:trPr>
          <w:trHeight w:val="203"/>
        </w:trPr>
        <w:tc>
          <w:tcPr>
            <w:tcW w:w="8080" w:type="dxa"/>
            <w:vAlign w:val="bottom"/>
            <w:gridSpan w:val="2"/>
          </w:tcPr>
          <w:p>
            <w:pPr>
              <w:ind w:left="20"/>
              <w:spacing w:after="0" w:line="202" w:lineRule="exact"/>
              <w:rPr>
                <w:sz w:val="20"/>
                <w:szCs w:val="20"/>
                <w:color w:val="auto"/>
              </w:rPr>
            </w:pPr>
            <w:r>
              <w:rPr>
                <w:rFonts w:ascii="Arial" w:cs="Arial" w:eastAsia="Arial" w:hAnsi="Arial"/>
                <w:sz w:val="18"/>
                <w:szCs w:val="18"/>
                <w:b w:val="1"/>
                <w:bCs w:val="1"/>
                <w:color w:val="auto"/>
              </w:rPr>
              <w:t>CASH PROVIDED (USED)</w:t>
            </w:r>
          </w:p>
        </w:tc>
        <w:tc>
          <w:tcPr>
            <w:tcW w:w="7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00" w:type="dxa"/>
            <w:vAlign w:val="bottom"/>
          </w:tcPr>
          <w:p>
            <w:pPr>
              <w:spacing w:after="0"/>
              <w:rPr>
                <w:sz w:val="17"/>
                <w:szCs w:val="17"/>
                <w:color w:val="auto"/>
              </w:rPr>
            </w:pPr>
          </w:p>
        </w:tc>
      </w:tr>
      <w:tr>
        <w:trPr>
          <w:trHeight w:val="203"/>
        </w:trPr>
        <w:tc>
          <w:tcPr>
            <w:tcW w:w="8080" w:type="dxa"/>
            <w:vAlign w:val="bottom"/>
            <w:gridSpan w:val="2"/>
            <w:shd w:val="clear" w:color="auto" w:fill="CFF0FC"/>
          </w:tcPr>
          <w:p>
            <w:pPr>
              <w:ind w:left="20"/>
              <w:spacing w:after="0" w:line="202" w:lineRule="exact"/>
              <w:rPr>
                <w:sz w:val="20"/>
                <w:szCs w:val="20"/>
                <w:color w:val="auto"/>
              </w:rPr>
            </w:pPr>
            <w:r>
              <w:rPr>
                <w:rFonts w:ascii="Arial" w:cs="Arial" w:eastAsia="Arial" w:hAnsi="Arial"/>
                <w:sz w:val="18"/>
                <w:szCs w:val="18"/>
                <w:b w:val="1"/>
                <w:bCs w:val="1"/>
                <w:color w:val="auto"/>
              </w:rPr>
              <w:t>Operating Activities</w:t>
            </w:r>
          </w:p>
        </w:tc>
        <w:tc>
          <w:tcPr>
            <w:tcW w:w="700" w:type="dxa"/>
            <w:vAlign w:val="bottom"/>
            <w:shd w:val="clear" w:color="auto" w:fill="CFF0FC"/>
          </w:tcPr>
          <w:p>
            <w:pPr>
              <w:spacing w:after="0"/>
              <w:rPr>
                <w:sz w:val="17"/>
                <w:szCs w:val="17"/>
                <w:color w:val="auto"/>
              </w:rPr>
            </w:pPr>
          </w:p>
        </w:tc>
        <w:tc>
          <w:tcPr>
            <w:tcW w:w="110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1000" w:type="dxa"/>
            <w:vAlign w:val="bottom"/>
            <w:shd w:val="clear" w:color="auto" w:fill="CFF0FC"/>
          </w:tcPr>
          <w:p>
            <w:pPr>
              <w:spacing w:after="0"/>
              <w:rPr>
                <w:sz w:val="17"/>
                <w:szCs w:val="17"/>
                <w:color w:val="auto"/>
              </w:rPr>
            </w:pPr>
          </w:p>
        </w:tc>
      </w:tr>
      <w:tr>
        <w:trPr>
          <w:trHeight w:val="203"/>
        </w:trPr>
        <w:tc>
          <w:tcPr>
            <w:tcW w:w="8080" w:type="dxa"/>
            <w:vAlign w:val="bottom"/>
            <w:gridSpan w:val="2"/>
          </w:tcPr>
          <w:p>
            <w:pPr>
              <w:ind w:left="20"/>
              <w:spacing w:after="0" w:line="202" w:lineRule="exact"/>
              <w:rPr>
                <w:sz w:val="20"/>
                <w:szCs w:val="20"/>
                <w:color w:val="auto"/>
              </w:rPr>
            </w:pPr>
            <w:r>
              <w:rPr>
                <w:rFonts w:ascii="Arial" w:cs="Arial" w:eastAsia="Arial" w:hAnsi="Arial"/>
                <w:sz w:val="18"/>
                <w:szCs w:val="18"/>
                <w:color w:val="auto"/>
              </w:rPr>
              <w:t>Net income (loss)</w:t>
            </w:r>
          </w:p>
        </w:tc>
        <w:tc>
          <w:tcPr>
            <w:tcW w:w="700" w:type="dxa"/>
            <w:vAlign w:val="bottom"/>
          </w:tcPr>
          <w:p>
            <w:pPr>
              <w:jc w:val="right"/>
              <w:ind w:right="50"/>
              <w:spacing w:after="0" w:line="202" w:lineRule="exact"/>
              <w:rPr>
                <w:sz w:val="20"/>
                <w:szCs w:val="20"/>
                <w:color w:val="auto"/>
              </w:rPr>
            </w:pPr>
            <w:r>
              <w:rPr>
                <w:rFonts w:ascii="Arial" w:cs="Arial" w:eastAsia="Arial" w:hAnsi="Arial"/>
                <w:sz w:val="18"/>
                <w:szCs w:val="18"/>
                <w:b w:val="1"/>
                <w:bCs w:val="1"/>
                <w:color w:val="auto"/>
              </w:rPr>
              <w:t>$</w:t>
            </w:r>
          </w:p>
        </w:tc>
        <w:tc>
          <w:tcPr>
            <w:tcW w:w="1100" w:type="dxa"/>
            <w:vAlign w:val="bottom"/>
          </w:tcPr>
          <w:p>
            <w:pPr>
              <w:jc w:val="right"/>
              <w:ind w:right="150"/>
              <w:spacing w:after="0" w:line="202" w:lineRule="exact"/>
              <w:rPr>
                <w:sz w:val="20"/>
                <w:szCs w:val="20"/>
                <w:color w:val="auto"/>
              </w:rPr>
            </w:pPr>
            <w:r>
              <w:rPr>
                <w:rFonts w:ascii="Arial" w:cs="Arial" w:eastAsia="Arial" w:hAnsi="Arial"/>
                <w:sz w:val="18"/>
                <w:szCs w:val="18"/>
                <w:b w:val="1"/>
                <w:bCs w:val="1"/>
                <w:color w:val="auto"/>
              </w:rPr>
              <w:t>37.1</w:t>
            </w:r>
          </w:p>
        </w:tc>
        <w:tc>
          <w:tcPr>
            <w:tcW w:w="360" w:type="dxa"/>
            <w:vAlign w:val="bottom"/>
          </w:tcPr>
          <w:p>
            <w:pPr>
              <w:jc w:val="right"/>
              <w:ind w:right="50"/>
              <w:spacing w:after="0" w:line="202" w:lineRule="exact"/>
              <w:rPr>
                <w:sz w:val="20"/>
                <w:szCs w:val="20"/>
                <w:color w:val="auto"/>
              </w:rPr>
            </w:pPr>
            <w:r>
              <w:rPr>
                <w:rFonts w:ascii="Arial" w:cs="Arial" w:eastAsia="Arial" w:hAnsi="Arial"/>
                <w:sz w:val="18"/>
                <w:szCs w:val="18"/>
                <w:color w:val="auto"/>
              </w:rPr>
              <w:t>$</w:t>
            </w:r>
          </w:p>
        </w:tc>
        <w:tc>
          <w:tcPr>
            <w:tcW w:w="1000" w:type="dxa"/>
            <w:vAlign w:val="bottom"/>
          </w:tcPr>
          <w:p>
            <w:pPr>
              <w:jc w:val="right"/>
              <w:ind w:right="10"/>
              <w:spacing w:after="0" w:line="202" w:lineRule="exact"/>
              <w:rPr>
                <w:sz w:val="20"/>
                <w:szCs w:val="20"/>
                <w:color w:val="auto"/>
              </w:rPr>
            </w:pPr>
            <w:r>
              <w:rPr>
                <w:rFonts w:ascii="Arial" w:cs="Arial" w:eastAsia="Arial" w:hAnsi="Arial"/>
                <w:sz w:val="18"/>
                <w:szCs w:val="18"/>
                <w:color w:val="auto"/>
              </w:rPr>
              <w:t>9.8</w:t>
            </w:r>
          </w:p>
        </w:tc>
      </w:tr>
      <w:tr>
        <w:trPr>
          <w:trHeight w:val="203"/>
        </w:trPr>
        <w:tc>
          <w:tcPr>
            <w:tcW w:w="8080" w:type="dxa"/>
            <w:vAlign w:val="bottom"/>
            <w:gridSpan w:val="2"/>
            <w:shd w:val="clear" w:color="auto" w:fill="CFF0FC"/>
          </w:tcPr>
          <w:p>
            <w:pPr>
              <w:ind w:left="20"/>
              <w:spacing w:after="0" w:line="202" w:lineRule="exact"/>
              <w:rPr>
                <w:sz w:val="20"/>
                <w:szCs w:val="20"/>
                <w:color w:val="auto"/>
              </w:rPr>
            </w:pPr>
            <w:r>
              <w:rPr>
                <w:rFonts w:ascii="Arial" w:cs="Arial" w:eastAsia="Arial" w:hAnsi="Arial"/>
                <w:sz w:val="18"/>
                <w:szCs w:val="18"/>
                <w:color w:val="auto"/>
              </w:rPr>
              <w:t>Adjustments to reconcile net income (loss) to net cash provided (used) by operating activities:</w:t>
            </w:r>
          </w:p>
        </w:tc>
        <w:tc>
          <w:tcPr>
            <w:tcW w:w="700" w:type="dxa"/>
            <w:vAlign w:val="bottom"/>
            <w:shd w:val="clear" w:color="auto" w:fill="CFF0FC"/>
          </w:tcPr>
          <w:p>
            <w:pPr>
              <w:spacing w:after="0"/>
              <w:rPr>
                <w:sz w:val="17"/>
                <w:szCs w:val="17"/>
                <w:color w:val="auto"/>
              </w:rPr>
            </w:pPr>
          </w:p>
        </w:tc>
        <w:tc>
          <w:tcPr>
            <w:tcW w:w="110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1000" w:type="dxa"/>
            <w:vAlign w:val="bottom"/>
            <w:shd w:val="clear" w:color="auto" w:fill="CFF0FC"/>
          </w:tcPr>
          <w:p>
            <w:pPr>
              <w:spacing w:after="0"/>
              <w:rPr>
                <w:sz w:val="17"/>
                <w:szCs w:val="17"/>
                <w:color w:val="auto"/>
              </w:rPr>
            </w:pPr>
          </w:p>
        </w:tc>
      </w:tr>
      <w:tr>
        <w:trPr>
          <w:trHeight w:val="203"/>
        </w:trPr>
        <w:tc>
          <w:tcPr>
            <w:tcW w:w="8080" w:type="dxa"/>
            <w:vAlign w:val="bottom"/>
            <w:gridSpan w:val="2"/>
          </w:tcPr>
          <w:p>
            <w:pPr>
              <w:ind w:left="20"/>
              <w:spacing w:after="0" w:line="202" w:lineRule="exact"/>
              <w:rPr>
                <w:sz w:val="20"/>
                <w:szCs w:val="20"/>
                <w:color w:val="auto"/>
              </w:rPr>
            </w:pPr>
            <w:r>
              <w:rPr>
                <w:rFonts w:ascii="Arial" w:cs="Arial" w:eastAsia="Arial" w:hAnsi="Arial"/>
                <w:sz w:val="18"/>
                <w:szCs w:val="18"/>
                <w:color w:val="auto"/>
              </w:rPr>
              <w:t>Depreciation and amortization</w:t>
            </w:r>
          </w:p>
        </w:tc>
        <w:tc>
          <w:tcPr>
            <w:tcW w:w="700" w:type="dxa"/>
            <w:vAlign w:val="bottom"/>
          </w:tcPr>
          <w:p>
            <w:pPr>
              <w:spacing w:after="0"/>
              <w:rPr>
                <w:sz w:val="17"/>
                <w:szCs w:val="17"/>
                <w:color w:val="auto"/>
              </w:rPr>
            </w:pPr>
          </w:p>
        </w:tc>
        <w:tc>
          <w:tcPr>
            <w:tcW w:w="1100" w:type="dxa"/>
            <w:vAlign w:val="bottom"/>
          </w:tcPr>
          <w:p>
            <w:pPr>
              <w:jc w:val="right"/>
              <w:ind w:right="150"/>
              <w:spacing w:after="0" w:line="202" w:lineRule="exact"/>
              <w:rPr>
                <w:sz w:val="20"/>
                <w:szCs w:val="20"/>
                <w:color w:val="auto"/>
              </w:rPr>
            </w:pPr>
            <w:r>
              <w:rPr>
                <w:rFonts w:ascii="Arial" w:cs="Arial" w:eastAsia="Arial" w:hAnsi="Arial"/>
                <w:sz w:val="18"/>
                <w:szCs w:val="18"/>
                <w:b w:val="1"/>
                <w:bCs w:val="1"/>
                <w:color w:val="auto"/>
              </w:rPr>
              <w:t>14.6</w:t>
            </w:r>
          </w:p>
        </w:tc>
        <w:tc>
          <w:tcPr>
            <w:tcW w:w="360" w:type="dxa"/>
            <w:vAlign w:val="bottom"/>
          </w:tcPr>
          <w:p>
            <w:pPr>
              <w:spacing w:after="0"/>
              <w:rPr>
                <w:sz w:val="17"/>
                <w:szCs w:val="17"/>
                <w:color w:val="auto"/>
              </w:rPr>
            </w:pPr>
          </w:p>
        </w:tc>
        <w:tc>
          <w:tcPr>
            <w:tcW w:w="1000" w:type="dxa"/>
            <w:vAlign w:val="bottom"/>
          </w:tcPr>
          <w:p>
            <w:pPr>
              <w:jc w:val="right"/>
              <w:ind w:right="10"/>
              <w:spacing w:after="0" w:line="202" w:lineRule="exact"/>
              <w:rPr>
                <w:sz w:val="20"/>
                <w:szCs w:val="20"/>
                <w:color w:val="auto"/>
              </w:rPr>
            </w:pPr>
            <w:r>
              <w:rPr>
                <w:rFonts w:ascii="Arial" w:cs="Arial" w:eastAsia="Arial" w:hAnsi="Arial"/>
                <w:sz w:val="18"/>
                <w:szCs w:val="18"/>
                <w:color w:val="auto"/>
              </w:rPr>
              <w:t>17.6</w:t>
            </w:r>
          </w:p>
        </w:tc>
      </w:tr>
      <w:tr>
        <w:trPr>
          <w:trHeight w:val="203"/>
        </w:trPr>
        <w:tc>
          <w:tcPr>
            <w:tcW w:w="8080" w:type="dxa"/>
            <w:vAlign w:val="bottom"/>
            <w:gridSpan w:val="2"/>
            <w:shd w:val="clear" w:color="auto" w:fill="CFF0FC"/>
          </w:tcPr>
          <w:p>
            <w:pPr>
              <w:ind w:left="20"/>
              <w:spacing w:after="0" w:line="202" w:lineRule="exact"/>
              <w:rPr>
                <w:sz w:val="20"/>
                <w:szCs w:val="20"/>
                <w:color w:val="auto"/>
              </w:rPr>
            </w:pPr>
            <w:r>
              <w:rPr>
                <w:rFonts w:ascii="Arial" w:cs="Arial" w:eastAsia="Arial" w:hAnsi="Arial"/>
                <w:sz w:val="18"/>
                <w:szCs w:val="18"/>
                <w:color w:val="auto"/>
              </w:rPr>
              <w:t>Amortization of deferred financing fees</w:t>
            </w:r>
          </w:p>
        </w:tc>
        <w:tc>
          <w:tcPr>
            <w:tcW w:w="700" w:type="dxa"/>
            <w:vAlign w:val="bottom"/>
            <w:shd w:val="clear" w:color="auto" w:fill="CFF0FC"/>
          </w:tcPr>
          <w:p>
            <w:pPr>
              <w:spacing w:after="0"/>
              <w:rPr>
                <w:sz w:val="17"/>
                <w:szCs w:val="17"/>
                <w:color w:val="auto"/>
              </w:rPr>
            </w:pPr>
          </w:p>
        </w:tc>
        <w:tc>
          <w:tcPr>
            <w:tcW w:w="1100" w:type="dxa"/>
            <w:vAlign w:val="bottom"/>
            <w:shd w:val="clear" w:color="auto" w:fill="CFF0FC"/>
          </w:tcPr>
          <w:p>
            <w:pPr>
              <w:jc w:val="right"/>
              <w:ind w:right="150"/>
              <w:spacing w:after="0" w:line="202" w:lineRule="exact"/>
              <w:rPr>
                <w:sz w:val="20"/>
                <w:szCs w:val="20"/>
                <w:color w:val="auto"/>
              </w:rPr>
            </w:pPr>
            <w:r>
              <w:rPr>
                <w:rFonts w:ascii="Arial" w:cs="Arial" w:eastAsia="Arial" w:hAnsi="Arial"/>
                <w:sz w:val="18"/>
                <w:szCs w:val="18"/>
                <w:b w:val="1"/>
                <w:bCs w:val="1"/>
                <w:color w:val="auto"/>
              </w:rPr>
              <w:t>0.2</w:t>
            </w:r>
          </w:p>
        </w:tc>
        <w:tc>
          <w:tcPr>
            <w:tcW w:w="360" w:type="dxa"/>
            <w:vAlign w:val="bottom"/>
            <w:shd w:val="clear" w:color="auto" w:fill="CFF0FC"/>
          </w:tcPr>
          <w:p>
            <w:pPr>
              <w:spacing w:after="0"/>
              <w:rPr>
                <w:sz w:val="17"/>
                <w:szCs w:val="17"/>
                <w:color w:val="auto"/>
              </w:rPr>
            </w:pPr>
          </w:p>
        </w:tc>
        <w:tc>
          <w:tcPr>
            <w:tcW w:w="100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0.3</w:t>
            </w:r>
          </w:p>
        </w:tc>
      </w:tr>
      <w:tr>
        <w:trPr>
          <w:trHeight w:val="203"/>
        </w:trPr>
        <w:tc>
          <w:tcPr>
            <w:tcW w:w="8080" w:type="dxa"/>
            <w:vAlign w:val="bottom"/>
            <w:gridSpan w:val="2"/>
          </w:tcPr>
          <w:p>
            <w:pPr>
              <w:ind w:left="20"/>
              <w:spacing w:after="0" w:line="202" w:lineRule="exact"/>
              <w:rPr>
                <w:sz w:val="20"/>
                <w:szCs w:val="20"/>
                <w:color w:val="auto"/>
              </w:rPr>
            </w:pPr>
            <w:r>
              <w:rPr>
                <w:rFonts w:ascii="Arial" w:cs="Arial" w:eastAsia="Arial" w:hAnsi="Arial"/>
                <w:sz w:val="18"/>
                <w:szCs w:val="18"/>
                <w:color w:val="auto"/>
              </w:rPr>
              <w:t>Loss on extinguishment of debt</w:t>
            </w:r>
          </w:p>
        </w:tc>
        <w:tc>
          <w:tcPr>
            <w:tcW w:w="700" w:type="dxa"/>
            <w:vAlign w:val="bottom"/>
          </w:tcPr>
          <w:p>
            <w:pPr>
              <w:spacing w:after="0"/>
              <w:rPr>
                <w:sz w:val="17"/>
                <w:szCs w:val="17"/>
                <w:color w:val="auto"/>
              </w:rPr>
            </w:pPr>
          </w:p>
        </w:tc>
        <w:tc>
          <w:tcPr>
            <w:tcW w:w="1100" w:type="dxa"/>
            <w:vAlign w:val="bottom"/>
          </w:tcPr>
          <w:p>
            <w:pPr>
              <w:jc w:val="right"/>
              <w:ind w:right="150"/>
              <w:spacing w:after="0" w:line="202" w:lineRule="exact"/>
              <w:rPr>
                <w:sz w:val="20"/>
                <w:szCs w:val="20"/>
                <w:color w:val="auto"/>
              </w:rPr>
            </w:pPr>
            <w:r>
              <w:rPr>
                <w:rFonts w:ascii="Arial" w:cs="Arial" w:eastAsia="Arial" w:hAnsi="Arial"/>
                <w:sz w:val="18"/>
                <w:szCs w:val="18"/>
                <w:b w:val="1"/>
                <w:bCs w:val="1"/>
                <w:color w:val="auto"/>
              </w:rPr>
              <w:t>17.0</w:t>
            </w:r>
          </w:p>
        </w:tc>
        <w:tc>
          <w:tcPr>
            <w:tcW w:w="360" w:type="dxa"/>
            <w:vAlign w:val="bottom"/>
          </w:tcPr>
          <w:p>
            <w:pPr>
              <w:spacing w:after="0"/>
              <w:rPr>
                <w:sz w:val="17"/>
                <w:szCs w:val="17"/>
                <w:color w:val="auto"/>
              </w:rPr>
            </w:pPr>
          </w:p>
        </w:tc>
        <w:tc>
          <w:tcPr>
            <w:tcW w:w="1000" w:type="dxa"/>
            <w:vAlign w:val="bottom"/>
          </w:tcPr>
          <w:p>
            <w:pPr>
              <w:jc w:val="right"/>
              <w:ind w:right="10"/>
              <w:spacing w:after="0" w:line="202" w:lineRule="exact"/>
              <w:rPr>
                <w:sz w:val="20"/>
                <w:szCs w:val="20"/>
                <w:color w:val="auto"/>
              </w:rPr>
            </w:pPr>
            <w:r>
              <w:rPr>
                <w:rFonts w:ascii="Arial" w:cs="Arial" w:eastAsia="Arial" w:hAnsi="Arial"/>
                <w:sz w:val="18"/>
                <w:szCs w:val="18"/>
                <w:color w:val="auto"/>
              </w:rPr>
              <w:t>—</w:t>
            </w:r>
          </w:p>
        </w:tc>
      </w:tr>
      <w:tr>
        <w:trPr>
          <w:trHeight w:val="203"/>
        </w:trPr>
        <w:tc>
          <w:tcPr>
            <w:tcW w:w="8080" w:type="dxa"/>
            <w:vAlign w:val="bottom"/>
            <w:gridSpan w:val="2"/>
            <w:shd w:val="clear" w:color="auto" w:fill="CFF0FC"/>
          </w:tcPr>
          <w:p>
            <w:pPr>
              <w:ind w:left="20"/>
              <w:spacing w:after="0" w:line="202" w:lineRule="exact"/>
              <w:rPr>
                <w:sz w:val="20"/>
                <w:szCs w:val="20"/>
                <w:color w:val="auto"/>
              </w:rPr>
            </w:pPr>
            <w:r>
              <w:rPr>
                <w:rFonts w:ascii="Arial" w:cs="Arial" w:eastAsia="Arial" w:hAnsi="Arial"/>
                <w:sz w:val="18"/>
                <w:szCs w:val="18"/>
                <w:color w:val="auto"/>
              </w:rPr>
              <w:t>Loss (gain) on sale or disposal of assets, net</w:t>
            </w:r>
          </w:p>
        </w:tc>
        <w:tc>
          <w:tcPr>
            <w:tcW w:w="700" w:type="dxa"/>
            <w:vAlign w:val="bottom"/>
            <w:shd w:val="clear" w:color="auto" w:fill="CFF0FC"/>
          </w:tcPr>
          <w:p>
            <w:pPr>
              <w:spacing w:after="0"/>
              <w:rPr>
                <w:sz w:val="17"/>
                <w:szCs w:val="17"/>
                <w:color w:val="auto"/>
              </w:rPr>
            </w:pPr>
          </w:p>
        </w:tc>
        <w:tc>
          <w:tcPr>
            <w:tcW w:w="1100" w:type="dxa"/>
            <w:vAlign w:val="bottom"/>
            <w:shd w:val="clear" w:color="auto" w:fill="CFF0FC"/>
          </w:tcPr>
          <w:p>
            <w:pPr>
              <w:jc w:val="right"/>
              <w:ind w:right="150"/>
              <w:spacing w:after="0" w:line="202" w:lineRule="exact"/>
              <w:rPr>
                <w:sz w:val="20"/>
                <w:szCs w:val="20"/>
                <w:color w:val="auto"/>
              </w:rPr>
            </w:pPr>
            <w:r>
              <w:rPr>
                <w:rFonts w:ascii="Arial" w:cs="Arial" w:eastAsia="Arial" w:hAnsi="Arial"/>
                <w:sz w:val="18"/>
                <w:szCs w:val="18"/>
                <w:b w:val="1"/>
                <w:bCs w:val="1"/>
                <w:color w:val="auto"/>
              </w:rPr>
              <w:t>0.1</w:t>
            </w:r>
          </w:p>
        </w:tc>
        <w:tc>
          <w:tcPr>
            <w:tcW w:w="360" w:type="dxa"/>
            <w:vAlign w:val="bottom"/>
            <w:shd w:val="clear" w:color="auto" w:fill="CFF0FC"/>
          </w:tcPr>
          <w:p>
            <w:pPr>
              <w:spacing w:after="0"/>
              <w:rPr>
                <w:sz w:val="17"/>
                <w:szCs w:val="17"/>
                <w:color w:val="auto"/>
              </w:rPr>
            </w:pPr>
          </w:p>
        </w:tc>
        <w:tc>
          <w:tcPr>
            <w:tcW w:w="100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w:t>
            </w:r>
          </w:p>
        </w:tc>
      </w:tr>
      <w:tr>
        <w:trPr>
          <w:trHeight w:val="203"/>
        </w:trPr>
        <w:tc>
          <w:tcPr>
            <w:tcW w:w="8080" w:type="dxa"/>
            <w:vAlign w:val="bottom"/>
            <w:gridSpan w:val="2"/>
          </w:tcPr>
          <w:p>
            <w:pPr>
              <w:ind w:left="20"/>
              <w:spacing w:after="0" w:line="202" w:lineRule="exact"/>
              <w:rPr>
                <w:sz w:val="20"/>
                <w:szCs w:val="20"/>
                <w:color w:val="auto"/>
              </w:rPr>
            </w:pPr>
            <w:r>
              <w:rPr>
                <w:rFonts w:ascii="Arial" w:cs="Arial" w:eastAsia="Arial" w:hAnsi="Arial"/>
                <w:sz w:val="18"/>
                <w:szCs w:val="18"/>
                <w:color w:val="auto"/>
              </w:rPr>
              <w:t>Impairment charges</w:t>
            </w:r>
          </w:p>
        </w:tc>
        <w:tc>
          <w:tcPr>
            <w:tcW w:w="700" w:type="dxa"/>
            <w:vAlign w:val="bottom"/>
          </w:tcPr>
          <w:p>
            <w:pPr>
              <w:spacing w:after="0"/>
              <w:rPr>
                <w:sz w:val="17"/>
                <w:szCs w:val="17"/>
                <w:color w:val="auto"/>
              </w:rPr>
            </w:pPr>
          </w:p>
        </w:tc>
        <w:tc>
          <w:tcPr>
            <w:tcW w:w="1100" w:type="dxa"/>
            <w:vAlign w:val="bottom"/>
          </w:tcPr>
          <w:p>
            <w:pPr>
              <w:jc w:val="right"/>
              <w:ind w:right="150"/>
              <w:spacing w:after="0" w:line="202" w:lineRule="exact"/>
              <w:rPr>
                <w:sz w:val="20"/>
                <w:szCs w:val="20"/>
                <w:color w:val="auto"/>
              </w:rPr>
            </w:pPr>
            <w:r>
              <w:rPr>
                <w:rFonts w:ascii="Arial" w:cs="Arial" w:eastAsia="Arial" w:hAnsi="Arial"/>
                <w:sz w:val="18"/>
                <w:szCs w:val="18"/>
                <w:b w:val="1"/>
                <w:bCs w:val="1"/>
                <w:color w:val="auto"/>
              </w:rPr>
              <w:t>—</w:t>
            </w:r>
          </w:p>
        </w:tc>
        <w:tc>
          <w:tcPr>
            <w:tcW w:w="360" w:type="dxa"/>
            <w:vAlign w:val="bottom"/>
          </w:tcPr>
          <w:p>
            <w:pPr>
              <w:spacing w:after="0"/>
              <w:rPr>
                <w:sz w:val="17"/>
                <w:szCs w:val="17"/>
                <w:color w:val="auto"/>
              </w:rPr>
            </w:pPr>
          </w:p>
        </w:tc>
        <w:tc>
          <w:tcPr>
            <w:tcW w:w="1000" w:type="dxa"/>
            <w:vAlign w:val="bottom"/>
          </w:tcPr>
          <w:p>
            <w:pPr>
              <w:jc w:val="right"/>
              <w:ind w:right="10"/>
              <w:spacing w:after="0" w:line="202" w:lineRule="exact"/>
              <w:rPr>
                <w:sz w:val="20"/>
                <w:szCs w:val="20"/>
                <w:color w:val="auto"/>
              </w:rPr>
            </w:pPr>
            <w:r>
              <w:rPr>
                <w:rFonts w:ascii="Arial" w:cs="Arial" w:eastAsia="Arial" w:hAnsi="Arial"/>
                <w:sz w:val="18"/>
                <w:szCs w:val="18"/>
                <w:color w:val="auto"/>
              </w:rPr>
              <w:t>8.2</w:t>
            </w:r>
          </w:p>
        </w:tc>
      </w:tr>
      <w:tr>
        <w:trPr>
          <w:trHeight w:val="203"/>
        </w:trPr>
        <w:tc>
          <w:tcPr>
            <w:tcW w:w="8080" w:type="dxa"/>
            <w:vAlign w:val="bottom"/>
            <w:gridSpan w:val="2"/>
            <w:shd w:val="clear" w:color="auto" w:fill="CFF0FC"/>
          </w:tcPr>
          <w:p>
            <w:pPr>
              <w:ind w:left="20"/>
              <w:spacing w:after="0" w:line="202" w:lineRule="exact"/>
              <w:rPr>
                <w:sz w:val="20"/>
                <w:szCs w:val="20"/>
                <w:color w:val="auto"/>
              </w:rPr>
            </w:pPr>
            <w:r>
              <w:rPr>
                <w:rFonts w:ascii="Arial" w:cs="Arial" w:eastAsia="Arial" w:hAnsi="Arial"/>
                <w:sz w:val="18"/>
                <w:szCs w:val="18"/>
                <w:color w:val="auto"/>
              </w:rPr>
              <w:t>Deferred income taxes</w:t>
            </w:r>
          </w:p>
        </w:tc>
        <w:tc>
          <w:tcPr>
            <w:tcW w:w="700" w:type="dxa"/>
            <w:vAlign w:val="bottom"/>
            <w:shd w:val="clear" w:color="auto" w:fill="CFF0FC"/>
          </w:tcPr>
          <w:p>
            <w:pPr>
              <w:spacing w:after="0"/>
              <w:rPr>
                <w:sz w:val="17"/>
                <w:szCs w:val="17"/>
                <w:color w:val="auto"/>
              </w:rPr>
            </w:pPr>
          </w:p>
        </w:tc>
        <w:tc>
          <w:tcPr>
            <w:tcW w:w="1100" w:type="dxa"/>
            <w:vAlign w:val="bottom"/>
            <w:shd w:val="clear" w:color="auto" w:fill="CFF0FC"/>
          </w:tcPr>
          <w:p>
            <w:pPr>
              <w:jc w:val="right"/>
              <w:ind w:right="50"/>
              <w:spacing w:after="0" w:line="202" w:lineRule="exact"/>
              <w:rPr>
                <w:sz w:val="20"/>
                <w:szCs w:val="20"/>
                <w:color w:val="auto"/>
              </w:rPr>
            </w:pPr>
            <w:r>
              <w:rPr>
                <w:rFonts w:ascii="Arial" w:cs="Arial" w:eastAsia="Arial" w:hAnsi="Arial"/>
                <w:sz w:val="18"/>
                <w:szCs w:val="18"/>
                <w:b w:val="1"/>
                <w:bCs w:val="1"/>
                <w:color w:val="auto"/>
              </w:rPr>
              <w:t>(0.1 )</w:t>
            </w:r>
          </w:p>
        </w:tc>
        <w:tc>
          <w:tcPr>
            <w:tcW w:w="360" w:type="dxa"/>
            <w:vAlign w:val="bottom"/>
            <w:shd w:val="clear" w:color="auto" w:fill="CFF0FC"/>
          </w:tcPr>
          <w:p>
            <w:pPr>
              <w:spacing w:after="0"/>
              <w:rPr>
                <w:sz w:val="17"/>
                <w:szCs w:val="17"/>
                <w:color w:val="auto"/>
              </w:rPr>
            </w:pPr>
          </w:p>
        </w:tc>
        <w:tc>
          <w:tcPr>
            <w:tcW w:w="100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w:t>
            </w:r>
          </w:p>
        </w:tc>
      </w:tr>
      <w:tr>
        <w:trPr>
          <w:trHeight w:val="203"/>
        </w:trPr>
        <w:tc>
          <w:tcPr>
            <w:tcW w:w="8080" w:type="dxa"/>
            <w:vAlign w:val="bottom"/>
            <w:gridSpan w:val="2"/>
          </w:tcPr>
          <w:p>
            <w:pPr>
              <w:ind w:left="20"/>
              <w:spacing w:after="0" w:line="202" w:lineRule="exact"/>
              <w:rPr>
                <w:sz w:val="20"/>
                <w:szCs w:val="20"/>
                <w:color w:val="auto"/>
              </w:rPr>
            </w:pPr>
            <w:r>
              <w:rPr>
                <w:rFonts w:ascii="Arial" w:cs="Arial" w:eastAsia="Arial" w:hAnsi="Arial"/>
                <w:sz w:val="18"/>
                <w:szCs w:val="18"/>
                <w:color w:val="auto"/>
              </w:rPr>
              <w:t>Stock-based compensation expense</w:t>
            </w:r>
          </w:p>
        </w:tc>
        <w:tc>
          <w:tcPr>
            <w:tcW w:w="700" w:type="dxa"/>
            <w:vAlign w:val="bottom"/>
          </w:tcPr>
          <w:p>
            <w:pPr>
              <w:spacing w:after="0"/>
              <w:rPr>
                <w:sz w:val="17"/>
                <w:szCs w:val="17"/>
                <w:color w:val="auto"/>
              </w:rPr>
            </w:pPr>
          </w:p>
        </w:tc>
        <w:tc>
          <w:tcPr>
            <w:tcW w:w="1100" w:type="dxa"/>
            <w:vAlign w:val="bottom"/>
          </w:tcPr>
          <w:p>
            <w:pPr>
              <w:jc w:val="right"/>
              <w:ind w:right="150"/>
              <w:spacing w:after="0" w:line="202" w:lineRule="exact"/>
              <w:rPr>
                <w:sz w:val="20"/>
                <w:szCs w:val="20"/>
                <w:color w:val="auto"/>
              </w:rPr>
            </w:pPr>
            <w:r>
              <w:rPr>
                <w:rFonts w:ascii="Arial" w:cs="Arial" w:eastAsia="Arial" w:hAnsi="Arial"/>
                <w:sz w:val="18"/>
                <w:szCs w:val="18"/>
                <w:b w:val="1"/>
                <w:bCs w:val="1"/>
                <w:color w:val="auto"/>
              </w:rPr>
              <w:t>2.1</w:t>
            </w:r>
          </w:p>
        </w:tc>
        <w:tc>
          <w:tcPr>
            <w:tcW w:w="360" w:type="dxa"/>
            <w:vAlign w:val="bottom"/>
          </w:tcPr>
          <w:p>
            <w:pPr>
              <w:spacing w:after="0"/>
              <w:rPr>
                <w:sz w:val="17"/>
                <w:szCs w:val="17"/>
                <w:color w:val="auto"/>
              </w:rPr>
            </w:pPr>
          </w:p>
        </w:tc>
        <w:tc>
          <w:tcPr>
            <w:tcW w:w="1000" w:type="dxa"/>
            <w:vAlign w:val="bottom"/>
          </w:tcPr>
          <w:p>
            <w:pPr>
              <w:jc w:val="right"/>
              <w:ind w:right="10"/>
              <w:spacing w:after="0" w:line="202" w:lineRule="exact"/>
              <w:rPr>
                <w:sz w:val="20"/>
                <w:szCs w:val="20"/>
                <w:color w:val="auto"/>
              </w:rPr>
            </w:pPr>
            <w:r>
              <w:rPr>
                <w:rFonts w:ascii="Arial" w:cs="Arial" w:eastAsia="Arial" w:hAnsi="Arial"/>
                <w:sz w:val="18"/>
                <w:szCs w:val="18"/>
                <w:color w:val="auto"/>
              </w:rPr>
              <w:t>1.8</w:t>
            </w:r>
          </w:p>
        </w:tc>
      </w:tr>
      <w:tr>
        <w:trPr>
          <w:trHeight w:val="203"/>
        </w:trPr>
        <w:tc>
          <w:tcPr>
            <w:tcW w:w="8080" w:type="dxa"/>
            <w:vAlign w:val="bottom"/>
            <w:gridSpan w:val="2"/>
            <w:shd w:val="clear" w:color="auto" w:fill="CFF0FC"/>
          </w:tcPr>
          <w:p>
            <w:pPr>
              <w:ind w:left="20"/>
              <w:spacing w:after="0" w:line="202" w:lineRule="exact"/>
              <w:rPr>
                <w:sz w:val="20"/>
                <w:szCs w:val="20"/>
                <w:color w:val="auto"/>
              </w:rPr>
            </w:pPr>
            <w:r>
              <w:rPr>
                <w:rFonts w:ascii="Arial" w:cs="Arial" w:eastAsia="Arial" w:hAnsi="Arial"/>
                <w:sz w:val="18"/>
                <w:szCs w:val="18"/>
                <w:color w:val="auto"/>
              </w:rPr>
              <w:t>Pension and postretirement (benefit) expense, net</w:t>
            </w:r>
          </w:p>
        </w:tc>
        <w:tc>
          <w:tcPr>
            <w:tcW w:w="700" w:type="dxa"/>
            <w:vAlign w:val="bottom"/>
            <w:shd w:val="clear" w:color="auto" w:fill="CFF0FC"/>
          </w:tcPr>
          <w:p>
            <w:pPr>
              <w:spacing w:after="0"/>
              <w:rPr>
                <w:sz w:val="17"/>
                <w:szCs w:val="17"/>
                <w:color w:val="auto"/>
              </w:rPr>
            </w:pPr>
          </w:p>
        </w:tc>
        <w:tc>
          <w:tcPr>
            <w:tcW w:w="1100" w:type="dxa"/>
            <w:vAlign w:val="bottom"/>
            <w:shd w:val="clear" w:color="auto" w:fill="CFF0FC"/>
          </w:tcPr>
          <w:p>
            <w:pPr>
              <w:jc w:val="right"/>
              <w:ind w:right="50"/>
              <w:spacing w:after="0" w:line="202" w:lineRule="exact"/>
              <w:rPr>
                <w:sz w:val="20"/>
                <w:szCs w:val="20"/>
                <w:color w:val="auto"/>
              </w:rPr>
            </w:pPr>
            <w:r>
              <w:rPr>
                <w:rFonts w:ascii="Arial" w:cs="Arial" w:eastAsia="Arial" w:hAnsi="Arial"/>
                <w:sz w:val="18"/>
                <w:szCs w:val="18"/>
                <w:b w:val="1"/>
                <w:bCs w:val="1"/>
                <w:color w:val="auto"/>
              </w:rPr>
              <w:t>(10.7 )</w:t>
            </w:r>
          </w:p>
        </w:tc>
        <w:tc>
          <w:tcPr>
            <w:tcW w:w="360" w:type="dxa"/>
            <w:vAlign w:val="bottom"/>
            <w:shd w:val="clear" w:color="auto" w:fill="CFF0FC"/>
          </w:tcPr>
          <w:p>
            <w:pPr>
              <w:spacing w:after="0"/>
              <w:rPr>
                <w:sz w:val="17"/>
                <w:szCs w:val="17"/>
                <w:color w:val="auto"/>
              </w:rPr>
            </w:pPr>
          </w:p>
        </w:tc>
        <w:tc>
          <w:tcPr>
            <w:tcW w:w="100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(4.7 )</w:t>
            </w:r>
          </w:p>
        </w:tc>
      </w:tr>
      <w:tr>
        <w:trPr>
          <w:trHeight w:val="202"/>
        </w:trPr>
        <w:tc>
          <w:tcPr>
            <w:tcW w:w="8080" w:type="dxa"/>
            <w:vAlign w:val="bottom"/>
            <w:gridSpan w:val="2"/>
          </w:tcPr>
          <w:p>
            <w:pPr>
              <w:ind w:left="20"/>
              <w:spacing w:after="0" w:line="202" w:lineRule="exact"/>
              <w:rPr>
                <w:sz w:val="20"/>
                <w:szCs w:val="20"/>
                <w:color w:val="auto"/>
              </w:rPr>
            </w:pPr>
            <w:r>
              <w:rPr>
                <w:rFonts w:ascii="Arial" w:cs="Arial" w:eastAsia="Arial" w:hAnsi="Arial"/>
                <w:sz w:val="18"/>
                <w:szCs w:val="18"/>
                <w:color w:val="auto"/>
              </w:rPr>
              <w:t>Changes in operating assets and liabilities:</w:t>
            </w:r>
          </w:p>
        </w:tc>
        <w:tc>
          <w:tcPr>
            <w:tcW w:w="7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00" w:type="dxa"/>
            <w:vAlign w:val="bottom"/>
          </w:tcPr>
          <w:p>
            <w:pPr>
              <w:spacing w:after="0"/>
              <w:rPr>
                <w:sz w:val="17"/>
                <w:szCs w:val="17"/>
                <w:color w:val="auto"/>
              </w:rPr>
            </w:pPr>
          </w:p>
        </w:tc>
      </w:tr>
      <w:tr>
        <w:trPr>
          <w:trHeight w:val="203"/>
        </w:trPr>
        <w:tc>
          <w:tcPr>
            <w:tcW w:w="8080" w:type="dxa"/>
            <w:vAlign w:val="bottom"/>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Accounts receivable, net</w:t>
            </w:r>
          </w:p>
        </w:tc>
        <w:tc>
          <w:tcPr>
            <w:tcW w:w="700" w:type="dxa"/>
            <w:vAlign w:val="bottom"/>
            <w:shd w:val="clear" w:color="auto" w:fill="CFF0FC"/>
          </w:tcPr>
          <w:p>
            <w:pPr>
              <w:spacing w:after="0"/>
              <w:rPr>
                <w:sz w:val="17"/>
                <w:szCs w:val="17"/>
                <w:color w:val="auto"/>
              </w:rPr>
            </w:pPr>
          </w:p>
        </w:tc>
        <w:tc>
          <w:tcPr>
            <w:tcW w:w="1100" w:type="dxa"/>
            <w:vAlign w:val="bottom"/>
            <w:shd w:val="clear" w:color="auto" w:fill="CFF0FC"/>
          </w:tcPr>
          <w:p>
            <w:pPr>
              <w:jc w:val="right"/>
              <w:ind w:right="50"/>
              <w:spacing w:after="0" w:line="202" w:lineRule="exact"/>
              <w:rPr>
                <w:sz w:val="20"/>
                <w:szCs w:val="20"/>
                <w:color w:val="auto"/>
              </w:rPr>
            </w:pPr>
            <w:r>
              <w:rPr>
                <w:rFonts w:ascii="Arial" w:cs="Arial" w:eastAsia="Arial" w:hAnsi="Arial"/>
                <w:sz w:val="18"/>
                <w:szCs w:val="18"/>
                <w:b w:val="1"/>
                <w:bCs w:val="1"/>
                <w:color w:val="auto"/>
              </w:rPr>
              <w:t>(34.4 )</w:t>
            </w:r>
          </w:p>
        </w:tc>
        <w:tc>
          <w:tcPr>
            <w:tcW w:w="360" w:type="dxa"/>
            <w:vAlign w:val="bottom"/>
            <w:shd w:val="clear" w:color="auto" w:fill="CFF0FC"/>
          </w:tcPr>
          <w:p>
            <w:pPr>
              <w:spacing w:after="0"/>
              <w:rPr>
                <w:sz w:val="17"/>
                <w:szCs w:val="17"/>
                <w:color w:val="auto"/>
              </w:rPr>
            </w:pPr>
          </w:p>
        </w:tc>
        <w:tc>
          <w:tcPr>
            <w:tcW w:w="100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(33.0 )</w:t>
            </w:r>
          </w:p>
        </w:tc>
      </w:tr>
      <w:tr>
        <w:trPr>
          <w:trHeight w:val="203"/>
        </w:trPr>
        <w:tc>
          <w:tcPr>
            <w:tcW w:w="8080" w:type="dxa"/>
            <w:vAlign w:val="bottom"/>
            <w:gridSpan w:val="2"/>
          </w:tcPr>
          <w:p>
            <w:pPr>
              <w:ind w:left="200"/>
              <w:spacing w:after="0" w:line="202" w:lineRule="exact"/>
              <w:rPr>
                <w:sz w:val="20"/>
                <w:szCs w:val="20"/>
                <w:color w:val="auto"/>
              </w:rPr>
            </w:pPr>
            <w:r>
              <w:rPr>
                <w:rFonts w:ascii="Arial" w:cs="Arial" w:eastAsia="Arial" w:hAnsi="Arial"/>
                <w:sz w:val="18"/>
                <w:szCs w:val="18"/>
                <w:color w:val="auto"/>
              </w:rPr>
              <w:t>Inventories, net</w:t>
            </w:r>
          </w:p>
        </w:tc>
        <w:tc>
          <w:tcPr>
            <w:tcW w:w="700" w:type="dxa"/>
            <w:vAlign w:val="bottom"/>
          </w:tcPr>
          <w:p>
            <w:pPr>
              <w:spacing w:after="0"/>
              <w:rPr>
                <w:sz w:val="17"/>
                <w:szCs w:val="17"/>
                <w:color w:val="auto"/>
              </w:rPr>
            </w:pPr>
          </w:p>
        </w:tc>
        <w:tc>
          <w:tcPr>
            <w:tcW w:w="1100" w:type="dxa"/>
            <w:vAlign w:val="bottom"/>
          </w:tcPr>
          <w:p>
            <w:pPr>
              <w:jc w:val="right"/>
              <w:ind w:right="50"/>
              <w:spacing w:after="0" w:line="202" w:lineRule="exact"/>
              <w:rPr>
                <w:sz w:val="20"/>
                <w:szCs w:val="20"/>
                <w:color w:val="auto"/>
              </w:rPr>
            </w:pPr>
            <w:r>
              <w:rPr>
                <w:rFonts w:ascii="Arial" w:cs="Arial" w:eastAsia="Arial" w:hAnsi="Arial"/>
                <w:sz w:val="18"/>
                <w:szCs w:val="18"/>
                <w:b w:val="1"/>
                <w:bCs w:val="1"/>
                <w:color w:val="auto"/>
              </w:rPr>
              <w:t>(19.0 )</w:t>
            </w:r>
          </w:p>
        </w:tc>
        <w:tc>
          <w:tcPr>
            <w:tcW w:w="36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(28.2 )</w:t>
            </w:r>
          </w:p>
        </w:tc>
      </w:tr>
      <w:tr>
        <w:trPr>
          <w:trHeight w:val="203"/>
        </w:trPr>
        <w:tc>
          <w:tcPr>
            <w:tcW w:w="8080" w:type="dxa"/>
            <w:vAlign w:val="bottom"/>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Accounts payable</w:t>
            </w:r>
          </w:p>
        </w:tc>
        <w:tc>
          <w:tcPr>
            <w:tcW w:w="700" w:type="dxa"/>
            <w:vAlign w:val="bottom"/>
            <w:shd w:val="clear" w:color="auto" w:fill="CFF0FC"/>
          </w:tcPr>
          <w:p>
            <w:pPr>
              <w:spacing w:after="0"/>
              <w:rPr>
                <w:sz w:val="17"/>
                <w:szCs w:val="17"/>
                <w:color w:val="auto"/>
              </w:rPr>
            </w:pPr>
          </w:p>
        </w:tc>
        <w:tc>
          <w:tcPr>
            <w:tcW w:w="1100" w:type="dxa"/>
            <w:vAlign w:val="bottom"/>
            <w:shd w:val="clear" w:color="auto" w:fill="CFF0FC"/>
          </w:tcPr>
          <w:p>
            <w:pPr>
              <w:jc w:val="right"/>
              <w:ind w:right="150"/>
              <w:spacing w:after="0" w:line="202" w:lineRule="exact"/>
              <w:rPr>
                <w:sz w:val="20"/>
                <w:szCs w:val="20"/>
                <w:color w:val="auto"/>
              </w:rPr>
            </w:pPr>
            <w:r>
              <w:rPr>
                <w:rFonts w:ascii="Arial" w:cs="Arial" w:eastAsia="Arial" w:hAnsi="Arial"/>
                <w:sz w:val="18"/>
                <w:szCs w:val="18"/>
                <w:b w:val="1"/>
                <w:bCs w:val="1"/>
                <w:color w:val="auto"/>
              </w:rPr>
              <w:t>28.3</w:t>
            </w:r>
          </w:p>
        </w:tc>
        <w:tc>
          <w:tcPr>
            <w:tcW w:w="360" w:type="dxa"/>
            <w:vAlign w:val="bottom"/>
            <w:shd w:val="clear" w:color="auto" w:fill="CFF0FC"/>
          </w:tcPr>
          <w:p>
            <w:pPr>
              <w:spacing w:after="0"/>
              <w:rPr>
                <w:sz w:val="17"/>
                <w:szCs w:val="17"/>
                <w:color w:val="auto"/>
              </w:rPr>
            </w:pPr>
          </w:p>
        </w:tc>
        <w:tc>
          <w:tcPr>
            <w:tcW w:w="100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48.1</w:t>
            </w:r>
          </w:p>
        </w:tc>
      </w:tr>
      <w:tr>
        <w:trPr>
          <w:trHeight w:val="203"/>
        </w:trPr>
        <w:tc>
          <w:tcPr>
            <w:tcW w:w="8080" w:type="dxa"/>
            <w:vAlign w:val="bottom"/>
            <w:gridSpan w:val="2"/>
          </w:tcPr>
          <w:p>
            <w:pPr>
              <w:ind w:left="200"/>
              <w:spacing w:after="0" w:line="202" w:lineRule="exact"/>
              <w:rPr>
                <w:sz w:val="20"/>
                <w:szCs w:val="20"/>
                <w:color w:val="auto"/>
              </w:rPr>
            </w:pPr>
            <w:r>
              <w:rPr>
                <w:rFonts w:ascii="Arial" w:cs="Arial" w:eastAsia="Arial" w:hAnsi="Arial"/>
                <w:sz w:val="18"/>
                <w:szCs w:val="18"/>
                <w:color w:val="auto"/>
              </w:rPr>
              <w:t>Other accrued expenses</w:t>
            </w:r>
          </w:p>
        </w:tc>
        <w:tc>
          <w:tcPr>
            <w:tcW w:w="700" w:type="dxa"/>
            <w:vAlign w:val="bottom"/>
          </w:tcPr>
          <w:p>
            <w:pPr>
              <w:spacing w:after="0"/>
              <w:rPr>
                <w:sz w:val="17"/>
                <w:szCs w:val="17"/>
                <w:color w:val="auto"/>
              </w:rPr>
            </w:pPr>
          </w:p>
        </w:tc>
        <w:tc>
          <w:tcPr>
            <w:tcW w:w="1100" w:type="dxa"/>
            <w:vAlign w:val="bottom"/>
          </w:tcPr>
          <w:p>
            <w:pPr>
              <w:jc w:val="right"/>
              <w:ind w:right="50"/>
              <w:spacing w:after="0" w:line="202" w:lineRule="exact"/>
              <w:rPr>
                <w:sz w:val="20"/>
                <w:szCs w:val="20"/>
                <w:color w:val="auto"/>
              </w:rPr>
            </w:pPr>
            <w:r>
              <w:rPr>
                <w:rFonts w:ascii="Arial" w:cs="Arial" w:eastAsia="Arial" w:hAnsi="Arial"/>
                <w:sz w:val="18"/>
                <w:szCs w:val="18"/>
                <w:b w:val="1"/>
                <w:bCs w:val="1"/>
                <w:color w:val="auto"/>
              </w:rPr>
              <w:t>(20.1 )</w:t>
            </w:r>
          </w:p>
        </w:tc>
        <w:tc>
          <w:tcPr>
            <w:tcW w:w="36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(2.4 )</w:t>
            </w:r>
          </w:p>
        </w:tc>
      </w:tr>
      <w:tr>
        <w:trPr>
          <w:trHeight w:val="203"/>
        </w:trPr>
        <w:tc>
          <w:tcPr>
            <w:tcW w:w="8080" w:type="dxa"/>
            <w:vAlign w:val="bottom"/>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Pension and postretirement contributions and payments</w:t>
            </w:r>
          </w:p>
        </w:tc>
        <w:tc>
          <w:tcPr>
            <w:tcW w:w="700" w:type="dxa"/>
            <w:vAlign w:val="bottom"/>
            <w:shd w:val="clear" w:color="auto" w:fill="CFF0FC"/>
          </w:tcPr>
          <w:p>
            <w:pPr>
              <w:spacing w:after="0"/>
              <w:rPr>
                <w:sz w:val="17"/>
                <w:szCs w:val="17"/>
                <w:color w:val="auto"/>
              </w:rPr>
            </w:pPr>
          </w:p>
        </w:tc>
        <w:tc>
          <w:tcPr>
            <w:tcW w:w="1100" w:type="dxa"/>
            <w:vAlign w:val="bottom"/>
            <w:shd w:val="clear" w:color="auto" w:fill="CFF0FC"/>
          </w:tcPr>
          <w:p>
            <w:pPr>
              <w:jc w:val="right"/>
              <w:ind w:right="50"/>
              <w:spacing w:after="0" w:line="202" w:lineRule="exact"/>
              <w:rPr>
                <w:sz w:val="20"/>
                <w:szCs w:val="20"/>
                <w:color w:val="auto"/>
              </w:rPr>
            </w:pPr>
            <w:r>
              <w:rPr>
                <w:rFonts w:ascii="Arial" w:cs="Arial" w:eastAsia="Arial" w:hAnsi="Arial"/>
                <w:sz w:val="18"/>
                <w:szCs w:val="18"/>
                <w:b w:val="1"/>
                <w:bCs w:val="1"/>
                <w:color w:val="auto"/>
              </w:rPr>
              <w:t>(3.7 )</w:t>
            </w:r>
          </w:p>
        </w:tc>
        <w:tc>
          <w:tcPr>
            <w:tcW w:w="360" w:type="dxa"/>
            <w:vAlign w:val="bottom"/>
            <w:shd w:val="clear" w:color="auto" w:fill="CFF0FC"/>
          </w:tcPr>
          <w:p>
            <w:pPr>
              <w:spacing w:after="0"/>
              <w:rPr>
                <w:sz w:val="17"/>
                <w:szCs w:val="17"/>
                <w:color w:val="auto"/>
              </w:rPr>
            </w:pPr>
          </w:p>
        </w:tc>
        <w:tc>
          <w:tcPr>
            <w:tcW w:w="100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(1.6 )</w:t>
            </w:r>
          </w:p>
        </w:tc>
      </w:tr>
      <w:tr>
        <w:trPr>
          <w:trHeight w:val="203"/>
        </w:trPr>
        <w:tc>
          <w:tcPr>
            <w:tcW w:w="8080" w:type="dxa"/>
            <w:vAlign w:val="bottom"/>
            <w:gridSpan w:val="2"/>
          </w:tcPr>
          <w:p>
            <w:pPr>
              <w:ind w:left="200"/>
              <w:spacing w:after="0" w:line="202" w:lineRule="exact"/>
              <w:rPr>
                <w:sz w:val="20"/>
                <w:szCs w:val="20"/>
                <w:color w:val="auto"/>
              </w:rPr>
            </w:pPr>
            <w:r>
              <w:rPr>
                <w:rFonts w:ascii="Arial" w:cs="Arial" w:eastAsia="Arial" w:hAnsi="Arial"/>
                <w:sz w:val="18"/>
                <w:szCs w:val="18"/>
                <w:color w:val="auto"/>
              </w:rPr>
              <w:t>Deferred charges and prepaid expenses</w:t>
            </w:r>
          </w:p>
        </w:tc>
        <w:tc>
          <w:tcPr>
            <w:tcW w:w="700" w:type="dxa"/>
            <w:vAlign w:val="bottom"/>
          </w:tcPr>
          <w:p>
            <w:pPr>
              <w:spacing w:after="0"/>
              <w:rPr>
                <w:sz w:val="17"/>
                <w:szCs w:val="17"/>
                <w:color w:val="auto"/>
              </w:rPr>
            </w:pPr>
          </w:p>
        </w:tc>
        <w:tc>
          <w:tcPr>
            <w:tcW w:w="1100" w:type="dxa"/>
            <w:vAlign w:val="bottom"/>
          </w:tcPr>
          <w:p>
            <w:pPr>
              <w:jc w:val="right"/>
              <w:ind w:right="150"/>
              <w:spacing w:after="0" w:line="202" w:lineRule="exact"/>
              <w:rPr>
                <w:sz w:val="20"/>
                <w:szCs w:val="20"/>
                <w:color w:val="auto"/>
              </w:rPr>
            </w:pPr>
            <w:r>
              <w:rPr>
                <w:rFonts w:ascii="Arial" w:cs="Arial" w:eastAsia="Arial" w:hAnsi="Arial"/>
                <w:sz w:val="18"/>
                <w:szCs w:val="18"/>
                <w:b w:val="1"/>
                <w:bCs w:val="1"/>
                <w:color w:val="auto"/>
              </w:rPr>
              <w:t>0.3</w:t>
            </w:r>
          </w:p>
        </w:tc>
        <w:tc>
          <w:tcPr>
            <w:tcW w:w="360" w:type="dxa"/>
            <w:vAlign w:val="bottom"/>
          </w:tcPr>
          <w:p>
            <w:pPr>
              <w:spacing w:after="0"/>
              <w:rPr>
                <w:sz w:val="17"/>
                <w:szCs w:val="17"/>
                <w:color w:val="auto"/>
              </w:rPr>
            </w:pPr>
          </w:p>
        </w:tc>
        <w:tc>
          <w:tcPr>
            <w:tcW w:w="1000" w:type="dxa"/>
            <w:vAlign w:val="bottom"/>
          </w:tcPr>
          <w:p>
            <w:pPr>
              <w:jc w:val="right"/>
              <w:ind w:right="10"/>
              <w:spacing w:after="0" w:line="202" w:lineRule="exact"/>
              <w:rPr>
                <w:sz w:val="20"/>
                <w:szCs w:val="20"/>
                <w:color w:val="auto"/>
              </w:rPr>
            </w:pPr>
            <w:r>
              <w:rPr>
                <w:rFonts w:ascii="Arial" w:cs="Arial" w:eastAsia="Arial" w:hAnsi="Arial"/>
                <w:sz w:val="18"/>
                <w:szCs w:val="18"/>
                <w:color w:val="auto"/>
              </w:rPr>
              <w:t>0.3</w:t>
            </w:r>
          </w:p>
        </w:tc>
      </w:tr>
      <w:tr>
        <w:trPr>
          <w:trHeight w:val="203"/>
        </w:trPr>
        <w:tc>
          <w:tcPr>
            <w:tcW w:w="8080" w:type="dxa"/>
            <w:vAlign w:val="bottom"/>
            <w:tcBorders>
              <w:bottom w:val="single" w:sz="8" w:color="auto"/>
            </w:tcBorders>
            <w:gridSpan w:val="2"/>
            <w:shd w:val="clear" w:color="auto" w:fill="CFF0FC"/>
          </w:tcPr>
          <w:p>
            <w:pPr>
              <w:ind w:left="200"/>
              <w:spacing w:after="0" w:line="202" w:lineRule="exact"/>
              <w:rPr>
                <w:sz w:val="20"/>
                <w:szCs w:val="20"/>
                <w:color w:val="auto"/>
              </w:rPr>
            </w:pPr>
            <w:r>
              <w:rPr>
                <w:rFonts w:ascii="Arial" w:cs="Arial" w:eastAsia="Arial" w:hAnsi="Arial"/>
                <w:sz w:val="18"/>
                <w:szCs w:val="18"/>
                <w:color w:val="auto"/>
              </w:rPr>
              <w:t>Other, net</w:t>
            </w:r>
          </w:p>
        </w:tc>
        <w:tc>
          <w:tcPr>
            <w:tcW w:w="700" w:type="dxa"/>
            <w:vAlign w:val="bottom"/>
            <w:tcBorders>
              <w:bottom w:val="single" w:sz="8" w:color="auto"/>
            </w:tcBorders>
            <w:shd w:val="clear" w:color="auto" w:fill="CFF0FC"/>
          </w:tcPr>
          <w:p>
            <w:pPr>
              <w:spacing w:after="0"/>
              <w:rPr>
                <w:sz w:val="17"/>
                <w:szCs w:val="17"/>
                <w:color w:val="auto"/>
              </w:rPr>
            </w:pPr>
          </w:p>
        </w:tc>
        <w:tc>
          <w:tcPr>
            <w:tcW w:w="1100" w:type="dxa"/>
            <w:vAlign w:val="bottom"/>
            <w:tcBorders>
              <w:bottom w:val="single" w:sz="8" w:color="auto"/>
            </w:tcBorders>
            <w:shd w:val="clear" w:color="auto" w:fill="CFF0FC"/>
          </w:tcPr>
          <w:p>
            <w:pPr>
              <w:jc w:val="right"/>
              <w:ind w:right="150"/>
              <w:spacing w:after="0" w:line="202" w:lineRule="exact"/>
              <w:rPr>
                <w:sz w:val="20"/>
                <w:szCs w:val="20"/>
                <w:color w:val="auto"/>
              </w:rPr>
            </w:pPr>
            <w:r>
              <w:rPr>
                <w:rFonts w:ascii="Arial" w:cs="Arial" w:eastAsia="Arial" w:hAnsi="Arial"/>
                <w:sz w:val="18"/>
                <w:szCs w:val="18"/>
                <w:b w:val="1"/>
                <w:bCs w:val="1"/>
                <w:color w:val="auto"/>
              </w:rPr>
              <w:t>1.6</w:t>
            </w:r>
          </w:p>
        </w:tc>
        <w:tc>
          <w:tcPr>
            <w:tcW w:w="360" w:type="dxa"/>
            <w:vAlign w:val="bottom"/>
            <w:tcBorders>
              <w:bottom w:val="single" w:sz="8" w:color="auto"/>
            </w:tcBorders>
            <w:shd w:val="clear" w:color="auto" w:fill="CFF0FC"/>
          </w:tcPr>
          <w:p>
            <w:pPr>
              <w:spacing w:after="0"/>
              <w:rPr>
                <w:sz w:val="17"/>
                <w:szCs w:val="17"/>
                <w:color w:val="auto"/>
              </w:rPr>
            </w:pPr>
          </w:p>
        </w:tc>
        <w:tc>
          <w:tcPr>
            <w:tcW w:w="100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(3.0 )</w:t>
            </w:r>
          </w:p>
        </w:tc>
      </w:tr>
      <w:tr>
        <w:trPr>
          <w:trHeight w:val="196"/>
        </w:trPr>
        <w:tc>
          <w:tcPr>
            <w:tcW w:w="8080" w:type="dxa"/>
            <w:vAlign w:val="bottom"/>
            <w:tcBorders>
              <w:bottom w:val="single" w:sz="8" w:color="auto"/>
            </w:tcBorders>
            <w:gridSpan w:val="2"/>
          </w:tcPr>
          <w:p>
            <w:pPr>
              <w:ind w:left="200"/>
              <w:spacing w:after="0" w:line="196" w:lineRule="exact"/>
              <w:rPr>
                <w:sz w:val="20"/>
                <w:szCs w:val="20"/>
                <w:color w:val="auto"/>
              </w:rPr>
            </w:pPr>
            <w:r>
              <w:rPr>
                <w:rFonts w:ascii="Arial" w:cs="Arial" w:eastAsia="Arial" w:hAnsi="Arial"/>
                <w:sz w:val="18"/>
                <w:szCs w:val="18"/>
                <w:b w:val="1"/>
                <w:bCs w:val="1"/>
                <w:color w:val="auto"/>
              </w:rPr>
              <w:t>Net Cash Provided (Used) by Operating Activities</w:t>
            </w:r>
          </w:p>
        </w:tc>
        <w:tc>
          <w:tcPr>
            <w:tcW w:w="70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150"/>
              <w:spacing w:after="0" w:line="196" w:lineRule="exact"/>
              <w:rPr>
                <w:sz w:val="20"/>
                <w:szCs w:val="20"/>
                <w:color w:val="auto"/>
              </w:rPr>
            </w:pPr>
            <w:r>
              <w:rPr>
                <w:rFonts w:ascii="Arial" w:cs="Arial" w:eastAsia="Arial" w:hAnsi="Arial"/>
                <w:sz w:val="18"/>
                <w:szCs w:val="18"/>
                <w:b w:val="1"/>
                <w:bCs w:val="1"/>
                <w:color w:val="auto"/>
              </w:rPr>
              <w:t>13.3</w:t>
            </w:r>
          </w:p>
        </w:tc>
        <w:tc>
          <w:tcPr>
            <w:tcW w:w="3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rPr>
              <w:t>13.2</w:t>
            </w:r>
          </w:p>
        </w:tc>
      </w:tr>
      <w:tr>
        <w:trPr>
          <w:trHeight w:val="196"/>
        </w:trPr>
        <w:tc>
          <w:tcPr>
            <w:tcW w:w="1280" w:type="dxa"/>
            <w:vAlign w:val="bottom"/>
            <w:shd w:val="clear" w:color="auto" w:fill="CFF0FC"/>
          </w:tcPr>
          <w:p>
            <w:pPr>
              <w:spacing w:after="0"/>
              <w:rPr>
                <w:sz w:val="17"/>
                <w:szCs w:val="17"/>
                <w:color w:val="auto"/>
              </w:rPr>
            </w:pPr>
          </w:p>
        </w:tc>
        <w:tc>
          <w:tcPr>
            <w:tcW w:w="680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110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1000" w:type="dxa"/>
            <w:vAlign w:val="bottom"/>
            <w:shd w:val="clear" w:color="auto" w:fill="CFF0FC"/>
          </w:tcPr>
          <w:p>
            <w:pPr>
              <w:spacing w:after="0"/>
              <w:rPr>
                <w:sz w:val="17"/>
                <w:szCs w:val="17"/>
                <w:color w:val="auto"/>
              </w:rPr>
            </w:pPr>
          </w:p>
        </w:tc>
      </w:tr>
      <w:tr>
        <w:trPr>
          <w:trHeight w:val="203"/>
        </w:trPr>
        <w:tc>
          <w:tcPr>
            <w:tcW w:w="8080" w:type="dxa"/>
            <w:vAlign w:val="bottom"/>
            <w:gridSpan w:val="2"/>
          </w:tcPr>
          <w:p>
            <w:pPr>
              <w:ind w:left="20"/>
              <w:spacing w:after="0" w:line="202" w:lineRule="exact"/>
              <w:rPr>
                <w:sz w:val="20"/>
                <w:szCs w:val="20"/>
                <w:color w:val="auto"/>
              </w:rPr>
            </w:pPr>
            <w:r>
              <w:rPr>
                <w:rFonts w:ascii="Arial" w:cs="Arial" w:eastAsia="Arial" w:hAnsi="Arial"/>
                <w:sz w:val="18"/>
                <w:szCs w:val="18"/>
                <w:b w:val="1"/>
                <w:bCs w:val="1"/>
                <w:color w:val="auto"/>
              </w:rPr>
              <w:t>Investing Activities</w:t>
            </w:r>
          </w:p>
        </w:tc>
        <w:tc>
          <w:tcPr>
            <w:tcW w:w="7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00" w:type="dxa"/>
            <w:vAlign w:val="bottom"/>
          </w:tcPr>
          <w:p>
            <w:pPr>
              <w:spacing w:after="0"/>
              <w:rPr>
                <w:sz w:val="17"/>
                <w:szCs w:val="17"/>
                <w:color w:val="auto"/>
              </w:rPr>
            </w:pPr>
          </w:p>
        </w:tc>
      </w:tr>
      <w:tr>
        <w:trPr>
          <w:trHeight w:val="202"/>
        </w:trPr>
        <w:tc>
          <w:tcPr>
            <w:tcW w:w="8080" w:type="dxa"/>
            <w:vAlign w:val="bottom"/>
            <w:tcBorders>
              <w:bottom w:val="single" w:sz="8" w:color="auto"/>
            </w:tcBorders>
            <w:gridSpan w:val="2"/>
            <w:shd w:val="clear" w:color="auto" w:fill="CFF0FC"/>
          </w:tcPr>
          <w:p>
            <w:pPr>
              <w:ind w:left="20"/>
              <w:spacing w:after="0" w:line="202" w:lineRule="exact"/>
              <w:rPr>
                <w:sz w:val="20"/>
                <w:szCs w:val="20"/>
                <w:color w:val="auto"/>
              </w:rPr>
            </w:pPr>
            <w:r>
              <w:rPr>
                <w:rFonts w:ascii="Arial" w:cs="Arial" w:eastAsia="Arial" w:hAnsi="Arial"/>
                <w:sz w:val="18"/>
                <w:szCs w:val="18"/>
                <w:color w:val="auto"/>
              </w:rPr>
              <w:t>Capital expenditures</w:t>
            </w:r>
          </w:p>
        </w:tc>
        <w:tc>
          <w:tcPr>
            <w:tcW w:w="700" w:type="dxa"/>
            <w:vAlign w:val="bottom"/>
            <w:tcBorders>
              <w:bottom w:val="single" w:sz="8" w:color="auto"/>
            </w:tcBorders>
            <w:shd w:val="clear" w:color="auto" w:fill="CFF0FC"/>
          </w:tcPr>
          <w:p>
            <w:pPr>
              <w:spacing w:after="0"/>
              <w:rPr>
                <w:sz w:val="17"/>
                <w:szCs w:val="17"/>
                <w:color w:val="auto"/>
              </w:rPr>
            </w:pPr>
          </w:p>
        </w:tc>
        <w:tc>
          <w:tcPr>
            <w:tcW w:w="1100" w:type="dxa"/>
            <w:vAlign w:val="bottom"/>
            <w:tcBorders>
              <w:bottom w:val="single" w:sz="8" w:color="auto"/>
            </w:tcBorders>
            <w:shd w:val="clear" w:color="auto" w:fill="CFF0FC"/>
          </w:tcPr>
          <w:p>
            <w:pPr>
              <w:jc w:val="right"/>
              <w:ind w:right="50"/>
              <w:spacing w:after="0" w:line="202" w:lineRule="exact"/>
              <w:rPr>
                <w:sz w:val="20"/>
                <w:szCs w:val="20"/>
                <w:color w:val="auto"/>
              </w:rPr>
            </w:pPr>
            <w:r>
              <w:rPr>
                <w:rFonts w:ascii="Arial" w:cs="Arial" w:eastAsia="Arial" w:hAnsi="Arial"/>
                <w:sz w:val="18"/>
                <w:szCs w:val="18"/>
                <w:b w:val="1"/>
                <w:bCs w:val="1"/>
                <w:color w:val="auto"/>
              </w:rPr>
              <w:t>(6.5 )</w:t>
            </w:r>
          </w:p>
        </w:tc>
        <w:tc>
          <w:tcPr>
            <w:tcW w:w="360" w:type="dxa"/>
            <w:vAlign w:val="bottom"/>
            <w:tcBorders>
              <w:bottom w:val="single" w:sz="8" w:color="auto"/>
            </w:tcBorders>
            <w:shd w:val="clear" w:color="auto" w:fill="CFF0FC"/>
          </w:tcPr>
          <w:p>
            <w:pPr>
              <w:spacing w:after="0"/>
              <w:rPr>
                <w:sz w:val="17"/>
                <w:szCs w:val="17"/>
                <w:color w:val="auto"/>
              </w:rPr>
            </w:pPr>
          </w:p>
        </w:tc>
        <w:tc>
          <w:tcPr>
            <w:tcW w:w="100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(2.3 )</w:t>
            </w:r>
          </w:p>
        </w:tc>
      </w:tr>
      <w:tr>
        <w:trPr>
          <w:trHeight w:val="183"/>
        </w:trPr>
        <w:tc>
          <w:tcPr>
            <w:tcW w:w="8080" w:type="dxa"/>
            <w:vAlign w:val="bottom"/>
            <w:tcBorders>
              <w:bottom w:val="single" w:sz="8" w:color="auto"/>
            </w:tcBorders>
            <w:gridSpan w:val="2"/>
          </w:tcPr>
          <w:p>
            <w:pPr>
              <w:ind w:left="200"/>
              <w:spacing w:after="0" w:line="182" w:lineRule="exact"/>
              <w:rPr>
                <w:sz w:val="20"/>
                <w:szCs w:val="20"/>
                <w:color w:val="auto"/>
              </w:rPr>
            </w:pPr>
            <w:r>
              <w:rPr>
                <w:rFonts w:ascii="Arial" w:cs="Arial" w:eastAsia="Arial" w:hAnsi="Arial"/>
                <w:sz w:val="18"/>
                <w:szCs w:val="18"/>
                <w:b w:val="1"/>
                <w:bCs w:val="1"/>
                <w:color w:val="auto"/>
              </w:rPr>
              <w:t>Net Cash Provided (Used) by Investing Activities</w:t>
            </w:r>
          </w:p>
        </w:tc>
        <w:tc>
          <w:tcPr>
            <w:tcW w:w="70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right"/>
              <w:ind w:right="50"/>
              <w:spacing w:after="0" w:line="182" w:lineRule="exact"/>
              <w:rPr>
                <w:sz w:val="20"/>
                <w:szCs w:val="20"/>
                <w:color w:val="auto"/>
              </w:rPr>
            </w:pPr>
            <w:r>
              <w:rPr>
                <w:rFonts w:ascii="Arial" w:cs="Arial" w:eastAsia="Arial" w:hAnsi="Arial"/>
                <w:sz w:val="18"/>
                <w:szCs w:val="18"/>
                <w:b w:val="1"/>
                <w:bCs w:val="1"/>
                <w:color w:val="auto"/>
              </w:rPr>
              <w:t>(6.5 )</w:t>
            </w:r>
          </w:p>
        </w:tc>
        <w:tc>
          <w:tcPr>
            <w:tcW w:w="36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spacing w:after="0" w:line="182" w:lineRule="exact"/>
              <w:rPr>
                <w:sz w:val="20"/>
                <w:szCs w:val="20"/>
                <w:color w:val="auto"/>
              </w:rPr>
            </w:pPr>
            <w:r>
              <w:rPr>
                <w:rFonts w:ascii="Arial" w:cs="Arial" w:eastAsia="Arial" w:hAnsi="Arial"/>
                <w:sz w:val="18"/>
                <w:szCs w:val="18"/>
                <w:color w:val="auto"/>
              </w:rPr>
              <w:t>(2.3 )</w:t>
            </w:r>
          </w:p>
        </w:tc>
      </w:tr>
      <w:tr>
        <w:trPr>
          <w:trHeight w:val="196"/>
        </w:trPr>
        <w:tc>
          <w:tcPr>
            <w:tcW w:w="1280" w:type="dxa"/>
            <w:vAlign w:val="bottom"/>
            <w:shd w:val="clear" w:color="auto" w:fill="CFF0FC"/>
          </w:tcPr>
          <w:p>
            <w:pPr>
              <w:spacing w:after="0"/>
              <w:rPr>
                <w:sz w:val="17"/>
                <w:szCs w:val="17"/>
                <w:color w:val="auto"/>
              </w:rPr>
            </w:pPr>
          </w:p>
        </w:tc>
        <w:tc>
          <w:tcPr>
            <w:tcW w:w="680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110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1000" w:type="dxa"/>
            <w:vAlign w:val="bottom"/>
            <w:shd w:val="clear" w:color="auto" w:fill="CFF0FC"/>
          </w:tcPr>
          <w:p>
            <w:pPr>
              <w:spacing w:after="0"/>
              <w:rPr>
                <w:sz w:val="17"/>
                <w:szCs w:val="17"/>
                <w:color w:val="auto"/>
              </w:rPr>
            </w:pPr>
          </w:p>
        </w:tc>
      </w:tr>
      <w:tr>
        <w:trPr>
          <w:trHeight w:val="203"/>
        </w:trPr>
        <w:tc>
          <w:tcPr>
            <w:tcW w:w="8080" w:type="dxa"/>
            <w:vAlign w:val="bottom"/>
            <w:gridSpan w:val="2"/>
          </w:tcPr>
          <w:p>
            <w:pPr>
              <w:ind w:left="20"/>
              <w:spacing w:after="0" w:line="202" w:lineRule="exact"/>
              <w:rPr>
                <w:sz w:val="20"/>
                <w:szCs w:val="20"/>
                <w:color w:val="auto"/>
              </w:rPr>
            </w:pPr>
            <w:r>
              <w:rPr>
                <w:rFonts w:ascii="Arial" w:cs="Arial" w:eastAsia="Arial" w:hAnsi="Arial"/>
                <w:sz w:val="18"/>
                <w:szCs w:val="18"/>
                <w:b w:val="1"/>
                <w:bCs w:val="1"/>
                <w:color w:val="auto"/>
              </w:rPr>
              <w:t>Financing Activities</w:t>
            </w:r>
          </w:p>
        </w:tc>
        <w:tc>
          <w:tcPr>
            <w:tcW w:w="7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00" w:type="dxa"/>
            <w:vAlign w:val="bottom"/>
          </w:tcPr>
          <w:p>
            <w:pPr>
              <w:spacing w:after="0"/>
              <w:rPr>
                <w:sz w:val="17"/>
                <w:szCs w:val="17"/>
                <w:color w:val="auto"/>
              </w:rPr>
            </w:pPr>
          </w:p>
        </w:tc>
      </w:tr>
      <w:tr>
        <w:trPr>
          <w:trHeight w:val="203"/>
        </w:trPr>
        <w:tc>
          <w:tcPr>
            <w:tcW w:w="8080" w:type="dxa"/>
            <w:vAlign w:val="bottom"/>
            <w:gridSpan w:val="2"/>
            <w:shd w:val="clear" w:color="auto" w:fill="CFF0FC"/>
          </w:tcPr>
          <w:p>
            <w:pPr>
              <w:ind w:left="20"/>
              <w:spacing w:after="0" w:line="202" w:lineRule="exact"/>
              <w:rPr>
                <w:sz w:val="20"/>
                <w:szCs w:val="20"/>
                <w:color w:val="auto"/>
              </w:rPr>
            </w:pPr>
            <w:r>
              <w:rPr>
                <w:rFonts w:ascii="Arial" w:cs="Arial" w:eastAsia="Arial" w:hAnsi="Arial"/>
                <w:sz w:val="18"/>
                <w:szCs w:val="18"/>
                <w:color w:val="auto"/>
              </w:rPr>
              <w:t>Purchase of treasury shares</w:t>
            </w:r>
          </w:p>
        </w:tc>
        <w:tc>
          <w:tcPr>
            <w:tcW w:w="700" w:type="dxa"/>
            <w:vAlign w:val="bottom"/>
            <w:shd w:val="clear" w:color="auto" w:fill="CFF0FC"/>
          </w:tcPr>
          <w:p>
            <w:pPr>
              <w:spacing w:after="0"/>
              <w:rPr>
                <w:sz w:val="17"/>
                <w:szCs w:val="17"/>
                <w:color w:val="auto"/>
              </w:rPr>
            </w:pPr>
          </w:p>
        </w:tc>
        <w:tc>
          <w:tcPr>
            <w:tcW w:w="1100" w:type="dxa"/>
            <w:vAlign w:val="bottom"/>
            <w:shd w:val="clear" w:color="auto" w:fill="CFF0FC"/>
          </w:tcPr>
          <w:p>
            <w:pPr>
              <w:jc w:val="right"/>
              <w:ind w:right="50"/>
              <w:spacing w:after="0" w:line="202" w:lineRule="exact"/>
              <w:rPr>
                <w:sz w:val="20"/>
                <w:szCs w:val="20"/>
                <w:color w:val="auto"/>
              </w:rPr>
            </w:pPr>
            <w:r>
              <w:rPr>
                <w:rFonts w:ascii="Arial" w:cs="Arial" w:eastAsia="Arial" w:hAnsi="Arial"/>
                <w:sz w:val="18"/>
                <w:szCs w:val="18"/>
                <w:b w:val="1"/>
                <w:bCs w:val="1"/>
                <w:color w:val="auto"/>
              </w:rPr>
              <w:t>(3.4 )</w:t>
            </w:r>
          </w:p>
        </w:tc>
        <w:tc>
          <w:tcPr>
            <w:tcW w:w="360" w:type="dxa"/>
            <w:vAlign w:val="bottom"/>
            <w:shd w:val="clear" w:color="auto" w:fill="CFF0FC"/>
          </w:tcPr>
          <w:p>
            <w:pPr>
              <w:spacing w:after="0"/>
              <w:rPr>
                <w:sz w:val="17"/>
                <w:szCs w:val="17"/>
                <w:color w:val="auto"/>
              </w:rPr>
            </w:pPr>
          </w:p>
        </w:tc>
        <w:tc>
          <w:tcPr>
            <w:tcW w:w="100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w:t>
            </w:r>
          </w:p>
        </w:tc>
      </w:tr>
      <w:tr>
        <w:trPr>
          <w:trHeight w:val="203"/>
        </w:trPr>
        <w:tc>
          <w:tcPr>
            <w:tcW w:w="8080" w:type="dxa"/>
            <w:vAlign w:val="bottom"/>
            <w:gridSpan w:val="2"/>
          </w:tcPr>
          <w:p>
            <w:pPr>
              <w:ind w:left="20"/>
              <w:spacing w:after="0" w:line="202" w:lineRule="exact"/>
              <w:rPr>
                <w:sz w:val="20"/>
                <w:szCs w:val="20"/>
                <w:color w:val="auto"/>
              </w:rPr>
            </w:pPr>
            <w:r>
              <w:rPr>
                <w:rFonts w:ascii="Arial" w:cs="Arial" w:eastAsia="Arial" w:hAnsi="Arial"/>
                <w:sz w:val="18"/>
                <w:szCs w:val="18"/>
                <w:color w:val="auto"/>
              </w:rPr>
              <w:t>Proceeds from exercise of stock options</w:t>
            </w:r>
          </w:p>
        </w:tc>
        <w:tc>
          <w:tcPr>
            <w:tcW w:w="700" w:type="dxa"/>
            <w:vAlign w:val="bottom"/>
          </w:tcPr>
          <w:p>
            <w:pPr>
              <w:spacing w:after="0"/>
              <w:rPr>
                <w:sz w:val="17"/>
                <w:szCs w:val="17"/>
                <w:color w:val="auto"/>
              </w:rPr>
            </w:pPr>
          </w:p>
        </w:tc>
        <w:tc>
          <w:tcPr>
            <w:tcW w:w="1100" w:type="dxa"/>
            <w:vAlign w:val="bottom"/>
          </w:tcPr>
          <w:p>
            <w:pPr>
              <w:jc w:val="right"/>
              <w:ind w:right="150"/>
              <w:spacing w:after="0" w:line="202" w:lineRule="exact"/>
              <w:rPr>
                <w:sz w:val="20"/>
                <w:szCs w:val="20"/>
                <w:color w:val="auto"/>
              </w:rPr>
            </w:pPr>
            <w:r>
              <w:rPr>
                <w:rFonts w:ascii="Arial" w:cs="Arial" w:eastAsia="Arial" w:hAnsi="Arial"/>
                <w:sz w:val="18"/>
                <w:szCs w:val="18"/>
                <w:b w:val="1"/>
                <w:bCs w:val="1"/>
                <w:color w:val="auto"/>
              </w:rPr>
              <w:t>6.3</w:t>
            </w:r>
          </w:p>
        </w:tc>
        <w:tc>
          <w:tcPr>
            <w:tcW w:w="360" w:type="dxa"/>
            <w:vAlign w:val="bottom"/>
          </w:tcPr>
          <w:p>
            <w:pPr>
              <w:spacing w:after="0"/>
              <w:rPr>
                <w:sz w:val="17"/>
                <w:szCs w:val="17"/>
                <w:color w:val="auto"/>
              </w:rPr>
            </w:pPr>
          </w:p>
        </w:tc>
        <w:tc>
          <w:tcPr>
            <w:tcW w:w="1000" w:type="dxa"/>
            <w:vAlign w:val="bottom"/>
          </w:tcPr>
          <w:p>
            <w:pPr>
              <w:jc w:val="right"/>
              <w:ind w:right="10"/>
              <w:spacing w:after="0" w:line="202" w:lineRule="exact"/>
              <w:rPr>
                <w:sz w:val="20"/>
                <w:szCs w:val="20"/>
                <w:color w:val="auto"/>
              </w:rPr>
            </w:pPr>
            <w:r>
              <w:rPr>
                <w:rFonts w:ascii="Arial" w:cs="Arial" w:eastAsia="Arial" w:hAnsi="Arial"/>
                <w:sz w:val="18"/>
                <w:szCs w:val="18"/>
                <w:color w:val="auto"/>
              </w:rPr>
              <w:t>2.5</w:t>
            </w:r>
          </w:p>
        </w:tc>
      </w:tr>
      <w:tr>
        <w:trPr>
          <w:trHeight w:val="203"/>
        </w:trPr>
        <w:tc>
          <w:tcPr>
            <w:tcW w:w="8080" w:type="dxa"/>
            <w:vAlign w:val="bottom"/>
            <w:gridSpan w:val="2"/>
            <w:shd w:val="clear" w:color="auto" w:fill="CFF0FC"/>
          </w:tcPr>
          <w:p>
            <w:pPr>
              <w:ind w:left="20"/>
              <w:spacing w:after="0" w:line="202" w:lineRule="exact"/>
              <w:rPr>
                <w:sz w:val="20"/>
                <w:szCs w:val="20"/>
                <w:color w:val="auto"/>
              </w:rPr>
            </w:pPr>
            <w:r>
              <w:rPr>
                <w:rFonts w:ascii="Arial" w:cs="Arial" w:eastAsia="Arial" w:hAnsi="Arial"/>
                <w:sz w:val="18"/>
                <w:szCs w:val="18"/>
                <w:color w:val="auto"/>
              </w:rPr>
              <w:t>Shares surrendered for employee taxes on stock compensation</w:t>
            </w:r>
          </w:p>
        </w:tc>
        <w:tc>
          <w:tcPr>
            <w:tcW w:w="700" w:type="dxa"/>
            <w:vAlign w:val="bottom"/>
            <w:shd w:val="clear" w:color="auto" w:fill="CFF0FC"/>
          </w:tcPr>
          <w:p>
            <w:pPr>
              <w:spacing w:after="0"/>
              <w:rPr>
                <w:sz w:val="17"/>
                <w:szCs w:val="17"/>
                <w:color w:val="auto"/>
              </w:rPr>
            </w:pPr>
          </w:p>
        </w:tc>
        <w:tc>
          <w:tcPr>
            <w:tcW w:w="1100" w:type="dxa"/>
            <w:vAlign w:val="bottom"/>
            <w:shd w:val="clear" w:color="auto" w:fill="CFF0FC"/>
          </w:tcPr>
          <w:p>
            <w:pPr>
              <w:jc w:val="right"/>
              <w:ind w:right="50"/>
              <w:spacing w:after="0" w:line="202" w:lineRule="exact"/>
              <w:rPr>
                <w:sz w:val="20"/>
                <w:szCs w:val="20"/>
                <w:color w:val="auto"/>
              </w:rPr>
            </w:pPr>
            <w:r>
              <w:rPr>
                <w:rFonts w:ascii="Arial" w:cs="Arial" w:eastAsia="Arial" w:hAnsi="Arial"/>
                <w:sz w:val="18"/>
                <w:szCs w:val="18"/>
                <w:b w:val="1"/>
                <w:bCs w:val="1"/>
                <w:color w:val="auto"/>
              </w:rPr>
              <w:t>(1.6 )</w:t>
            </w:r>
          </w:p>
        </w:tc>
        <w:tc>
          <w:tcPr>
            <w:tcW w:w="360" w:type="dxa"/>
            <w:vAlign w:val="bottom"/>
            <w:shd w:val="clear" w:color="auto" w:fill="CFF0FC"/>
          </w:tcPr>
          <w:p>
            <w:pPr>
              <w:spacing w:after="0"/>
              <w:rPr>
                <w:sz w:val="17"/>
                <w:szCs w:val="17"/>
                <w:color w:val="auto"/>
              </w:rPr>
            </w:pPr>
          </w:p>
        </w:tc>
        <w:tc>
          <w:tcPr>
            <w:tcW w:w="100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(0.5 )</w:t>
            </w:r>
          </w:p>
        </w:tc>
      </w:tr>
      <w:tr>
        <w:trPr>
          <w:trHeight w:val="203"/>
        </w:trPr>
        <w:tc>
          <w:tcPr>
            <w:tcW w:w="8080" w:type="dxa"/>
            <w:vAlign w:val="bottom"/>
            <w:tcBorders>
              <w:bottom w:val="single" w:sz="8" w:color="auto"/>
            </w:tcBorders>
            <w:gridSpan w:val="2"/>
          </w:tcPr>
          <w:p>
            <w:pPr>
              <w:ind w:left="20"/>
              <w:spacing w:after="0" w:line="202" w:lineRule="exact"/>
              <w:rPr>
                <w:sz w:val="20"/>
                <w:szCs w:val="20"/>
                <w:color w:val="auto"/>
              </w:rPr>
            </w:pPr>
            <w:r>
              <w:rPr>
                <w:rFonts w:ascii="Arial" w:cs="Arial" w:eastAsia="Arial" w:hAnsi="Arial"/>
                <w:sz w:val="18"/>
                <w:szCs w:val="18"/>
                <w:color w:val="auto"/>
              </w:rPr>
              <w:t>Repayments on convertible notes</w:t>
            </w:r>
          </w:p>
        </w:tc>
        <w:tc>
          <w:tcPr>
            <w:tcW w:w="70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50"/>
              <w:spacing w:after="0" w:line="202" w:lineRule="exact"/>
              <w:rPr>
                <w:sz w:val="20"/>
                <w:szCs w:val="20"/>
                <w:color w:val="auto"/>
              </w:rPr>
            </w:pPr>
            <w:r>
              <w:rPr>
                <w:rFonts w:ascii="Arial" w:cs="Arial" w:eastAsia="Arial" w:hAnsi="Arial"/>
                <w:sz w:val="18"/>
                <w:szCs w:val="18"/>
                <w:b w:val="1"/>
                <w:bCs w:val="1"/>
                <w:color w:val="auto"/>
              </w:rPr>
              <w:t>(26.8 )</w:t>
            </w:r>
          </w:p>
        </w:tc>
        <w:tc>
          <w:tcPr>
            <w:tcW w:w="3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color w:val="auto"/>
              </w:rPr>
              <w:t>—</w:t>
            </w:r>
          </w:p>
        </w:tc>
      </w:tr>
      <w:tr>
        <w:trPr>
          <w:trHeight w:val="196"/>
        </w:trPr>
        <w:tc>
          <w:tcPr>
            <w:tcW w:w="8080" w:type="dxa"/>
            <w:vAlign w:val="bottom"/>
            <w:tcBorders>
              <w:bottom w:val="single" w:sz="8" w:color="auto"/>
            </w:tcBorders>
            <w:gridSpan w:val="2"/>
            <w:shd w:val="clear" w:color="auto" w:fill="CFF0FC"/>
          </w:tcPr>
          <w:p>
            <w:pPr>
              <w:ind w:left="200"/>
              <w:spacing w:after="0" w:line="196" w:lineRule="exact"/>
              <w:rPr>
                <w:sz w:val="20"/>
                <w:szCs w:val="20"/>
                <w:color w:val="auto"/>
              </w:rPr>
            </w:pPr>
            <w:r>
              <w:rPr>
                <w:rFonts w:ascii="Arial" w:cs="Arial" w:eastAsia="Arial" w:hAnsi="Arial"/>
                <w:sz w:val="18"/>
                <w:szCs w:val="18"/>
                <w:b w:val="1"/>
                <w:bCs w:val="1"/>
                <w:color w:val="auto"/>
              </w:rPr>
              <w:t>Net Cash Provided (Used) by Financing Activities</w:t>
            </w:r>
          </w:p>
        </w:tc>
        <w:tc>
          <w:tcPr>
            <w:tcW w:w="700" w:type="dxa"/>
            <w:vAlign w:val="bottom"/>
            <w:tcBorders>
              <w:bottom w:val="single" w:sz="8" w:color="auto"/>
            </w:tcBorders>
            <w:shd w:val="clear" w:color="auto" w:fill="CFF0FC"/>
          </w:tcPr>
          <w:p>
            <w:pPr>
              <w:spacing w:after="0"/>
              <w:rPr>
                <w:sz w:val="17"/>
                <w:szCs w:val="17"/>
                <w:color w:val="auto"/>
              </w:rPr>
            </w:pPr>
          </w:p>
        </w:tc>
        <w:tc>
          <w:tcPr>
            <w:tcW w:w="1100" w:type="dxa"/>
            <w:vAlign w:val="bottom"/>
            <w:tcBorders>
              <w:bottom w:val="single" w:sz="8" w:color="auto"/>
            </w:tcBorders>
            <w:shd w:val="clear" w:color="auto" w:fill="CFF0FC"/>
          </w:tcPr>
          <w:p>
            <w:pPr>
              <w:jc w:val="right"/>
              <w:ind w:right="50"/>
              <w:spacing w:after="0" w:line="196" w:lineRule="exact"/>
              <w:rPr>
                <w:sz w:val="20"/>
                <w:szCs w:val="20"/>
                <w:color w:val="auto"/>
              </w:rPr>
            </w:pPr>
            <w:r>
              <w:rPr>
                <w:rFonts w:ascii="Arial" w:cs="Arial" w:eastAsia="Arial" w:hAnsi="Arial"/>
                <w:sz w:val="18"/>
                <w:szCs w:val="18"/>
                <w:b w:val="1"/>
                <w:bCs w:val="1"/>
                <w:color w:val="auto"/>
              </w:rPr>
              <w:t>(25.5 )</w:t>
            </w:r>
          </w:p>
        </w:tc>
        <w:tc>
          <w:tcPr>
            <w:tcW w:w="360" w:type="dxa"/>
            <w:vAlign w:val="bottom"/>
            <w:tcBorders>
              <w:bottom w:val="single" w:sz="8" w:color="auto"/>
            </w:tcBorders>
            <w:shd w:val="clear" w:color="auto" w:fill="CFF0FC"/>
          </w:tcPr>
          <w:p>
            <w:pPr>
              <w:spacing w:after="0"/>
              <w:rPr>
                <w:sz w:val="17"/>
                <w:szCs w:val="17"/>
                <w:color w:val="auto"/>
              </w:rPr>
            </w:pPr>
          </w:p>
        </w:tc>
        <w:tc>
          <w:tcPr>
            <w:tcW w:w="1000" w:type="dxa"/>
            <w:vAlign w:val="bottom"/>
            <w:tcBorders>
              <w:bottom w:val="single" w:sz="8" w:color="auto"/>
            </w:tcBorders>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2.0</w:t>
            </w:r>
          </w:p>
        </w:tc>
      </w:tr>
      <w:tr>
        <w:trPr>
          <w:trHeight w:val="196"/>
        </w:trPr>
        <w:tc>
          <w:tcPr>
            <w:tcW w:w="8080" w:type="dxa"/>
            <w:vAlign w:val="bottom"/>
            <w:gridSpan w:val="2"/>
          </w:tcPr>
          <w:p>
            <w:pPr>
              <w:ind w:left="200"/>
              <w:spacing w:after="0" w:line="196" w:lineRule="exact"/>
              <w:rPr>
                <w:sz w:val="20"/>
                <w:szCs w:val="20"/>
                <w:color w:val="auto"/>
              </w:rPr>
            </w:pPr>
            <w:r>
              <w:rPr>
                <w:rFonts w:ascii="Arial" w:cs="Arial" w:eastAsia="Arial" w:hAnsi="Arial"/>
                <w:sz w:val="18"/>
                <w:szCs w:val="18"/>
                <w:b w:val="1"/>
                <w:bCs w:val="1"/>
                <w:color w:val="auto"/>
              </w:rPr>
              <w:t>Increase (Decrease) in Cash, Cash Equivalents, and Restricted Cash</w:t>
            </w:r>
          </w:p>
        </w:tc>
        <w:tc>
          <w:tcPr>
            <w:tcW w:w="700" w:type="dxa"/>
            <w:vAlign w:val="bottom"/>
          </w:tcPr>
          <w:p>
            <w:pPr>
              <w:spacing w:after="0"/>
              <w:rPr>
                <w:sz w:val="17"/>
                <w:szCs w:val="17"/>
                <w:color w:val="auto"/>
              </w:rPr>
            </w:pPr>
          </w:p>
        </w:tc>
        <w:tc>
          <w:tcPr>
            <w:tcW w:w="1100" w:type="dxa"/>
            <w:vAlign w:val="bottom"/>
          </w:tcPr>
          <w:p>
            <w:pPr>
              <w:jc w:val="right"/>
              <w:ind w:right="50"/>
              <w:spacing w:after="0" w:line="196" w:lineRule="exact"/>
              <w:rPr>
                <w:sz w:val="20"/>
                <w:szCs w:val="20"/>
                <w:color w:val="auto"/>
              </w:rPr>
            </w:pPr>
            <w:r>
              <w:rPr>
                <w:rFonts w:ascii="Arial" w:cs="Arial" w:eastAsia="Arial" w:hAnsi="Arial"/>
                <w:sz w:val="18"/>
                <w:szCs w:val="18"/>
                <w:b w:val="1"/>
                <w:bCs w:val="1"/>
                <w:color w:val="auto"/>
              </w:rPr>
              <w:t>(18.7 )</w:t>
            </w:r>
          </w:p>
        </w:tc>
        <w:tc>
          <w:tcPr>
            <w:tcW w:w="360" w:type="dxa"/>
            <w:vAlign w:val="bottom"/>
          </w:tcPr>
          <w:p>
            <w:pPr>
              <w:spacing w:after="0"/>
              <w:rPr>
                <w:sz w:val="17"/>
                <w:szCs w:val="17"/>
                <w:color w:val="auto"/>
              </w:rPr>
            </w:pPr>
          </w:p>
        </w:tc>
        <w:tc>
          <w:tcPr>
            <w:tcW w:w="1000" w:type="dxa"/>
            <w:vAlign w:val="bottom"/>
          </w:tcPr>
          <w:p>
            <w:pPr>
              <w:jc w:val="right"/>
              <w:ind w:right="10"/>
              <w:spacing w:after="0" w:line="196" w:lineRule="exact"/>
              <w:rPr>
                <w:sz w:val="20"/>
                <w:szCs w:val="20"/>
                <w:color w:val="auto"/>
              </w:rPr>
            </w:pPr>
            <w:r>
              <w:rPr>
                <w:rFonts w:ascii="Arial" w:cs="Arial" w:eastAsia="Arial" w:hAnsi="Arial"/>
                <w:sz w:val="18"/>
                <w:szCs w:val="18"/>
                <w:color w:val="auto"/>
              </w:rPr>
              <w:t>12.9</w:t>
            </w:r>
          </w:p>
        </w:tc>
      </w:tr>
      <w:tr>
        <w:trPr>
          <w:trHeight w:val="203"/>
        </w:trPr>
        <w:tc>
          <w:tcPr>
            <w:tcW w:w="8080" w:type="dxa"/>
            <w:vAlign w:val="bottom"/>
            <w:tcBorders>
              <w:bottom w:val="single" w:sz="8" w:color="auto"/>
            </w:tcBorders>
            <w:gridSpan w:val="2"/>
            <w:shd w:val="clear" w:color="auto" w:fill="CFF0FC"/>
          </w:tcPr>
          <w:p>
            <w:pPr>
              <w:ind w:left="20"/>
              <w:spacing w:after="0" w:line="202" w:lineRule="exact"/>
              <w:rPr>
                <w:sz w:val="20"/>
                <w:szCs w:val="20"/>
                <w:color w:val="auto"/>
              </w:rPr>
            </w:pPr>
            <w:r>
              <w:rPr>
                <w:rFonts w:ascii="Arial" w:cs="Arial" w:eastAsia="Arial" w:hAnsi="Arial"/>
                <w:sz w:val="18"/>
                <w:szCs w:val="18"/>
                <w:color w:val="auto"/>
              </w:rPr>
              <w:t>Cash, cash equivalents, and restricted cash at beginning of period</w:t>
            </w:r>
          </w:p>
        </w:tc>
        <w:tc>
          <w:tcPr>
            <w:tcW w:w="700" w:type="dxa"/>
            <w:vAlign w:val="bottom"/>
            <w:tcBorders>
              <w:bottom w:val="single" w:sz="8" w:color="auto"/>
            </w:tcBorders>
            <w:shd w:val="clear" w:color="auto" w:fill="CFF0FC"/>
          </w:tcPr>
          <w:p>
            <w:pPr>
              <w:spacing w:after="0"/>
              <w:rPr>
                <w:sz w:val="17"/>
                <w:szCs w:val="17"/>
                <w:color w:val="auto"/>
              </w:rPr>
            </w:pPr>
          </w:p>
        </w:tc>
        <w:tc>
          <w:tcPr>
            <w:tcW w:w="1100" w:type="dxa"/>
            <w:vAlign w:val="bottom"/>
            <w:tcBorders>
              <w:bottom w:val="single" w:sz="8" w:color="auto"/>
            </w:tcBorders>
            <w:shd w:val="clear" w:color="auto" w:fill="CFF0FC"/>
          </w:tcPr>
          <w:p>
            <w:pPr>
              <w:jc w:val="right"/>
              <w:ind w:right="150"/>
              <w:spacing w:after="0" w:line="202" w:lineRule="exact"/>
              <w:rPr>
                <w:sz w:val="20"/>
                <w:szCs w:val="20"/>
                <w:color w:val="auto"/>
              </w:rPr>
            </w:pPr>
            <w:r>
              <w:rPr>
                <w:rFonts w:ascii="Arial" w:cs="Arial" w:eastAsia="Arial" w:hAnsi="Arial"/>
                <w:sz w:val="18"/>
                <w:szCs w:val="18"/>
                <w:b w:val="1"/>
                <w:bCs w:val="1"/>
                <w:color w:val="auto"/>
              </w:rPr>
              <w:t>259.6</w:t>
            </w:r>
          </w:p>
        </w:tc>
        <w:tc>
          <w:tcPr>
            <w:tcW w:w="360" w:type="dxa"/>
            <w:vAlign w:val="bottom"/>
            <w:tcBorders>
              <w:bottom w:val="single" w:sz="8" w:color="auto"/>
            </w:tcBorders>
            <w:shd w:val="clear" w:color="auto" w:fill="CFF0FC"/>
          </w:tcPr>
          <w:p>
            <w:pPr>
              <w:spacing w:after="0"/>
              <w:rPr>
                <w:sz w:val="17"/>
                <w:szCs w:val="17"/>
                <w:color w:val="auto"/>
              </w:rPr>
            </w:pPr>
          </w:p>
        </w:tc>
        <w:tc>
          <w:tcPr>
            <w:tcW w:w="1000" w:type="dxa"/>
            <w:vAlign w:val="bottom"/>
            <w:tcBorders>
              <w:bottom w:val="single" w:sz="8" w:color="auto"/>
            </w:tcBorders>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102.8</w:t>
            </w:r>
          </w:p>
        </w:tc>
      </w:tr>
      <w:tr>
        <w:trPr>
          <w:trHeight w:val="196"/>
        </w:trPr>
        <w:tc>
          <w:tcPr>
            <w:tcW w:w="8080" w:type="dxa"/>
            <w:vAlign w:val="bottom"/>
            <w:tcBorders>
              <w:bottom w:val="single" w:sz="8" w:color="auto"/>
            </w:tcBorders>
            <w:gridSpan w:val="2"/>
          </w:tcPr>
          <w:p>
            <w:pPr>
              <w:ind w:left="200"/>
              <w:spacing w:after="0" w:line="196" w:lineRule="exact"/>
              <w:rPr>
                <w:sz w:val="20"/>
                <w:szCs w:val="20"/>
                <w:color w:val="auto"/>
              </w:rPr>
            </w:pPr>
            <w:r>
              <w:rPr>
                <w:rFonts w:ascii="Arial" w:cs="Arial" w:eastAsia="Arial" w:hAnsi="Arial"/>
                <w:sz w:val="18"/>
                <w:szCs w:val="18"/>
                <w:b w:val="1"/>
                <w:bCs w:val="1"/>
                <w:color w:val="auto"/>
              </w:rPr>
              <w:t>Cash, Cash Equivalents, and Restricted Cash at End of Period</w:t>
            </w:r>
          </w:p>
        </w:tc>
        <w:tc>
          <w:tcPr>
            <w:tcW w:w="700" w:type="dxa"/>
            <w:vAlign w:val="bottom"/>
            <w:tcBorders>
              <w:bottom w:val="single" w:sz="8" w:color="auto"/>
            </w:tcBorders>
          </w:tcPr>
          <w:p>
            <w:pPr>
              <w:jc w:val="right"/>
              <w:ind w:right="50"/>
              <w:spacing w:after="0" w:line="196" w:lineRule="exact"/>
              <w:rPr>
                <w:sz w:val="20"/>
                <w:szCs w:val="20"/>
                <w:color w:val="auto"/>
              </w:rPr>
            </w:pPr>
            <w:r>
              <w:rPr>
                <w:rFonts w:ascii="Arial" w:cs="Arial" w:eastAsia="Arial" w:hAnsi="Arial"/>
                <w:sz w:val="18"/>
                <w:szCs w:val="18"/>
                <w:b w:val="1"/>
                <w:bCs w:val="1"/>
                <w:color w:val="auto"/>
              </w:rPr>
              <w:t>$</w:t>
            </w:r>
          </w:p>
        </w:tc>
        <w:tc>
          <w:tcPr>
            <w:tcW w:w="1100" w:type="dxa"/>
            <w:vAlign w:val="bottom"/>
            <w:tcBorders>
              <w:bottom w:val="single" w:sz="8" w:color="auto"/>
            </w:tcBorders>
          </w:tcPr>
          <w:p>
            <w:pPr>
              <w:jc w:val="right"/>
              <w:ind w:right="150"/>
              <w:spacing w:after="0" w:line="196" w:lineRule="exact"/>
              <w:rPr>
                <w:sz w:val="20"/>
                <w:szCs w:val="20"/>
                <w:color w:val="auto"/>
              </w:rPr>
            </w:pPr>
            <w:r>
              <w:rPr>
                <w:rFonts w:ascii="Arial" w:cs="Arial" w:eastAsia="Arial" w:hAnsi="Arial"/>
                <w:sz w:val="18"/>
                <w:szCs w:val="18"/>
                <w:b w:val="1"/>
                <w:bCs w:val="1"/>
                <w:color w:val="auto"/>
              </w:rPr>
              <w:t>240.9</w:t>
            </w:r>
          </w:p>
        </w:tc>
        <w:tc>
          <w:tcPr>
            <w:tcW w:w="360" w:type="dxa"/>
            <w:vAlign w:val="bottom"/>
            <w:tcBorders>
              <w:bottom w:val="single" w:sz="8" w:color="auto"/>
            </w:tcBorders>
          </w:tcPr>
          <w:p>
            <w:pPr>
              <w:jc w:val="right"/>
              <w:ind w:right="50"/>
              <w:spacing w:after="0" w:line="196" w:lineRule="exact"/>
              <w:rPr>
                <w:sz w:val="20"/>
                <w:szCs w:val="20"/>
                <w:color w:val="auto"/>
              </w:rPr>
            </w:pPr>
            <w:r>
              <w:rPr>
                <w:rFonts w:ascii="Arial" w:cs="Arial" w:eastAsia="Arial" w:hAnsi="Arial"/>
                <w:sz w:val="18"/>
                <w:szCs w:val="18"/>
                <w:color w:val="auto"/>
              </w:rPr>
              <w:t>$</w:t>
            </w:r>
          </w:p>
        </w:tc>
        <w:tc>
          <w:tcPr>
            <w:tcW w:w="100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rPr>
              <w:t>115.7</w:t>
            </w:r>
          </w:p>
        </w:tc>
      </w:tr>
    </w:tbl>
    <w:p>
      <w:pPr>
        <w:spacing w:after="0" w:line="188" w:lineRule="exact"/>
        <w:rPr>
          <w:sz w:val="20"/>
          <w:szCs w:val="20"/>
          <w:color w:val="auto"/>
        </w:rPr>
      </w:pPr>
    </w:p>
    <w:p>
      <w:pPr>
        <w:ind w:left="20" w:right="320"/>
        <w:spacing w:after="0" w:line="235" w:lineRule="auto"/>
        <w:rPr>
          <w:sz w:val="20"/>
          <w:szCs w:val="20"/>
          <w:color w:val="auto"/>
        </w:rPr>
      </w:pPr>
      <w:r>
        <w:rPr>
          <w:rFonts w:ascii="Arial" w:cs="Arial" w:eastAsia="Arial" w:hAnsi="Arial"/>
          <w:sz w:val="18"/>
          <w:szCs w:val="18"/>
          <w:color w:val="auto"/>
        </w:rPr>
        <w:t>The following table provides a reconciliation of cash, cash equivalents, and restricted cash reported within the Consolidated Balance Sheets that sum to the total of the same such amounts shown in the Consolidated Statements of Cash Flows: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-247650</wp:posOffset>
            </wp:positionV>
            <wp:extent cx="7132320" cy="24003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240030"/>
                    </a:xfrm>
                    <a:prstGeom prst="rect">
                      <a:avLst/>
                    </a:prstGeom>
                    <a:noFill/>
                  </pic:spPr>
                </pic:pic>
              </a:graphicData>
            </a:graphic>
          </wp:anchor>
        </w:drawing>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7940" w:type="dxa"/>
            <w:vAlign w:val="bottom"/>
            <w:shd w:val="clear" w:color="auto" w:fill="CFF0FC"/>
          </w:tcPr>
          <w:p>
            <w:pPr>
              <w:ind w:left="20"/>
              <w:spacing w:after="0"/>
              <w:rPr>
                <w:sz w:val="20"/>
                <w:szCs w:val="20"/>
                <w:color w:val="auto"/>
              </w:rPr>
            </w:pPr>
            <w:r>
              <w:rPr>
                <w:rFonts w:ascii="Arial" w:cs="Arial" w:eastAsia="Arial" w:hAnsi="Arial"/>
                <w:sz w:val="18"/>
                <w:szCs w:val="18"/>
                <w:color w:val="auto"/>
              </w:rPr>
              <w:t>Cash and cash equivalents</w:t>
            </w:r>
          </w:p>
        </w:tc>
        <w:tc>
          <w:tcPr>
            <w:tcW w:w="1000" w:type="dxa"/>
            <w:vAlign w:val="bottom"/>
            <w:shd w:val="clear" w:color="auto" w:fill="CFF0FC"/>
          </w:tcPr>
          <w:p>
            <w:pPr>
              <w:jc w:val="right"/>
              <w:ind w:right="210"/>
              <w:spacing w:after="0"/>
              <w:rPr>
                <w:sz w:val="20"/>
                <w:szCs w:val="20"/>
                <w:color w:val="auto"/>
              </w:rPr>
            </w:pPr>
            <w:r>
              <w:rPr>
                <w:rFonts w:ascii="Arial" w:cs="Arial" w:eastAsia="Arial" w:hAnsi="Arial"/>
                <w:sz w:val="18"/>
                <w:szCs w:val="18"/>
                <w:b w:val="1"/>
                <w:bCs w:val="1"/>
                <w:color w:val="auto"/>
              </w:rPr>
              <w:t>$</w:t>
            </w:r>
          </w:p>
        </w:tc>
        <w:tc>
          <w:tcPr>
            <w:tcW w:w="880" w:type="dxa"/>
            <w:vAlign w:val="bottom"/>
            <w:shd w:val="clear" w:color="auto" w:fill="CFF0FC"/>
          </w:tcPr>
          <w:p>
            <w:pPr>
              <w:jc w:val="right"/>
              <w:ind w:right="90"/>
              <w:spacing w:after="0"/>
              <w:rPr>
                <w:sz w:val="20"/>
                <w:szCs w:val="20"/>
                <w:color w:val="auto"/>
              </w:rPr>
            </w:pPr>
            <w:r>
              <w:rPr>
                <w:rFonts w:ascii="Arial" w:cs="Arial" w:eastAsia="Arial" w:hAnsi="Arial"/>
                <w:sz w:val="18"/>
                <w:szCs w:val="18"/>
                <w:b w:val="1"/>
                <w:bCs w:val="1"/>
                <w:color w:val="auto"/>
              </w:rPr>
              <w:t>239.9</w:t>
            </w:r>
          </w:p>
        </w:tc>
        <w:tc>
          <w:tcPr>
            <w:tcW w:w="600" w:type="dxa"/>
            <w:vAlign w:val="bottom"/>
            <w:shd w:val="clear" w:color="auto" w:fill="CFF0FC"/>
          </w:tcPr>
          <w:p>
            <w:pPr>
              <w:jc w:val="right"/>
              <w:ind w:right="230"/>
              <w:spacing w:after="0"/>
              <w:rPr>
                <w:sz w:val="20"/>
                <w:szCs w:val="20"/>
                <w:color w:val="auto"/>
              </w:rPr>
            </w:pPr>
            <w:r>
              <w:rPr>
                <w:rFonts w:ascii="Arial" w:cs="Arial" w:eastAsia="Arial" w:hAnsi="Arial"/>
                <w:sz w:val="18"/>
                <w:szCs w:val="18"/>
                <w:color w:val="auto"/>
              </w:rPr>
              <w:t>$</w:t>
            </w:r>
          </w:p>
        </w:tc>
        <w:tc>
          <w:tcPr>
            <w:tcW w:w="82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115.7</w:t>
            </w:r>
          </w:p>
        </w:tc>
      </w:tr>
      <w:tr>
        <w:trPr>
          <w:trHeight w:val="203"/>
        </w:trPr>
        <w:tc>
          <w:tcPr>
            <w:tcW w:w="7940" w:type="dxa"/>
            <w:vAlign w:val="bottom"/>
            <w:tcBorders>
              <w:bottom w:val="single" w:sz="8" w:color="auto"/>
            </w:tcBorders>
          </w:tcPr>
          <w:p>
            <w:pPr>
              <w:ind w:left="20"/>
              <w:spacing w:after="0" w:line="202" w:lineRule="exact"/>
              <w:rPr>
                <w:sz w:val="20"/>
                <w:szCs w:val="20"/>
                <w:color w:val="auto"/>
              </w:rPr>
            </w:pPr>
            <w:r>
              <w:rPr>
                <w:rFonts w:ascii="Arial" w:cs="Arial" w:eastAsia="Arial" w:hAnsi="Arial"/>
                <w:sz w:val="18"/>
                <w:szCs w:val="18"/>
                <w:color w:val="auto"/>
              </w:rPr>
              <w:t>Restricted cash reported in other current assets</w:t>
            </w:r>
          </w:p>
        </w:tc>
        <w:tc>
          <w:tcPr>
            <w:tcW w:w="100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90"/>
              <w:spacing w:after="0" w:line="202" w:lineRule="exact"/>
              <w:rPr>
                <w:sz w:val="20"/>
                <w:szCs w:val="20"/>
                <w:color w:val="auto"/>
              </w:rPr>
            </w:pPr>
            <w:r>
              <w:rPr>
                <w:rFonts w:ascii="Arial" w:cs="Arial" w:eastAsia="Arial" w:hAnsi="Arial"/>
                <w:sz w:val="18"/>
                <w:szCs w:val="18"/>
                <w:b w:val="1"/>
                <w:bCs w:val="1"/>
                <w:color w:val="auto"/>
              </w:rPr>
              <w:t>1.0</w:t>
            </w:r>
          </w:p>
        </w:tc>
        <w:tc>
          <w:tcPr>
            <w:tcW w:w="6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color w:val="auto"/>
              </w:rPr>
              <w:t>—</w:t>
            </w:r>
          </w:p>
        </w:tc>
      </w:tr>
      <w:tr>
        <w:trPr>
          <w:trHeight w:val="196"/>
        </w:trPr>
        <w:tc>
          <w:tcPr>
            <w:tcW w:w="7940" w:type="dxa"/>
            <w:vAlign w:val="bottom"/>
            <w:tcBorders>
              <w:bottom w:val="single" w:sz="8" w:color="auto"/>
            </w:tcBorders>
            <w:shd w:val="clear" w:color="auto" w:fill="CFF0FC"/>
          </w:tcPr>
          <w:p>
            <w:pPr>
              <w:ind w:left="20"/>
              <w:spacing w:after="0" w:line="196" w:lineRule="exact"/>
              <w:rPr>
                <w:sz w:val="20"/>
                <w:szCs w:val="20"/>
                <w:color w:val="auto"/>
              </w:rPr>
            </w:pPr>
            <w:r>
              <w:rPr>
                <w:rFonts w:ascii="Arial" w:cs="Arial" w:eastAsia="Arial" w:hAnsi="Arial"/>
                <w:sz w:val="18"/>
                <w:szCs w:val="18"/>
                <w:color w:val="auto"/>
                <w:w w:val="96"/>
              </w:rPr>
              <w:t>Total cash, cash equivalents, and restricted cash shown in the Consolidated Statements of Cash Flows</w:t>
            </w:r>
          </w:p>
        </w:tc>
        <w:tc>
          <w:tcPr>
            <w:tcW w:w="1000" w:type="dxa"/>
            <w:vAlign w:val="bottom"/>
            <w:tcBorders>
              <w:bottom w:val="single" w:sz="8" w:color="auto"/>
            </w:tcBorders>
            <w:shd w:val="clear" w:color="auto" w:fill="CFF0FC"/>
          </w:tcPr>
          <w:p>
            <w:pPr>
              <w:jc w:val="right"/>
              <w:ind w:right="210"/>
              <w:spacing w:after="0" w:line="196" w:lineRule="exact"/>
              <w:rPr>
                <w:sz w:val="20"/>
                <w:szCs w:val="20"/>
                <w:color w:val="auto"/>
              </w:rPr>
            </w:pPr>
            <w:r>
              <w:rPr>
                <w:rFonts w:ascii="Arial" w:cs="Arial" w:eastAsia="Arial" w:hAnsi="Arial"/>
                <w:sz w:val="18"/>
                <w:szCs w:val="18"/>
                <w:b w:val="1"/>
                <w:bCs w:val="1"/>
                <w:color w:val="auto"/>
              </w:rPr>
              <w:t>$</w:t>
            </w:r>
          </w:p>
        </w:tc>
        <w:tc>
          <w:tcPr>
            <w:tcW w:w="880" w:type="dxa"/>
            <w:vAlign w:val="bottom"/>
            <w:tcBorders>
              <w:bottom w:val="single" w:sz="8" w:color="auto"/>
            </w:tcBorders>
            <w:shd w:val="clear" w:color="auto" w:fill="CFF0FC"/>
          </w:tcPr>
          <w:p>
            <w:pPr>
              <w:jc w:val="right"/>
              <w:ind w:right="90"/>
              <w:spacing w:after="0" w:line="196" w:lineRule="exact"/>
              <w:rPr>
                <w:sz w:val="20"/>
                <w:szCs w:val="20"/>
                <w:color w:val="auto"/>
              </w:rPr>
            </w:pPr>
            <w:r>
              <w:rPr>
                <w:rFonts w:ascii="Arial" w:cs="Arial" w:eastAsia="Arial" w:hAnsi="Arial"/>
                <w:sz w:val="18"/>
                <w:szCs w:val="18"/>
                <w:b w:val="1"/>
                <w:bCs w:val="1"/>
                <w:color w:val="auto"/>
              </w:rPr>
              <w:t>240.9</w:t>
            </w:r>
          </w:p>
        </w:tc>
        <w:tc>
          <w:tcPr>
            <w:tcW w:w="600" w:type="dxa"/>
            <w:vAlign w:val="bottom"/>
            <w:tcBorders>
              <w:bottom w:val="single" w:sz="8" w:color="auto"/>
            </w:tcBorders>
            <w:shd w:val="clear" w:color="auto" w:fill="CFF0FC"/>
          </w:tcPr>
          <w:p>
            <w:pPr>
              <w:jc w:val="right"/>
              <w:ind w:right="230"/>
              <w:spacing w:after="0" w:line="196" w:lineRule="exact"/>
              <w:rPr>
                <w:sz w:val="20"/>
                <w:szCs w:val="20"/>
                <w:color w:val="auto"/>
              </w:rPr>
            </w:pPr>
            <w:r>
              <w:rPr>
                <w:rFonts w:ascii="Arial" w:cs="Arial" w:eastAsia="Arial" w:hAnsi="Arial"/>
                <w:sz w:val="18"/>
                <w:szCs w:val="18"/>
                <w:color w:val="auto"/>
              </w:rPr>
              <w:t>$</w:t>
            </w:r>
          </w:p>
        </w:tc>
        <w:tc>
          <w:tcPr>
            <w:tcW w:w="820" w:type="dxa"/>
            <w:vAlign w:val="bottom"/>
            <w:tcBorders>
              <w:bottom w:val="single" w:sz="8" w:color="auto"/>
            </w:tcBorders>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115.7</w:t>
            </w:r>
          </w:p>
        </w:tc>
      </w:tr>
      <w:tr>
        <w:trPr>
          <w:trHeight w:val="141"/>
        </w:trPr>
        <w:tc>
          <w:tcPr>
            <w:tcW w:w="7940" w:type="dxa"/>
            <w:vAlign w:val="bottom"/>
          </w:tcPr>
          <w:p>
            <w:pPr>
              <w:spacing w:after="0" w:line="141" w:lineRule="exact"/>
              <w:rPr>
                <w:sz w:val="20"/>
                <w:szCs w:val="20"/>
                <w:color w:val="auto"/>
              </w:rPr>
            </w:pPr>
            <w:r>
              <w:rPr>
                <w:rFonts w:ascii="Arial" w:cs="Arial" w:eastAsia="Arial" w:hAnsi="Arial"/>
                <w:sz w:val="14"/>
                <w:szCs w:val="14"/>
                <w:color w:val="auto"/>
              </w:rPr>
              <w:t>See accompanying Notes to the unaudited Consolidated Financial Statements.</w:t>
            </w:r>
          </w:p>
        </w:tc>
        <w:tc>
          <w:tcPr>
            <w:tcW w:w="10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20" w:type="dxa"/>
            <w:vAlign w:val="bottom"/>
          </w:tcPr>
          <w:p>
            <w:pPr>
              <w:spacing w:after="0"/>
              <w:rPr>
                <w:sz w:val="12"/>
                <w:szCs w:val="12"/>
                <w:color w:val="auto"/>
              </w:rPr>
            </w:pPr>
          </w:p>
        </w:tc>
      </w:tr>
      <w:tr>
        <w:trPr>
          <w:trHeight w:val="230"/>
        </w:trPr>
        <w:tc>
          <w:tcPr>
            <w:tcW w:w="7940" w:type="dxa"/>
            <w:vAlign w:val="bottom"/>
          </w:tcPr>
          <w:p>
            <w:pPr>
              <w:ind w:left="5580"/>
              <w:spacing w:after="0"/>
              <w:rPr>
                <w:sz w:val="20"/>
                <w:szCs w:val="20"/>
                <w:color w:val="auto"/>
              </w:rPr>
            </w:pPr>
            <w:r>
              <w:rPr>
                <w:rFonts w:ascii="Arial" w:cs="Arial" w:eastAsia="Arial" w:hAnsi="Arial"/>
                <w:sz w:val="18"/>
                <w:szCs w:val="18"/>
                <w:color w:val="auto"/>
              </w:rPr>
              <w:t>7</w:t>
            </w:r>
          </w:p>
        </w:tc>
        <w:tc>
          <w:tcPr>
            <w:tcW w:w="10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20" w:type="dxa"/>
            <w:vAlign w:val="bottom"/>
          </w:tcPr>
          <w:p>
            <w:pPr>
              <w:spacing w:after="0"/>
              <w:rPr>
                <w:sz w:val="20"/>
                <w:szCs w:val="20"/>
                <w:color w:val="auto"/>
              </w:rPr>
            </w:pPr>
          </w:p>
        </w:tc>
      </w:tr>
      <w:tr>
        <w:trPr>
          <w:trHeight w:val="533"/>
        </w:trPr>
        <w:tc>
          <w:tcPr>
            <w:tcW w:w="7940" w:type="dxa"/>
            <w:vAlign w:val="bottom"/>
            <w:tcBorders>
              <w:bottom w:val="single" w:sz="8" w:color="9A9A9A"/>
            </w:tcBorders>
          </w:tcPr>
          <w:p>
            <w:pPr>
              <w:spacing w:after="0"/>
              <w:rPr>
                <w:sz w:val="24"/>
                <w:szCs w:val="24"/>
                <w:color w:val="auto"/>
              </w:rPr>
            </w:pPr>
          </w:p>
        </w:tc>
        <w:tc>
          <w:tcPr>
            <w:tcW w:w="1000" w:type="dxa"/>
            <w:vAlign w:val="bottom"/>
            <w:tcBorders>
              <w:bottom w:val="single" w:sz="8" w:color="9A9A9A"/>
            </w:tcBorders>
          </w:tcPr>
          <w:p>
            <w:pPr>
              <w:spacing w:after="0"/>
              <w:rPr>
                <w:sz w:val="24"/>
                <w:szCs w:val="24"/>
                <w:color w:val="auto"/>
              </w:rPr>
            </w:pPr>
          </w:p>
        </w:tc>
        <w:tc>
          <w:tcPr>
            <w:tcW w:w="880" w:type="dxa"/>
            <w:vAlign w:val="bottom"/>
            <w:tcBorders>
              <w:bottom w:val="single" w:sz="8" w:color="9A9A9A"/>
            </w:tcBorders>
          </w:tcPr>
          <w:p>
            <w:pPr>
              <w:spacing w:after="0"/>
              <w:rPr>
                <w:sz w:val="24"/>
                <w:szCs w:val="24"/>
                <w:color w:val="auto"/>
              </w:rPr>
            </w:pPr>
          </w:p>
        </w:tc>
        <w:tc>
          <w:tcPr>
            <w:tcW w:w="600" w:type="dxa"/>
            <w:vAlign w:val="bottom"/>
            <w:tcBorders>
              <w:bottom w:val="single" w:sz="8" w:color="9A9A9A"/>
            </w:tcBorders>
          </w:tcPr>
          <w:p>
            <w:pPr>
              <w:spacing w:after="0"/>
              <w:rPr>
                <w:sz w:val="24"/>
                <w:szCs w:val="24"/>
                <w:color w:val="auto"/>
              </w:rPr>
            </w:pPr>
          </w:p>
        </w:tc>
        <w:tc>
          <w:tcPr>
            <w:tcW w:w="8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7" w:name="page8"/>
    <w:bookmarkEnd w:id="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810895" cy="8255"/>
                    </a:xfrm>
                    <a:prstGeom prst="rect">
                      <a:avLst/>
                    </a:prstGeom>
                    <a:noFill/>
                  </pic:spPr>
                </pic:pic>
              </a:graphicData>
            </a:graphic>
          </wp:anchor>
        </w:drawing>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TimkenSteel Corporation</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Notes to Unaudited Consolidated Financial Statements</w:t>
      </w:r>
    </w:p>
    <w:p>
      <w:pPr>
        <w:jc w:val="center"/>
        <w:ind w:right="-19"/>
        <w:spacing w:after="0"/>
        <w:rPr>
          <w:sz w:val="20"/>
          <w:szCs w:val="20"/>
          <w:color w:val="auto"/>
        </w:rPr>
      </w:pPr>
      <w:r>
        <w:rPr>
          <w:rFonts w:ascii="Arial" w:cs="Arial" w:eastAsia="Arial" w:hAnsi="Arial"/>
          <w:sz w:val="20"/>
          <w:szCs w:val="20"/>
          <w:i w:val="1"/>
          <w:iCs w:val="1"/>
          <w:color w:val="auto"/>
        </w:rPr>
        <w:t>(dollars in millions, except per share data)</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 Basis of Presentation</w:t>
      </w:r>
    </w:p>
    <w:p>
      <w:pPr>
        <w:spacing w:after="0" w:line="175" w:lineRule="exact"/>
        <w:rPr>
          <w:sz w:val="20"/>
          <w:szCs w:val="20"/>
          <w:color w:val="auto"/>
        </w:rPr>
      </w:pPr>
    </w:p>
    <w:p>
      <w:pPr>
        <w:ind w:right="160"/>
        <w:spacing w:after="0" w:line="279" w:lineRule="auto"/>
        <w:rPr>
          <w:sz w:val="20"/>
          <w:szCs w:val="20"/>
          <w:color w:val="auto"/>
        </w:rPr>
      </w:pPr>
      <w:r>
        <w:rPr>
          <w:rFonts w:ascii="Arial" w:cs="Arial" w:eastAsia="Arial" w:hAnsi="Arial"/>
          <w:sz w:val="16"/>
          <w:szCs w:val="16"/>
          <w:color w:val="auto"/>
        </w:rPr>
        <w:t>The accompanying unaudited Consolidated Financial Statements have been prepared by TimkenSteel Corporation (the “Company” or “TimkenSteel”) in accordance with generally accepted accounting principles in the United States (“U.S. GAAP”) for interim financial information. Accordingly, they do not include all of the information and footnotes required by U.S. GAAP for complete financial statements. In the opinion of management, all adjustments (consisting of normal recurring accruals) and disclosures considered necessary for a fair presentation have been included. For further information, refer to TimkenSteel’s audited Consolidated Financial Statements and Notes included in its Annual Report on Form 10-K for the year ended December 31, 2021.</w:t>
      </w:r>
    </w:p>
    <w:p>
      <w:pPr>
        <w:spacing w:after="0" w:line="119" w:lineRule="exact"/>
        <w:rPr>
          <w:sz w:val="20"/>
          <w:szCs w:val="20"/>
          <w:color w:val="auto"/>
        </w:rPr>
      </w:pPr>
    </w:p>
    <w:p>
      <w:pPr>
        <w:spacing w:after="0"/>
        <w:rPr>
          <w:sz w:val="20"/>
          <w:szCs w:val="20"/>
          <w:color w:val="auto"/>
        </w:rPr>
      </w:pPr>
      <w:r>
        <w:rPr>
          <w:rFonts w:ascii="Arial" w:cs="Arial" w:eastAsia="Arial" w:hAnsi="Arial"/>
          <w:sz w:val="18"/>
          <w:szCs w:val="18"/>
          <w:color w:val="auto"/>
        </w:rPr>
        <w:t>Certain items previously reported in specific financial statement captions have been reclassified to conform with current year presentation.</w:t>
      </w:r>
    </w:p>
    <w:p>
      <w:pPr>
        <w:spacing w:after="0" w:line="171" w:lineRule="exact"/>
        <w:rPr>
          <w:sz w:val="20"/>
          <w:szCs w:val="20"/>
          <w:color w:val="auto"/>
        </w:rPr>
      </w:pPr>
    </w:p>
    <w:p>
      <w:pPr>
        <w:ind w:right="280"/>
        <w:spacing w:after="0" w:line="248" w:lineRule="auto"/>
        <w:rPr>
          <w:sz w:val="20"/>
          <w:szCs w:val="20"/>
          <w:color w:val="auto"/>
        </w:rPr>
      </w:pPr>
      <w:r>
        <w:rPr>
          <w:rFonts w:ascii="Arial" w:cs="Arial" w:eastAsia="Arial" w:hAnsi="Arial"/>
          <w:sz w:val="18"/>
          <w:szCs w:val="18"/>
          <w:color w:val="auto"/>
        </w:rPr>
        <w:t>The Company's restricted cash balance represents an imprest cash account used for the funding of employee healthcare costs. Funding of this account began during the first quarter of 2022 when the Company changed its healthcare plan administrator. The balance of restricted cash as of March 31, 2022 was $1.0 million, which is included in other current assets on the Consolidated Balance Sheets.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 Recent Accounting Pronouncements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Adoption of New Accounting Standards</w:t>
      </w:r>
    </w:p>
    <w:p>
      <w:pPr>
        <w:spacing w:after="0" w:line="171" w:lineRule="exact"/>
        <w:rPr>
          <w:sz w:val="20"/>
          <w:szCs w:val="20"/>
          <w:color w:val="auto"/>
        </w:rPr>
      </w:pPr>
    </w:p>
    <w:p>
      <w:pPr>
        <w:ind w:right="40"/>
        <w:spacing w:after="0" w:line="261" w:lineRule="auto"/>
        <w:rPr>
          <w:sz w:val="20"/>
          <w:szCs w:val="20"/>
          <w:color w:val="auto"/>
        </w:rPr>
      </w:pPr>
      <w:r>
        <w:rPr>
          <w:rFonts w:ascii="Arial" w:cs="Arial" w:eastAsia="Arial" w:hAnsi="Arial"/>
          <w:sz w:val="18"/>
          <w:szCs w:val="18"/>
          <w:color w:val="auto"/>
        </w:rPr>
        <w:t>The Company did not adopt any Accounting Standard Updates (“ASU”) in the first quarter of 2022. Additionally, there are no current ASUs issued, but not adopted, that are expected to have an impact on the Company.</w:t>
      </w:r>
    </w:p>
    <w:p>
      <w:pPr>
        <w:spacing w:after="0" w:line="130" w:lineRule="exact"/>
        <w:rPr>
          <w:sz w:val="20"/>
          <w:szCs w:val="20"/>
          <w:color w:val="auto"/>
        </w:rPr>
      </w:pPr>
    </w:p>
    <w:p>
      <w:pPr>
        <w:ind w:right="40"/>
        <w:spacing w:after="0" w:line="243" w:lineRule="auto"/>
        <w:rPr>
          <w:sz w:val="20"/>
          <w:szCs w:val="20"/>
          <w:color w:val="auto"/>
        </w:rPr>
      </w:pPr>
      <w:r>
        <w:rPr>
          <w:rFonts w:ascii="Arial" w:cs="Arial" w:eastAsia="Arial" w:hAnsi="Arial"/>
          <w:sz w:val="18"/>
          <w:szCs w:val="18"/>
          <w:color w:val="auto"/>
        </w:rPr>
        <w:t>As of January 1, 2021, the Company early adopted ASU 2020-06, Debt - Debt with Conversion and Other Options (Subtopic 470-20) and Derivatives and Hedging - Contracts in Entity’s Own Equity (Subtopic 815-40), using the modified retrospective method of transition. The standard simplifies the accounting for convertible instruments, as well as the diluted net income per share calculation. The standard also removes certain settlement conditions that are required for equity contracts to qualify for the derivative scope exception.</w:t>
      </w:r>
    </w:p>
    <w:p>
      <w:pPr>
        <w:spacing w:after="0" w:line="147"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Upon adoption of ASU 2020-06 as of January 1, 2021, all outstanding Convertible Notes were fully classified as a liability, there was no longer a separate equity component and the Convertible Notes no longer have a debt discount that is amortized. This resulted in a decrease of $10.6 million to additional paid-in capital and an increase of $1.1 million and $5.3 million to current convertible notes, net and non-current convertible notes, net, respectively, on the Consolidated Balance Sheets as of January 1, 2021. Additionally, retained deficit was reduced by $4.2 million in the Consolidated Balance Sheets as of January 1, 2021 to remove amortization expense recognized in prior periods. The adoption of this standard did not have an effect on the Company’s cash flows, liquidity, or the methodology used for the earnings per share calculation. Refer to “Note 10 – Financing Arrangements” for additional information on the Convertible Notes.</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Legislation related to the COVID-19 Pandemic</w:t>
      </w:r>
    </w:p>
    <w:p>
      <w:pPr>
        <w:spacing w:after="0" w:line="171" w:lineRule="exact"/>
        <w:rPr>
          <w:sz w:val="20"/>
          <w:szCs w:val="20"/>
          <w:color w:val="auto"/>
        </w:rPr>
      </w:pPr>
    </w:p>
    <w:p>
      <w:pPr>
        <w:ind w:right="60"/>
        <w:spacing w:after="0" w:line="241" w:lineRule="auto"/>
        <w:rPr>
          <w:sz w:val="20"/>
          <w:szCs w:val="20"/>
          <w:color w:val="auto"/>
        </w:rPr>
      </w:pPr>
      <w:r>
        <w:rPr>
          <w:rFonts w:ascii="Arial" w:cs="Arial" w:eastAsia="Arial" w:hAnsi="Arial"/>
          <w:sz w:val="18"/>
          <w:szCs w:val="18"/>
          <w:color w:val="auto"/>
        </w:rPr>
        <w:t>Due to a provision in the Coronavirus Aid, Relief, and Economic Security ("CARES") Act, the Company was able to defer the employer share of Social Security payroll taxes for a specified time during 2020. During the year ended December 31, 2020, the Company deferred $6.4 million in cash payments and recorded reserves for such deferred payroll taxes in salaries, wages and benefits on the Consolidated Balance Sheets, to be paid in two equal installments. The first installment in the amount of $3.2 million was paid during the fourth quarter of 2021. The second installment is due on December 31, 2022.</w:t>
      </w:r>
    </w:p>
    <w:p>
      <w:pPr>
        <w:spacing w:after="0" w:line="135" w:lineRule="exact"/>
        <w:rPr>
          <w:sz w:val="20"/>
          <w:szCs w:val="20"/>
          <w:color w:val="auto"/>
        </w:rPr>
      </w:pPr>
    </w:p>
    <w:p>
      <w:pPr>
        <w:ind w:right="60"/>
        <w:spacing w:after="0" w:line="268" w:lineRule="auto"/>
        <w:rPr>
          <w:sz w:val="20"/>
          <w:szCs w:val="20"/>
          <w:color w:val="auto"/>
        </w:rPr>
      </w:pPr>
      <w:r>
        <w:rPr>
          <w:rFonts w:ascii="Arial" w:cs="Arial" w:eastAsia="Arial" w:hAnsi="Arial"/>
          <w:sz w:val="16"/>
          <w:szCs w:val="16"/>
          <w:color w:val="auto"/>
        </w:rPr>
        <w:t>The CARES Act also provided for an employee retention credit (“Employee Retention Credit”), which is a refundable tax credit against certain employment taxes. The Company qualified for the tax credit in the second and third quarters of 2020 and accrued a benefit of $2.3 million in the fourth quarter of 2020 related to the Employee Retention Credit in other (income) expense, net on the Consolidated Statements of Operations. The Company filed for this credit in the second quarter of 2021 and received a portion of the proceeds from the Internal Revenue Service ("IRS") in the amount of $0.5 million during the fourth quarter of 2021. The Company received the remaining $1.8 million of cash proceeds in the first quarter of 2022.</w:t>
      </w:r>
    </w:p>
    <w:p>
      <w:pPr>
        <w:spacing w:after="0" w:line="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326390</wp:posOffset>
            </wp:positionV>
            <wp:extent cx="715772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8" w:name="page9"/>
    <w:bookmarkEnd w:id="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810895" cy="8255"/>
                    </a:xfrm>
                    <a:prstGeom prst="rect">
                      <a:avLst/>
                    </a:prstGeom>
                    <a:noFill/>
                  </pic:spPr>
                </pic:pic>
              </a:graphicData>
            </a:graphic>
          </wp:anchor>
        </w:drawing>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 Revenue Recognition</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the major sources of revenue by end-market sector for the three months ended March 31, 2022 and 2021:</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420" w:type="dxa"/>
            <w:vAlign w:val="bottom"/>
          </w:tcPr>
          <w:p>
            <w:pPr>
              <w:spacing w:after="0"/>
              <w:rPr>
                <w:sz w:val="17"/>
                <w:szCs w:val="17"/>
                <w:color w:val="auto"/>
              </w:rPr>
            </w:pPr>
          </w:p>
        </w:tc>
        <w:tc>
          <w:tcPr>
            <w:tcW w:w="6280" w:type="dxa"/>
            <w:vAlign w:val="bottom"/>
            <w:gridSpan w:val="3"/>
          </w:tcPr>
          <w:p>
            <w:pPr>
              <w:jc w:val="right"/>
              <w:spacing w:after="0"/>
              <w:rPr>
                <w:sz w:val="20"/>
                <w:szCs w:val="20"/>
                <w:color w:val="auto"/>
              </w:rPr>
            </w:pPr>
            <w:r>
              <w:rPr>
                <w:rFonts w:ascii="Arial" w:cs="Arial" w:eastAsia="Arial" w:hAnsi="Arial"/>
                <w:sz w:val="18"/>
                <w:szCs w:val="18"/>
                <w:b w:val="1"/>
                <w:bCs w:val="1"/>
                <w:color w:val="auto"/>
              </w:rPr>
              <w:t>Three Months Ended March 31,</w:t>
            </w:r>
          </w:p>
        </w:tc>
        <w:tc>
          <w:tcPr>
            <w:tcW w:w="540" w:type="dxa"/>
            <w:vAlign w:val="bottom"/>
          </w:tcPr>
          <w:p>
            <w:pPr>
              <w:spacing w:after="0"/>
              <w:rPr>
                <w:sz w:val="17"/>
                <w:szCs w:val="17"/>
                <w:color w:val="auto"/>
              </w:rPr>
            </w:pPr>
          </w:p>
        </w:tc>
      </w:tr>
      <w:tr>
        <w:trPr>
          <w:trHeight w:val="221"/>
        </w:trPr>
        <w:tc>
          <w:tcPr>
            <w:tcW w:w="4420" w:type="dxa"/>
            <w:vAlign w:val="bottom"/>
            <w:tcBorders>
              <w:bottom w:val="single" w:sz="8" w:color="auto"/>
            </w:tcBorders>
          </w:tcPr>
          <w:p>
            <w:pPr>
              <w:spacing w:after="0"/>
              <w:rPr>
                <w:sz w:val="19"/>
                <w:szCs w:val="19"/>
                <w:color w:val="auto"/>
              </w:rPr>
            </w:pPr>
          </w:p>
        </w:tc>
        <w:tc>
          <w:tcPr>
            <w:tcW w:w="43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2022</w:t>
            </w:r>
          </w:p>
        </w:tc>
        <w:tc>
          <w:tcPr>
            <w:tcW w:w="66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2021</w:t>
            </w:r>
          </w:p>
        </w:tc>
        <w:tc>
          <w:tcPr>
            <w:tcW w:w="540" w:type="dxa"/>
            <w:vAlign w:val="bottom"/>
            <w:tcBorders>
              <w:bottom w:val="single" w:sz="8" w:color="auto"/>
            </w:tcBorders>
          </w:tcPr>
          <w:p>
            <w:pPr>
              <w:spacing w:after="0"/>
              <w:rPr>
                <w:sz w:val="19"/>
                <w:szCs w:val="19"/>
                <w:color w:val="auto"/>
              </w:rPr>
            </w:pPr>
          </w:p>
        </w:tc>
      </w:tr>
      <w:tr>
        <w:trPr>
          <w:trHeight w:val="196"/>
        </w:trPr>
        <w:tc>
          <w:tcPr>
            <w:tcW w:w="442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Mobile</w:t>
            </w:r>
          </w:p>
        </w:tc>
        <w:tc>
          <w:tcPr>
            <w:tcW w:w="4340" w:type="dxa"/>
            <w:vAlign w:val="bottom"/>
            <w:shd w:val="clear" w:color="auto" w:fill="CFF0FC"/>
          </w:tcPr>
          <w:p>
            <w:pPr>
              <w:jc w:val="right"/>
              <w:ind w:right="910"/>
              <w:spacing w:after="0" w:line="196" w:lineRule="exact"/>
              <w:rPr>
                <w:sz w:val="20"/>
                <w:szCs w:val="20"/>
                <w:color w:val="auto"/>
              </w:rPr>
            </w:pPr>
            <w:r>
              <w:rPr>
                <w:rFonts w:ascii="Arial" w:cs="Arial" w:eastAsia="Arial" w:hAnsi="Arial"/>
                <w:sz w:val="18"/>
                <w:szCs w:val="18"/>
                <w:b w:val="1"/>
                <w:bCs w:val="1"/>
                <w:color w:val="auto"/>
              </w:rPr>
              <w:t>$</w:t>
            </w:r>
          </w:p>
        </w:tc>
        <w:tc>
          <w:tcPr>
            <w:tcW w:w="660" w:type="dxa"/>
            <w:vAlign w:val="bottom"/>
            <w:shd w:val="clear" w:color="auto" w:fill="CFF0FC"/>
          </w:tcPr>
          <w:p>
            <w:pPr>
              <w:jc w:val="right"/>
              <w:ind w:right="50"/>
              <w:spacing w:after="0" w:line="196" w:lineRule="exact"/>
              <w:rPr>
                <w:sz w:val="20"/>
                <w:szCs w:val="20"/>
                <w:color w:val="auto"/>
              </w:rPr>
            </w:pPr>
            <w:r>
              <w:rPr>
                <w:rFonts w:ascii="Arial" w:cs="Arial" w:eastAsia="Arial" w:hAnsi="Arial"/>
                <w:sz w:val="18"/>
                <w:szCs w:val="18"/>
                <w:b w:val="1"/>
                <w:bCs w:val="1"/>
                <w:color w:val="auto"/>
              </w:rPr>
              <w:t>144.1</w:t>
            </w:r>
          </w:p>
        </w:tc>
        <w:tc>
          <w:tcPr>
            <w:tcW w:w="1280" w:type="dxa"/>
            <w:vAlign w:val="bottom"/>
            <w:shd w:val="clear" w:color="auto" w:fill="CFF0FC"/>
          </w:tcPr>
          <w:p>
            <w:pPr>
              <w:jc w:val="right"/>
              <w:ind w:right="950"/>
              <w:spacing w:after="0" w:line="196" w:lineRule="exact"/>
              <w:rPr>
                <w:sz w:val="20"/>
                <w:szCs w:val="20"/>
                <w:color w:val="auto"/>
              </w:rPr>
            </w:pPr>
            <w:r>
              <w:rPr>
                <w:rFonts w:ascii="Arial" w:cs="Arial" w:eastAsia="Arial" w:hAnsi="Arial"/>
                <w:sz w:val="18"/>
                <w:szCs w:val="18"/>
                <w:color w:val="auto"/>
              </w:rPr>
              <w:t>$</w:t>
            </w:r>
          </w:p>
        </w:tc>
        <w:tc>
          <w:tcPr>
            <w:tcW w:w="54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w w:val="97"/>
              </w:rPr>
              <w:t>133.6</w:t>
            </w:r>
          </w:p>
        </w:tc>
      </w:tr>
      <w:tr>
        <w:trPr>
          <w:trHeight w:val="203"/>
        </w:trPr>
        <w:tc>
          <w:tcPr>
            <w:tcW w:w="4420" w:type="dxa"/>
            <w:vAlign w:val="bottom"/>
          </w:tcPr>
          <w:p>
            <w:pPr>
              <w:ind w:left="20"/>
              <w:spacing w:after="0" w:line="202" w:lineRule="exact"/>
              <w:rPr>
                <w:sz w:val="20"/>
                <w:szCs w:val="20"/>
                <w:color w:val="auto"/>
              </w:rPr>
            </w:pPr>
            <w:r>
              <w:rPr>
                <w:rFonts w:ascii="Arial" w:cs="Arial" w:eastAsia="Arial" w:hAnsi="Arial"/>
                <w:sz w:val="18"/>
                <w:szCs w:val="18"/>
                <w:color w:val="auto"/>
              </w:rPr>
              <w:t>Industrial</w:t>
            </w:r>
          </w:p>
        </w:tc>
        <w:tc>
          <w:tcPr>
            <w:tcW w:w="4340" w:type="dxa"/>
            <w:vAlign w:val="bottom"/>
          </w:tcPr>
          <w:p>
            <w:pPr>
              <w:spacing w:after="0"/>
              <w:rPr>
                <w:sz w:val="17"/>
                <w:szCs w:val="17"/>
                <w:color w:val="auto"/>
              </w:rPr>
            </w:pPr>
          </w:p>
        </w:tc>
        <w:tc>
          <w:tcPr>
            <w:tcW w:w="660" w:type="dxa"/>
            <w:vAlign w:val="bottom"/>
          </w:tcPr>
          <w:p>
            <w:pPr>
              <w:jc w:val="right"/>
              <w:ind w:right="50"/>
              <w:spacing w:after="0" w:line="202" w:lineRule="exact"/>
              <w:rPr>
                <w:sz w:val="20"/>
                <w:szCs w:val="20"/>
                <w:color w:val="auto"/>
              </w:rPr>
            </w:pPr>
            <w:r>
              <w:rPr>
                <w:rFonts w:ascii="Arial" w:cs="Arial" w:eastAsia="Arial" w:hAnsi="Arial"/>
                <w:sz w:val="18"/>
                <w:szCs w:val="18"/>
                <w:b w:val="1"/>
                <w:bCs w:val="1"/>
                <w:color w:val="auto"/>
              </w:rPr>
              <w:t>175.0</w:t>
            </w:r>
          </w:p>
        </w:tc>
        <w:tc>
          <w:tcPr>
            <w:tcW w:w="1280" w:type="dxa"/>
            <w:vAlign w:val="bottom"/>
          </w:tcPr>
          <w:p>
            <w:pPr>
              <w:spacing w:after="0"/>
              <w:rPr>
                <w:sz w:val="17"/>
                <w:szCs w:val="17"/>
                <w:color w:val="auto"/>
              </w:rPr>
            </w:pPr>
          </w:p>
        </w:tc>
        <w:tc>
          <w:tcPr>
            <w:tcW w:w="540" w:type="dxa"/>
            <w:vAlign w:val="bottom"/>
          </w:tcPr>
          <w:p>
            <w:pPr>
              <w:jc w:val="right"/>
              <w:spacing w:after="0" w:line="202" w:lineRule="exact"/>
              <w:rPr>
                <w:sz w:val="20"/>
                <w:szCs w:val="20"/>
                <w:color w:val="auto"/>
              </w:rPr>
            </w:pPr>
            <w:r>
              <w:rPr>
                <w:rFonts w:ascii="Arial" w:cs="Arial" w:eastAsia="Arial" w:hAnsi="Arial"/>
                <w:sz w:val="18"/>
                <w:szCs w:val="18"/>
                <w:color w:val="auto"/>
                <w:w w:val="97"/>
              </w:rPr>
              <w:t>124.7</w:t>
            </w:r>
          </w:p>
        </w:tc>
      </w:tr>
      <w:tr>
        <w:trPr>
          <w:trHeight w:val="162"/>
        </w:trPr>
        <w:tc>
          <w:tcPr>
            <w:tcW w:w="4420" w:type="dxa"/>
            <w:vAlign w:val="bottom"/>
          </w:tcPr>
          <w:p>
            <w:pPr>
              <w:ind w:left="20"/>
              <w:spacing w:after="0" w:line="162" w:lineRule="exact"/>
              <w:rPr>
                <w:sz w:val="20"/>
                <w:szCs w:val="20"/>
                <w:color w:val="auto"/>
              </w:rPr>
            </w:pPr>
            <w:r>
              <w:rPr>
                <w:rFonts w:ascii="Arial" w:cs="Arial" w:eastAsia="Arial" w:hAnsi="Arial"/>
                <w:sz w:val="18"/>
                <w:szCs w:val="18"/>
                <w:color w:val="auto"/>
              </w:rPr>
              <w:t>Energy</w:t>
            </w:r>
          </w:p>
        </w:tc>
        <w:tc>
          <w:tcPr>
            <w:tcW w:w="4340" w:type="dxa"/>
            <w:vAlign w:val="bottom"/>
          </w:tcPr>
          <w:p>
            <w:pPr>
              <w:spacing w:after="0"/>
              <w:rPr>
                <w:sz w:val="14"/>
                <w:szCs w:val="14"/>
                <w:color w:val="auto"/>
              </w:rPr>
            </w:pPr>
          </w:p>
        </w:tc>
        <w:tc>
          <w:tcPr>
            <w:tcW w:w="660" w:type="dxa"/>
            <w:vAlign w:val="bottom"/>
          </w:tcPr>
          <w:p>
            <w:pPr>
              <w:jc w:val="right"/>
              <w:ind w:right="50"/>
              <w:spacing w:after="0" w:line="162" w:lineRule="exact"/>
              <w:rPr>
                <w:sz w:val="20"/>
                <w:szCs w:val="20"/>
                <w:color w:val="auto"/>
              </w:rPr>
            </w:pPr>
            <w:r>
              <w:rPr>
                <w:rFonts w:ascii="Arial" w:cs="Arial" w:eastAsia="Arial" w:hAnsi="Arial"/>
                <w:sz w:val="18"/>
                <w:szCs w:val="18"/>
                <w:b w:val="1"/>
                <w:bCs w:val="1"/>
                <w:color w:val="auto"/>
              </w:rPr>
              <w:t>25.0</w:t>
            </w:r>
          </w:p>
        </w:tc>
        <w:tc>
          <w:tcPr>
            <w:tcW w:w="1280" w:type="dxa"/>
            <w:vAlign w:val="bottom"/>
          </w:tcPr>
          <w:p>
            <w:pPr>
              <w:spacing w:after="0"/>
              <w:rPr>
                <w:sz w:val="14"/>
                <w:szCs w:val="14"/>
                <w:color w:val="auto"/>
              </w:rPr>
            </w:pPr>
          </w:p>
        </w:tc>
        <w:tc>
          <w:tcPr>
            <w:tcW w:w="540" w:type="dxa"/>
            <w:vAlign w:val="bottom"/>
          </w:tcPr>
          <w:p>
            <w:pPr>
              <w:jc w:val="right"/>
              <w:spacing w:after="0" w:line="162" w:lineRule="exact"/>
              <w:rPr>
                <w:sz w:val="20"/>
                <w:szCs w:val="20"/>
                <w:color w:val="auto"/>
              </w:rPr>
            </w:pPr>
            <w:r>
              <w:rPr>
                <w:rFonts w:ascii="Arial" w:cs="Arial" w:eastAsia="Arial" w:hAnsi="Arial"/>
                <w:sz w:val="18"/>
                <w:szCs w:val="18"/>
                <w:color w:val="auto"/>
              </w:rPr>
              <w:t>7.7</w:t>
            </w:r>
          </w:p>
        </w:tc>
      </w:tr>
      <w:tr>
        <w:trPr>
          <w:trHeight w:val="243"/>
        </w:trPr>
        <w:tc>
          <w:tcPr>
            <w:tcW w:w="4420" w:type="dxa"/>
            <w:vAlign w:val="bottom"/>
            <w:tcBorders>
              <w:bottom w:val="single" w:sz="8" w:color="auto"/>
            </w:tcBorders>
          </w:tcPr>
          <w:p>
            <w:pPr>
              <w:ind w:left="20"/>
              <w:spacing w:after="0" w:line="243" w:lineRule="exact"/>
              <w:rPr>
                <w:sz w:val="20"/>
                <w:szCs w:val="20"/>
                <w:color w:val="auto"/>
              </w:rPr>
            </w:pPr>
            <w:r>
              <w:rPr>
                <w:rFonts w:ascii="Arial" w:cs="Arial" w:eastAsia="Arial" w:hAnsi="Arial"/>
                <w:sz w:val="18"/>
                <w:szCs w:val="18"/>
                <w:color w:val="auto"/>
              </w:rPr>
              <w:t xml:space="preserve">Other </w:t>
            </w:r>
            <w:r>
              <w:rPr>
                <w:rFonts w:ascii="Arial" w:cs="Arial" w:eastAsia="Arial" w:hAnsi="Arial"/>
                <w:sz w:val="24"/>
                <w:szCs w:val="24"/>
                <w:color w:val="auto"/>
                <w:vertAlign w:val="superscript"/>
              </w:rPr>
              <w:t>(1)</w:t>
            </w:r>
          </w:p>
        </w:tc>
        <w:tc>
          <w:tcPr>
            <w:tcW w:w="434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7.9</w:t>
            </w:r>
          </w:p>
        </w:tc>
        <w:tc>
          <w:tcPr>
            <w:tcW w:w="1280" w:type="dxa"/>
            <w:vAlign w:val="bottom"/>
            <w:tcBorders>
              <w:bottom w:val="single" w:sz="8" w:color="auto"/>
            </w:tcBorders>
          </w:tcPr>
          <w:p>
            <w:pPr>
              <w:spacing w:after="0"/>
              <w:rPr>
                <w:sz w:val="21"/>
                <w:szCs w:val="21"/>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7.6</w:t>
            </w:r>
          </w:p>
        </w:tc>
      </w:tr>
      <w:tr>
        <w:trPr>
          <w:trHeight w:val="196"/>
        </w:trPr>
        <w:tc>
          <w:tcPr>
            <w:tcW w:w="4420" w:type="dxa"/>
            <w:vAlign w:val="bottom"/>
            <w:tcBorders>
              <w:bottom w:val="single" w:sz="8" w:color="auto"/>
            </w:tcBorders>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Total Net Sales</w:t>
            </w:r>
          </w:p>
        </w:tc>
        <w:tc>
          <w:tcPr>
            <w:tcW w:w="4340" w:type="dxa"/>
            <w:vAlign w:val="bottom"/>
            <w:tcBorders>
              <w:bottom w:val="single" w:sz="8" w:color="auto"/>
            </w:tcBorders>
            <w:shd w:val="clear" w:color="auto" w:fill="CFF0FC"/>
          </w:tcPr>
          <w:p>
            <w:pPr>
              <w:jc w:val="right"/>
              <w:ind w:right="910"/>
              <w:spacing w:after="0" w:line="196" w:lineRule="exact"/>
              <w:rPr>
                <w:sz w:val="20"/>
                <w:szCs w:val="20"/>
                <w:color w:val="auto"/>
              </w:rPr>
            </w:pPr>
            <w:r>
              <w:rPr>
                <w:rFonts w:ascii="Arial" w:cs="Arial" w:eastAsia="Arial" w:hAnsi="Arial"/>
                <w:sz w:val="18"/>
                <w:szCs w:val="18"/>
                <w:b w:val="1"/>
                <w:bCs w:val="1"/>
                <w:color w:val="auto"/>
              </w:rPr>
              <w:t>$</w:t>
            </w:r>
          </w:p>
        </w:tc>
        <w:tc>
          <w:tcPr>
            <w:tcW w:w="660" w:type="dxa"/>
            <w:vAlign w:val="bottom"/>
            <w:tcBorders>
              <w:bottom w:val="single" w:sz="8" w:color="auto"/>
            </w:tcBorders>
            <w:shd w:val="clear" w:color="auto" w:fill="CFF0FC"/>
          </w:tcPr>
          <w:p>
            <w:pPr>
              <w:jc w:val="right"/>
              <w:ind w:right="50"/>
              <w:spacing w:after="0" w:line="196" w:lineRule="exact"/>
              <w:rPr>
                <w:sz w:val="20"/>
                <w:szCs w:val="20"/>
                <w:color w:val="auto"/>
              </w:rPr>
            </w:pPr>
            <w:r>
              <w:rPr>
                <w:rFonts w:ascii="Arial" w:cs="Arial" w:eastAsia="Arial" w:hAnsi="Arial"/>
                <w:sz w:val="18"/>
                <w:szCs w:val="18"/>
                <w:b w:val="1"/>
                <w:bCs w:val="1"/>
                <w:color w:val="auto"/>
              </w:rPr>
              <w:t>352.0</w:t>
            </w:r>
          </w:p>
        </w:tc>
        <w:tc>
          <w:tcPr>
            <w:tcW w:w="1280" w:type="dxa"/>
            <w:vAlign w:val="bottom"/>
            <w:tcBorders>
              <w:bottom w:val="single" w:sz="8" w:color="auto"/>
            </w:tcBorders>
            <w:shd w:val="clear" w:color="auto" w:fill="CFF0FC"/>
          </w:tcPr>
          <w:p>
            <w:pPr>
              <w:jc w:val="right"/>
              <w:ind w:right="950"/>
              <w:spacing w:after="0" w:line="196" w:lineRule="exact"/>
              <w:rPr>
                <w:sz w:val="20"/>
                <w:szCs w:val="20"/>
                <w:color w:val="auto"/>
              </w:rPr>
            </w:pPr>
            <w:r>
              <w:rPr>
                <w:rFonts w:ascii="Arial" w:cs="Arial" w:eastAsia="Arial" w:hAnsi="Arial"/>
                <w:sz w:val="18"/>
                <w:szCs w:val="18"/>
                <w:color w:val="auto"/>
              </w:rPr>
              <w:t>$</w:t>
            </w:r>
          </w:p>
        </w:tc>
        <w:tc>
          <w:tcPr>
            <w:tcW w:w="54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w w:val="97"/>
              </w:rPr>
              <w:t>273.6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-402590</wp:posOffset>
            </wp:positionV>
            <wp:extent cx="7132320" cy="128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28905"/>
                    </a:xfrm>
                    <a:prstGeom prst="rect">
                      <a:avLst/>
                    </a:prstGeom>
                    <a:noFill/>
                  </pic:spPr>
                </pic:pic>
              </a:graphicData>
            </a:graphic>
          </wp:anchor>
        </w:drawing>
      </w:r>
    </w:p>
    <w:p>
      <w:pPr>
        <w:spacing w:after="0" w:line="141" w:lineRule="exact"/>
        <w:rPr>
          <w:sz w:val="20"/>
          <w:szCs w:val="20"/>
          <w:color w:val="auto"/>
        </w:rPr>
      </w:pPr>
    </w:p>
    <w:p>
      <w:pPr>
        <w:ind w:left="160" w:hanging="152"/>
        <w:spacing w:after="0"/>
        <w:tabs>
          <w:tab w:leader="none" w:pos="160" w:val="left"/>
        </w:tabs>
        <w:numPr>
          <w:ilvl w:val="0"/>
          <w:numId w:val="3"/>
        </w:numPr>
        <w:rPr>
          <w:rFonts w:ascii="Arial" w:cs="Arial" w:eastAsia="Arial" w:hAnsi="Arial"/>
          <w:sz w:val="18"/>
          <w:szCs w:val="18"/>
          <w:color w:val="auto"/>
          <w:vertAlign w:val="superscript"/>
        </w:rPr>
      </w:pPr>
      <w:r>
        <w:rPr>
          <w:rFonts w:ascii="Arial" w:cs="Arial" w:eastAsia="Arial" w:hAnsi="Arial"/>
          <w:sz w:val="14"/>
          <w:szCs w:val="14"/>
          <w:color w:val="auto"/>
        </w:rPr>
        <w:t>“Other” sales by end-market sector relates to the Company’s scrap sales.</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the major sources of revenue by product type for the three months ended March 31, 2022 and 2021:</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900" w:type="dxa"/>
            <w:vAlign w:val="bottom"/>
          </w:tcPr>
          <w:p>
            <w:pPr>
              <w:spacing w:after="0"/>
              <w:rPr>
                <w:sz w:val="17"/>
                <w:szCs w:val="17"/>
                <w:color w:val="auto"/>
              </w:rPr>
            </w:pPr>
          </w:p>
        </w:tc>
        <w:tc>
          <w:tcPr>
            <w:tcW w:w="5800" w:type="dxa"/>
            <w:vAlign w:val="bottom"/>
            <w:gridSpan w:val="3"/>
          </w:tcPr>
          <w:p>
            <w:pPr>
              <w:jc w:val="right"/>
              <w:spacing w:after="0"/>
              <w:rPr>
                <w:sz w:val="20"/>
                <w:szCs w:val="20"/>
                <w:color w:val="auto"/>
              </w:rPr>
            </w:pPr>
            <w:r>
              <w:rPr>
                <w:rFonts w:ascii="Arial" w:cs="Arial" w:eastAsia="Arial" w:hAnsi="Arial"/>
                <w:sz w:val="18"/>
                <w:szCs w:val="18"/>
                <w:b w:val="1"/>
                <w:bCs w:val="1"/>
                <w:color w:val="auto"/>
              </w:rPr>
              <w:t>Three Months Ended March 31,</w:t>
            </w:r>
          </w:p>
        </w:tc>
        <w:tc>
          <w:tcPr>
            <w:tcW w:w="540" w:type="dxa"/>
            <w:vAlign w:val="bottom"/>
          </w:tcPr>
          <w:p>
            <w:pPr>
              <w:spacing w:after="0"/>
              <w:rPr>
                <w:sz w:val="17"/>
                <w:szCs w:val="17"/>
                <w:color w:val="auto"/>
              </w:rPr>
            </w:pPr>
          </w:p>
        </w:tc>
      </w:tr>
      <w:tr>
        <w:trPr>
          <w:trHeight w:val="221"/>
        </w:trPr>
        <w:tc>
          <w:tcPr>
            <w:tcW w:w="4900" w:type="dxa"/>
            <w:vAlign w:val="bottom"/>
            <w:tcBorders>
              <w:bottom w:val="single" w:sz="8" w:color="auto"/>
            </w:tcBorders>
          </w:tcPr>
          <w:p>
            <w:pPr>
              <w:spacing w:after="0"/>
              <w:rPr>
                <w:sz w:val="19"/>
                <w:szCs w:val="19"/>
                <w:color w:val="auto"/>
              </w:rPr>
            </w:pPr>
          </w:p>
        </w:tc>
        <w:tc>
          <w:tcPr>
            <w:tcW w:w="38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2022</w:t>
            </w:r>
          </w:p>
        </w:tc>
        <w:tc>
          <w:tcPr>
            <w:tcW w:w="66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2021</w:t>
            </w:r>
          </w:p>
        </w:tc>
        <w:tc>
          <w:tcPr>
            <w:tcW w:w="540" w:type="dxa"/>
            <w:vAlign w:val="bottom"/>
            <w:tcBorders>
              <w:bottom w:val="single" w:sz="8" w:color="auto"/>
            </w:tcBorders>
          </w:tcPr>
          <w:p>
            <w:pPr>
              <w:spacing w:after="0"/>
              <w:rPr>
                <w:sz w:val="19"/>
                <w:szCs w:val="19"/>
                <w:color w:val="auto"/>
              </w:rPr>
            </w:pPr>
          </w:p>
        </w:tc>
      </w:tr>
      <w:tr>
        <w:trPr>
          <w:trHeight w:val="196"/>
        </w:trPr>
        <w:tc>
          <w:tcPr>
            <w:tcW w:w="490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Bar</w:t>
            </w:r>
          </w:p>
        </w:tc>
        <w:tc>
          <w:tcPr>
            <w:tcW w:w="3880" w:type="dxa"/>
            <w:vAlign w:val="bottom"/>
            <w:shd w:val="clear" w:color="auto" w:fill="CFF0FC"/>
          </w:tcPr>
          <w:p>
            <w:pPr>
              <w:jc w:val="right"/>
              <w:ind w:right="930"/>
              <w:spacing w:after="0" w:line="196" w:lineRule="exact"/>
              <w:rPr>
                <w:sz w:val="20"/>
                <w:szCs w:val="20"/>
                <w:color w:val="auto"/>
              </w:rPr>
            </w:pPr>
            <w:r>
              <w:rPr>
                <w:rFonts w:ascii="Arial" w:cs="Arial" w:eastAsia="Arial" w:hAnsi="Arial"/>
                <w:sz w:val="18"/>
                <w:szCs w:val="18"/>
                <w:b w:val="1"/>
                <w:bCs w:val="1"/>
                <w:color w:val="auto"/>
              </w:rPr>
              <w:t>$</w:t>
            </w:r>
          </w:p>
        </w:tc>
        <w:tc>
          <w:tcPr>
            <w:tcW w:w="660" w:type="dxa"/>
            <w:vAlign w:val="bottom"/>
            <w:shd w:val="clear" w:color="auto" w:fill="CFF0FC"/>
          </w:tcPr>
          <w:p>
            <w:pPr>
              <w:jc w:val="right"/>
              <w:ind w:right="50"/>
              <w:spacing w:after="0" w:line="196" w:lineRule="exact"/>
              <w:rPr>
                <w:sz w:val="20"/>
                <w:szCs w:val="20"/>
                <w:color w:val="auto"/>
              </w:rPr>
            </w:pPr>
            <w:r>
              <w:rPr>
                <w:rFonts w:ascii="Arial" w:cs="Arial" w:eastAsia="Arial" w:hAnsi="Arial"/>
                <w:sz w:val="18"/>
                <w:szCs w:val="18"/>
                <w:b w:val="1"/>
                <w:bCs w:val="1"/>
                <w:color w:val="auto"/>
              </w:rPr>
              <w:t>236.4</w:t>
            </w:r>
          </w:p>
        </w:tc>
        <w:tc>
          <w:tcPr>
            <w:tcW w:w="1260" w:type="dxa"/>
            <w:vAlign w:val="bottom"/>
            <w:shd w:val="clear" w:color="auto" w:fill="CFF0FC"/>
          </w:tcPr>
          <w:p>
            <w:pPr>
              <w:jc w:val="right"/>
              <w:ind w:right="950"/>
              <w:spacing w:after="0" w:line="196" w:lineRule="exact"/>
              <w:rPr>
                <w:sz w:val="20"/>
                <w:szCs w:val="20"/>
                <w:color w:val="auto"/>
              </w:rPr>
            </w:pPr>
            <w:r>
              <w:rPr>
                <w:rFonts w:ascii="Arial" w:cs="Arial" w:eastAsia="Arial" w:hAnsi="Arial"/>
                <w:sz w:val="18"/>
                <w:szCs w:val="18"/>
                <w:color w:val="auto"/>
              </w:rPr>
              <w:t>$</w:t>
            </w:r>
          </w:p>
        </w:tc>
        <w:tc>
          <w:tcPr>
            <w:tcW w:w="54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w w:val="97"/>
              </w:rPr>
              <w:t>173.2</w:t>
            </w:r>
          </w:p>
        </w:tc>
      </w:tr>
      <w:tr>
        <w:trPr>
          <w:trHeight w:val="162"/>
        </w:trPr>
        <w:tc>
          <w:tcPr>
            <w:tcW w:w="4900" w:type="dxa"/>
            <w:vAlign w:val="bottom"/>
          </w:tcPr>
          <w:p>
            <w:pPr>
              <w:ind w:left="20"/>
              <w:spacing w:after="0" w:line="162" w:lineRule="exact"/>
              <w:rPr>
                <w:sz w:val="20"/>
                <w:szCs w:val="20"/>
                <w:color w:val="auto"/>
              </w:rPr>
            </w:pPr>
            <w:r>
              <w:rPr>
                <w:rFonts w:ascii="Arial" w:cs="Arial" w:eastAsia="Arial" w:hAnsi="Arial"/>
                <w:sz w:val="18"/>
                <w:szCs w:val="18"/>
                <w:color w:val="auto"/>
              </w:rPr>
              <w:t>Tube</w:t>
            </w:r>
          </w:p>
        </w:tc>
        <w:tc>
          <w:tcPr>
            <w:tcW w:w="3880" w:type="dxa"/>
            <w:vAlign w:val="bottom"/>
          </w:tcPr>
          <w:p>
            <w:pPr>
              <w:spacing w:after="0"/>
              <w:rPr>
                <w:sz w:val="14"/>
                <w:szCs w:val="14"/>
                <w:color w:val="auto"/>
              </w:rPr>
            </w:pPr>
          </w:p>
        </w:tc>
        <w:tc>
          <w:tcPr>
            <w:tcW w:w="660" w:type="dxa"/>
            <w:vAlign w:val="bottom"/>
          </w:tcPr>
          <w:p>
            <w:pPr>
              <w:jc w:val="right"/>
              <w:ind w:right="50"/>
              <w:spacing w:after="0" w:line="162" w:lineRule="exact"/>
              <w:rPr>
                <w:sz w:val="20"/>
                <w:szCs w:val="20"/>
                <w:color w:val="auto"/>
              </w:rPr>
            </w:pPr>
            <w:r>
              <w:rPr>
                <w:rFonts w:ascii="Arial" w:cs="Arial" w:eastAsia="Arial" w:hAnsi="Arial"/>
                <w:sz w:val="18"/>
                <w:szCs w:val="18"/>
                <w:b w:val="1"/>
                <w:bCs w:val="1"/>
                <w:color w:val="auto"/>
              </w:rPr>
              <w:t>46.5</w:t>
            </w:r>
          </w:p>
        </w:tc>
        <w:tc>
          <w:tcPr>
            <w:tcW w:w="1260" w:type="dxa"/>
            <w:vAlign w:val="bottom"/>
          </w:tcPr>
          <w:p>
            <w:pPr>
              <w:spacing w:after="0"/>
              <w:rPr>
                <w:sz w:val="14"/>
                <w:szCs w:val="14"/>
                <w:color w:val="auto"/>
              </w:rPr>
            </w:pPr>
          </w:p>
        </w:tc>
        <w:tc>
          <w:tcPr>
            <w:tcW w:w="540" w:type="dxa"/>
            <w:vAlign w:val="bottom"/>
          </w:tcPr>
          <w:p>
            <w:pPr>
              <w:jc w:val="right"/>
              <w:spacing w:after="0" w:line="162" w:lineRule="exact"/>
              <w:rPr>
                <w:sz w:val="20"/>
                <w:szCs w:val="20"/>
                <w:color w:val="auto"/>
              </w:rPr>
            </w:pPr>
            <w:r>
              <w:rPr>
                <w:rFonts w:ascii="Arial" w:cs="Arial" w:eastAsia="Arial" w:hAnsi="Arial"/>
                <w:sz w:val="18"/>
                <w:szCs w:val="18"/>
                <w:color w:val="auto"/>
              </w:rPr>
              <w:t>36.1</w:t>
            </w:r>
          </w:p>
        </w:tc>
      </w:tr>
      <w:tr>
        <w:trPr>
          <w:trHeight w:val="203"/>
        </w:trPr>
        <w:tc>
          <w:tcPr>
            <w:tcW w:w="4900" w:type="dxa"/>
            <w:vAlign w:val="bottom"/>
          </w:tcPr>
          <w:p>
            <w:pPr>
              <w:ind w:left="20"/>
              <w:spacing w:after="0" w:line="202" w:lineRule="exact"/>
              <w:rPr>
                <w:sz w:val="20"/>
                <w:szCs w:val="20"/>
                <w:color w:val="auto"/>
              </w:rPr>
            </w:pPr>
            <w:r>
              <w:rPr>
                <w:rFonts w:ascii="Arial" w:cs="Arial" w:eastAsia="Arial" w:hAnsi="Arial"/>
                <w:sz w:val="17"/>
                <w:szCs w:val="17"/>
                <w:color w:val="auto"/>
              </w:rPr>
              <w:t xml:space="preserve">Manufactured components </w:t>
            </w:r>
            <w:r>
              <w:rPr>
                <w:rFonts w:ascii="Arial" w:cs="Arial" w:eastAsia="Arial" w:hAnsi="Arial"/>
                <w:sz w:val="23"/>
                <w:szCs w:val="23"/>
                <w:color w:val="auto"/>
                <w:vertAlign w:val="superscript"/>
              </w:rPr>
              <w:t>(3)</w:t>
            </w:r>
          </w:p>
        </w:tc>
        <w:tc>
          <w:tcPr>
            <w:tcW w:w="3880" w:type="dxa"/>
            <w:vAlign w:val="bottom"/>
          </w:tcPr>
          <w:p>
            <w:pPr>
              <w:spacing w:after="0"/>
              <w:rPr>
                <w:sz w:val="17"/>
                <w:szCs w:val="17"/>
                <w:color w:val="auto"/>
              </w:rPr>
            </w:pPr>
          </w:p>
        </w:tc>
        <w:tc>
          <w:tcPr>
            <w:tcW w:w="660" w:type="dxa"/>
            <w:vAlign w:val="bottom"/>
          </w:tcPr>
          <w:p>
            <w:pPr>
              <w:jc w:val="right"/>
              <w:ind w:right="50"/>
              <w:spacing w:after="0" w:line="202" w:lineRule="exact"/>
              <w:rPr>
                <w:sz w:val="20"/>
                <w:szCs w:val="20"/>
                <w:color w:val="auto"/>
              </w:rPr>
            </w:pPr>
            <w:r>
              <w:rPr>
                <w:rFonts w:ascii="Arial" w:cs="Arial" w:eastAsia="Arial" w:hAnsi="Arial"/>
                <w:sz w:val="18"/>
                <w:szCs w:val="18"/>
                <w:b w:val="1"/>
                <w:bCs w:val="1"/>
                <w:color w:val="auto"/>
              </w:rPr>
              <w:t>61.2</w:t>
            </w:r>
          </w:p>
        </w:tc>
        <w:tc>
          <w:tcPr>
            <w:tcW w:w="1260" w:type="dxa"/>
            <w:vAlign w:val="bottom"/>
          </w:tcPr>
          <w:p>
            <w:pPr>
              <w:spacing w:after="0"/>
              <w:rPr>
                <w:sz w:val="17"/>
                <w:szCs w:val="17"/>
                <w:color w:val="auto"/>
              </w:rPr>
            </w:pPr>
          </w:p>
        </w:tc>
        <w:tc>
          <w:tcPr>
            <w:tcW w:w="540" w:type="dxa"/>
            <w:vAlign w:val="bottom"/>
          </w:tcPr>
          <w:p>
            <w:pPr>
              <w:jc w:val="right"/>
              <w:spacing w:after="0" w:line="202" w:lineRule="exact"/>
              <w:rPr>
                <w:sz w:val="20"/>
                <w:szCs w:val="20"/>
                <w:color w:val="auto"/>
              </w:rPr>
            </w:pPr>
            <w:r>
              <w:rPr>
                <w:rFonts w:ascii="Arial" w:cs="Arial" w:eastAsia="Arial" w:hAnsi="Arial"/>
                <w:sz w:val="18"/>
                <w:szCs w:val="18"/>
                <w:color w:val="auto"/>
              </w:rPr>
              <w:t>56.7</w:t>
            </w:r>
          </w:p>
        </w:tc>
      </w:tr>
      <w:tr>
        <w:trPr>
          <w:trHeight w:val="243"/>
        </w:trPr>
        <w:tc>
          <w:tcPr>
            <w:tcW w:w="4900" w:type="dxa"/>
            <w:vAlign w:val="bottom"/>
            <w:tcBorders>
              <w:bottom w:val="single" w:sz="8" w:color="auto"/>
            </w:tcBorders>
          </w:tcPr>
          <w:p>
            <w:pPr>
              <w:ind w:left="20"/>
              <w:spacing w:after="0" w:line="243" w:lineRule="exact"/>
              <w:rPr>
                <w:sz w:val="20"/>
                <w:szCs w:val="20"/>
                <w:color w:val="auto"/>
              </w:rPr>
            </w:pPr>
            <w:r>
              <w:rPr>
                <w:rFonts w:ascii="Arial" w:cs="Arial" w:eastAsia="Arial" w:hAnsi="Arial"/>
                <w:sz w:val="18"/>
                <w:szCs w:val="18"/>
                <w:color w:val="auto"/>
              </w:rPr>
              <w:t xml:space="preserve">Other </w:t>
            </w:r>
            <w:r>
              <w:rPr>
                <w:rFonts w:ascii="Arial" w:cs="Arial" w:eastAsia="Arial" w:hAnsi="Arial"/>
                <w:sz w:val="24"/>
                <w:szCs w:val="24"/>
                <w:color w:val="auto"/>
                <w:vertAlign w:val="superscript"/>
              </w:rPr>
              <w:t>(2)</w:t>
            </w:r>
          </w:p>
        </w:tc>
        <w:tc>
          <w:tcPr>
            <w:tcW w:w="388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7.9</w:t>
            </w:r>
          </w:p>
        </w:tc>
        <w:tc>
          <w:tcPr>
            <w:tcW w:w="1260" w:type="dxa"/>
            <w:vAlign w:val="bottom"/>
            <w:tcBorders>
              <w:bottom w:val="single" w:sz="8" w:color="auto"/>
            </w:tcBorders>
          </w:tcPr>
          <w:p>
            <w:pPr>
              <w:spacing w:after="0"/>
              <w:rPr>
                <w:sz w:val="21"/>
                <w:szCs w:val="21"/>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7.6</w:t>
            </w:r>
          </w:p>
        </w:tc>
      </w:tr>
      <w:tr>
        <w:trPr>
          <w:trHeight w:val="196"/>
        </w:trPr>
        <w:tc>
          <w:tcPr>
            <w:tcW w:w="4900" w:type="dxa"/>
            <w:vAlign w:val="bottom"/>
            <w:tcBorders>
              <w:bottom w:val="single" w:sz="8" w:color="auto"/>
            </w:tcBorders>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Total Net Sales</w:t>
            </w:r>
          </w:p>
        </w:tc>
        <w:tc>
          <w:tcPr>
            <w:tcW w:w="3880" w:type="dxa"/>
            <w:vAlign w:val="bottom"/>
            <w:tcBorders>
              <w:bottom w:val="single" w:sz="8" w:color="auto"/>
            </w:tcBorders>
            <w:shd w:val="clear" w:color="auto" w:fill="CFF0FC"/>
          </w:tcPr>
          <w:p>
            <w:pPr>
              <w:jc w:val="right"/>
              <w:ind w:right="930"/>
              <w:spacing w:after="0" w:line="196" w:lineRule="exact"/>
              <w:rPr>
                <w:sz w:val="20"/>
                <w:szCs w:val="20"/>
                <w:color w:val="auto"/>
              </w:rPr>
            </w:pPr>
            <w:r>
              <w:rPr>
                <w:rFonts w:ascii="Arial" w:cs="Arial" w:eastAsia="Arial" w:hAnsi="Arial"/>
                <w:sz w:val="18"/>
                <w:szCs w:val="18"/>
                <w:b w:val="1"/>
                <w:bCs w:val="1"/>
                <w:color w:val="auto"/>
              </w:rPr>
              <w:t>$</w:t>
            </w:r>
          </w:p>
        </w:tc>
        <w:tc>
          <w:tcPr>
            <w:tcW w:w="660" w:type="dxa"/>
            <w:vAlign w:val="bottom"/>
            <w:tcBorders>
              <w:bottom w:val="single" w:sz="8" w:color="auto"/>
            </w:tcBorders>
            <w:shd w:val="clear" w:color="auto" w:fill="CFF0FC"/>
          </w:tcPr>
          <w:p>
            <w:pPr>
              <w:jc w:val="right"/>
              <w:ind w:right="50"/>
              <w:spacing w:after="0" w:line="196" w:lineRule="exact"/>
              <w:rPr>
                <w:sz w:val="20"/>
                <w:szCs w:val="20"/>
                <w:color w:val="auto"/>
              </w:rPr>
            </w:pPr>
            <w:r>
              <w:rPr>
                <w:rFonts w:ascii="Arial" w:cs="Arial" w:eastAsia="Arial" w:hAnsi="Arial"/>
                <w:sz w:val="18"/>
                <w:szCs w:val="18"/>
                <w:b w:val="1"/>
                <w:bCs w:val="1"/>
                <w:color w:val="auto"/>
              </w:rPr>
              <w:t>352.0</w:t>
            </w:r>
          </w:p>
        </w:tc>
        <w:tc>
          <w:tcPr>
            <w:tcW w:w="1260" w:type="dxa"/>
            <w:vAlign w:val="bottom"/>
            <w:tcBorders>
              <w:bottom w:val="single" w:sz="8" w:color="auto"/>
            </w:tcBorders>
            <w:shd w:val="clear" w:color="auto" w:fill="CFF0FC"/>
          </w:tcPr>
          <w:p>
            <w:pPr>
              <w:jc w:val="right"/>
              <w:ind w:right="950"/>
              <w:spacing w:after="0" w:line="196" w:lineRule="exact"/>
              <w:rPr>
                <w:sz w:val="20"/>
                <w:szCs w:val="20"/>
                <w:color w:val="auto"/>
              </w:rPr>
            </w:pPr>
            <w:r>
              <w:rPr>
                <w:rFonts w:ascii="Arial" w:cs="Arial" w:eastAsia="Arial" w:hAnsi="Arial"/>
                <w:sz w:val="18"/>
                <w:szCs w:val="18"/>
                <w:color w:val="auto"/>
              </w:rPr>
              <w:t>$</w:t>
            </w:r>
          </w:p>
        </w:tc>
        <w:tc>
          <w:tcPr>
            <w:tcW w:w="54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w w:val="97"/>
              </w:rPr>
              <w:t>273.6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-401955</wp:posOffset>
            </wp:positionV>
            <wp:extent cx="7132320" cy="1289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28905"/>
                    </a:xfrm>
                    <a:prstGeom prst="rect">
                      <a:avLst/>
                    </a:prstGeom>
                    <a:noFill/>
                  </pic:spPr>
                </pic:pic>
              </a:graphicData>
            </a:graphic>
          </wp:anchor>
        </w:drawing>
      </w:r>
    </w:p>
    <w:p>
      <w:pPr>
        <w:spacing w:after="0" w:line="117" w:lineRule="exact"/>
        <w:rPr>
          <w:sz w:val="20"/>
          <w:szCs w:val="20"/>
          <w:color w:val="auto"/>
        </w:rPr>
      </w:pPr>
    </w:p>
    <w:p>
      <w:pPr>
        <w:ind w:left="180" w:hanging="172"/>
        <w:spacing w:after="0"/>
        <w:tabs>
          <w:tab w:leader="none" w:pos="180" w:val="left"/>
        </w:tabs>
        <w:numPr>
          <w:ilvl w:val="0"/>
          <w:numId w:val="4"/>
        </w:numPr>
        <w:rPr>
          <w:rFonts w:ascii="Arial" w:cs="Arial" w:eastAsia="Arial" w:hAnsi="Arial"/>
          <w:sz w:val="21"/>
          <w:szCs w:val="21"/>
          <w:color w:val="auto"/>
          <w:vertAlign w:val="superscript"/>
        </w:rPr>
      </w:pPr>
      <w:r>
        <w:rPr>
          <w:rFonts w:ascii="Arial" w:cs="Arial" w:eastAsia="Arial" w:hAnsi="Arial"/>
          <w:sz w:val="16"/>
          <w:szCs w:val="16"/>
          <w:color w:val="auto"/>
        </w:rPr>
        <w:t>“Other” sales by product type relates to the Company’s scrap sales.</w:t>
      </w:r>
    </w:p>
    <w:p>
      <w:pPr>
        <w:spacing w:after="0" w:line="69" w:lineRule="exact"/>
        <w:rPr>
          <w:rFonts w:ascii="Arial" w:cs="Arial" w:eastAsia="Arial" w:hAnsi="Arial"/>
          <w:sz w:val="21"/>
          <w:szCs w:val="21"/>
          <w:color w:val="auto"/>
          <w:vertAlign w:val="superscript"/>
        </w:rPr>
      </w:pPr>
    </w:p>
    <w:p>
      <w:pPr>
        <w:ind w:left="200" w:hanging="192"/>
        <w:spacing w:after="0" w:line="194" w:lineRule="auto"/>
        <w:tabs>
          <w:tab w:leader="none" w:pos="200" w:val="left"/>
        </w:tabs>
        <w:numPr>
          <w:ilvl w:val="0"/>
          <w:numId w:val="4"/>
        </w:numPr>
        <w:rPr>
          <w:rFonts w:ascii="Arial" w:cs="Arial" w:eastAsia="Arial" w:hAnsi="Arial"/>
          <w:sz w:val="23"/>
          <w:szCs w:val="23"/>
          <w:color w:val="auto"/>
          <w:vertAlign w:val="superscript"/>
        </w:rPr>
      </w:pPr>
      <w:r>
        <w:rPr>
          <w:rFonts w:ascii="Arial" w:cs="Arial" w:eastAsia="Arial" w:hAnsi="Arial"/>
          <w:sz w:val="17"/>
          <w:szCs w:val="17"/>
          <w:color w:val="auto"/>
        </w:rPr>
        <w:t>Formerly known as the “Value-add” product type.</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 Restructuring Charges</w:t>
      </w:r>
    </w:p>
    <w:p>
      <w:pPr>
        <w:spacing w:after="0" w:line="175" w:lineRule="exact"/>
        <w:rPr>
          <w:sz w:val="20"/>
          <w:szCs w:val="20"/>
          <w:color w:val="auto"/>
        </w:rPr>
      </w:pPr>
    </w:p>
    <w:p>
      <w:pPr>
        <w:ind w:right="40"/>
        <w:spacing w:after="0" w:line="243" w:lineRule="auto"/>
        <w:rPr>
          <w:sz w:val="20"/>
          <w:szCs w:val="20"/>
          <w:color w:val="auto"/>
        </w:rPr>
      </w:pPr>
      <w:r>
        <w:rPr>
          <w:rFonts w:ascii="Arial" w:cs="Arial" w:eastAsia="Arial" w:hAnsi="Arial"/>
          <w:sz w:val="18"/>
          <w:szCs w:val="18"/>
          <w:color w:val="auto"/>
        </w:rPr>
        <w:t>Over the past several years, TimkenSteel has made numerous organizational changes to enhance profitable and sustainable growth. These company-wide actions included the restructuring of its business support functions, the reduction of management layers throughout the organization and other domestic and international actions to further improve the Company’s overall cost structure. Restructuring charges totaled $0.4 million and $0.5 million for the three months ended March 31, 2022 and March 31, 2021, respectively.</w:t>
      </w:r>
    </w:p>
    <w:p>
      <w:pPr>
        <w:spacing w:after="0" w:line="147" w:lineRule="exact"/>
        <w:rPr>
          <w:sz w:val="20"/>
          <w:szCs w:val="20"/>
          <w:color w:val="auto"/>
        </w:rPr>
      </w:pPr>
    </w:p>
    <w:p>
      <w:pPr>
        <w:ind w:right="220"/>
        <w:spacing w:after="0" w:line="279" w:lineRule="auto"/>
        <w:rPr>
          <w:sz w:val="20"/>
          <w:szCs w:val="20"/>
          <w:color w:val="auto"/>
        </w:rPr>
      </w:pPr>
      <w:r>
        <w:rPr>
          <w:rFonts w:ascii="Arial" w:cs="Arial" w:eastAsia="Arial" w:hAnsi="Arial"/>
          <w:sz w:val="16"/>
          <w:szCs w:val="16"/>
          <w:color w:val="auto"/>
        </w:rPr>
        <w:t>Restructuring charges for the three months ended March 31, 2022 were $0.4 million related to severance and employee-related benefits as a result of organizational changes. Restructuring charges for the three months ended March 31, 2021 amounted to $0.5 million, including $0.3 million related to the transition of customers to other TimkenSteel manufacturing equipment due to the discontinuation of specific small-diameter seamless mechanical tube manufacturing and the indefinite idling of our Harrison melt and casting activities (refer to “Note 5 – Disposition of Non-Core Assets” for additional information). The remaining $0.2 million related to severance and employee-related benefits as a result of organizational changes.</w:t>
      </w:r>
    </w:p>
    <w:p>
      <w:pPr>
        <w:spacing w:after="0" w:line="105" w:lineRule="exact"/>
        <w:rPr>
          <w:sz w:val="20"/>
          <w:szCs w:val="20"/>
          <w:color w:val="auto"/>
        </w:rPr>
      </w:pPr>
    </w:p>
    <w:p>
      <w:pPr>
        <w:ind w:right="100"/>
        <w:spacing w:after="0" w:line="261" w:lineRule="auto"/>
        <w:rPr>
          <w:sz w:val="20"/>
          <w:szCs w:val="20"/>
          <w:color w:val="auto"/>
        </w:rPr>
      </w:pPr>
      <w:r>
        <w:rPr>
          <w:rFonts w:ascii="Arial" w:cs="Arial" w:eastAsia="Arial" w:hAnsi="Arial"/>
          <w:sz w:val="18"/>
          <w:szCs w:val="18"/>
          <w:color w:val="auto"/>
        </w:rPr>
        <w:t>TimkenSteel recorded reserves for such restructuring charges as other current liabilities on the Consolidated Balance Sheets. The reserve balance at March 31, 2022 is expected to be substantially used in the next twelve months.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is a summary of the restructuring reserve for the three months ended March 31, 2022 and 2021:</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60" w:type="dxa"/>
            <w:vAlign w:val="bottom"/>
            <w:tcBorders>
              <w:top w:val="single" w:sz="8" w:color="auto"/>
            </w:tcBorders>
            <w:shd w:val="clear" w:color="auto" w:fill="CFF0FC"/>
          </w:tcPr>
          <w:p>
            <w:pPr>
              <w:ind w:left="20"/>
              <w:spacing w:after="0"/>
              <w:rPr>
                <w:sz w:val="20"/>
                <w:szCs w:val="20"/>
                <w:color w:val="auto"/>
              </w:rPr>
            </w:pPr>
            <w:r>
              <w:rPr>
                <w:rFonts w:ascii="Arial" w:cs="Arial" w:eastAsia="Arial" w:hAnsi="Arial"/>
                <w:sz w:val="18"/>
                <w:szCs w:val="18"/>
                <w:b w:val="1"/>
                <w:bCs w:val="1"/>
                <w:color w:val="auto"/>
              </w:rPr>
              <w:t>Balance at December 31, 2021</w:t>
            </w:r>
          </w:p>
        </w:tc>
        <w:tc>
          <w:tcPr>
            <w:tcW w:w="6120" w:type="dxa"/>
            <w:vAlign w:val="bottom"/>
            <w:tcBorders>
              <w:top w:val="single" w:sz="8" w:color="auto"/>
            </w:tcBorders>
            <w:shd w:val="clear" w:color="auto" w:fill="CFF0FC"/>
          </w:tcPr>
          <w:p>
            <w:pPr>
              <w:jc w:val="right"/>
              <w:ind w:right="670"/>
              <w:spacing w:after="0"/>
              <w:rPr>
                <w:sz w:val="20"/>
                <w:szCs w:val="20"/>
                <w:color w:val="auto"/>
              </w:rPr>
            </w:pPr>
            <w:r>
              <w:rPr>
                <w:rFonts w:ascii="Arial" w:cs="Arial" w:eastAsia="Arial" w:hAnsi="Arial"/>
                <w:sz w:val="18"/>
                <w:szCs w:val="18"/>
                <w:color w:val="auto"/>
              </w:rPr>
              <w:t>$</w:t>
            </w:r>
          </w:p>
        </w:tc>
        <w:tc>
          <w:tcPr>
            <w:tcW w:w="116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4.7</w:t>
            </w:r>
          </w:p>
        </w:tc>
      </w:tr>
      <w:tr>
        <w:trPr>
          <w:trHeight w:val="203"/>
        </w:trPr>
        <w:tc>
          <w:tcPr>
            <w:tcW w:w="3960" w:type="dxa"/>
            <w:vAlign w:val="bottom"/>
          </w:tcPr>
          <w:p>
            <w:pPr>
              <w:ind w:left="200"/>
              <w:spacing w:after="0" w:line="202" w:lineRule="exact"/>
              <w:rPr>
                <w:sz w:val="20"/>
                <w:szCs w:val="20"/>
                <w:color w:val="auto"/>
              </w:rPr>
            </w:pPr>
            <w:r>
              <w:rPr>
                <w:rFonts w:ascii="Arial" w:cs="Arial" w:eastAsia="Arial" w:hAnsi="Arial"/>
                <w:sz w:val="18"/>
                <w:szCs w:val="18"/>
                <w:color w:val="auto"/>
              </w:rPr>
              <w:t>Expenses</w:t>
            </w:r>
          </w:p>
        </w:tc>
        <w:tc>
          <w:tcPr>
            <w:tcW w:w="6120" w:type="dxa"/>
            <w:vAlign w:val="bottom"/>
          </w:tcPr>
          <w:p>
            <w:pPr>
              <w:spacing w:after="0"/>
              <w:rPr>
                <w:sz w:val="17"/>
                <w:szCs w:val="17"/>
                <w:color w:val="auto"/>
              </w:rPr>
            </w:pPr>
          </w:p>
        </w:tc>
        <w:tc>
          <w:tcPr>
            <w:tcW w:w="1160" w:type="dxa"/>
            <w:vAlign w:val="bottom"/>
          </w:tcPr>
          <w:p>
            <w:pPr>
              <w:jc w:val="right"/>
              <w:ind w:right="30"/>
              <w:spacing w:after="0" w:line="202" w:lineRule="exact"/>
              <w:rPr>
                <w:sz w:val="20"/>
                <w:szCs w:val="20"/>
                <w:color w:val="auto"/>
              </w:rPr>
            </w:pPr>
            <w:r>
              <w:rPr>
                <w:rFonts w:ascii="Arial" w:cs="Arial" w:eastAsia="Arial" w:hAnsi="Arial"/>
                <w:sz w:val="18"/>
                <w:szCs w:val="18"/>
                <w:b w:val="1"/>
                <w:bCs w:val="1"/>
                <w:color w:val="auto"/>
              </w:rPr>
              <w:t>0.4</w:t>
            </w:r>
          </w:p>
        </w:tc>
      </w:tr>
      <w:tr>
        <w:trPr>
          <w:trHeight w:val="203"/>
        </w:trPr>
        <w:tc>
          <w:tcPr>
            <w:tcW w:w="3960" w:type="dxa"/>
            <w:vAlign w:val="bottom"/>
            <w:tcBorders>
              <w:bottom w:val="single" w:sz="8" w:color="auto"/>
            </w:tcBorders>
            <w:shd w:val="clear" w:color="auto" w:fill="CFF0FC"/>
          </w:tcPr>
          <w:p>
            <w:pPr>
              <w:ind w:left="200"/>
              <w:spacing w:after="0" w:line="202" w:lineRule="exact"/>
              <w:rPr>
                <w:sz w:val="20"/>
                <w:szCs w:val="20"/>
                <w:color w:val="auto"/>
              </w:rPr>
            </w:pPr>
            <w:r>
              <w:rPr>
                <w:rFonts w:ascii="Arial" w:cs="Arial" w:eastAsia="Arial" w:hAnsi="Arial"/>
                <w:sz w:val="18"/>
                <w:szCs w:val="18"/>
                <w:color w:val="auto"/>
              </w:rPr>
              <w:t>Payments</w:t>
            </w:r>
          </w:p>
        </w:tc>
        <w:tc>
          <w:tcPr>
            <w:tcW w:w="6120" w:type="dxa"/>
            <w:vAlign w:val="bottom"/>
            <w:tcBorders>
              <w:bottom w:val="single" w:sz="8" w:color="auto"/>
            </w:tcBorders>
            <w:shd w:val="clear" w:color="auto" w:fill="CFF0FC"/>
          </w:tcPr>
          <w:p>
            <w:pPr>
              <w:spacing w:after="0"/>
              <w:rPr>
                <w:sz w:val="17"/>
                <w:szCs w:val="17"/>
                <w:color w:val="auto"/>
              </w:rPr>
            </w:pPr>
          </w:p>
        </w:tc>
        <w:tc>
          <w:tcPr>
            <w:tcW w:w="116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b w:val="1"/>
                <w:bCs w:val="1"/>
                <w:color w:val="auto"/>
              </w:rPr>
              <w:t>(1.0 )</w:t>
            </w:r>
          </w:p>
        </w:tc>
      </w:tr>
      <w:tr>
        <w:trPr>
          <w:trHeight w:val="196"/>
        </w:trPr>
        <w:tc>
          <w:tcPr>
            <w:tcW w:w="3960" w:type="dxa"/>
            <w:vAlign w:val="bottom"/>
            <w:tcBorders>
              <w:bottom w:val="single" w:sz="8" w:color="auto"/>
            </w:tcBorders>
          </w:tcPr>
          <w:p>
            <w:pPr>
              <w:ind w:left="20"/>
              <w:spacing w:after="0" w:line="196" w:lineRule="exact"/>
              <w:rPr>
                <w:sz w:val="20"/>
                <w:szCs w:val="20"/>
                <w:color w:val="auto"/>
              </w:rPr>
            </w:pPr>
            <w:r>
              <w:rPr>
                <w:rFonts w:ascii="Arial" w:cs="Arial" w:eastAsia="Arial" w:hAnsi="Arial"/>
                <w:sz w:val="18"/>
                <w:szCs w:val="18"/>
                <w:b w:val="1"/>
                <w:bCs w:val="1"/>
                <w:color w:val="auto"/>
              </w:rPr>
              <w:t>Balance at March 31, 2022</w:t>
            </w:r>
          </w:p>
        </w:tc>
        <w:tc>
          <w:tcPr>
            <w:tcW w:w="6120" w:type="dxa"/>
            <w:vAlign w:val="bottom"/>
            <w:tcBorders>
              <w:bottom w:val="single" w:sz="8" w:color="auto"/>
            </w:tcBorders>
          </w:tcPr>
          <w:p>
            <w:pPr>
              <w:jc w:val="right"/>
              <w:ind w:right="670"/>
              <w:spacing w:after="0" w:line="196" w:lineRule="exact"/>
              <w:rPr>
                <w:sz w:val="20"/>
                <w:szCs w:val="20"/>
                <w:color w:val="auto"/>
              </w:rPr>
            </w:pPr>
            <w:r>
              <w:rPr>
                <w:rFonts w:ascii="Arial" w:cs="Arial" w:eastAsia="Arial" w:hAnsi="Arial"/>
                <w:sz w:val="18"/>
                <w:szCs w:val="18"/>
                <w:b w:val="1"/>
                <w:bCs w:val="1"/>
                <w:color w:val="auto"/>
              </w:rPr>
              <w:t>$</w:t>
            </w:r>
          </w:p>
        </w:tc>
        <w:tc>
          <w:tcPr>
            <w:tcW w:w="1160" w:type="dxa"/>
            <w:vAlign w:val="bottom"/>
            <w:tcBorders>
              <w:bottom w:val="single" w:sz="8" w:color="auto"/>
            </w:tcBorders>
          </w:tcPr>
          <w:p>
            <w:pPr>
              <w:jc w:val="right"/>
              <w:ind w:right="30"/>
              <w:spacing w:after="0" w:line="196" w:lineRule="exact"/>
              <w:rPr>
                <w:sz w:val="20"/>
                <w:szCs w:val="20"/>
                <w:color w:val="auto"/>
              </w:rPr>
            </w:pPr>
            <w:r>
              <w:rPr>
                <w:rFonts w:ascii="Arial" w:cs="Arial" w:eastAsia="Arial" w:hAnsi="Arial"/>
                <w:sz w:val="18"/>
                <w:szCs w:val="18"/>
                <w:b w:val="1"/>
                <w:bCs w:val="1"/>
                <w:color w:val="auto"/>
              </w:rPr>
              <w:t>4.1</w:t>
            </w:r>
          </w:p>
        </w:tc>
      </w:tr>
      <w:tr>
        <w:trPr>
          <w:trHeight w:val="196"/>
        </w:trPr>
        <w:tc>
          <w:tcPr>
            <w:tcW w:w="3960" w:type="dxa"/>
            <w:vAlign w:val="bottom"/>
            <w:tcBorders>
              <w:bottom w:val="single" w:sz="8" w:color="auto"/>
            </w:tcBorders>
          </w:tcPr>
          <w:p>
            <w:pPr>
              <w:spacing w:after="0"/>
              <w:rPr>
                <w:sz w:val="17"/>
                <w:szCs w:val="17"/>
                <w:color w:val="auto"/>
              </w:rPr>
            </w:pPr>
          </w:p>
        </w:tc>
        <w:tc>
          <w:tcPr>
            <w:tcW w:w="612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r>
      <w:tr>
        <w:trPr>
          <w:trHeight w:val="196"/>
        </w:trPr>
        <w:tc>
          <w:tcPr>
            <w:tcW w:w="396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Balance at December 31, 2020</w:t>
            </w:r>
          </w:p>
        </w:tc>
        <w:tc>
          <w:tcPr>
            <w:tcW w:w="6120" w:type="dxa"/>
            <w:vAlign w:val="bottom"/>
            <w:shd w:val="clear" w:color="auto" w:fill="CFF0FC"/>
          </w:tcPr>
          <w:p>
            <w:pPr>
              <w:jc w:val="right"/>
              <w:ind w:right="670"/>
              <w:spacing w:after="0" w:line="196" w:lineRule="exact"/>
              <w:rPr>
                <w:sz w:val="20"/>
                <w:szCs w:val="20"/>
                <w:color w:val="auto"/>
              </w:rPr>
            </w:pPr>
            <w:r>
              <w:rPr>
                <w:rFonts w:ascii="Arial" w:cs="Arial" w:eastAsia="Arial" w:hAnsi="Arial"/>
                <w:sz w:val="18"/>
                <w:szCs w:val="18"/>
                <w:color w:val="auto"/>
              </w:rPr>
              <w:t>$</w:t>
            </w:r>
          </w:p>
        </w:tc>
        <w:tc>
          <w:tcPr>
            <w:tcW w:w="116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1.5</w:t>
            </w:r>
          </w:p>
        </w:tc>
      </w:tr>
      <w:tr>
        <w:trPr>
          <w:trHeight w:val="203"/>
        </w:trPr>
        <w:tc>
          <w:tcPr>
            <w:tcW w:w="3960" w:type="dxa"/>
            <w:vAlign w:val="bottom"/>
          </w:tcPr>
          <w:p>
            <w:pPr>
              <w:ind w:left="200"/>
              <w:spacing w:after="0" w:line="202" w:lineRule="exact"/>
              <w:rPr>
                <w:sz w:val="20"/>
                <w:szCs w:val="20"/>
                <w:color w:val="auto"/>
              </w:rPr>
            </w:pPr>
            <w:r>
              <w:rPr>
                <w:rFonts w:ascii="Arial" w:cs="Arial" w:eastAsia="Arial" w:hAnsi="Arial"/>
                <w:sz w:val="18"/>
                <w:szCs w:val="18"/>
                <w:color w:val="auto"/>
              </w:rPr>
              <w:t>Expenses</w:t>
            </w:r>
          </w:p>
        </w:tc>
        <w:tc>
          <w:tcPr>
            <w:tcW w:w="6120" w:type="dxa"/>
            <w:vAlign w:val="bottom"/>
          </w:tcPr>
          <w:p>
            <w:pPr>
              <w:spacing w:after="0"/>
              <w:rPr>
                <w:sz w:val="17"/>
                <w:szCs w:val="17"/>
                <w:color w:val="auto"/>
              </w:rPr>
            </w:pPr>
          </w:p>
        </w:tc>
        <w:tc>
          <w:tcPr>
            <w:tcW w:w="1160" w:type="dxa"/>
            <w:vAlign w:val="bottom"/>
          </w:tcPr>
          <w:p>
            <w:pPr>
              <w:jc w:val="right"/>
              <w:ind w:right="30"/>
              <w:spacing w:after="0" w:line="202" w:lineRule="exact"/>
              <w:rPr>
                <w:sz w:val="20"/>
                <w:szCs w:val="20"/>
                <w:color w:val="auto"/>
              </w:rPr>
            </w:pPr>
            <w:r>
              <w:rPr>
                <w:rFonts w:ascii="Arial" w:cs="Arial" w:eastAsia="Arial" w:hAnsi="Arial"/>
                <w:sz w:val="18"/>
                <w:szCs w:val="18"/>
                <w:color w:val="auto"/>
              </w:rPr>
              <w:t>0.5</w:t>
            </w:r>
          </w:p>
        </w:tc>
      </w:tr>
      <w:tr>
        <w:trPr>
          <w:trHeight w:val="203"/>
        </w:trPr>
        <w:tc>
          <w:tcPr>
            <w:tcW w:w="3960" w:type="dxa"/>
            <w:vAlign w:val="bottom"/>
            <w:tcBorders>
              <w:bottom w:val="single" w:sz="8" w:color="auto"/>
            </w:tcBorders>
            <w:shd w:val="clear" w:color="auto" w:fill="CFF0FC"/>
          </w:tcPr>
          <w:p>
            <w:pPr>
              <w:ind w:left="200"/>
              <w:spacing w:after="0" w:line="202" w:lineRule="exact"/>
              <w:rPr>
                <w:sz w:val="20"/>
                <w:szCs w:val="20"/>
                <w:color w:val="auto"/>
              </w:rPr>
            </w:pPr>
            <w:r>
              <w:rPr>
                <w:rFonts w:ascii="Arial" w:cs="Arial" w:eastAsia="Arial" w:hAnsi="Arial"/>
                <w:sz w:val="18"/>
                <w:szCs w:val="18"/>
                <w:color w:val="auto"/>
              </w:rPr>
              <w:t>Payments</w:t>
            </w:r>
          </w:p>
        </w:tc>
        <w:tc>
          <w:tcPr>
            <w:tcW w:w="6120" w:type="dxa"/>
            <w:vAlign w:val="bottom"/>
            <w:tcBorders>
              <w:bottom w:val="single" w:sz="8" w:color="auto"/>
            </w:tcBorders>
            <w:shd w:val="clear" w:color="auto" w:fill="CFF0FC"/>
          </w:tcPr>
          <w:p>
            <w:pPr>
              <w:spacing w:after="0"/>
              <w:rPr>
                <w:sz w:val="17"/>
                <w:szCs w:val="17"/>
                <w:color w:val="auto"/>
              </w:rPr>
            </w:pPr>
          </w:p>
        </w:tc>
        <w:tc>
          <w:tcPr>
            <w:tcW w:w="116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(1.4 )</w:t>
            </w:r>
          </w:p>
        </w:tc>
      </w:tr>
      <w:tr>
        <w:trPr>
          <w:trHeight w:val="196"/>
        </w:trPr>
        <w:tc>
          <w:tcPr>
            <w:tcW w:w="3960" w:type="dxa"/>
            <w:vAlign w:val="bottom"/>
            <w:tcBorders>
              <w:bottom w:val="single" w:sz="8" w:color="auto"/>
            </w:tcBorders>
          </w:tcPr>
          <w:p>
            <w:pPr>
              <w:ind w:left="20"/>
              <w:spacing w:after="0" w:line="196" w:lineRule="exact"/>
              <w:rPr>
                <w:sz w:val="20"/>
                <w:szCs w:val="20"/>
                <w:color w:val="auto"/>
              </w:rPr>
            </w:pPr>
            <w:r>
              <w:rPr>
                <w:rFonts w:ascii="Arial" w:cs="Arial" w:eastAsia="Arial" w:hAnsi="Arial"/>
                <w:sz w:val="18"/>
                <w:szCs w:val="18"/>
                <w:b w:val="1"/>
                <w:bCs w:val="1"/>
                <w:color w:val="auto"/>
              </w:rPr>
              <w:t>Balance at March 31, 2021</w:t>
            </w:r>
          </w:p>
        </w:tc>
        <w:tc>
          <w:tcPr>
            <w:tcW w:w="6120" w:type="dxa"/>
            <w:vAlign w:val="bottom"/>
            <w:tcBorders>
              <w:bottom w:val="single" w:sz="8" w:color="auto"/>
            </w:tcBorders>
          </w:tcPr>
          <w:p>
            <w:pPr>
              <w:jc w:val="right"/>
              <w:ind w:right="670"/>
              <w:spacing w:after="0" w:line="196" w:lineRule="exact"/>
              <w:rPr>
                <w:sz w:val="20"/>
                <w:szCs w:val="20"/>
                <w:color w:val="auto"/>
              </w:rPr>
            </w:pPr>
            <w:r>
              <w:rPr>
                <w:rFonts w:ascii="Arial" w:cs="Arial" w:eastAsia="Arial" w:hAnsi="Arial"/>
                <w:sz w:val="18"/>
                <w:szCs w:val="18"/>
                <w:color w:val="auto"/>
              </w:rPr>
              <w:t>$</w:t>
            </w:r>
          </w:p>
        </w:tc>
        <w:tc>
          <w:tcPr>
            <w:tcW w:w="1160" w:type="dxa"/>
            <w:vAlign w:val="bottom"/>
            <w:tcBorders>
              <w:bottom w:val="single" w:sz="8" w:color="auto"/>
            </w:tcBorders>
          </w:tcPr>
          <w:p>
            <w:pPr>
              <w:jc w:val="right"/>
              <w:ind w:right="30"/>
              <w:spacing w:after="0" w:line="196" w:lineRule="exact"/>
              <w:rPr>
                <w:sz w:val="20"/>
                <w:szCs w:val="20"/>
                <w:color w:val="auto"/>
              </w:rPr>
            </w:pPr>
            <w:r>
              <w:rPr>
                <w:rFonts w:ascii="Arial" w:cs="Arial" w:eastAsia="Arial" w:hAnsi="Arial"/>
                <w:sz w:val="18"/>
                <w:szCs w:val="18"/>
                <w:color w:val="auto"/>
              </w:rPr>
              <w:t>0.6</w:t>
            </w:r>
          </w:p>
        </w:tc>
      </w:tr>
      <w:tr>
        <w:trPr>
          <w:trHeight w:val="412"/>
        </w:trPr>
        <w:tc>
          <w:tcPr>
            <w:tcW w:w="3960" w:type="dxa"/>
            <w:vAlign w:val="bottom"/>
          </w:tcPr>
          <w:p>
            <w:pPr>
              <w:spacing w:after="0"/>
              <w:rPr>
                <w:sz w:val="24"/>
                <w:szCs w:val="24"/>
                <w:color w:val="auto"/>
              </w:rPr>
            </w:pPr>
          </w:p>
        </w:tc>
        <w:tc>
          <w:tcPr>
            <w:tcW w:w="6120" w:type="dxa"/>
            <w:vAlign w:val="bottom"/>
          </w:tcPr>
          <w:p>
            <w:pPr>
              <w:jc w:val="right"/>
              <w:ind w:right="4330"/>
              <w:spacing w:after="0"/>
              <w:rPr>
                <w:sz w:val="20"/>
                <w:szCs w:val="20"/>
                <w:color w:val="auto"/>
              </w:rPr>
            </w:pPr>
            <w:r>
              <w:rPr>
                <w:rFonts w:ascii="Arial" w:cs="Arial" w:eastAsia="Arial" w:hAnsi="Arial"/>
                <w:sz w:val="18"/>
                <w:szCs w:val="18"/>
                <w:color w:val="auto"/>
              </w:rPr>
              <w:t>9</w:t>
            </w:r>
          </w:p>
        </w:tc>
        <w:tc>
          <w:tcPr>
            <w:tcW w:w="1160" w:type="dxa"/>
            <w:vAlign w:val="bottom"/>
          </w:tcPr>
          <w:p>
            <w:pPr>
              <w:spacing w:after="0"/>
              <w:rPr>
                <w:sz w:val="24"/>
                <w:szCs w:val="24"/>
                <w:color w:val="auto"/>
              </w:rPr>
            </w:pPr>
          </w:p>
        </w:tc>
      </w:tr>
      <w:tr>
        <w:trPr>
          <w:trHeight w:val="533"/>
        </w:trPr>
        <w:tc>
          <w:tcPr>
            <w:tcW w:w="3960" w:type="dxa"/>
            <w:vAlign w:val="bottom"/>
            <w:tcBorders>
              <w:bottom w:val="single" w:sz="8" w:color="9A9A9A"/>
            </w:tcBorders>
          </w:tcPr>
          <w:p>
            <w:pPr>
              <w:spacing w:after="0"/>
              <w:rPr>
                <w:sz w:val="24"/>
                <w:szCs w:val="24"/>
                <w:color w:val="auto"/>
              </w:rPr>
            </w:pPr>
          </w:p>
        </w:tc>
        <w:tc>
          <w:tcPr>
            <w:tcW w:w="6120" w:type="dxa"/>
            <w:vAlign w:val="bottom"/>
            <w:tcBorders>
              <w:bottom w:val="single" w:sz="8" w:color="9A9A9A"/>
            </w:tcBorders>
          </w:tcPr>
          <w:p>
            <w:pPr>
              <w:spacing w:after="0"/>
              <w:rPr>
                <w:sz w:val="24"/>
                <w:szCs w:val="24"/>
                <w:color w:val="auto"/>
              </w:rPr>
            </w:pPr>
          </w:p>
        </w:tc>
        <w:tc>
          <w:tcPr>
            <w:tcW w:w="116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9" w:name="page10"/>
    <w:bookmarkEnd w:id="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810895" cy="8255"/>
                    </a:xfrm>
                    <a:prstGeom prst="rect">
                      <a:avLst/>
                    </a:prstGeom>
                    <a:noFill/>
                  </pic:spPr>
                </pic:pic>
              </a:graphicData>
            </a:graphic>
          </wp:anchor>
        </w:drawing>
      </w:r>
    </w:p>
    <w:p>
      <w:pPr>
        <w:spacing w:after="0" w:line="3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 Disposition of Non-Core Assets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TimkenSteel Material Services Facility</w:t>
      </w:r>
    </w:p>
    <w:p>
      <w:pPr>
        <w:spacing w:after="0" w:line="171" w:lineRule="exact"/>
        <w:rPr>
          <w:sz w:val="20"/>
          <w:szCs w:val="20"/>
          <w:color w:val="auto"/>
        </w:rPr>
      </w:pPr>
    </w:p>
    <w:p>
      <w:pPr>
        <w:jc w:val="both"/>
        <w:ind w:right="280"/>
        <w:spacing w:after="0" w:line="261" w:lineRule="auto"/>
        <w:rPr>
          <w:sz w:val="20"/>
          <w:szCs w:val="20"/>
          <w:color w:val="auto"/>
        </w:rPr>
      </w:pPr>
      <w:r>
        <w:rPr>
          <w:rFonts w:ascii="Arial" w:cs="Arial" w:eastAsia="Arial" w:hAnsi="Arial"/>
          <w:sz w:val="18"/>
          <w:szCs w:val="18"/>
          <w:color w:val="auto"/>
        </w:rPr>
        <w:t>During the first quarter of 2020, management completed its previously announced plan to close the Company’s TimkenSteel Material Services (“TMS”) facility in Houston and began selling the assets at the facility.</w:t>
      </w:r>
    </w:p>
    <w:p>
      <w:pPr>
        <w:spacing w:after="0" w:line="130" w:lineRule="exact"/>
        <w:rPr>
          <w:sz w:val="20"/>
          <w:szCs w:val="20"/>
          <w:color w:val="auto"/>
        </w:rPr>
      </w:pPr>
    </w:p>
    <w:p>
      <w:pPr>
        <w:ind w:right="140"/>
        <w:spacing w:after="0" w:line="261" w:lineRule="auto"/>
        <w:rPr>
          <w:sz w:val="20"/>
          <w:szCs w:val="20"/>
          <w:color w:val="auto"/>
        </w:rPr>
      </w:pPr>
      <w:r>
        <w:rPr>
          <w:rFonts w:ascii="Arial" w:cs="Arial" w:eastAsia="Arial" w:hAnsi="Arial"/>
          <w:sz w:val="18"/>
          <w:szCs w:val="18"/>
          <w:color w:val="auto"/>
        </w:rPr>
        <w:t>During the first quarter of 2021, the remaining associated machinery and equipment that was classified as held for sale was fully impaired as there was no longer an expected market value for these assets. This resulted in impairment charges of $0.3 million.</w:t>
      </w:r>
    </w:p>
    <w:p>
      <w:pPr>
        <w:spacing w:after="0" w:line="130" w:lineRule="exact"/>
        <w:rPr>
          <w:sz w:val="20"/>
          <w:szCs w:val="20"/>
          <w:color w:val="auto"/>
        </w:rPr>
      </w:pPr>
    </w:p>
    <w:p>
      <w:pPr>
        <w:spacing w:after="0" w:line="261" w:lineRule="auto"/>
        <w:rPr>
          <w:sz w:val="20"/>
          <w:szCs w:val="20"/>
          <w:color w:val="auto"/>
        </w:rPr>
      </w:pPr>
      <w:r>
        <w:rPr>
          <w:rFonts w:ascii="Arial" w:cs="Arial" w:eastAsia="Arial" w:hAnsi="Arial"/>
          <w:sz w:val="18"/>
          <w:szCs w:val="18"/>
          <w:color w:val="auto"/>
        </w:rPr>
        <w:t>The remaining $4.3 million of land and buildings associated with TMS are classified as assets held for sale on the Consolidated Balance Sheets as of March 31, 2022 and December 31, 2021, as it is probable that these assets will be sold within the next 12 months.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Small-Diameter Seamless Mechanical Tubing Machinery and Equipment</w:t>
      </w:r>
    </w:p>
    <w:p>
      <w:pPr>
        <w:spacing w:after="0" w:line="171" w:lineRule="exact"/>
        <w:rPr>
          <w:sz w:val="20"/>
          <w:szCs w:val="20"/>
          <w:color w:val="auto"/>
        </w:rPr>
      </w:pPr>
    </w:p>
    <w:p>
      <w:pPr>
        <w:jc w:val="both"/>
        <w:ind w:right="280"/>
        <w:spacing w:after="0" w:line="262" w:lineRule="auto"/>
        <w:rPr>
          <w:sz w:val="20"/>
          <w:szCs w:val="20"/>
          <w:color w:val="auto"/>
        </w:rPr>
      </w:pPr>
      <w:r>
        <w:rPr>
          <w:rFonts w:ascii="Arial" w:cs="Arial" w:eastAsia="Arial" w:hAnsi="Arial"/>
          <w:sz w:val="17"/>
          <w:szCs w:val="17"/>
          <w:color w:val="auto"/>
        </w:rPr>
        <w:t>In the third quarter of 2020, TimkenSteel informed customers that as of December 31, 2020 the Company would discontinue the commercial offering of specific small-diameter seamless mechanical tubing products. As a result, accelerated depreciation of $1.5 million was recognized in the first quarter of 2021 in alignment with the ramp down of this machinery and equipment. Spare parts related to this machinery and equipment of $0.5 million were also written down in the first quarter of 2021, as management determined there was no alternative use.</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Harrison Melt and Casting Assets</w:t>
      </w:r>
    </w:p>
    <w:p>
      <w:pPr>
        <w:spacing w:after="0" w:line="171" w:lineRule="exact"/>
        <w:rPr>
          <w:sz w:val="20"/>
          <w:szCs w:val="20"/>
          <w:color w:val="auto"/>
        </w:rPr>
      </w:pPr>
    </w:p>
    <w:p>
      <w:pPr>
        <w:ind w:right="180"/>
        <w:spacing w:after="0" w:line="243" w:lineRule="auto"/>
        <w:rPr>
          <w:sz w:val="20"/>
          <w:szCs w:val="20"/>
          <w:color w:val="auto"/>
        </w:rPr>
      </w:pPr>
      <w:r>
        <w:rPr>
          <w:rFonts w:ascii="Arial" w:cs="Arial" w:eastAsia="Arial" w:hAnsi="Arial"/>
          <w:sz w:val="18"/>
          <w:szCs w:val="18"/>
          <w:color w:val="auto"/>
        </w:rPr>
        <w:t>On February 16, 2021, management announced a plan to indefinitely idle its Harrison melt and casting assets, which was completed in the first quarter of 2021. All of the Company’s melt and casting activities now take place at the Faircrest location. The Company worked collaboratively with employees, suppliers and a number of customers to ensure a well-organized and efficient transition. The Company’s rolling and finishing operations at Harrison were not impacted by this action.</w:t>
      </w:r>
    </w:p>
    <w:p>
      <w:pPr>
        <w:spacing w:after="0" w:line="147" w:lineRule="exact"/>
        <w:rPr>
          <w:sz w:val="20"/>
          <w:szCs w:val="20"/>
          <w:color w:val="auto"/>
        </w:rPr>
      </w:pPr>
    </w:p>
    <w:p>
      <w:pPr>
        <w:ind w:right="140"/>
        <w:spacing w:after="0" w:line="241" w:lineRule="auto"/>
        <w:rPr>
          <w:sz w:val="20"/>
          <w:szCs w:val="20"/>
          <w:color w:val="auto"/>
        </w:rPr>
      </w:pPr>
      <w:r>
        <w:rPr>
          <w:rFonts w:ascii="Arial" w:cs="Arial" w:eastAsia="Arial" w:hAnsi="Arial"/>
          <w:sz w:val="18"/>
          <w:szCs w:val="18"/>
          <w:color w:val="auto"/>
        </w:rPr>
        <w:t>The Company recognized non-cash charges of $9.5 million related to the write-down of the associated Harrison melt and casting assets in the first quarter of 2021. These charges include $7.9 million related to the impairment of the associated machinery and equipment, which is classified as impairment charges on the Consolidated Statements of Operations, as well as a write-down of spare parts of $1.6 million, which is included in cost of products sold in the Consolidated Statements of Operations, as management determined there was no alternative use. The Company did not incur any cash expenditures related to these charges.</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TimkenSteel (Shanghai) Corporation Limited</w:t>
      </w:r>
    </w:p>
    <w:p>
      <w:pPr>
        <w:spacing w:after="0" w:line="171" w:lineRule="exact"/>
        <w:rPr>
          <w:sz w:val="20"/>
          <w:szCs w:val="20"/>
          <w:color w:val="auto"/>
        </w:rPr>
      </w:pPr>
    </w:p>
    <w:p>
      <w:pPr>
        <w:ind w:right="60"/>
        <w:spacing w:after="0" w:line="241" w:lineRule="auto"/>
        <w:rPr>
          <w:sz w:val="20"/>
          <w:szCs w:val="20"/>
          <w:color w:val="auto"/>
        </w:rPr>
      </w:pPr>
      <w:r>
        <w:rPr>
          <w:rFonts w:ascii="Arial" w:cs="Arial" w:eastAsia="Arial" w:hAnsi="Arial"/>
          <w:sz w:val="18"/>
          <w:szCs w:val="18"/>
          <w:color w:val="auto"/>
        </w:rPr>
        <w:t>On March 31, 2021, the Company entered into an agreement pursuant to which Daido Steel (Shanghai) Co., Ltd. agreed to acquire all of the Company’s ownership interest in TimkenSteel (Shanghai) Corporation Limited in an all-cash transaction. The sale closed on July 30, 2021 and net cash proceeds of $6.2 million were received in the third quarter of 2021. As a result of this transaction, a loss on sale of consolidated subsidiary of $1.1 million was recognized on the Consolidated Statements of Operations during the third quarter of 2021. TimkenSteel’s consolidated financial statements include activity for TimkenSteel (Shanghai) Corporation Limited through July 30, 2021.</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 Other (Income) Expense, net</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the components of other (income) expense, net for the three months ended March 31, 2022 and 2021:</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6080" w:type="dxa"/>
            <w:vAlign w:val="bottom"/>
          </w:tcPr>
          <w:p>
            <w:pPr>
              <w:spacing w:after="0"/>
              <w:rPr>
                <w:sz w:val="18"/>
                <w:szCs w:val="18"/>
                <w:color w:val="auto"/>
              </w:rPr>
            </w:pPr>
          </w:p>
        </w:tc>
        <w:tc>
          <w:tcPr>
            <w:tcW w:w="4680" w:type="dxa"/>
            <w:vAlign w:val="bottom"/>
            <w:gridSpan w:val="3"/>
          </w:tcPr>
          <w:p>
            <w:pPr>
              <w:jc w:val="right"/>
              <w:spacing w:after="0"/>
              <w:rPr>
                <w:sz w:val="20"/>
                <w:szCs w:val="20"/>
                <w:color w:val="auto"/>
              </w:rPr>
            </w:pPr>
            <w:r>
              <w:rPr>
                <w:rFonts w:ascii="Arial" w:cs="Arial" w:eastAsia="Arial" w:hAnsi="Arial"/>
                <w:sz w:val="18"/>
                <w:szCs w:val="18"/>
                <w:b w:val="1"/>
                <w:bCs w:val="1"/>
                <w:color w:val="auto"/>
              </w:rPr>
              <w:t>Three Months Ended March 31,</w:t>
            </w:r>
          </w:p>
        </w:tc>
        <w:tc>
          <w:tcPr>
            <w:tcW w:w="480" w:type="dxa"/>
            <w:vAlign w:val="bottom"/>
          </w:tcPr>
          <w:p>
            <w:pPr>
              <w:spacing w:after="0"/>
              <w:rPr>
                <w:sz w:val="18"/>
                <w:szCs w:val="18"/>
                <w:color w:val="auto"/>
              </w:rPr>
            </w:pPr>
          </w:p>
        </w:tc>
      </w:tr>
      <w:tr>
        <w:trPr>
          <w:trHeight w:val="221"/>
        </w:trPr>
        <w:tc>
          <w:tcPr>
            <w:tcW w:w="6080" w:type="dxa"/>
            <w:vAlign w:val="bottom"/>
            <w:tcBorders>
              <w:bottom w:val="single" w:sz="8" w:color="auto"/>
            </w:tcBorders>
          </w:tcPr>
          <w:p>
            <w:pPr>
              <w:spacing w:after="0"/>
              <w:rPr>
                <w:sz w:val="19"/>
                <w:szCs w:val="19"/>
                <w:color w:val="auto"/>
              </w:rPr>
            </w:pPr>
          </w:p>
        </w:tc>
        <w:tc>
          <w:tcPr>
            <w:tcW w:w="27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2022</w:t>
            </w:r>
          </w:p>
        </w:tc>
        <w:tc>
          <w:tcPr>
            <w:tcW w:w="66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2021</w:t>
            </w:r>
          </w:p>
        </w:tc>
        <w:tc>
          <w:tcPr>
            <w:tcW w:w="480" w:type="dxa"/>
            <w:vAlign w:val="bottom"/>
            <w:tcBorders>
              <w:bottom w:val="single" w:sz="8" w:color="auto"/>
            </w:tcBorders>
          </w:tcPr>
          <w:p>
            <w:pPr>
              <w:spacing w:after="0"/>
              <w:rPr>
                <w:sz w:val="19"/>
                <w:szCs w:val="19"/>
                <w:color w:val="auto"/>
              </w:rPr>
            </w:pPr>
          </w:p>
        </w:tc>
      </w:tr>
      <w:tr>
        <w:trPr>
          <w:trHeight w:val="196"/>
        </w:trPr>
        <w:tc>
          <w:tcPr>
            <w:tcW w:w="608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Pension and postretirement non-service benefit (income) loss</w:t>
            </w:r>
          </w:p>
        </w:tc>
        <w:tc>
          <w:tcPr>
            <w:tcW w:w="2740" w:type="dxa"/>
            <w:vAlign w:val="bottom"/>
            <w:shd w:val="clear" w:color="auto" w:fill="CFF0FC"/>
          </w:tcPr>
          <w:p>
            <w:pPr>
              <w:jc w:val="right"/>
              <w:ind w:right="890"/>
              <w:spacing w:after="0" w:line="196" w:lineRule="exact"/>
              <w:rPr>
                <w:sz w:val="20"/>
                <w:szCs w:val="20"/>
                <w:color w:val="auto"/>
              </w:rPr>
            </w:pPr>
            <w:r>
              <w:rPr>
                <w:rFonts w:ascii="Arial" w:cs="Arial" w:eastAsia="Arial" w:hAnsi="Arial"/>
                <w:sz w:val="18"/>
                <w:szCs w:val="18"/>
                <w:b w:val="1"/>
                <w:bCs w:val="1"/>
                <w:color w:val="auto"/>
              </w:rPr>
              <w:t>$</w:t>
            </w:r>
          </w:p>
        </w:tc>
        <w:tc>
          <w:tcPr>
            <w:tcW w:w="66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b w:val="1"/>
                <w:bCs w:val="1"/>
                <w:color w:val="auto"/>
              </w:rPr>
              <w:t>(8.7 )</w:t>
            </w:r>
          </w:p>
        </w:tc>
        <w:tc>
          <w:tcPr>
            <w:tcW w:w="1280" w:type="dxa"/>
            <w:vAlign w:val="bottom"/>
            <w:shd w:val="clear" w:color="auto" w:fill="CFF0FC"/>
          </w:tcPr>
          <w:p>
            <w:pPr>
              <w:jc w:val="right"/>
              <w:ind w:right="1010"/>
              <w:spacing w:after="0" w:line="196" w:lineRule="exact"/>
              <w:rPr>
                <w:sz w:val="20"/>
                <w:szCs w:val="20"/>
                <w:color w:val="auto"/>
              </w:rPr>
            </w:pPr>
            <w:r>
              <w:rPr>
                <w:rFonts w:ascii="Arial" w:cs="Arial" w:eastAsia="Arial" w:hAnsi="Arial"/>
                <w:sz w:val="18"/>
                <w:szCs w:val="18"/>
                <w:color w:val="auto"/>
              </w:rPr>
              <w:t>$</w:t>
            </w:r>
          </w:p>
        </w:tc>
        <w:tc>
          <w:tcPr>
            <w:tcW w:w="48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(9.6 )</w:t>
            </w:r>
          </w:p>
        </w:tc>
      </w:tr>
      <w:tr>
        <w:trPr>
          <w:trHeight w:val="203"/>
        </w:trPr>
        <w:tc>
          <w:tcPr>
            <w:tcW w:w="6080" w:type="dxa"/>
            <w:vAlign w:val="bottom"/>
            <w:tcBorders>
              <w:bottom w:val="single" w:sz="8" w:color="auto"/>
            </w:tcBorders>
          </w:tcPr>
          <w:p>
            <w:pPr>
              <w:ind w:left="20"/>
              <w:spacing w:after="0" w:line="202" w:lineRule="exact"/>
              <w:rPr>
                <w:sz w:val="20"/>
                <w:szCs w:val="20"/>
                <w:color w:val="auto"/>
              </w:rPr>
            </w:pPr>
            <w:r>
              <w:rPr>
                <w:rFonts w:ascii="Arial" w:cs="Arial" w:eastAsia="Arial" w:hAnsi="Arial"/>
                <w:sz w:val="18"/>
                <w:szCs w:val="18"/>
                <w:color w:val="auto"/>
              </w:rPr>
              <w:t>Loss (gain) from remeasurement of benefit plans</w:t>
            </w:r>
          </w:p>
        </w:tc>
        <w:tc>
          <w:tcPr>
            <w:tcW w:w="274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b w:val="1"/>
                <w:bCs w:val="1"/>
                <w:color w:val="auto"/>
              </w:rPr>
              <w:t>(6.5 )</w:t>
            </w:r>
          </w:p>
        </w:tc>
        <w:tc>
          <w:tcPr>
            <w:tcW w:w="128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color w:val="auto"/>
              </w:rPr>
              <w:t>0.2</w:t>
            </w:r>
          </w:p>
        </w:tc>
      </w:tr>
      <w:tr>
        <w:trPr>
          <w:trHeight w:val="183"/>
        </w:trPr>
        <w:tc>
          <w:tcPr>
            <w:tcW w:w="6080" w:type="dxa"/>
            <w:vAlign w:val="bottom"/>
            <w:tcBorders>
              <w:bottom w:val="single" w:sz="8" w:color="auto"/>
            </w:tcBorders>
            <w:shd w:val="clear" w:color="auto" w:fill="CFF0FC"/>
          </w:tcPr>
          <w:p>
            <w:pPr>
              <w:ind w:left="20"/>
              <w:spacing w:after="0" w:line="182" w:lineRule="exact"/>
              <w:rPr>
                <w:sz w:val="20"/>
                <w:szCs w:val="20"/>
                <w:color w:val="auto"/>
              </w:rPr>
            </w:pPr>
            <w:r>
              <w:rPr>
                <w:rFonts w:ascii="Arial" w:cs="Arial" w:eastAsia="Arial" w:hAnsi="Arial"/>
                <w:sz w:val="18"/>
                <w:szCs w:val="18"/>
                <w:b w:val="1"/>
                <w:bCs w:val="1"/>
                <w:color w:val="auto"/>
              </w:rPr>
              <w:t>Total other (income) expense, net</w:t>
            </w:r>
          </w:p>
        </w:tc>
        <w:tc>
          <w:tcPr>
            <w:tcW w:w="2740" w:type="dxa"/>
            <w:vAlign w:val="bottom"/>
            <w:tcBorders>
              <w:bottom w:val="single" w:sz="8" w:color="auto"/>
            </w:tcBorders>
            <w:shd w:val="clear" w:color="auto" w:fill="CFF0FC"/>
          </w:tcPr>
          <w:p>
            <w:pPr>
              <w:jc w:val="right"/>
              <w:ind w:right="890"/>
              <w:spacing w:after="0" w:line="182" w:lineRule="exact"/>
              <w:rPr>
                <w:sz w:val="20"/>
                <w:szCs w:val="20"/>
                <w:color w:val="auto"/>
              </w:rPr>
            </w:pPr>
            <w:r>
              <w:rPr>
                <w:rFonts w:ascii="Arial" w:cs="Arial" w:eastAsia="Arial" w:hAnsi="Arial"/>
                <w:sz w:val="18"/>
                <w:szCs w:val="18"/>
                <w:b w:val="1"/>
                <w:bCs w:val="1"/>
                <w:color w:val="auto"/>
              </w:rPr>
              <w:t>$</w:t>
            </w:r>
          </w:p>
        </w:tc>
        <w:tc>
          <w:tcPr>
            <w:tcW w:w="660" w:type="dxa"/>
            <w:vAlign w:val="bottom"/>
            <w:tcBorders>
              <w:bottom w:val="single" w:sz="8" w:color="auto"/>
            </w:tcBorders>
            <w:shd w:val="clear" w:color="auto" w:fill="CFF0FC"/>
          </w:tcPr>
          <w:p>
            <w:pPr>
              <w:jc w:val="right"/>
              <w:ind w:right="10"/>
              <w:spacing w:after="0" w:line="182" w:lineRule="exact"/>
              <w:rPr>
                <w:sz w:val="20"/>
                <w:szCs w:val="20"/>
                <w:color w:val="auto"/>
              </w:rPr>
            </w:pPr>
            <w:r>
              <w:rPr>
                <w:rFonts w:ascii="Arial" w:cs="Arial" w:eastAsia="Arial" w:hAnsi="Arial"/>
                <w:sz w:val="18"/>
                <w:szCs w:val="18"/>
                <w:b w:val="1"/>
                <w:bCs w:val="1"/>
                <w:color w:val="auto"/>
              </w:rPr>
              <w:t>(15.2 )</w:t>
            </w:r>
          </w:p>
        </w:tc>
        <w:tc>
          <w:tcPr>
            <w:tcW w:w="1280" w:type="dxa"/>
            <w:vAlign w:val="bottom"/>
            <w:tcBorders>
              <w:bottom w:val="single" w:sz="8" w:color="auto"/>
            </w:tcBorders>
            <w:shd w:val="clear" w:color="auto" w:fill="CFF0FC"/>
          </w:tcPr>
          <w:p>
            <w:pPr>
              <w:jc w:val="right"/>
              <w:ind w:right="1010"/>
              <w:spacing w:after="0" w:line="182" w:lineRule="exact"/>
              <w:rPr>
                <w:sz w:val="20"/>
                <w:szCs w:val="20"/>
                <w:color w:val="auto"/>
              </w:rPr>
            </w:pPr>
            <w:r>
              <w:rPr>
                <w:rFonts w:ascii="Arial" w:cs="Arial" w:eastAsia="Arial" w:hAnsi="Arial"/>
                <w:sz w:val="18"/>
                <w:szCs w:val="18"/>
                <w:color w:val="auto"/>
              </w:rPr>
              <w:t>$</w:t>
            </w:r>
          </w:p>
        </w:tc>
        <w:tc>
          <w:tcPr>
            <w:tcW w:w="480" w:type="dxa"/>
            <w:vAlign w:val="bottom"/>
            <w:tcBorders>
              <w:bottom w:val="single" w:sz="8" w:color="auto"/>
            </w:tcBorders>
            <w:shd w:val="clear" w:color="auto" w:fill="CFF0FC"/>
          </w:tcPr>
          <w:p>
            <w:pPr>
              <w:jc w:val="right"/>
              <w:spacing w:after="0" w:line="182" w:lineRule="exact"/>
              <w:rPr>
                <w:sz w:val="20"/>
                <w:szCs w:val="20"/>
                <w:color w:val="auto"/>
              </w:rPr>
            </w:pPr>
            <w:r>
              <w:rPr>
                <w:rFonts w:ascii="Arial" w:cs="Arial" w:eastAsia="Arial" w:hAnsi="Arial"/>
                <w:sz w:val="18"/>
                <w:szCs w:val="18"/>
                <w:color w:val="auto"/>
              </w:rPr>
              <w:t>(9.4 )</w:t>
            </w:r>
          </w:p>
        </w:tc>
      </w:tr>
    </w:tbl>
    <w:p>
      <w:pPr>
        <w:spacing w:after="0" w:line="161" w:lineRule="exact"/>
        <w:rPr>
          <w:sz w:val="20"/>
          <w:szCs w:val="20"/>
          <w:color w:val="auto"/>
        </w:rPr>
      </w:pPr>
    </w:p>
    <w:p>
      <w:pPr>
        <w:ind w:right="760"/>
        <w:spacing w:after="0" w:line="261" w:lineRule="auto"/>
        <w:rPr>
          <w:sz w:val="20"/>
          <w:szCs w:val="20"/>
          <w:color w:val="auto"/>
        </w:rPr>
      </w:pPr>
      <w:r>
        <w:rPr>
          <w:rFonts w:ascii="Arial" w:cs="Arial" w:eastAsia="Arial" w:hAnsi="Arial"/>
          <w:sz w:val="18"/>
          <w:szCs w:val="18"/>
          <w:color w:val="auto"/>
        </w:rPr>
        <w:t>Non-service related pension and other postretirement benefit income, for all years, consists of the interest cost, expected return on plan assets and amortization components of net periodic cost.</w:t>
      </w:r>
    </w:p>
    <w:p>
      <w:pPr>
        <w:spacing w:after="0" w:line="130" w:lineRule="exact"/>
        <w:rPr>
          <w:sz w:val="20"/>
          <w:szCs w:val="20"/>
          <w:color w:val="auto"/>
        </w:rPr>
      </w:pPr>
    </w:p>
    <w:p>
      <w:pPr>
        <w:ind w:right="280"/>
        <w:spacing w:after="0" w:line="261" w:lineRule="auto"/>
        <w:rPr>
          <w:sz w:val="20"/>
          <w:szCs w:val="20"/>
          <w:color w:val="auto"/>
        </w:rPr>
      </w:pPr>
      <w:r>
        <w:rPr>
          <w:rFonts w:ascii="Arial" w:cs="Arial" w:eastAsia="Arial" w:hAnsi="Arial"/>
          <w:sz w:val="18"/>
          <w:szCs w:val="18"/>
          <w:color w:val="auto"/>
        </w:rPr>
        <w:t>The Supplemental Pension Plan of TimkenSteel Corporation ("Supplemental Plan") and the TimkenSteel Corporation Retirement Plan (“Salaried Plan”) have a provision that permits employees to elect to receive their pension benefits in a lump sum upon retirement. In the</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327660</wp:posOffset>
            </wp:positionV>
            <wp:extent cx="7157720"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0" w:name="page11"/>
    <w:bookmarkEnd w:id="1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810895" cy="8255"/>
                    </a:xfrm>
                    <a:prstGeom prst="rect">
                      <a:avLst/>
                    </a:prstGeom>
                    <a:noFill/>
                  </pic:spPr>
                </pic:pic>
              </a:graphicData>
            </a:graphic>
          </wp:anchor>
        </w:drawing>
      </w:r>
    </w:p>
    <w:p>
      <w:pPr>
        <w:spacing w:after="0" w:line="367" w:lineRule="exact"/>
        <w:rPr>
          <w:sz w:val="20"/>
          <w:szCs w:val="20"/>
          <w:color w:val="auto"/>
        </w:rPr>
      </w:pPr>
    </w:p>
    <w:p>
      <w:pPr>
        <w:ind w:right="100"/>
        <w:spacing w:after="0" w:line="241" w:lineRule="auto"/>
        <w:rPr>
          <w:sz w:val="20"/>
          <w:szCs w:val="20"/>
          <w:color w:val="auto"/>
        </w:rPr>
      </w:pPr>
      <w:r>
        <w:rPr>
          <w:rFonts w:ascii="Arial" w:cs="Arial" w:eastAsia="Arial" w:hAnsi="Arial"/>
          <w:sz w:val="18"/>
          <w:szCs w:val="18"/>
          <w:color w:val="auto"/>
        </w:rPr>
        <w:t>first quarter of 2022, the cumulative cost of all lump sum payments exceeded the sum of the service cost and interest cost components of net periodic pension cost for the Supplemental Plan. Additionally, the cumulative costs of all lump sum payments were projected to exceed the sum of the service costs and interest cost components of net periodic pension cost in 2022 for the Salaried Plan. As a result, the Company completed a full remeasurement of its pension obligations and plan assets associated with the Supplemental Plan and Salaried Plan during the first quarter of 2022, and is required to complete a full remeasurement of both plans each quarter for the remainder of 2022.</w:t>
      </w:r>
    </w:p>
    <w:p>
      <w:pPr>
        <w:spacing w:after="0" w:line="149" w:lineRule="exact"/>
        <w:rPr>
          <w:sz w:val="20"/>
          <w:szCs w:val="20"/>
          <w:color w:val="auto"/>
        </w:rPr>
      </w:pPr>
    </w:p>
    <w:p>
      <w:pPr>
        <w:ind w:right="120"/>
        <w:spacing w:after="0" w:line="248" w:lineRule="auto"/>
        <w:rPr>
          <w:sz w:val="20"/>
          <w:szCs w:val="20"/>
          <w:color w:val="auto"/>
        </w:rPr>
      </w:pPr>
      <w:r>
        <w:rPr>
          <w:rFonts w:ascii="Arial" w:cs="Arial" w:eastAsia="Arial" w:hAnsi="Arial"/>
          <w:sz w:val="18"/>
          <w:szCs w:val="18"/>
          <w:color w:val="auto"/>
        </w:rPr>
        <w:t>A total gain of $6.5 million from the remeasurement of these benefit plans was recognized in the first quarter of 2022. This gain was primarily driven by a $25.6 million decrease in the liability due to the change in discount rate during the first quarter of 2022, partially offset by $19.1 million of investment losses on plan assets.</w:t>
      </w:r>
    </w:p>
    <w:p>
      <w:pPr>
        <w:spacing w:after="0" w:line="141" w:lineRule="exact"/>
        <w:rPr>
          <w:sz w:val="20"/>
          <w:szCs w:val="20"/>
          <w:color w:val="auto"/>
        </w:rPr>
      </w:pPr>
    </w:p>
    <w:p>
      <w:pPr>
        <w:ind w:right="120"/>
        <w:spacing w:after="0" w:line="261" w:lineRule="auto"/>
        <w:rPr>
          <w:sz w:val="20"/>
          <w:szCs w:val="20"/>
          <w:color w:val="auto"/>
        </w:rPr>
      </w:pPr>
      <w:r>
        <w:rPr>
          <w:rFonts w:ascii="Arial" w:cs="Arial" w:eastAsia="Arial" w:hAnsi="Arial"/>
          <w:sz w:val="18"/>
          <w:szCs w:val="18"/>
          <w:color w:val="auto"/>
        </w:rPr>
        <w:t>A full remeasurement of the pension obligations and plan assets associated with the Salaried Plan was also required during each quarter of 2021. For more details on the remeasurement refer to “Note 11 - Retirement and Postretirement Plans.”</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 Income Tax Provision</w:t>
      </w:r>
    </w:p>
    <w:p>
      <w:pPr>
        <w:spacing w:after="0" w:line="175" w:lineRule="exact"/>
        <w:rPr>
          <w:sz w:val="20"/>
          <w:szCs w:val="20"/>
          <w:color w:val="auto"/>
        </w:rPr>
      </w:pPr>
    </w:p>
    <w:p>
      <w:pPr>
        <w:ind w:right="100"/>
        <w:spacing w:after="0" w:line="248" w:lineRule="auto"/>
        <w:rPr>
          <w:sz w:val="20"/>
          <w:szCs w:val="20"/>
          <w:color w:val="auto"/>
        </w:rPr>
      </w:pPr>
      <w:r>
        <w:rPr>
          <w:rFonts w:ascii="Arial" w:cs="Arial" w:eastAsia="Arial" w:hAnsi="Arial"/>
          <w:sz w:val="18"/>
          <w:szCs w:val="18"/>
          <w:color w:val="auto"/>
        </w:rPr>
        <w:t>TimkenSteel’s provision for income taxes in interim periods is computed by applying the appropriate estimated annual effective tax rates to income or loss before income taxes for the period. In addition, non-recurring or discrete items, including interest on prior-year tax liabilities, are recorded during the periods in which they occur.</w:t>
      </w:r>
    </w:p>
    <w:p>
      <w:pPr>
        <w:spacing w:after="0" w:line="133"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100" w:type="dxa"/>
            <w:vAlign w:val="bottom"/>
          </w:tcPr>
          <w:p>
            <w:pPr>
              <w:spacing w:after="0"/>
              <w:rPr>
                <w:sz w:val="17"/>
                <w:szCs w:val="17"/>
                <w:color w:val="auto"/>
              </w:rPr>
            </w:pPr>
          </w:p>
        </w:tc>
        <w:tc>
          <w:tcPr>
            <w:tcW w:w="5500" w:type="dxa"/>
            <w:vAlign w:val="bottom"/>
            <w:gridSpan w:val="3"/>
          </w:tcPr>
          <w:p>
            <w:pPr>
              <w:jc w:val="right"/>
              <w:ind w:right="50"/>
              <w:spacing w:after="0"/>
              <w:rPr>
                <w:sz w:val="20"/>
                <w:szCs w:val="20"/>
                <w:color w:val="auto"/>
              </w:rPr>
            </w:pPr>
            <w:r>
              <w:rPr>
                <w:rFonts w:ascii="Arial" w:cs="Arial" w:eastAsia="Arial" w:hAnsi="Arial"/>
                <w:sz w:val="18"/>
                <w:szCs w:val="18"/>
                <w:b w:val="1"/>
                <w:bCs w:val="1"/>
                <w:color w:val="auto"/>
              </w:rPr>
              <w:t>Three Months Ended March 31,</w:t>
            </w:r>
          </w:p>
        </w:tc>
        <w:tc>
          <w:tcPr>
            <w:tcW w:w="640" w:type="dxa"/>
            <w:vAlign w:val="bottom"/>
          </w:tcPr>
          <w:p>
            <w:pPr>
              <w:spacing w:after="0"/>
              <w:rPr>
                <w:sz w:val="17"/>
                <w:szCs w:val="17"/>
                <w:color w:val="auto"/>
              </w:rPr>
            </w:pPr>
          </w:p>
        </w:tc>
      </w:tr>
      <w:tr>
        <w:trPr>
          <w:trHeight w:val="221"/>
        </w:trPr>
        <w:tc>
          <w:tcPr>
            <w:tcW w:w="5100" w:type="dxa"/>
            <w:vAlign w:val="bottom"/>
            <w:tcBorders>
              <w:bottom w:val="single" w:sz="8" w:color="auto"/>
            </w:tcBorders>
          </w:tcPr>
          <w:p>
            <w:pPr>
              <w:spacing w:after="0"/>
              <w:rPr>
                <w:sz w:val="19"/>
                <w:szCs w:val="19"/>
                <w:color w:val="auto"/>
              </w:rPr>
            </w:pPr>
          </w:p>
        </w:tc>
        <w:tc>
          <w:tcPr>
            <w:tcW w:w="33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2022</w:t>
            </w:r>
          </w:p>
        </w:tc>
        <w:tc>
          <w:tcPr>
            <w:tcW w:w="8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2021</w:t>
            </w:r>
          </w:p>
        </w:tc>
        <w:tc>
          <w:tcPr>
            <w:tcW w:w="640" w:type="dxa"/>
            <w:vAlign w:val="bottom"/>
            <w:tcBorders>
              <w:bottom w:val="single" w:sz="8" w:color="auto"/>
            </w:tcBorders>
          </w:tcPr>
          <w:p>
            <w:pPr>
              <w:spacing w:after="0"/>
              <w:rPr>
                <w:sz w:val="19"/>
                <w:szCs w:val="19"/>
                <w:color w:val="auto"/>
              </w:rPr>
            </w:pPr>
          </w:p>
        </w:tc>
      </w:tr>
      <w:tr>
        <w:trPr>
          <w:trHeight w:val="196"/>
        </w:trPr>
        <w:tc>
          <w:tcPr>
            <w:tcW w:w="510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Provision (benefit) for incomes taxes</w:t>
            </w:r>
          </w:p>
        </w:tc>
        <w:tc>
          <w:tcPr>
            <w:tcW w:w="3340" w:type="dxa"/>
            <w:vAlign w:val="bottom"/>
            <w:shd w:val="clear" w:color="auto" w:fill="CFF0FC"/>
          </w:tcPr>
          <w:p>
            <w:pPr>
              <w:jc w:val="right"/>
              <w:ind w:right="750"/>
              <w:spacing w:after="0" w:line="196" w:lineRule="exact"/>
              <w:rPr>
                <w:sz w:val="20"/>
                <w:szCs w:val="20"/>
                <w:color w:val="auto"/>
              </w:rPr>
            </w:pPr>
            <w:r>
              <w:rPr>
                <w:rFonts w:ascii="Arial" w:cs="Arial" w:eastAsia="Arial" w:hAnsi="Arial"/>
                <w:sz w:val="18"/>
                <w:szCs w:val="18"/>
                <w:b w:val="1"/>
                <w:bCs w:val="1"/>
                <w:color w:val="auto"/>
              </w:rPr>
              <w:t>$</w:t>
            </w:r>
          </w:p>
        </w:tc>
        <w:tc>
          <w:tcPr>
            <w:tcW w:w="800" w:type="dxa"/>
            <w:vAlign w:val="bottom"/>
            <w:shd w:val="clear" w:color="auto" w:fill="CFF0FC"/>
          </w:tcPr>
          <w:p>
            <w:pPr>
              <w:ind w:left="120"/>
              <w:spacing w:after="0" w:line="196" w:lineRule="exact"/>
              <w:rPr>
                <w:sz w:val="20"/>
                <w:szCs w:val="20"/>
                <w:color w:val="auto"/>
              </w:rPr>
            </w:pPr>
            <w:r>
              <w:rPr>
                <w:rFonts w:ascii="Arial" w:cs="Arial" w:eastAsia="Arial" w:hAnsi="Arial"/>
                <w:sz w:val="18"/>
                <w:szCs w:val="18"/>
                <w:b w:val="1"/>
                <w:bCs w:val="1"/>
                <w:color w:val="auto"/>
              </w:rPr>
              <w:t>0.9</w:t>
            </w:r>
          </w:p>
        </w:tc>
        <w:tc>
          <w:tcPr>
            <w:tcW w:w="1360" w:type="dxa"/>
            <w:vAlign w:val="bottom"/>
            <w:shd w:val="clear" w:color="auto" w:fill="CFF0FC"/>
          </w:tcPr>
          <w:p>
            <w:pPr>
              <w:jc w:val="right"/>
              <w:ind w:right="950"/>
              <w:spacing w:after="0" w:line="196" w:lineRule="exact"/>
              <w:rPr>
                <w:sz w:val="20"/>
                <w:szCs w:val="20"/>
                <w:color w:val="auto"/>
              </w:rPr>
            </w:pPr>
            <w:r>
              <w:rPr>
                <w:rFonts w:ascii="Arial" w:cs="Arial" w:eastAsia="Arial" w:hAnsi="Arial"/>
                <w:sz w:val="18"/>
                <w:szCs w:val="18"/>
                <w:color w:val="auto"/>
              </w:rPr>
              <w:t>$</w:t>
            </w:r>
          </w:p>
        </w:tc>
        <w:tc>
          <w:tcPr>
            <w:tcW w:w="640" w:type="dxa"/>
            <w:vAlign w:val="bottom"/>
            <w:shd w:val="clear" w:color="auto" w:fill="CFF0FC"/>
          </w:tcPr>
          <w:p>
            <w:pPr>
              <w:ind w:left="120"/>
              <w:spacing w:after="0" w:line="196" w:lineRule="exact"/>
              <w:rPr>
                <w:sz w:val="20"/>
                <w:szCs w:val="20"/>
                <w:color w:val="auto"/>
              </w:rPr>
            </w:pPr>
            <w:r>
              <w:rPr>
                <w:rFonts w:ascii="Arial" w:cs="Arial" w:eastAsia="Arial" w:hAnsi="Arial"/>
                <w:sz w:val="18"/>
                <w:szCs w:val="18"/>
                <w:color w:val="auto"/>
              </w:rPr>
              <w:t>0.2</w:t>
            </w:r>
          </w:p>
        </w:tc>
      </w:tr>
      <w:tr>
        <w:trPr>
          <w:trHeight w:val="202"/>
        </w:trPr>
        <w:tc>
          <w:tcPr>
            <w:tcW w:w="5100" w:type="dxa"/>
            <w:vAlign w:val="bottom"/>
            <w:tcBorders>
              <w:bottom w:val="single" w:sz="8" w:color="auto"/>
            </w:tcBorders>
          </w:tcPr>
          <w:p>
            <w:pPr>
              <w:ind w:left="20"/>
              <w:spacing w:after="0" w:line="202" w:lineRule="exact"/>
              <w:rPr>
                <w:sz w:val="20"/>
                <w:szCs w:val="20"/>
                <w:color w:val="auto"/>
              </w:rPr>
            </w:pPr>
            <w:r>
              <w:rPr>
                <w:rFonts w:ascii="Arial" w:cs="Arial" w:eastAsia="Arial" w:hAnsi="Arial"/>
                <w:sz w:val="18"/>
                <w:szCs w:val="18"/>
                <w:color w:val="auto"/>
              </w:rPr>
              <w:t>Effective tax rate</w:t>
            </w:r>
          </w:p>
        </w:tc>
        <w:tc>
          <w:tcPr>
            <w:tcW w:w="334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ind w:left="120"/>
              <w:spacing w:after="0" w:line="202" w:lineRule="exact"/>
              <w:rPr>
                <w:sz w:val="20"/>
                <w:szCs w:val="20"/>
                <w:color w:val="auto"/>
              </w:rPr>
            </w:pPr>
            <w:r>
              <w:rPr>
                <w:rFonts w:ascii="Arial" w:cs="Arial" w:eastAsia="Arial" w:hAnsi="Arial"/>
                <w:sz w:val="18"/>
                <w:szCs w:val="18"/>
                <w:b w:val="1"/>
                <w:bCs w:val="1"/>
                <w:color w:val="auto"/>
              </w:rPr>
              <w:t>2.4 %</w:t>
            </w:r>
          </w:p>
        </w:tc>
        <w:tc>
          <w:tcPr>
            <w:tcW w:w="136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ind w:left="120"/>
              <w:spacing w:after="0" w:line="202" w:lineRule="exact"/>
              <w:rPr>
                <w:sz w:val="20"/>
                <w:szCs w:val="20"/>
                <w:color w:val="auto"/>
              </w:rPr>
            </w:pPr>
            <w:r>
              <w:rPr>
                <w:rFonts w:ascii="Arial" w:cs="Arial" w:eastAsia="Arial" w:hAnsi="Arial"/>
                <w:sz w:val="18"/>
                <w:szCs w:val="18"/>
                <w:color w:val="auto"/>
              </w:rPr>
              <w:t>2.0 %</w:t>
            </w:r>
          </w:p>
        </w:tc>
      </w:tr>
    </w:tbl>
    <w:p>
      <w:pPr>
        <w:spacing w:after="0" w:line="188" w:lineRule="exact"/>
        <w:rPr>
          <w:sz w:val="20"/>
          <w:szCs w:val="20"/>
          <w:color w:val="auto"/>
        </w:rPr>
      </w:pPr>
    </w:p>
    <w:p>
      <w:pPr>
        <w:ind w:right="100"/>
        <w:spacing w:after="0" w:line="248" w:lineRule="auto"/>
        <w:rPr>
          <w:sz w:val="20"/>
          <w:szCs w:val="20"/>
          <w:color w:val="auto"/>
        </w:rPr>
      </w:pPr>
      <w:r>
        <w:rPr>
          <w:rFonts w:ascii="Arial" w:cs="Arial" w:eastAsia="Arial" w:hAnsi="Arial"/>
          <w:sz w:val="18"/>
          <w:szCs w:val="18"/>
          <w:color w:val="auto"/>
        </w:rPr>
        <w:t>Income tax expense for the three months ended March 31, 2022 was calculated using forecasted multi-jurisdictional annual effective tax rates to determine a blended annual effective tax rate. The effective tax rate is lower than the U.S. federal statutory rate of 21% primarily due to the valuation allowance the Company has on deferred tax assets in the U.S. This is partially offset by state, local, and foreign taxes.</w:t>
      </w:r>
    </w:p>
    <w:p>
      <w:pPr>
        <w:spacing w:after="0" w:line="168" w:lineRule="exact"/>
        <w:rPr>
          <w:sz w:val="20"/>
          <w:szCs w:val="20"/>
          <w:color w:val="auto"/>
        </w:rPr>
      </w:pPr>
    </w:p>
    <w:p>
      <w:pPr>
        <w:ind w:right="140"/>
        <w:spacing w:after="0" w:line="279" w:lineRule="auto"/>
        <w:rPr>
          <w:sz w:val="20"/>
          <w:szCs w:val="20"/>
          <w:color w:val="auto"/>
        </w:rPr>
      </w:pPr>
      <w:r>
        <w:rPr>
          <w:rFonts w:ascii="Arial" w:cs="Arial" w:eastAsia="Arial" w:hAnsi="Arial"/>
          <w:sz w:val="16"/>
          <w:szCs w:val="16"/>
          <w:color w:val="auto"/>
        </w:rPr>
        <w:t>Due to TimkenSteel’s historical operating performance in the U.S., the Company assessed its U.S. deferred tax assets and concluded, based upon all available evidence, that it was more likely than not that it would not realize the assets. As a result, the Company maintains a full valuation allowance against its deferred tax assets in the U.S. and applicable foreign countries until sufficient positive evidence exists to conclude that a valuation allowance is not necessary. Going forward, the need to maintain valuation allowances against deferred tax assets in the U.S. and other affected countries may cause variability in the Company’s effective tax rate. The majority of TimkenSteel’s income taxes are derived from domestic state and local taxes.</w:t>
      </w:r>
    </w:p>
    <w:p>
      <w:pPr>
        <w:spacing w:after="0" w:line="146" w:lineRule="exact"/>
        <w:rPr>
          <w:sz w:val="20"/>
          <w:szCs w:val="20"/>
          <w:color w:val="auto"/>
        </w:rPr>
      </w:pPr>
    </w:p>
    <w:p>
      <w:pPr>
        <w:ind w:right="340"/>
        <w:spacing w:after="0" w:line="261" w:lineRule="auto"/>
        <w:rPr>
          <w:sz w:val="20"/>
          <w:szCs w:val="20"/>
          <w:color w:val="auto"/>
        </w:rPr>
      </w:pPr>
      <w:r>
        <w:rPr>
          <w:rFonts w:ascii="Arial" w:cs="Arial" w:eastAsia="Arial" w:hAnsi="Arial"/>
          <w:sz w:val="18"/>
          <w:szCs w:val="18"/>
          <w:color w:val="auto"/>
        </w:rPr>
        <w:t>The effective tax rate of 2.4% for the three months ended March 31, 2022 was higher than the rate of 2.0% for the three months ended March 31, 2021, primarily due to increased projected income in the U.S., causing higher state and local tax expenses.</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 Earnings (Loss) Per Share</w:t>
      </w:r>
    </w:p>
    <w:p>
      <w:pPr>
        <w:spacing w:after="0" w:line="175" w:lineRule="exact"/>
        <w:rPr>
          <w:sz w:val="20"/>
          <w:szCs w:val="20"/>
          <w:color w:val="auto"/>
        </w:rPr>
      </w:pPr>
    </w:p>
    <w:p>
      <w:pPr>
        <w:ind w:right="80"/>
        <w:spacing w:after="0" w:line="276" w:lineRule="auto"/>
        <w:rPr>
          <w:sz w:val="20"/>
          <w:szCs w:val="20"/>
          <w:color w:val="auto"/>
        </w:rPr>
      </w:pPr>
      <w:r>
        <w:rPr>
          <w:rFonts w:ascii="Arial" w:cs="Arial" w:eastAsia="Arial" w:hAnsi="Arial"/>
          <w:sz w:val="16"/>
          <w:szCs w:val="16"/>
          <w:color w:val="auto"/>
        </w:rPr>
        <w:t>Basic earnings (loss) per share is computed based upon the weighted average number of common shares outstanding. Diluted earnings (loss) per share is computed based upon the weighted average number of common shares outstanding plus the dilutive effect of common share equivalents calculated using the treasury stock method or if-converted method. For the Convertible Notes, the Company utilizes the if-converted method to calculate diluted earnings (loss) per share. Under the if-converted method, the Company adjusts net earnings to add back interest expense (including amortization of debt issuance costs) recognized on the Convertible Notes and includes the number of shares potentially issuable related to the Convertible Notes in the weighted average shares outstanding. Treasury shares are excluded from the denominator in calculating both basic and diluted earnings (loss) per share.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Equity-based Awards</w:t>
      </w:r>
    </w:p>
    <w:p>
      <w:pPr>
        <w:spacing w:after="0" w:line="171" w:lineRule="exact"/>
        <w:rPr>
          <w:sz w:val="20"/>
          <w:szCs w:val="20"/>
          <w:color w:val="auto"/>
        </w:rPr>
      </w:pPr>
    </w:p>
    <w:p>
      <w:pPr>
        <w:ind w:right="80"/>
        <w:spacing w:after="0" w:line="239" w:lineRule="auto"/>
        <w:rPr>
          <w:sz w:val="20"/>
          <w:szCs w:val="20"/>
          <w:color w:val="auto"/>
        </w:rPr>
      </w:pPr>
      <w:r>
        <w:rPr>
          <w:rFonts w:ascii="Arial" w:cs="Arial" w:eastAsia="Arial" w:hAnsi="Arial"/>
          <w:sz w:val="18"/>
          <w:szCs w:val="18"/>
          <w:color w:val="auto"/>
        </w:rPr>
        <w:t>Common share equivalents for shares issuable for equity-based awards amounted to 4.3 million shares for the three months ended March 31, 2022. For the three months ended March 31, 2022, 0.9 million shares were excluded from the computation of diluted earnings (loss) per share, primarily related to options with exercise prices above the average market price of our common shares (i.e., “underwater” options), because the effect of their inclusion would have been anti-dilutive. The difference between the remaining 3.4 million shares and 1.2 million</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317500</wp:posOffset>
            </wp:positionV>
            <wp:extent cx="715772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1" w:name="page12"/>
    <w:bookmarkEnd w:id="1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810895" cy="8255"/>
                    </a:xfrm>
                    <a:prstGeom prst="rect">
                      <a:avLst/>
                    </a:prstGeom>
                    <a:noFill/>
                  </pic:spPr>
                </pic:pic>
              </a:graphicData>
            </a:graphic>
          </wp:anchor>
        </w:drawing>
      </w:r>
    </w:p>
    <w:p>
      <w:pPr>
        <w:spacing w:after="0" w:line="367" w:lineRule="exact"/>
        <w:rPr>
          <w:sz w:val="20"/>
          <w:szCs w:val="20"/>
          <w:color w:val="auto"/>
        </w:rPr>
      </w:pPr>
    </w:p>
    <w:p>
      <w:pPr>
        <w:ind w:right="280"/>
        <w:spacing w:after="0" w:line="261" w:lineRule="auto"/>
        <w:rPr>
          <w:sz w:val="20"/>
          <w:szCs w:val="20"/>
          <w:color w:val="auto"/>
        </w:rPr>
      </w:pPr>
      <w:r>
        <w:rPr>
          <w:rFonts w:ascii="Arial" w:cs="Arial" w:eastAsia="Arial" w:hAnsi="Arial"/>
          <w:sz w:val="18"/>
          <w:szCs w:val="18"/>
          <w:color w:val="auto"/>
        </w:rPr>
        <w:t>shares assumed purchased with potential proceeds for the three months ended March 31, 2022, were included in the denominator of the diluted earnings (loss) per share calculation.</w:t>
      </w:r>
    </w:p>
    <w:p>
      <w:pPr>
        <w:spacing w:after="0" w:line="130" w:lineRule="exact"/>
        <w:rPr>
          <w:sz w:val="20"/>
          <w:szCs w:val="20"/>
          <w:color w:val="auto"/>
        </w:rPr>
      </w:pPr>
    </w:p>
    <w:p>
      <w:pPr>
        <w:ind w:right="80"/>
        <w:spacing w:after="0" w:line="259" w:lineRule="auto"/>
        <w:rPr>
          <w:sz w:val="20"/>
          <w:szCs w:val="20"/>
          <w:color w:val="auto"/>
        </w:rPr>
      </w:pPr>
      <w:r>
        <w:rPr>
          <w:rFonts w:ascii="Arial" w:cs="Arial" w:eastAsia="Arial" w:hAnsi="Arial"/>
          <w:sz w:val="17"/>
          <w:szCs w:val="17"/>
          <w:color w:val="auto"/>
        </w:rPr>
        <w:t>Common share equivalents for shares issuable for equity-based awards amounted to 5.1 million shares for the three months ended March 31, 2021. For the three months ended March 31, 2021, 2.3 million shares were excluded from the computation of diluted earnings (loss) per share, primarily related to options with exercise prices above the average market price of our common shares (i.e., “underwater” options), because the effect of their inclusion would have been anti-dilutive. The difference between the remaining 2.8 million shares and 1.6 million shares assumed purchased with potential proceeds for the three months ended March 31, 2021, were included in the denominator of the diluted earnings (loss) per share calculation.</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Convertible Notes</w:t>
      </w:r>
    </w:p>
    <w:p>
      <w:pPr>
        <w:spacing w:after="0" w:line="171" w:lineRule="exact"/>
        <w:rPr>
          <w:sz w:val="20"/>
          <w:szCs w:val="20"/>
          <w:color w:val="auto"/>
        </w:rPr>
      </w:pPr>
    </w:p>
    <w:p>
      <w:pPr>
        <w:ind w:right="100"/>
        <w:spacing w:after="0" w:line="261" w:lineRule="auto"/>
        <w:rPr>
          <w:sz w:val="20"/>
          <w:szCs w:val="20"/>
          <w:color w:val="auto"/>
        </w:rPr>
      </w:pPr>
      <w:r>
        <w:rPr>
          <w:rFonts w:ascii="Arial" w:cs="Arial" w:eastAsia="Arial" w:hAnsi="Arial"/>
          <w:sz w:val="18"/>
          <w:szCs w:val="18"/>
          <w:color w:val="auto"/>
        </w:rPr>
        <w:t>Common share equivalents for shares issuable upon the conversion of outstanding Convertible Notes were included in the computation of diluted earnings (loss) per share for the three months ended March 31, 2022 and 2021 as these shares would be dilutive.</w:t>
      </w:r>
    </w:p>
    <w:p>
      <w:pPr>
        <w:spacing w:after="0" w:line="130" w:lineRule="exact"/>
        <w:rPr>
          <w:sz w:val="20"/>
          <w:szCs w:val="20"/>
          <w:color w:val="auto"/>
        </w:rPr>
      </w:pPr>
    </w:p>
    <w:p>
      <w:pPr>
        <w:jc w:val="both"/>
        <w:ind w:right="520"/>
        <w:spacing w:after="0" w:line="248" w:lineRule="auto"/>
        <w:rPr>
          <w:sz w:val="20"/>
          <w:szCs w:val="20"/>
          <w:color w:val="auto"/>
        </w:rPr>
      </w:pPr>
      <w:r>
        <w:rPr>
          <w:rFonts w:ascii="Arial" w:cs="Arial" w:eastAsia="Arial" w:hAnsi="Arial"/>
          <w:sz w:val="18"/>
          <w:szCs w:val="18"/>
          <w:color w:val="auto"/>
        </w:rPr>
        <w:t>In the first quarter of 2022, TimkenSteel repurchased $10.0 million of outstanding principal related to the Convertible Notes. The Convertible Notes repurchase reduced weighted average diluted shares outstanding by approximately 0.7 million shares in the first quarter of 2022. Refer to “Note 10 – Financing Arrangements” for additional information on the Convertible Notes.</w:t>
      </w:r>
    </w:p>
    <w:p>
      <w:pPr>
        <w:spacing w:after="0" w:line="141" w:lineRule="exact"/>
        <w:rPr>
          <w:sz w:val="20"/>
          <w:szCs w:val="20"/>
          <w:color w:val="auto"/>
        </w:rPr>
      </w:pPr>
    </w:p>
    <w:p>
      <w:pPr>
        <w:ind w:right="280"/>
        <w:spacing w:after="0" w:line="261" w:lineRule="auto"/>
        <w:rPr>
          <w:sz w:val="20"/>
          <w:szCs w:val="20"/>
          <w:color w:val="auto"/>
        </w:rPr>
      </w:pPr>
      <w:r>
        <w:rPr>
          <w:rFonts w:ascii="Arial" w:cs="Arial" w:eastAsia="Arial" w:hAnsi="Arial"/>
          <w:sz w:val="18"/>
          <w:szCs w:val="18"/>
          <w:color w:val="auto"/>
        </w:rPr>
        <w:t>The following table sets forth the reconciliation of the numerator and the denominator of basic and diluted earnings (loss) per share for the three months ended March 31, 2022 and 2021:</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480" w:type="dxa"/>
            <w:vAlign w:val="bottom"/>
          </w:tcPr>
          <w:p>
            <w:pPr>
              <w:spacing w:after="0"/>
              <w:rPr>
                <w:sz w:val="17"/>
                <w:szCs w:val="17"/>
                <w:color w:val="auto"/>
              </w:rPr>
            </w:pPr>
          </w:p>
        </w:tc>
        <w:tc>
          <w:tcPr>
            <w:tcW w:w="5260" w:type="dxa"/>
            <w:vAlign w:val="bottom"/>
            <w:gridSpan w:val="3"/>
          </w:tcPr>
          <w:p>
            <w:pPr>
              <w:jc w:val="right"/>
              <w:spacing w:after="0"/>
              <w:rPr>
                <w:sz w:val="20"/>
                <w:szCs w:val="20"/>
                <w:color w:val="auto"/>
              </w:rPr>
            </w:pPr>
            <w:r>
              <w:rPr>
                <w:rFonts w:ascii="Arial" w:cs="Arial" w:eastAsia="Arial" w:hAnsi="Arial"/>
                <w:sz w:val="18"/>
                <w:szCs w:val="18"/>
                <w:b w:val="1"/>
                <w:bCs w:val="1"/>
                <w:color w:val="auto"/>
              </w:rPr>
              <w:t>Three Months Ended March 31,</w:t>
            </w:r>
          </w:p>
        </w:tc>
        <w:tc>
          <w:tcPr>
            <w:tcW w:w="500" w:type="dxa"/>
            <w:vAlign w:val="bottom"/>
          </w:tcPr>
          <w:p>
            <w:pPr>
              <w:spacing w:after="0"/>
              <w:rPr>
                <w:sz w:val="17"/>
                <w:szCs w:val="17"/>
                <w:color w:val="auto"/>
              </w:rPr>
            </w:pPr>
          </w:p>
        </w:tc>
      </w:tr>
      <w:tr>
        <w:trPr>
          <w:trHeight w:val="221"/>
        </w:trPr>
        <w:tc>
          <w:tcPr>
            <w:tcW w:w="5480" w:type="dxa"/>
            <w:vAlign w:val="bottom"/>
            <w:tcBorders>
              <w:bottom w:val="single" w:sz="8" w:color="auto"/>
            </w:tcBorders>
          </w:tcPr>
          <w:p>
            <w:pPr>
              <w:spacing w:after="0"/>
              <w:rPr>
                <w:sz w:val="19"/>
                <w:szCs w:val="19"/>
                <w:color w:val="auto"/>
              </w:rPr>
            </w:pPr>
          </w:p>
        </w:tc>
        <w:tc>
          <w:tcPr>
            <w:tcW w:w="33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2022</w:t>
            </w:r>
          </w:p>
        </w:tc>
        <w:tc>
          <w:tcPr>
            <w:tcW w:w="62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rPr>
              <w:t>2021</w:t>
            </w:r>
          </w:p>
        </w:tc>
        <w:tc>
          <w:tcPr>
            <w:tcW w:w="500" w:type="dxa"/>
            <w:vAlign w:val="bottom"/>
            <w:tcBorders>
              <w:bottom w:val="single" w:sz="8" w:color="auto"/>
            </w:tcBorders>
          </w:tcPr>
          <w:p>
            <w:pPr>
              <w:spacing w:after="0"/>
              <w:rPr>
                <w:sz w:val="19"/>
                <w:szCs w:val="19"/>
                <w:color w:val="auto"/>
              </w:rPr>
            </w:pPr>
          </w:p>
        </w:tc>
      </w:tr>
      <w:tr>
        <w:trPr>
          <w:trHeight w:val="196"/>
        </w:trPr>
        <w:tc>
          <w:tcPr>
            <w:tcW w:w="548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Numerator:</w:t>
            </w:r>
          </w:p>
        </w:tc>
        <w:tc>
          <w:tcPr>
            <w:tcW w:w="3340" w:type="dxa"/>
            <w:vAlign w:val="bottom"/>
            <w:shd w:val="clear" w:color="auto" w:fill="CFF0FC"/>
          </w:tcPr>
          <w:p>
            <w:pPr>
              <w:spacing w:after="0"/>
              <w:rPr>
                <w:sz w:val="17"/>
                <w:szCs w:val="17"/>
                <w:color w:val="auto"/>
              </w:rPr>
            </w:pPr>
          </w:p>
        </w:tc>
        <w:tc>
          <w:tcPr>
            <w:tcW w:w="620" w:type="dxa"/>
            <w:vAlign w:val="bottom"/>
            <w:shd w:val="clear" w:color="auto" w:fill="CFF0FC"/>
          </w:tcPr>
          <w:p>
            <w:pPr>
              <w:spacing w:after="0"/>
              <w:rPr>
                <w:sz w:val="17"/>
                <w:szCs w:val="17"/>
                <w:color w:val="auto"/>
              </w:rPr>
            </w:pPr>
          </w:p>
        </w:tc>
        <w:tc>
          <w:tcPr>
            <w:tcW w:w="1300" w:type="dxa"/>
            <w:vAlign w:val="bottom"/>
            <w:shd w:val="clear" w:color="auto" w:fill="CFF0FC"/>
          </w:tcPr>
          <w:p>
            <w:pPr>
              <w:spacing w:after="0"/>
              <w:rPr>
                <w:sz w:val="17"/>
                <w:szCs w:val="17"/>
                <w:color w:val="auto"/>
              </w:rPr>
            </w:pPr>
          </w:p>
        </w:tc>
        <w:tc>
          <w:tcPr>
            <w:tcW w:w="500" w:type="dxa"/>
            <w:vAlign w:val="bottom"/>
            <w:shd w:val="clear" w:color="auto" w:fill="CFF0FC"/>
          </w:tcPr>
          <w:p>
            <w:pPr>
              <w:spacing w:after="0"/>
              <w:rPr>
                <w:sz w:val="17"/>
                <w:szCs w:val="17"/>
                <w:color w:val="auto"/>
              </w:rPr>
            </w:pPr>
          </w:p>
        </w:tc>
      </w:tr>
      <w:tr>
        <w:trPr>
          <w:trHeight w:val="202"/>
        </w:trPr>
        <w:tc>
          <w:tcPr>
            <w:tcW w:w="5480" w:type="dxa"/>
            <w:vAlign w:val="bottom"/>
          </w:tcPr>
          <w:p>
            <w:pPr>
              <w:ind w:left="20"/>
              <w:spacing w:after="0" w:line="202" w:lineRule="exact"/>
              <w:rPr>
                <w:sz w:val="20"/>
                <w:szCs w:val="20"/>
                <w:color w:val="auto"/>
              </w:rPr>
            </w:pPr>
            <w:r>
              <w:rPr>
                <w:rFonts w:ascii="Arial" w:cs="Arial" w:eastAsia="Arial" w:hAnsi="Arial"/>
                <w:sz w:val="18"/>
                <w:szCs w:val="18"/>
                <w:color w:val="auto"/>
              </w:rPr>
              <w:t>Net income (loss), basic</w:t>
            </w:r>
          </w:p>
        </w:tc>
        <w:tc>
          <w:tcPr>
            <w:tcW w:w="3340" w:type="dxa"/>
            <w:vAlign w:val="bottom"/>
          </w:tcPr>
          <w:p>
            <w:pPr>
              <w:jc w:val="right"/>
              <w:ind w:right="970"/>
              <w:spacing w:after="0" w:line="202" w:lineRule="exact"/>
              <w:rPr>
                <w:sz w:val="20"/>
                <w:szCs w:val="20"/>
                <w:color w:val="auto"/>
              </w:rPr>
            </w:pPr>
            <w:r>
              <w:rPr>
                <w:rFonts w:ascii="Arial" w:cs="Arial" w:eastAsia="Arial" w:hAnsi="Arial"/>
                <w:sz w:val="18"/>
                <w:szCs w:val="18"/>
                <w:b w:val="1"/>
                <w:bCs w:val="1"/>
                <w:color w:val="auto"/>
              </w:rPr>
              <w:t>$</w:t>
            </w:r>
          </w:p>
        </w:tc>
        <w:tc>
          <w:tcPr>
            <w:tcW w:w="620" w:type="dxa"/>
            <w:vAlign w:val="bottom"/>
          </w:tcPr>
          <w:p>
            <w:pPr>
              <w:jc w:val="right"/>
              <w:ind w:right="50"/>
              <w:spacing w:after="0" w:line="202" w:lineRule="exact"/>
              <w:rPr>
                <w:sz w:val="20"/>
                <w:szCs w:val="20"/>
                <w:color w:val="auto"/>
              </w:rPr>
            </w:pPr>
            <w:r>
              <w:rPr>
                <w:rFonts w:ascii="Arial" w:cs="Arial" w:eastAsia="Arial" w:hAnsi="Arial"/>
                <w:sz w:val="18"/>
                <w:szCs w:val="18"/>
                <w:b w:val="1"/>
                <w:bCs w:val="1"/>
                <w:color w:val="auto"/>
              </w:rPr>
              <w:t>37.1</w:t>
            </w:r>
          </w:p>
        </w:tc>
        <w:tc>
          <w:tcPr>
            <w:tcW w:w="1300" w:type="dxa"/>
            <w:vAlign w:val="bottom"/>
          </w:tcPr>
          <w:p>
            <w:pPr>
              <w:jc w:val="right"/>
              <w:ind w:right="990"/>
              <w:spacing w:after="0" w:line="202" w:lineRule="exact"/>
              <w:rPr>
                <w:sz w:val="20"/>
                <w:szCs w:val="20"/>
                <w:color w:val="auto"/>
              </w:rPr>
            </w:pPr>
            <w:r>
              <w:rPr>
                <w:rFonts w:ascii="Arial" w:cs="Arial" w:eastAsia="Arial" w:hAnsi="Arial"/>
                <w:sz w:val="18"/>
                <w:szCs w:val="18"/>
                <w:color w:val="auto"/>
              </w:rPr>
              <w:t>$</w:t>
            </w:r>
          </w:p>
        </w:tc>
        <w:tc>
          <w:tcPr>
            <w:tcW w:w="500" w:type="dxa"/>
            <w:vAlign w:val="bottom"/>
          </w:tcPr>
          <w:p>
            <w:pPr>
              <w:jc w:val="right"/>
              <w:spacing w:after="0" w:line="202" w:lineRule="exact"/>
              <w:rPr>
                <w:sz w:val="20"/>
                <w:szCs w:val="20"/>
                <w:color w:val="auto"/>
              </w:rPr>
            </w:pPr>
            <w:r>
              <w:rPr>
                <w:rFonts w:ascii="Arial" w:cs="Arial" w:eastAsia="Arial" w:hAnsi="Arial"/>
                <w:sz w:val="18"/>
                <w:szCs w:val="18"/>
                <w:color w:val="auto"/>
              </w:rPr>
              <w:t>9.8</w:t>
            </w:r>
          </w:p>
        </w:tc>
      </w:tr>
      <w:tr>
        <w:trPr>
          <w:trHeight w:val="203"/>
        </w:trPr>
        <w:tc>
          <w:tcPr>
            <w:tcW w:w="5480" w:type="dxa"/>
            <w:vAlign w:val="bottom"/>
            <w:tcBorders>
              <w:bottom w:val="single" w:sz="8" w:color="auto"/>
            </w:tcBorders>
            <w:shd w:val="clear" w:color="auto" w:fill="CFF0FC"/>
          </w:tcPr>
          <w:p>
            <w:pPr>
              <w:ind w:left="20"/>
              <w:spacing w:after="0" w:line="202" w:lineRule="exact"/>
              <w:rPr>
                <w:sz w:val="20"/>
                <w:szCs w:val="20"/>
                <w:color w:val="auto"/>
              </w:rPr>
            </w:pPr>
            <w:r>
              <w:rPr>
                <w:rFonts w:ascii="Arial" w:cs="Arial" w:eastAsia="Arial" w:hAnsi="Arial"/>
                <w:sz w:val="18"/>
                <w:szCs w:val="18"/>
                <w:color w:val="auto"/>
              </w:rPr>
              <w:t>Add convertible notes interest</w:t>
            </w:r>
          </w:p>
        </w:tc>
        <w:tc>
          <w:tcPr>
            <w:tcW w:w="3340" w:type="dxa"/>
            <w:vAlign w:val="bottom"/>
            <w:tcBorders>
              <w:bottom w:val="single" w:sz="8" w:color="auto"/>
            </w:tcBorders>
            <w:shd w:val="clear" w:color="auto" w:fill="CFF0FC"/>
          </w:tcPr>
          <w:p>
            <w:pPr>
              <w:spacing w:after="0"/>
              <w:rPr>
                <w:sz w:val="17"/>
                <w:szCs w:val="17"/>
                <w:color w:val="auto"/>
              </w:rPr>
            </w:pPr>
          </w:p>
        </w:tc>
        <w:tc>
          <w:tcPr>
            <w:tcW w:w="620" w:type="dxa"/>
            <w:vAlign w:val="bottom"/>
            <w:tcBorders>
              <w:bottom w:val="single" w:sz="8" w:color="auto"/>
            </w:tcBorders>
            <w:shd w:val="clear" w:color="auto" w:fill="CFF0FC"/>
          </w:tcPr>
          <w:p>
            <w:pPr>
              <w:jc w:val="right"/>
              <w:ind w:right="50"/>
              <w:spacing w:after="0" w:line="202" w:lineRule="exact"/>
              <w:rPr>
                <w:sz w:val="20"/>
                <w:szCs w:val="20"/>
                <w:color w:val="auto"/>
              </w:rPr>
            </w:pPr>
            <w:r>
              <w:rPr>
                <w:rFonts w:ascii="Arial" w:cs="Arial" w:eastAsia="Arial" w:hAnsi="Arial"/>
                <w:sz w:val="18"/>
                <w:szCs w:val="18"/>
                <w:b w:val="1"/>
                <w:bCs w:val="1"/>
                <w:color w:val="auto"/>
              </w:rPr>
              <w:t>0.7</w:t>
            </w:r>
          </w:p>
        </w:tc>
        <w:tc>
          <w:tcPr>
            <w:tcW w:w="1300" w:type="dxa"/>
            <w:vAlign w:val="bottom"/>
            <w:tcBorders>
              <w:bottom w:val="single" w:sz="8" w:color="auto"/>
            </w:tcBorders>
            <w:shd w:val="clear" w:color="auto" w:fill="CFF0FC"/>
          </w:tcPr>
          <w:p>
            <w:pPr>
              <w:spacing w:after="0"/>
              <w:rPr>
                <w:sz w:val="17"/>
                <w:szCs w:val="17"/>
                <w:color w:val="auto"/>
              </w:rPr>
            </w:pPr>
          </w:p>
        </w:tc>
        <w:tc>
          <w:tcPr>
            <w:tcW w:w="50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1.3</w:t>
            </w:r>
          </w:p>
        </w:tc>
      </w:tr>
      <w:tr>
        <w:trPr>
          <w:trHeight w:val="196"/>
        </w:trPr>
        <w:tc>
          <w:tcPr>
            <w:tcW w:w="5480" w:type="dxa"/>
            <w:vAlign w:val="bottom"/>
          </w:tcPr>
          <w:p>
            <w:pPr>
              <w:ind w:left="20"/>
              <w:spacing w:after="0" w:line="196" w:lineRule="exact"/>
              <w:rPr>
                <w:sz w:val="20"/>
                <w:szCs w:val="20"/>
                <w:color w:val="auto"/>
              </w:rPr>
            </w:pPr>
            <w:r>
              <w:rPr>
                <w:rFonts w:ascii="Arial" w:cs="Arial" w:eastAsia="Arial" w:hAnsi="Arial"/>
                <w:sz w:val="18"/>
                <w:szCs w:val="18"/>
                <w:color w:val="auto"/>
              </w:rPr>
              <w:t>Net income (loss), diluted</w:t>
            </w:r>
          </w:p>
        </w:tc>
        <w:tc>
          <w:tcPr>
            <w:tcW w:w="3340" w:type="dxa"/>
            <w:vAlign w:val="bottom"/>
          </w:tcPr>
          <w:p>
            <w:pPr>
              <w:jc w:val="right"/>
              <w:ind w:right="970"/>
              <w:spacing w:after="0" w:line="196" w:lineRule="exact"/>
              <w:rPr>
                <w:sz w:val="20"/>
                <w:szCs w:val="20"/>
                <w:color w:val="auto"/>
              </w:rPr>
            </w:pPr>
            <w:r>
              <w:rPr>
                <w:rFonts w:ascii="Arial" w:cs="Arial" w:eastAsia="Arial" w:hAnsi="Arial"/>
                <w:sz w:val="18"/>
                <w:szCs w:val="18"/>
                <w:b w:val="1"/>
                <w:bCs w:val="1"/>
                <w:color w:val="auto"/>
              </w:rPr>
              <w:t>$</w:t>
            </w:r>
          </w:p>
        </w:tc>
        <w:tc>
          <w:tcPr>
            <w:tcW w:w="620" w:type="dxa"/>
            <w:vAlign w:val="bottom"/>
          </w:tcPr>
          <w:p>
            <w:pPr>
              <w:jc w:val="right"/>
              <w:ind w:right="50"/>
              <w:spacing w:after="0" w:line="196" w:lineRule="exact"/>
              <w:rPr>
                <w:sz w:val="20"/>
                <w:szCs w:val="20"/>
                <w:color w:val="auto"/>
              </w:rPr>
            </w:pPr>
            <w:r>
              <w:rPr>
                <w:rFonts w:ascii="Arial" w:cs="Arial" w:eastAsia="Arial" w:hAnsi="Arial"/>
                <w:sz w:val="18"/>
                <w:szCs w:val="18"/>
                <w:b w:val="1"/>
                <w:bCs w:val="1"/>
                <w:color w:val="auto"/>
              </w:rPr>
              <w:t>37.8</w:t>
            </w:r>
          </w:p>
        </w:tc>
        <w:tc>
          <w:tcPr>
            <w:tcW w:w="1300" w:type="dxa"/>
            <w:vAlign w:val="bottom"/>
          </w:tcPr>
          <w:p>
            <w:pPr>
              <w:jc w:val="right"/>
              <w:ind w:right="990"/>
              <w:spacing w:after="0" w:line="196" w:lineRule="exact"/>
              <w:rPr>
                <w:sz w:val="20"/>
                <w:szCs w:val="20"/>
                <w:color w:val="auto"/>
              </w:rPr>
            </w:pPr>
            <w:r>
              <w:rPr>
                <w:rFonts w:ascii="Arial" w:cs="Arial" w:eastAsia="Arial" w:hAnsi="Arial"/>
                <w:sz w:val="18"/>
                <w:szCs w:val="18"/>
                <w:color w:val="auto"/>
              </w:rPr>
              <w:t>$</w:t>
            </w:r>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11.1</w:t>
            </w:r>
          </w:p>
        </w:tc>
      </w:tr>
      <w:tr>
        <w:trPr>
          <w:trHeight w:val="203"/>
        </w:trPr>
        <w:tc>
          <w:tcPr>
            <w:tcW w:w="5480" w:type="dxa"/>
            <w:vAlign w:val="bottom"/>
            <w:shd w:val="clear" w:color="auto" w:fill="CFF0FC"/>
          </w:tcPr>
          <w:p>
            <w:pPr>
              <w:spacing w:after="0"/>
              <w:rPr>
                <w:sz w:val="17"/>
                <w:szCs w:val="17"/>
                <w:color w:val="auto"/>
              </w:rPr>
            </w:pPr>
          </w:p>
        </w:tc>
        <w:tc>
          <w:tcPr>
            <w:tcW w:w="3340" w:type="dxa"/>
            <w:vAlign w:val="bottom"/>
            <w:shd w:val="clear" w:color="auto" w:fill="CFF0FC"/>
          </w:tcPr>
          <w:p>
            <w:pPr>
              <w:spacing w:after="0"/>
              <w:rPr>
                <w:sz w:val="17"/>
                <w:szCs w:val="17"/>
                <w:color w:val="auto"/>
              </w:rPr>
            </w:pPr>
          </w:p>
        </w:tc>
        <w:tc>
          <w:tcPr>
            <w:tcW w:w="620" w:type="dxa"/>
            <w:vAlign w:val="bottom"/>
            <w:shd w:val="clear" w:color="auto" w:fill="CFF0FC"/>
          </w:tcPr>
          <w:p>
            <w:pPr>
              <w:spacing w:after="0"/>
              <w:rPr>
                <w:sz w:val="17"/>
                <w:szCs w:val="17"/>
                <w:color w:val="auto"/>
              </w:rPr>
            </w:pPr>
          </w:p>
        </w:tc>
        <w:tc>
          <w:tcPr>
            <w:tcW w:w="1300" w:type="dxa"/>
            <w:vAlign w:val="bottom"/>
            <w:shd w:val="clear" w:color="auto" w:fill="CFF0FC"/>
          </w:tcPr>
          <w:p>
            <w:pPr>
              <w:spacing w:after="0"/>
              <w:rPr>
                <w:sz w:val="17"/>
                <w:szCs w:val="17"/>
                <w:color w:val="auto"/>
              </w:rPr>
            </w:pPr>
          </w:p>
        </w:tc>
        <w:tc>
          <w:tcPr>
            <w:tcW w:w="500" w:type="dxa"/>
            <w:vAlign w:val="bottom"/>
            <w:shd w:val="clear" w:color="auto" w:fill="CFF0FC"/>
          </w:tcPr>
          <w:p>
            <w:pPr>
              <w:spacing w:after="0"/>
              <w:rPr>
                <w:sz w:val="17"/>
                <w:szCs w:val="17"/>
                <w:color w:val="auto"/>
              </w:rPr>
            </w:pPr>
          </w:p>
        </w:tc>
      </w:tr>
      <w:tr>
        <w:trPr>
          <w:trHeight w:val="203"/>
        </w:trPr>
        <w:tc>
          <w:tcPr>
            <w:tcW w:w="5480" w:type="dxa"/>
            <w:vAlign w:val="bottom"/>
          </w:tcPr>
          <w:p>
            <w:pPr>
              <w:ind w:left="20"/>
              <w:spacing w:after="0" w:line="202" w:lineRule="exact"/>
              <w:rPr>
                <w:sz w:val="20"/>
                <w:szCs w:val="20"/>
                <w:color w:val="auto"/>
              </w:rPr>
            </w:pPr>
            <w:r>
              <w:rPr>
                <w:rFonts w:ascii="Arial" w:cs="Arial" w:eastAsia="Arial" w:hAnsi="Arial"/>
                <w:sz w:val="18"/>
                <w:szCs w:val="18"/>
                <w:b w:val="1"/>
                <w:bCs w:val="1"/>
                <w:color w:val="auto"/>
              </w:rPr>
              <w:t>Denominator:</w:t>
            </w:r>
          </w:p>
        </w:tc>
        <w:tc>
          <w:tcPr>
            <w:tcW w:w="33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500" w:type="dxa"/>
            <w:vAlign w:val="bottom"/>
          </w:tcPr>
          <w:p>
            <w:pPr>
              <w:spacing w:after="0"/>
              <w:rPr>
                <w:sz w:val="17"/>
                <w:szCs w:val="17"/>
                <w:color w:val="auto"/>
              </w:rPr>
            </w:pPr>
          </w:p>
        </w:tc>
      </w:tr>
      <w:tr>
        <w:trPr>
          <w:trHeight w:val="202"/>
        </w:trPr>
        <w:tc>
          <w:tcPr>
            <w:tcW w:w="548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Weighted average shares outstanding, basic</w:t>
            </w:r>
          </w:p>
        </w:tc>
        <w:tc>
          <w:tcPr>
            <w:tcW w:w="3340" w:type="dxa"/>
            <w:vAlign w:val="bottom"/>
            <w:shd w:val="clear" w:color="auto" w:fill="CFF0FC"/>
          </w:tcPr>
          <w:p>
            <w:pPr>
              <w:spacing w:after="0"/>
              <w:rPr>
                <w:sz w:val="17"/>
                <w:szCs w:val="17"/>
                <w:color w:val="auto"/>
              </w:rPr>
            </w:pPr>
          </w:p>
        </w:tc>
        <w:tc>
          <w:tcPr>
            <w:tcW w:w="620" w:type="dxa"/>
            <w:vAlign w:val="bottom"/>
            <w:shd w:val="clear" w:color="auto" w:fill="CFF0FC"/>
          </w:tcPr>
          <w:p>
            <w:pPr>
              <w:jc w:val="right"/>
              <w:ind w:right="50"/>
              <w:spacing w:after="0" w:line="202" w:lineRule="exact"/>
              <w:rPr>
                <w:sz w:val="20"/>
                <w:szCs w:val="20"/>
                <w:color w:val="auto"/>
              </w:rPr>
            </w:pPr>
            <w:r>
              <w:rPr>
                <w:rFonts w:ascii="Arial" w:cs="Arial" w:eastAsia="Arial" w:hAnsi="Arial"/>
                <w:sz w:val="18"/>
                <w:szCs w:val="18"/>
                <w:b w:val="1"/>
                <w:bCs w:val="1"/>
                <w:color w:val="auto"/>
              </w:rPr>
              <w:t>46.4</w:t>
            </w:r>
          </w:p>
        </w:tc>
        <w:tc>
          <w:tcPr>
            <w:tcW w:w="1300" w:type="dxa"/>
            <w:vAlign w:val="bottom"/>
            <w:shd w:val="clear" w:color="auto" w:fill="CFF0FC"/>
          </w:tcPr>
          <w:p>
            <w:pPr>
              <w:spacing w:after="0"/>
              <w:rPr>
                <w:sz w:val="17"/>
                <w:szCs w:val="17"/>
                <w:color w:val="auto"/>
              </w:rPr>
            </w:pPr>
          </w:p>
        </w:tc>
        <w:tc>
          <w:tcPr>
            <w:tcW w:w="50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45.4</w:t>
            </w:r>
          </w:p>
        </w:tc>
      </w:tr>
      <w:tr>
        <w:trPr>
          <w:trHeight w:val="203"/>
        </w:trPr>
        <w:tc>
          <w:tcPr>
            <w:tcW w:w="5480" w:type="dxa"/>
            <w:vAlign w:val="bottom"/>
          </w:tcPr>
          <w:p>
            <w:pPr>
              <w:ind w:left="20"/>
              <w:spacing w:after="0" w:line="202" w:lineRule="exact"/>
              <w:rPr>
                <w:sz w:val="20"/>
                <w:szCs w:val="20"/>
                <w:color w:val="auto"/>
              </w:rPr>
            </w:pPr>
            <w:r>
              <w:rPr>
                <w:rFonts w:ascii="Arial" w:cs="Arial" w:eastAsia="Arial" w:hAnsi="Arial"/>
                <w:sz w:val="18"/>
                <w:szCs w:val="18"/>
                <w:color w:val="auto"/>
              </w:rPr>
              <w:t>Dilutive effect of stock-based awards</w:t>
            </w:r>
          </w:p>
        </w:tc>
        <w:tc>
          <w:tcPr>
            <w:tcW w:w="3340" w:type="dxa"/>
            <w:vAlign w:val="bottom"/>
          </w:tcPr>
          <w:p>
            <w:pPr>
              <w:spacing w:after="0"/>
              <w:rPr>
                <w:sz w:val="17"/>
                <w:szCs w:val="17"/>
                <w:color w:val="auto"/>
              </w:rPr>
            </w:pPr>
          </w:p>
        </w:tc>
        <w:tc>
          <w:tcPr>
            <w:tcW w:w="620" w:type="dxa"/>
            <w:vAlign w:val="bottom"/>
          </w:tcPr>
          <w:p>
            <w:pPr>
              <w:jc w:val="right"/>
              <w:ind w:right="50"/>
              <w:spacing w:after="0" w:line="202" w:lineRule="exact"/>
              <w:rPr>
                <w:sz w:val="20"/>
                <w:szCs w:val="20"/>
                <w:color w:val="auto"/>
              </w:rPr>
            </w:pPr>
            <w:r>
              <w:rPr>
                <w:rFonts w:ascii="Arial" w:cs="Arial" w:eastAsia="Arial" w:hAnsi="Arial"/>
                <w:sz w:val="18"/>
                <w:szCs w:val="18"/>
                <w:b w:val="1"/>
                <w:bCs w:val="1"/>
                <w:color w:val="auto"/>
              </w:rPr>
              <w:t>2.2</w:t>
            </w:r>
          </w:p>
        </w:tc>
        <w:tc>
          <w:tcPr>
            <w:tcW w:w="1300" w:type="dxa"/>
            <w:vAlign w:val="bottom"/>
          </w:tcPr>
          <w:p>
            <w:pPr>
              <w:spacing w:after="0"/>
              <w:rPr>
                <w:sz w:val="17"/>
                <w:szCs w:val="17"/>
                <w:color w:val="auto"/>
              </w:rPr>
            </w:pPr>
          </w:p>
        </w:tc>
        <w:tc>
          <w:tcPr>
            <w:tcW w:w="500" w:type="dxa"/>
            <w:vAlign w:val="bottom"/>
          </w:tcPr>
          <w:p>
            <w:pPr>
              <w:jc w:val="right"/>
              <w:spacing w:after="0" w:line="202" w:lineRule="exact"/>
              <w:rPr>
                <w:sz w:val="20"/>
                <w:szCs w:val="20"/>
                <w:color w:val="auto"/>
              </w:rPr>
            </w:pPr>
            <w:r>
              <w:rPr>
                <w:rFonts w:ascii="Arial" w:cs="Arial" w:eastAsia="Arial" w:hAnsi="Arial"/>
                <w:sz w:val="18"/>
                <w:szCs w:val="18"/>
                <w:color w:val="auto"/>
              </w:rPr>
              <w:t>1.2</w:t>
            </w:r>
          </w:p>
        </w:tc>
      </w:tr>
      <w:tr>
        <w:trPr>
          <w:trHeight w:val="203"/>
        </w:trPr>
        <w:tc>
          <w:tcPr>
            <w:tcW w:w="5480" w:type="dxa"/>
            <w:vAlign w:val="bottom"/>
            <w:tcBorders>
              <w:bottom w:val="single" w:sz="8" w:color="auto"/>
            </w:tcBorders>
            <w:shd w:val="clear" w:color="auto" w:fill="CFF0FC"/>
          </w:tcPr>
          <w:p>
            <w:pPr>
              <w:ind w:left="20"/>
              <w:spacing w:after="0" w:line="202" w:lineRule="exact"/>
              <w:rPr>
                <w:sz w:val="20"/>
                <w:szCs w:val="20"/>
                <w:color w:val="auto"/>
              </w:rPr>
            </w:pPr>
            <w:r>
              <w:rPr>
                <w:rFonts w:ascii="Arial" w:cs="Arial" w:eastAsia="Arial" w:hAnsi="Arial"/>
                <w:sz w:val="18"/>
                <w:szCs w:val="18"/>
                <w:color w:val="auto"/>
              </w:rPr>
              <w:t>Dilutive effect of convertible notes</w:t>
            </w:r>
          </w:p>
        </w:tc>
        <w:tc>
          <w:tcPr>
            <w:tcW w:w="3340" w:type="dxa"/>
            <w:vAlign w:val="bottom"/>
            <w:tcBorders>
              <w:bottom w:val="single" w:sz="8" w:color="auto"/>
            </w:tcBorders>
            <w:shd w:val="clear" w:color="auto" w:fill="CFF0FC"/>
          </w:tcPr>
          <w:p>
            <w:pPr>
              <w:spacing w:after="0"/>
              <w:rPr>
                <w:sz w:val="17"/>
                <w:szCs w:val="17"/>
                <w:color w:val="auto"/>
              </w:rPr>
            </w:pPr>
          </w:p>
        </w:tc>
        <w:tc>
          <w:tcPr>
            <w:tcW w:w="620" w:type="dxa"/>
            <w:vAlign w:val="bottom"/>
            <w:tcBorders>
              <w:bottom w:val="single" w:sz="8" w:color="auto"/>
            </w:tcBorders>
            <w:shd w:val="clear" w:color="auto" w:fill="CFF0FC"/>
          </w:tcPr>
          <w:p>
            <w:pPr>
              <w:jc w:val="right"/>
              <w:ind w:right="50"/>
              <w:spacing w:after="0" w:line="202" w:lineRule="exact"/>
              <w:rPr>
                <w:sz w:val="20"/>
                <w:szCs w:val="20"/>
                <w:color w:val="auto"/>
              </w:rPr>
            </w:pPr>
            <w:r>
              <w:rPr>
                <w:rFonts w:ascii="Arial" w:cs="Arial" w:eastAsia="Arial" w:hAnsi="Arial"/>
                <w:sz w:val="18"/>
                <w:szCs w:val="18"/>
                <w:b w:val="1"/>
                <w:bCs w:val="1"/>
                <w:color w:val="auto"/>
              </w:rPr>
              <w:t>5.2</w:t>
            </w:r>
          </w:p>
        </w:tc>
        <w:tc>
          <w:tcPr>
            <w:tcW w:w="1300" w:type="dxa"/>
            <w:vAlign w:val="bottom"/>
            <w:tcBorders>
              <w:bottom w:val="single" w:sz="8" w:color="auto"/>
            </w:tcBorders>
            <w:shd w:val="clear" w:color="auto" w:fill="CFF0FC"/>
          </w:tcPr>
          <w:p>
            <w:pPr>
              <w:spacing w:after="0"/>
              <w:rPr>
                <w:sz w:val="17"/>
                <w:szCs w:val="17"/>
                <w:color w:val="auto"/>
              </w:rPr>
            </w:pPr>
          </w:p>
        </w:tc>
        <w:tc>
          <w:tcPr>
            <w:tcW w:w="50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9.1</w:t>
            </w:r>
          </w:p>
        </w:tc>
      </w:tr>
      <w:tr>
        <w:trPr>
          <w:trHeight w:val="196"/>
        </w:trPr>
        <w:tc>
          <w:tcPr>
            <w:tcW w:w="5480" w:type="dxa"/>
            <w:vAlign w:val="bottom"/>
          </w:tcPr>
          <w:p>
            <w:pPr>
              <w:ind w:left="20"/>
              <w:spacing w:after="0" w:line="196" w:lineRule="exact"/>
              <w:rPr>
                <w:sz w:val="20"/>
                <w:szCs w:val="20"/>
                <w:color w:val="auto"/>
              </w:rPr>
            </w:pPr>
            <w:r>
              <w:rPr>
                <w:rFonts w:ascii="Arial" w:cs="Arial" w:eastAsia="Arial" w:hAnsi="Arial"/>
                <w:sz w:val="18"/>
                <w:szCs w:val="18"/>
                <w:color w:val="auto"/>
              </w:rPr>
              <w:t>Weighted average shares outstanding, diluted</w:t>
            </w:r>
          </w:p>
        </w:tc>
        <w:tc>
          <w:tcPr>
            <w:tcW w:w="3340" w:type="dxa"/>
            <w:vAlign w:val="bottom"/>
          </w:tcPr>
          <w:p>
            <w:pPr>
              <w:spacing w:after="0"/>
              <w:rPr>
                <w:sz w:val="17"/>
                <w:szCs w:val="17"/>
                <w:color w:val="auto"/>
              </w:rPr>
            </w:pPr>
          </w:p>
        </w:tc>
        <w:tc>
          <w:tcPr>
            <w:tcW w:w="620" w:type="dxa"/>
            <w:vAlign w:val="bottom"/>
          </w:tcPr>
          <w:p>
            <w:pPr>
              <w:jc w:val="right"/>
              <w:ind w:right="50"/>
              <w:spacing w:after="0" w:line="196" w:lineRule="exact"/>
              <w:rPr>
                <w:sz w:val="20"/>
                <w:szCs w:val="20"/>
                <w:color w:val="auto"/>
              </w:rPr>
            </w:pPr>
            <w:r>
              <w:rPr>
                <w:rFonts w:ascii="Arial" w:cs="Arial" w:eastAsia="Arial" w:hAnsi="Arial"/>
                <w:sz w:val="18"/>
                <w:szCs w:val="18"/>
                <w:b w:val="1"/>
                <w:bCs w:val="1"/>
                <w:color w:val="auto"/>
              </w:rPr>
              <w:t>53.8</w:t>
            </w:r>
          </w:p>
        </w:tc>
        <w:tc>
          <w:tcPr>
            <w:tcW w:w="1300" w:type="dxa"/>
            <w:vAlign w:val="bottom"/>
          </w:tcPr>
          <w:p>
            <w:pPr>
              <w:spacing w:after="0"/>
              <w:rPr>
                <w:sz w:val="17"/>
                <w:szCs w:val="17"/>
                <w:color w:val="auto"/>
              </w:rPr>
            </w:pPr>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55.7</w:t>
            </w:r>
          </w:p>
        </w:tc>
      </w:tr>
      <w:tr>
        <w:trPr>
          <w:trHeight w:val="203"/>
        </w:trPr>
        <w:tc>
          <w:tcPr>
            <w:tcW w:w="5480" w:type="dxa"/>
            <w:vAlign w:val="bottom"/>
            <w:tcBorders>
              <w:bottom w:val="single" w:sz="8" w:color="auto"/>
            </w:tcBorders>
            <w:shd w:val="clear" w:color="auto" w:fill="CFF0FC"/>
          </w:tcPr>
          <w:p>
            <w:pPr>
              <w:spacing w:after="0"/>
              <w:rPr>
                <w:sz w:val="17"/>
                <w:szCs w:val="17"/>
                <w:color w:val="auto"/>
              </w:rPr>
            </w:pPr>
          </w:p>
        </w:tc>
        <w:tc>
          <w:tcPr>
            <w:tcW w:w="3340" w:type="dxa"/>
            <w:vAlign w:val="bottom"/>
            <w:tcBorders>
              <w:bottom w:val="single" w:sz="8" w:color="auto"/>
            </w:tcBorders>
            <w:shd w:val="clear" w:color="auto" w:fill="CFF0FC"/>
          </w:tcPr>
          <w:p>
            <w:pPr>
              <w:spacing w:after="0"/>
              <w:rPr>
                <w:sz w:val="17"/>
                <w:szCs w:val="17"/>
                <w:color w:val="auto"/>
              </w:rPr>
            </w:pPr>
          </w:p>
        </w:tc>
        <w:tc>
          <w:tcPr>
            <w:tcW w:w="620" w:type="dxa"/>
            <w:vAlign w:val="bottom"/>
            <w:tcBorders>
              <w:bottom w:val="single" w:sz="8" w:color="auto"/>
            </w:tcBorders>
            <w:shd w:val="clear" w:color="auto" w:fill="CFF0FC"/>
          </w:tcPr>
          <w:p>
            <w:pPr>
              <w:spacing w:after="0"/>
              <w:rPr>
                <w:sz w:val="17"/>
                <w:szCs w:val="17"/>
                <w:color w:val="auto"/>
              </w:rPr>
            </w:pPr>
          </w:p>
        </w:tc>
        <w:tc>
          <w:tcPr>
            <w:tcW w:w="1300" w:type="dxa"/>
            <w:vAlign w:val="bottom"/>
            <w:tcBorders>
              <w:bottom w:val="single" w:sz="8" w:color="auto"/>
            </w:tcBorders>
            <w:shd w:val="clear" w:color="auto" w:fill="CFF0FC"/>
          </w:tcPr>
          <w:p>
            <w:pPr>
              <w:spacing w:after="0"/>
              <w:rPr>
                <w:sz w:val="17"/>
                <w:szCs w:val="17"/>
                <w:color w:val="auto"/>
              </w:rPr>
            </w:pPr>
          </w:p>
        </w:tc>
        <w:tc>
          <w:tcPr>
            <w:tcW w:w="500" w:type="dxa"/>
            <w:vAlign w:val="bottom"/>
            <w:tcBorders>
              <w:bottom w:val="single" w:sz="8" w:color="auto"/>
            </w:tcBorders>
            <w:shd w:val="clear" w:color="auto" w:fill="CFF0FC"/>
          </w:tcPr>
          <w:p>
            <w:pPr>
              <w:spacing w:after="0"/>
              <w:rPr>
                <w:sz w:val="17"/>
                <w:szCs w:val="17"/>
                <w:color w:val="auto"/>
              </w:rPr>
            </w:pPr>
          </w:p>
        </w:tc>
      </w:tr>
      <w:tr>
        <w:trPr>
          <w:trHeight w:val="196"/>
        </w:trPr>
        <w:tc>
          <w:tcPr>
            <w:tcW w:w="5480" w:type="dxa"/>
            <w:vAlign w:val="bottom"/>
            <w:tcBorders>
              <w:bottom w:val="single" w:sz="8" w:color="auto"/>
            </w:tcBorders>
          </w:tcPr>
          <w:p>
            <w:pPr>
              <w:ind w:left="20"/>
              <w:spacing w:after="0" w:line="196" w:lineRule="exact"/>
              <w:rPr>
                <w:sz w:val="20"/>
                <w:szCs w:val="20"/>
                <w:color w:val="auto"/>
              </w:rPr>
            </w:pPr>
            <w:r>
              <w:rPr>
                <w:rFonts w:ascii="Arial" w:cs="Arial" w:eastAsia="Arial" w:hAnsi="Arial"/>
                <w:sz w:val="18"/>
                <w:szCs w:val="18"/>
                <w:b w:val="1"/>
                <w:bCs w:val="1"/>
                <w:color w:val="auto"/>
              </w:rPr>
              <w:t>Basic earnings (loss) per share</w:t>
            </w:r>
          </w:p>
        </w:tc>
        <w:tc>
          <w:tcPr>
            <w:tcW w:w="3340" w:type="dxa"/>
            <w:vAlign w:val="bottom"/>
            <w:tcBorders>
              <w:bottom w:val="single" w:sz="8" w:color="auto"/>
            </w:tcBorders>
          </w:tcPr>
          <w:p>
            <w:pPr>
              <w:jc w:val="right"/>
              <w:ind w:right="970"/>
              <w:spacing w:after="0" w:line="196" w:lineRule="exact"/>
              <w:rPr>
                <w:sz w:val="20"/>
                <w:szCs w:val="20"/>
                <w:color w:val="auto"/>
              </w:rPr>
            </w:pPr>
            <w:r>
              <w:rPr>
                <w:rFonts w:ascii="Arial" w:cs="Arial" w:eastAsia="Arial" w:hAnsi="Arial"/>
                <w:sz w:val="18"/>
                <w:szCs w:val="18"/>
                <w:b w:val="1"/>
                <w:bCs w:val="1"/>
                <w:color w:val="auto"/>
              </w:rPr>
              <w:t>$</w:t>
            </w:r>
          </w:p>
        </w:tc>
        <w:tc>
          <w:tcPr>
            <w:tcW w:w="620" w:type="dxa"/>
            <w:vAlign w:val="bottom"/>
            <w:tcBorders>
              <w:bottom w:val="single" w:sz="8" w:color="auto"/>
            </w:tcBorders>
          </w:tcPr>
          <w:p>
            <w:pPr>
              <w:jc w:val="right"/>
              <w:ind w:right="50"/>
              <w:spacing w:after="0" w:line="196" w:lineRule="exact"/>
              <w:rPr>
                <w:sz w:val="20"/>
                <w:szCs w:val="20"/>
                <w:color w:val="auto"/>
              </w:rPr>
            </w:pPr>
            <w:r>
              <w:rPr>
                <w:rFonts w:ascii="Arial" w:cs="Arial" w:eastAsia="Arial" w:hAnsi="Arial"/>
                <w:sz w:val="18"/>
                <w:szCs w:val="18"/>
                <w:b w:val="1"/>
                <w:bCs w:val="1"/>
                <w:color w:val="auto"/>
              </w:rPr>
              <w:t>0.80</w:t>
            </w:r>
          </w:p>
        </w:tc>
        <w:tc>
          <w:tcPr>
            <w:tcW w:w="1300" w:type="dxa"/>
            <w:vAlign w:val="bottom"/>
            <w:tcBorders>
              <w:bottom w:val="single" w:sz="8" w:color="auto"/>
            </w:tcBorders>
          </w:tcPr>
          <w:p>
            <w:pPr>
              <w:jc w:val="right"/>
              <w:ind w:right="990"/>
              <w:spacing w:after="0" w:line="196" w:lineRule="exact"/>
              <w:rPr>
                <w:sz w:val="20"/>
                <w:szCs w:val="20"/>
                <w:color w:val="auto"/>
              </w:rPr>
            </w:pPr>
            <w:r>
              <w:rPr>
                <w:rFonts w:ascii="Arial" w:cs="Arial" w:eastAsia="Arial" w:hAnsi="Arial"/>
                <w:sz w:val="18"/>
                <w:szCs w:val="18"/>
                <w:color w:val="auto"/>
              </w:rPr>
              <w:t>$</w:t>
            </w:r>
          </w:p>
        </w:tc>
        <w:tc>
          <w:tcPr>
            <w:tcW w:w="5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0.22</w:t>
            </w:r>
          </w:p>
        </w:tc>
      </w:tr>
      <w:tr>
        <w:trPr>
          <w:trHeight w:val="196"/>
        </w:trPr>
        <w:tc>
          <w:tcPr>
            <w:tcW w:w="5480" w:type="dxa"/>
            <w:vAlign w:val="bottom"/>
            <w:tcBorders>
              <w:bottom w:val="single" w:sz="8" w:color="auto"/>
            </w:tcBorders>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Diluted earnings (loss) per share</w:t>
            </w:r>
          </w:p>
        </w:tc>
        <w:tc>
          <w:tcPr>
            <w:tcW w:w="3340" w:type="dxa"/>
            <w:vAlign w:val="bottom"/>
            <w:tcBorders>
              <w:bottom w:val="single" w:sz="8" w:color="auto"/>
            </w:tcBorders>
            <w:shd w:val="clear" w:color="auto" w:fill="CFF0FC"/>
          </w:tcPr>
          <w:p>
            <w:pPr>
              <w:jc w:val="right"/>
              <w:ind w:right="970"/>
              <w:spacing w:after="0" w:line="196" w:lineRule="exact"/>
              <w:rPr>
                <w:sz w:val="20"/>
                <w:szCs w:val="20"/>
                <w:color w:val="auto"/>
              </w:rPr>
            </w:pPr>
            <w:r>
              <w:rPr>
                <w:rFonts w:ascii="Arial" w:cs="Arial" w:eastAsia="Arial" w:hAnsi="Arial"/>
                <w:sz w:val="18"/>
                <w:szCs w:val="18"/>
                <w:b w:val="1"/>
                <w:bCs w:val="1"/>
                <w:color w:val="auto"/>
              </w:rPr>
              <w:t>$</w:t>
            </w:r>
          </w:p>
        </w:tc>
        <w:tc>
          <w:tcPr>
            <w:tcW w:w="620" w:type="dxa"/>
            <w:vAlign w:val="bottom"/>
            <w:tcBorders>
              <w:bottom w:val="single" w:sz="8" w:color="auto"/>
            </w:tcBorders>
            <w:shd w:val="clear" w:color="auto" w:fill="CFF0FC"/>
          </w:tcPr>
          <w:p>
            <w:pPr>
              <w:jc w:val="right"/>
              <w:ind w:right="50"/>
              <w:spacing w:after="0" w:line="196" w:lineRule="exact"/>
              <w:rPr>
                <w:sz w:val="20"/>
                <w:szCs w:val="20"/>
                <w:color w:val="auto"/>
              </w:rPr>
            </w:pPr>
            <w:r>
              <w:rPr>
                <w:rFonts w:ascii="Arial" w:cs="Arial" w:eastAsia="Arial" w:hAnsi="Arial"/>
                <w:sz w:val="18"/>
                <w:szCs w:val="18"/>
                <w:b w:val="1"/>
                <w:bCs w:val="1"/>
                <w:color w:val="auto"/>
              </w:rPr>
              <w:t>0.70</w:t>
            </w:r>
          </w:p>
        </w:tc>
        <w:tc>
          <w:tcPr>
            <w:tcW w:w="1300" w:type="dxa"/>
            <w:vAlign w:val="bottom"/>
            <w:tcBorders>
              <w:bottom w:val="single" w:sz="8" w:color="auto"/>
            </w:tcBorders>
            <w:shd w:val="clear" w:color="auto" w:fill="CFF0FC"/>
          </w:tcPr>
          <w:p>
            <w:pPr>
              <w:jc w:val="right"/>
              <w:ind w:right="990"/>
              <w:spacing w:after="0" w:line="196" w:lineRule="exact"/>
              <w:rPr>
                <w:sz w:val="20"/>
                <w:szCs w:val="20"/>
                <w:color w:val="auto"/>
              </w:rPr>
            </w:pPr>
            <w:r>
              <w:rPr>
                <w:rFonts w:ascii="Arial" w:cs="Arial" w:eastAsia="Arial" w:hAnsi="Arial"/>
                <w:sz w:val="18"/>
                <w:szCs w:val="18"/>
                <w:color w:val="auto"/>
              </w:rPr>
              <w:t>$</w:t>
            </w:r>
          </w:p>
        </w:tc>
        <w:tc>
          <w:tcPr>
            <w:tcW w:w="50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0.20</w:t>
            </w: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 Inventories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The components of inventories, net of reserves as of March 31, 2022 and December 31, 2021 were as follows:</w:t>
      </w:r>
    </w:p>
    <w:p>
      <w:pPr>
        <w:spacing w:after="0" w:line="14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980" w:type="dxa"/>
            <w:vAlign w:val="bottom"/>
          </w:tcPr>
          <w:p>
            <w:pPr>
              <w:spacing w:after="0"/>
              <w:rPr>
                <w:sz w:val="18"/>
                <w:szCs w:val="18"/>
                <w:color w:val="auto"/>
              </w:rPr>
            </w:pPr>
          </w:p>
        </w:tc>
        <w:tc>
          <w:tcPr>
            <w:tcW w:w="3960" w:type="dxa"/>
            <w:vAlign w:val="bottom"/>
          </w:tcPr>
          <w:p>
            <w:pPr>
              <w:spacing w:after="0"/>
              <w:rPr>
                <w:sz w:val="18"/>
                <w:szCs w:val="18"/>
                <w:color w:val="auto"/>
              </w:rPr>
            </w:pPr>
          </w:p>
        </w:tc>
        <w:tc>
          <w:tcPr>
            <w:tcW w:w="1520" w:type="dxa"/>
            <w:vAlign w:val="bottom"/>
          </w:tcPr>
          <w:p>
            <w:pPr>
              <w:jc w:val="right"/>
              <w:ind w:right="490"/>
              <w:spacing w:after="0"/>
              <w:rPr>
                <w:sz w:val="20"/>
                <w:szCs w:val="20"/>
                <w:color w:val="auto"/>
              </w:rPr>
            </w:pPr>
            <w:r>
              <w:rPr>
                <w:rFonts w:ascii="Arial" w:cs="Arial" w:eastAsia="Arial" w:hAnsi="Arial"/>
                <w:sz w:val="18"/>
                <w:szCs w:val="18"/>
                <w:b w:val="1"/>
                <w:bCs w:val="1"/>
                <w:color w:val="auto"/>
              </w:rPr>
              <w:t>March 31,</w:t>
            </w:r>
          </w:p>
        </w:tc>
        <w:tc>
          <w:tcPr>
            <w:tcW w:w="280" w:type="dxa"/>
            <w:vAlign w:val="bottom"/>
          </w:tcPr>
          <w:p>
            <w:pPr>
              <w:spacing w:after="0"/>
              <w:rPr>
                <w:sz w:val="18"/>
                <w:szCs w:val="18"/>
                <w:color w:val="auto"/>
              </w:rPr>
            </w:pPr>
          </w:p>
        </w:tc>
        <w:tc>
          <w:tcPr>
            <w:tcW w:w="1500" w:type="dxa"/>
            <w:vAlign w:val="bottom"/>
          </w:tcPr>
          <w:p>
            <w:pPr>
              <w:jc w:val="right"/>
              <w:ind w:right="290"/>
              <w:spacing w:after="0"/>
              <w:rPr>
                <w:sz w:val="20"/>
                <w:szCs w:val="20"/>
                <w:color w:val="auto"/>
              </w:rPr>
            </w:pPr>
            <w:r>
              <w:rPr>
                <w:rFonts w:ascii="Arial" w:cs="Arial" w:eastAsia="Arial" w:hAnsi="Arial"/>
                <w:sz w:val="18"/>
                <w:szCs w:val="18"/>
                <w:b w:val="1"/>
                <w:bCs w:val="1"/>
                <w:color w:val="auto"/>
                <w:w w:val="93"/>
              </w:rPr>
              <w:t>December 31,</w:t>
            </w:r>
          </w:p>
        </w:tc>
      </w:tr>
      <w:tr>
        <w:trPr>
          <w:trHeight w:val="216"/>
        </w:trPr>
        <w:tc>
          <w:tcPr>
            <w:tcW w:w="3980" w:type="dxa"/>
            <w:vAlign w:val="bottom"/>
            <w:tcBorders>
              <w:bottom w:val="single" w:sz="8" w:color="auto"/>
            </w:tcBorders>
          </w:tcPr>
          <w:p>
            <w:pPr>
              <w:spacing w:after="0"/>
              <w:rPr>
                <w:sz w:val="18"/>
                <w:szCs w:val="18"/>
                <w:color w:val="auto"/>
              </w:rPr>
            </w:pPr>
          </w:p>
        </w:tc>
        <w:tc>
          <w:tcPr>
            <w:tcW w:w="396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ind w:right="710"/>
              <w:spacing w:after="0"/>
              <w:rPr>
                <w:sz w:val="20"/>
                <w:szCs w:val="20"/>
                <w:color w:val="auto"/>
              </w:rPr>
            </w:pPr>
            <w:r>
              <w:rPr>
                <w:rFonts w:ascii="Arial" w:cs="Arial" w:eastAsia="Arial" w:hAnsi="Arial"/>
                <w:sz w:val="18"/>
                <w:szCs w:val="18"/>
                <w:b w:val="1"/>
                <w:bCs w:val="1"/>
                <w:color w:val="auto"/>
              </w:rPr>
              <w:t>2022</w:t>
            </w:r>
          </w:p>
        </w:tc>
        <w:tc>
          <w:tcPr>
            <w:tcW w:w="28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2021</w:t>
            </w:r>
          </w:p>
        </w:tc>
      </w:tr>
      <w:tr>
        <w:trPr>
          <w:trHeight w:val="196"/>
        </w:trPr>
        <w:tc>
          <w:tcPr>
            <w:tcW w:w="398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Manufacturing supplies</w:t>
            </w:r>
          </w:p>
        </w:tc>
        <w:tc>
          <w:tcPr>
            <w:tcW w:w="3960" w:type="dxa"/>
            <w:vAlign w:val="bottom"/>
            <w:shd w:val="clear" w:color="auto" w:fill="CFF0FC"/>
          </w:tcPr>
          <w:p>
            <w:pPr>
              <w:jc w:val="right"/>
              <w:ind w:right="50"/>
              <w:spacing w:after="0" w:line="196" w:lineRule="exact"/>
              <w:rPr>
                <w:sz w:val="20"/>
                <w:szCs w:val="20"/>
                <w:color w:val="auto"/>
              </w:rPr>
            </w:pPr>
            <w:r>
              <w:rPr>
                <w:rFonts w:ascii="Arial" w:cs="Arial" w:eastAsia="Arial" w:hAnsi="Arial"/>
                <w:sz w:val="18"/>
                <w:szCs w:val="18"/>
                <w:b w:val="1"/>
                <w:bCs w:val="1"/>
                <w:color w:val="auto"/>
              </w:rPr>
              <w:t>$</w:t>
            </w:r>
          </w:p>
        </w:tc>
        <w:tc>
          <w:tcPr>
            <w:tcW w:w="1520" w:type="dxa"/>
            <w:vAlign w:val="bottom"/>
            <w:shd w:val="clear" w:color="auto" w:fill="CFF0FC"/>
          </w:tcPr>
          <w:p>
            <w:pPr>
              <w:jc w:val="right"/>
              <w:ind w:right="110"/>
              <w:spacing w:after="0" w:line="196" w:lineRule="exact"/>
              <w:rPr>
                <w:sz w:val="20"/>
                <w:szCs w:val="20"/>
                <w:color w:val="auto"/>
              </w:rPr>
            </w:pPr>
            <w:r>
              <w:rPr>
                <w:rFonts w:ascii="Arial" w:cs="Arial" w:eastAsia="Arial" w:hAnsi="Arial"/>
                <w:sz w:val="18"/>
                <w:szCs w:val="18"/>
                <w:b w:val="1"/>
                <w:bCs w:val="1"/>
                <w:color w:val="auto"/>
              </w:rPr>
              <w:t>29.4</w:t>
            </w:r>
          </w:p>
        </w:tc>
        <w:tc>
          <w:tcPr>
            <w:tcW w:w="28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150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29.3</w:t>
            </w:r>
          </w:p>
        </w:tc>
      </w:tr>
      <w:tr>
        <w:trPr>
          <w:trHeight w:val="203"/>
        </w:trPr>
        <w:tc>
          <w:tcPr>
            <w:tcW w:w="3980" w:type="dxa"/>
            <w:vAlign w:val="bottom"/>
          </w:tcPr>
          <w:p>
            <w:pPr>
              <w:ind w:left="20"/>
              <w:spacing w:after="0" w:line="202" w:lineRule="exact"/>
              <w:rPr>
                <w:sz w:val="20"/>
                <w:szCs w:val="20"/>
                <w:color w:val="auto"/>
              </w:rPr>
            </w:pPr>
            <w:r>
              <w:rPr>
                <w:rFonts w:ascii="Arial" w:cs="Arial" w:eastAsia="Arial" w:hAnsi="Arial"/>
                <w:sz w:val="18"/>
                <w:szCs w:val="18"/>
                <w:color w:val="auto"/>
              </w:rPr>
              <w:t>Raw materials</w:t>
            </w:r>
          </w:p>
        </w:tc>
        <w:tc>
          <w:tcPr>
            <w:tcW w:w="3960" w:type="dxa"/>
            <w:vAlign w:val="bottom"/>
          </w:tcPr>
          <w:p>
            <w:pPr>
              <w:spacing w:after="0"/>
              <w:rPr>
                <w:sz w:val="17"/>
                <w:szCs w:val="17"/>
                <w:color w:val="auto"/>
              </w:rPr>
            </w:pPr>
          </w:p>
        </w:tc>
        <w:tc>
          <w:tcPr>
            <w:tcW w:w="1520" w:type="dxa"/>
            <w:vAlign w:val="bottom"/>
          </w:tcPr>
          <w:p>
            <w:pPr>
              <w:jc w:val="right"/>
              <w:ind w:right="110"/>
              <w:spacing w:after="0" w:line="202" w:lineRule="exact"/>
              <w:rPr>
                <w:sz w:val="20"/>
                <w:szCs w:val="20"/>
                <w:color w:val="auto"/>
              </w:rPr>
            </w:pPr>
            <w:r>
              <w:rPr>
                <w:rFonts w:ascii="Arial" w:cs="Arial" w:eastAsia="Arial" w:hAnsi="Arial"/>
                <w:sz w:val="18"/>
                <w:szCs w:val="18"/>
                <w:b w:val="1"/>
                <w:bCs w:val="1"/>
                <w:color w:val="auto"/>
              </w:rPr>
              <w:t>38.4</w:t>
            </w:r>
          </w:p>
        </w:tc>
        <w:tc>
          <w:tcPr>
            <w:tcW w:w="280" w:type="dxa"/>
            <w:vAlign w:val="bottom"/>
          </w:tcPr>
          <w:p>
            <w:pPr>
              <w:spacing w:after="0"/>
              <w:rPr>
                <w:sz w:val="17"/>
                <w:szCs w:val="17"/>
                <w:color w:val="auto"/>
              </w:rPr>
            </w:pPr>
          </w:p>
        </w:tc>
        <w:tc>
          <w:tcPr>
            <w:tcW w:w="1500" w:type="dxa"/>
            <w:vAlign w:val="bottom"/>
          </w:tcPr>
          <w:p>
            <w:pPr>
              <w:jc w:val="right"/>
              <w:ind w:right="30"/>
              <w:spacing w:after="0" w:line="202" w:lineRule="exact"/>
              <w:rPr>
                <w:sz w:val="20"/>
                <w:szCs w:val="20"/>
                <w:color w:val="auto"/>
              </w:rPr>
            </w:pPr>
            <w:r>
              <w:rPr>
                <w:rFonts w:ascii="Arial" w:cs="Arial" w:eastAsia="Arial" w:hAnsi="Arial"/>
                <w:sz w:val="18"/>
                <w:szCs w:val="18"/>
                <w:color w:val="auto"/>
              </w:rPr>
              <w:t>37.3</w:t>
            </w:r>
          </w:p>
        </w:tc>
      </w:tr>
      <w:tr>
        <w:trPr>
          <w:trHeight w:val="203"/>
        </w:trPr>
        <w:tc>
          <w:tcPr>
            <w:tcW w:w="398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Work in process</w:t>
            </w:r>
          </w:p>
        </w:tc>
        <w:tc>
          <w:tcPr>
            <w:tcW w:w="3960" w:type="dxa"/>
            <w:vAlign w:val="bottom"/>
            <w:shd w:val="clear" w:color="auto" w:fill="CFF0FC"/>
          </w:tcPr>
          <w:p>
            <w:pPr>
              <w:spacing w:after="0"/>
              <w:rPr>
                <w:sz w:val="17"/>
                <w:szCs w:val="17"/>
                <w:color w:val="auto"/>
              </w:rPr>
            </w:pPr>
          </w:p>
        </w:tc>
        <w:tc>
          <w:tcPr>
            <w:tcW w:w="1520" w:type="dxa"/>
            <w:vAlign w:val="bottom"/>
            <w:shd w:val="clear" w:color="auto" w:fill="CFF0FC"/>
          </w:tcPr>
          <w:p>
            <w:pPr>
              <w:jc w:val="right"/>
              <w:ind w:right="110"/>
              <w:spacing w:after="0" w:line="202" w:lineRule="exact"/>
              <w:rPr>
                <w:sz w:val="20"/>
                <w:szCs w:val="20"/>
                <w:color w:val="auto"/>
              </w:rPr>
            </w:pPr>
            <w:r>
              <w:rPr>
                <w:rFonts w:ascii="Arial" w:cs="Arial" w:eastAsia="Arial" w:hAnsi="Arial"/>
                <w:sz w:val="18"/>
                <w:szCs w:val="18"/>
                <w:b w:val="1"/>
                <w:bCs w:val="1"/>
                <w:color w:val="auto"/>
              </w:rPr>
              <w:t>111.9</w:t>
            </w:r>
          </w:p>
        </w:tc>
        <w:tc>
          <w:tcPr>
            <w:tcW w:w="280" w:type="dxa"/>
            <w:vAlign w:val="bottom"/>
            <w:shd w:val="clear" w:color="auto" w:fill="CFF0FC"/>
          </w:tcPr>
          <w:p>
            <w:pPr>
              <w:spacing w:after="0"/>
              <w:rPr>
                <w:sz w:val="17"/>
                <w:szCs w:val="17"/>
                <w:color w:val="auto"/>
              </w:rPr>
            </w:pPr>
          </w:p>
        </w:tc>
        <w:tc>
          <w:tcPr>
            <w:tcW w:w="1500" w:type="dxa"/>
            <w:vAlign w:val="bottom"/>
            <w:shd w:val="clear" w:color="auto" w:fill="CFF0FC"/>
          </w:tcPr>
          <w:p>
            <w:pPr>
              <w:jc w:val="right"/>
              <w:ind w:right="30"/>
              <w:spacing w:after="0" w:line="202" w:lineRule="exact"/>
              <w:rPr>
                <w:sz w:val="20"/>
                <w:szCs w:val="20"/>
                <w:color w:val="auto"/>
              </w:rPr>
            </w:pPr>
            <w:r>
              <w:rPr>
                <w:rFonts w:ascii="Arial" w:cs="Arial" w:eastAsia="Arial" w:hAnsi="Arial"/>
                <w:sz w:val="18"/>
                <w:szCs w:val="18"/>
                <w:color w:val="auto"/>
              </w:rPr>
              <w:t>89.3</w:t>
            </w:r>
          </w:p>
        </w:tc>
      </w:tr>
      <w:tr>
        <w:trPr>
          <w:trHeight w:val="203"/>
        </w:trPr>
        <w:tc>
          <w:tcPr>
            <w:tcW w:w="3980" w:type="dxa"/>
            <w:vAlign w:val="bottom"/>
            <w:tcBorders>
              <w:bottom w:val="single" w:sz="8" w:color="auto"/>
            </w:tcBorders>
          </w:tcPr>
          <w:p>
            <w:pPr>
              <w:ind w:left="20"/>
              <w:spacing w:after="0" w:line="202" w:lineRule="exact"/>
              <w:rPr>
                <w:sz w:val="20"/>
                <w:szCs w:val="20"/>
                <w:color w:val="auto"/>
              </w:rPr>
            </w:pPr>
            <w:r>
              <w:rPr>
                <w:rFonts w:ascii="Arial" w:cs="Arial" w:eastAsia="Arial" w:hAnsi="Arial"/>
                <w:sz w:val="18"/>
                <w:szCs w:val="18"/>
                <w:color w:val="auto"/>
              </w:rPr>
              <w:t>Finished products</w:t>
            </w:r>
          </w:p>
        </w:tc>
        <w:tc>
          <w:tcPr>
            <w:tcW w:w="3960" w:type="dxa"/>
            <w:vAlign w:val="bottom"/>
            <w:tcBorders>
              <w:bottom w:val="single" w:sz="8" w:color="auto"/>
            </w:tcBorders>
          </w:tcPr>
          <w:p>
            <w:pPr>
              <w:spacing w:after="0"/>
              <w:rPr>
                <w:sz w:val="17"/>
                <w:szCs w:val="17"/>
                <w:color w:val="auto"/>
              </w:rPr>
            </w:pPr>
          </w:p>
        </w:tc>
        <w:tc>
          <w:tcPr>
            <w:tcW w:w="1520" w:type="dxa"/>
            <w:vAlign w:val="bottom"/>
            <w:tcBorders>
              <w:bottom w:val="single" w:sz="8" w:color="auto"/>
            </w:tcBorders>
          </w:tcPr>
          <w:p>
            <w:pPr>
              <w:jc w:val="right"/>
              <w:ind w:right="110"/>
              <w:spacing w:after="0" w:line="202" w:lineRule="exact"/>
              <w:rPr>
                <w:sz w:val="20"/>
                <w:szCs w:val="20"/>
                <w:color w:val="auto"/>
              </w:rPr>
            </w:pPr>
            <w:r>
              <w:rPr>
                <w:rFonts w:ascii="Arial" w:cs="Arial" w:eastAsia="Arial" w:hAnsi="Arial"/>
                <w:sz w:val="18"/>
                <w:szCs w:val="18"/>
                <w:b w:val="1"/>
                <w:bCs w:val="1"/>
                <w:color w:val="auto"/>
              </w:rPr>
              <w:t>50.9</w:t>
            </w:r>
          </w:p>
        </w:tc>
        <w:tc>
          <w:tcPr>
            <w:tcW w:w="28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tcPr>
          <w:p>
            <w:pPr>
              <w:jc w:val="right"/>
              <w:ind w:right="30"/>
              <w:spacing w:after="0" w:line="202" w:lineRule="exact"/>
              <w:rPr>
                <w:sz w:val="20"/>
                <w:szCs w:val="20"/>
                <w:color w:val="auto"/>
              </w:rPr>
            </w:pPr>
            <w:r>
              <w:rPr>
                <w:rFonts w:ascii="Arial" w:cs="Arial" w:eastAsia="Arial" w:hAnsi="Arial"/>
                <w:sz w:val="18"/>
                <w:szCs w:val="18"/>
                <w:color w:val="auto"/>
              </w:rPr>
              <w:t>55.8</w:t>
            </w:r>
          </w:p>
        </w:tc>
      </w:tr>
      <w:tr>
        <w:trPr>
          <w:trHeight w:val="196"/>
        </w:trPr>
        <w:tc>
          <w:tcPr>
            <w:tcW w:w="3980" w:type="dxa"/>
            <w:vAlign w:val="bottom"/>
            <w:shd w:val="clear" w:color="auto" w:fill="CFF0FC"/>
          </w:tcPr>
          <w:p>
            <w:pPr>
              <w:ind w:left="200"/>
              <w:spacing w:after="0" w:line="196" w:lineRule="exact"/>
              <w:rPr>
                <w:sz w:val="20"/>
                <w:szCs w:val="20"/>
                <w:color w:val="auto"/>
              </w:rPr>
            </w:pPr>
            <w:r>
              <w:rPr>
                <w:rFonts w:ascii="Arial" w:cs="Arial" w:eastAsia="Arial" w:hAnsi="Arial"/>
                <w:sz w:val="18"/>
                <w:szCs w:val="18"/>
                <w:color w:val="auto"/>
              </w:rPr>
              <w:t>Gross inventory</w:t>
            </w:r>
          </w:p>
        </w:tc>
        <w:tc>
          <w:tcPr>
            <w:tcW w:w="3960" w:type="dxa"/>
            <w:vAlign w:val="bottom"/>
            <w:shd w:val="clear" w:color="auto" w:fill="CFF0FC"/>
          </w:tcPr>
          <w:p>
            <w:pPr>
              <w:spacing w:after="0"/>
              <w:rPr>
                <w:sz w:val="17"/>
                <w:szCs w:val="17"/>
                <w:color w:val="auto"/>
              </w:rPr>
            </w:pPr>
          </w:p>
        </w:tc>
        <w:tc>
          <w:tcPr>
            <w:tcW w:w="1520" w:type="dxa"/>
            <w:vAlign w:val="bottom"/>
            <w:shd w:val="clear" w:color="auto" w:fill="CFF0FC"/>
          </w:tcPr>
          <w:p>
            <w:pPr>
              <w:jc w:val="right"/>
              <w:ind w:right="110"/>
              <w:spacing w:after="0" w:line="196" w:lineRule="exact"/>
              <w:rPr>
                <w:sz w:val="20"/>
                <w:szCs w:val="20"/>
                <w:color w:val="auto"/>
              </w:rPr>
            </w:pPr>
            <w:r>
              <w:rPr>
                <w:rFonts w:ascii="Arial" w:cs="Arial" w:eastAsia="Arial" w:hAnsi="Arial"/>
                <w:sz w:val="18"/>
                <w:szCs w:val="18"/>
                <w:b w:val="1"/>
                <w:bCs w:val="1"/>
                <w:color w:val="auto"/>
              </w:rPr>
              <w:t>230.6</w:t>
            </w:r>
          </w:p>
        </w:tc>
        <w:tc>
          <w:tcPr>
            <w:tcW w:w="280" w:type="dxa"/>
            <w:vAlign w:val="bottom"/>
            <w:shd w:val="clear" w:color="auto" w:fill="CFF0FC"/>
          </w:tcPr>
          <w:p>
            <w:pPr>
              <w:spacing w:after="0"/>
              <w:rPr>
                <w:sz w:val="17"/>
                <w:szCs w:val="17"/>
                <w:color w:val="auto"/>
              </w:rPr>
            </w:pPr>
          </w:p>
        </w:tc>
        <w:tc>
          <w:tcPr>
            <w:tcW w:w="150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211.7</w:t>
            </w:r>
          </w:p>
        </w:tc>
      </w:tr>
      <w:tr>
        <w:trPr>
          <w:trHeight w:val="203"/>
        </w:trPr>
        <w:tc>
          <w:tcPr>
            <w:tcW w:w="3980" w:type="dxa"/>
            <w:vAlign w:val="bottom"/>
            <w:tcBorders>
              <w:bottom w:val="single" w:sz="8" w:color="auto"/>
            </w:tcBorders>
          </w:tcPr>
          <w:p>
            <w:pPr>
              <w:ind w:left="20"/>
              <w:spacing w:after="0" w:line="202" w:lineRule="exact"/>
              <w:rPr>
                <w:sz w:val="20"/>
                <w:szCs w:val="20"/>
                <w:color w:val="auto"/>
              </w:rPr>
            </w:pPr>
            <w:r>
              <w:rPr>
                <w:rFonts w:ascii="Arial" w:cs="Arial" w:eastAsia="Arial" w:hAnsi="Arial"/>
                <w:sz w:val="18"/>
                <w:szCs w:val="18"/>
                <w:color w:val="auto"/>
              </w:rPr>
              <w:t>Allowance for inventory reserves</w:t>
            </w:r>
          </w:p>
        </w:tc>
        <w:tc>
          <w:tcPr>
            <w:tcW w:w="3960" w:type="dxa"/>
            <w:vAlign w:val="bottom"/>
            <w:tcBorders>
              <w:bottom w:val="single" w:sz="8" w:color="auto"/>
            </w:tcBorders>
          </w:tcPr>
          <w:p>
            <w:pPr>
              <w:spacing w:after="0"/>
              <w:rPr>
                <w:sz w:val="17"/>
                <w:szCs w:val="17"/>
                <w:color w:val="auto"/>
              </w:rPr>
            </w:pPr>
          </w:p>
        </w:tc>
        <w:tc>
          <w:tcPr>
            <w:tcW w:w="152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b w:val="1"/>
                <w:bCs w:val="1"/>
                <w:color w:val="auto"/>
              </w:rPr>
              <w:t>(0.5 )</w:t>
            </w:r>
          </w:p>
        </w:tc>
        <w:tc>
          <w:tcPr>
            <w:tcW w:w="28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(0.8 )</w:t>
            </w:r>
          </w:p>
        </w:tc>
      </w:tr>
      <w:tr>
        <w:trPr>
          <w:trHeight w:val="196"/>
        </w:trPr>
        <w:tc>
          <w:tcPr>
            <w:tcW w:w="3980" w:type="dxa"/>
            <w:vAlign w:val="bottom"/>
            <w:tcBorders>
              <w:bottom w:val="single" w:sz="8" w:color="auto"/>
            </w:tcBorders>
            <w:shd w:val="clear" w:color="auto" w:fill="CFF0FC"/>
          </w:tcPr>
          <w:p>
            <w:pPr>
              <w:ind w:left="200"/>
              <w:spacing w:after="0" w:line="196" w:lineRule="exact"/>
              <w:rPr>
                <w:sz w:val="20"/>
                <w:szCs w:val="20"/>
                <w:color w:val="auto"/>
              </w:rPr>
            </w:pPr>
            <w:r>
              <w:rPr>
                <w:rFonts w:ascii="Arial" w:cs="Arial" w:eastAsia="Arial" w:hAnsi="Arial"/>
                <w:sz w:val="18"/>
                <w:szCs w:val="18"/>
                <w:b w:val="1"/>
                <w:bCs w:val="1"/>
                <w:color w:val="auto"/>
              </w:rPr>
              <w:t>Total inventories, net</w:t>
            </w:r>
          </w:p>
        </w:tc>
        <w:tc>
          <w:tcPr>
            <w:tcW w:w="3960" w:type="dxa"/>
            <w:vAlign w:val="bottom"/>
            <w:tcBorders>
              <w:bottom w:val="single" w:sz="8" w:color="auto"/>
            </w:tcBorders>
            <w:shd w:val="clear" w:color="auto" w:fill="CFF0FC"/>
          </w:tcPr>
          <w:p>
            <w:pPr>
              <w:jc w:val="right"/>
              <w:ind w:right="50"/>
              <w:spacing w:after="0" w:line="196" w:lineRule="exact"/>
              <w:rPr>
                <w:sz w:val="20"/>
                <w:szCs w:val="20"/>
                <w:color w:val="auto"/>
              </w:rPr>
            </w:pPr>
            <w:r>
              <w:rPr>
                <w:rFonts w:ascii="Arial" w:cs="Arial" w:eastAsia="Arial" w:hAnsi="Arial"/>
                <w:sz w:val="18"/>
                <w:szCs w:val="18"/>
                <w:b w:val="1"/>
                <w:bCs w:val="1"/>
                <w:color w:val="auto"/>
              </w:rPr>
              <w:t>$</w:t>
            </w:r>
          </w:p>
        </w:tc>
        <w:tc>
          <w:tcPr>
            <w:tcW w:w="1520" w:type="dxa"/>
            <w:vAlign w:val="bottom"/>
            <w:tcBorders>
              <w:bottom w:val="single" w:sz="8" w:color="auto"/>
            </w:tcBorders>
            <w:shd w:val="clear" w:color="auto" w:fill="CFF0FC"/>
          </w:tcPr>
          <w:p>
            <w:pPr>
              <w:jc w:val="right"/>
              <w:ind w:right="110"/>
              <w:spacing w:after="0" w:line="196" w:lineRule="exact"/>
              <w:rPr>
                <w:sz w:val="20"/>
                <w:szCs w:val="20"/>
                <w:color w:val="auto"/>
              </w:rPr>
            </w:pPr>
            <w:r>
              <w:rPr>
                <w:rFonts w:ascii="Arial" w:cs="Arial" w:eastAsia="Arial" w:hAnsi="Arial"/>
                <w:sz w:val="18"/>
                <w:szCs w:val="18"/>
                <w:b w:val="1"/>
                <w:bCs w:val="1"/>
                <w:color w:val="auto"/>
              </w:rPr>
              <w:t>230.1</w:t>
            </w:r>
          </w:p>
        </w:tc>
        <w:tc>
          <w:tcPr>
            <w:tcW w:w="28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1500" w:type="dxa"/>
            <w:vAlign w:val="bottom"/>
            <w:tcBorders>
              <w:bottom w:val="single" w:sz="8" w:color="auto"/>
            </w:tcBorders>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210.9</w:t>
            </w:r>
          </w:p>
        </w:tc>
      </w:tr>
      <w:tr>
        <w:trPr>
          <w:trHeight w:val="412"/>
        </w:trPr>
        <w:tc>
          <w:tcPr>
            <w:tcW w:w="3980" w:type="dxa"/>
            <w:vAlign w:val="bottom"/>
          </w:tcPr>
          <w:p>
            <w:pPr>
              <w:spacing w:after="0"/>
              <w:rPr>
                <w:sz w:val="24"/>
                <w:szCs w:val="24"/>
                <w:color w:val="auto"/>
              </w:rPr>
            </w:pPr>
          </w:p>
        </w:tc>
        <w:tc>
          <w:tcPr>
            <w:tcW w:w="3960" w:type="dxa"/>
            <w:vAlign w:val="bottom"/>
          </w:tcPr>
          <w:p>
            <w:pPr>
              <w:jc w:val="right"/>
              <w:ind w:right="2130"/>
              <w:spacing w:after="0"/>
              <w:rPr>
                <w:sz w:val="20"/>
                <w:szCs w:val="20"/>
                <w:color w:val="auto"/>
              </w:rPr>
            </w:pPr>
            <w:r>
              <w:rPr>
                <w:rFonts w:ascii="Arial" w:cs="Arial" w:eastAsia="Arial" w:hAnsi="Arial"/>
                <w:sz w:val="18"/>
                <w:szCs w:val="18"/>
                <w:color w:val="auto"/>
              </w:rPr>
              <w:t>12</w:t>
            </w:r>
          </w:p>
        </w:tc>
        <w:tc>
          <w:tcPr>
            <w:tcW w:w="15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00" w:type="dxa"/>
            <w:vAlign w:val="bottom"/>
          </w:tcPr>
          <w:p>
            <w:pPr>
              <w:spacing w:after="0"/>
              <w:rPr>
                <w:sz w:val="24"/>
                <w:szCs w:val="24"/>
                <w:color w:val="auto"/>
              </w:rPr>
            </w:pPr>
          </w:p>
        </w:tc>
      </w:tr>
      <w:tr>
        <w:trPr>
          <w:trHeight w:val="533"/>
        </w:trPr>
        <w:tc>
          <w:tcPr>
            <w:tcW w:w="3980" w:type="dxa"/>
            <w:vAlign w:val="bottom"/>
            <w:tcBorders>
              <w:bottom w:val="single" w:sz="8" w:color="9A9A9A"/>
            </w:tcBorders>
          </w:tcPr>
          <w:p>
            <w:pPr>
              <w:spacing w:after="0"/>
              <w:rPr>
                <w:sz w:val="24"/>
                <w:szCs w:val="24"/>
                <w:color w:val="auto"/>
              </w:rPr>
            </w:pPr>
          </w:p>
        </w:tc>
        <w:tc>
          <w:tcPr>
            <w:tcW w:w="3960" w:type="dxa"/>
            <w:vAlign w:val="bottom"/>
            <w:tcBorders>
              <w:bottom w:val="single" w:sz="8" w:color="9A9A9A"/>
            </w:tcBorders>
          </w:tcPr>
          <w:p>
            <w:pPr>
              <w:spacing w:after="0"/>
              <w:rPr>
                <w:sz w:val="24"/>
                <w:szCs w:val="24"/>
                <w:color w:val="auto"/>
              </w:rPr>
            </w:pPr>
          </w:p>
        </w:tc>
        <w:tc>
          <w:tcPr>
            <w:tcW w:w="152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150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2" w:name="page13"/>
    <w:bookmarkEnd w:id="1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810895" cy="8255"/>
                    </a:xfrm>
                    <a:prstGeom prst="rect">
                      <a:avLst/>
                    </a:prstGeom>
                    <a:noFill/>
                  </pic:spPr>
                </pic:pic>
              </a:graphicData>
            </a:graphic>
          </wp:anchor>
        </w:drawing>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 Financing Arrangements</w:t>
      </w:r>
    </w:p>
    <w:p>
      <w:pPr>
        <w:spacing w:after="0" w:line="175" w:lineRule="exact"/>
        <w:rPr>
          <w:sz w:val="20"/>
          <w:szCs w:val="20"/>
          <w:color w:val="auto"/>
        </w:rPr>
      </w:pPr>
    </w:p>
    <w:p>
      <w:pPr>
        <w:ind w:right="40"/>
        <w:spacing w:after="0" w:line="261" w:lineRule="auto"/>
        <w:rPr>
          <w:sz w:val="20"/>
          <w:szCs w:val="20"/>
          <w:color w:val="auto"/>
        </w:rPr>
      </w:pPr>
      <w:r>
        <w:rPr>
          <w:rFonts w:ascii="Arial" w:cs="Arial" w:eastAsia="Arial" w:hAnsi="Arial"/>
          <w:sz w:val="18"/>
          <w:szCs w:val="18"/>
          <w:color w:val="auto"/>
        </w:rPr>
        <w:t>For a detailed discussion of the Company's long-term debt and credit arrangements, refer to “Note 14 - Financing Arrangements” in the Company’s Annual Report on Form 10-K for the year ended December 31, 2021.</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the current and non-current debt as of March 31, 2022 and December 31, 2021.</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160" w:type="dxa"/>
            <w:vAlign w:val="bottom"/>
          </w:tcPr>
          <w:p>
            <w:pPr>
              <w:spacing w:after="0"/>
              <w:rPr>
                <w:sz w:val="17"/>
                <w:szCs w:val="17"/>
                <w:color w:val="auto"/>
              </w:rPr>
            </w:pPr>
          </w:p>
        </w:tc>
        <w:tc>
          <w:tcPr>
            <w:tcW w:w="3800" w:type="dxa"/>
            <w:vAlign w:val="bottom"/>
          </w:tcPr>
          <w:p>
            <w:pPr>
              <w:jc w:val="right"/>
              <w:spacing w:after="0"/>
              <w:rPr>
                <w:sz w:val="20"/>
                <w:szCs w:val="20"/>
                <w:color w:val="auto"/>
              </w:rPr>
            </w:pPr>
            <w:r>
              <w:rPr>
                <w:rFonts w:ascii="Arial" w:cs="Arial" w:eastAsia="Arial" w:hAnsi="Arial"/>
                <w:sz w:val="18"/>
                <w:szCs w:val="18"/>
                <w:b w:val="1"/>
                <w:bCs w:val="1"/>
                <w:color w:val="auto"/>
              </w:rPr>
              <w:t>March 31,</w:t>
            </w:r>
          </w:p>
        </w:tc>
        <w:tc>
          <w:tcPr>
            <w:tcW w:w="4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480" w:type="dxa"/>
            <w:vAlign w:val="bottom"/>
          </w:tcPr>
          <w:p>
            <w:pPr>
              <w:jc w:val="right"/>
              <w:ind w:right="270"/>
              <w:spacing w:after="0"/>
              <w:rPr>
                <w:sz w:val="20"/>
                <w:szCs w:val="20"/>
                <w:color w:val="auto"/>
              </w:rPr>
            </w:pPr>
            <w:r>
              <w:rPr>
                <w:rFonts w:ascii="Arial" w:cs="Arial" w:eastAsia="Arial" w:hAnsi="Arial"/>
                <w:sz w:val="18"/>
                <w:szCs w:val="18"/>
                <w:b w:val="1"/>
                <w:bCs w:val="1"/>
                <w:color w:val="auto"/>
                <w:w w:val="93"/>
              </w:rPr>
              <w:t>December 31,</w:t>
            </w:r>
          </w:p>
        </w:tc>
      </w:tr>
      <w:tr>
        <w:trPr>
          <w:trHeight w:val="216"/>
        </w:trPr>
        <w:tc>
          <w:tcPr>
            <w:tcW w:w="5160" w:type="dxa"/>
            <w:vAlign w:val="bottom"/>
            <w:tcBorders>
              <w:bottom w:val="single" w:sz="8" w:color="auto"/>
            </w:tcBorders>
          </w:tcPr>
          <w:p>
            <w:pPr>
              <w:spacing w:after="0"/>
              <w:rPr>
                <w:sz w:val="18"/>
                <w:szCs w:val="18"/>
                <w:color w:val="auto"/>
              </w:rPr>
            </w:pPr>
          </w:p>
        </w:tc>
        <w:tc>
          <w:tcPr>
            <w:tcW w:w="380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2022</w:t>
            </w:r>
          </w:p>
        </w:tc>
        <w:tc>
          <w:tcPr>
            <w:tcW w:w="48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tcPr>
          <w:p>
            <w:pPr>
              <w:jc w:val="right"/>
              <w:ind w:right="610"/>
              <w:spacing w:after="0"/>
              <w:rPr>
                <w:sz w:val="20"/>
                <w:szCs w:val="20"/>
                <w:color w:val="auto"/>
              </w:rPr>
            </w:pPr>
            <w:r>
              <w:rPr>
                <w:rFonts w:ascii="Arial" w:cs="Arial" w:eastAsia="Arial" w:hAnsi="Arial"/>
                <w:sz w:val="18"/>
                <w:szCs w:val="18"/>
                <w:b w:val="1"/>
                <w:bCs w:val="1"/>
                <w:color w:val="auto"/>
              </w:rPr>
              <w:t>2021</w:t>
            </w:r>
          </w:p>
        </w:tc>
      </w:tr>
      <w:tr>
        <w:trPr>
          <w:trHeight w:val="196"/>
        </w:trPr>
        <w:tc>
          <w:tcPr>
            <w:tcW w:w="516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Credit Agreement</w:t>
            </w:r>
          </w:p>
        </w:tc>
        <w:tc>
          <w:tcPr>
            <w:tcW w:w="3800" w:type="dxa"/>
            <w:vAlign w:val="bottom"/>
            <w:shd w:val="clear" w:color="auto" w:fill="CFF0FC"/>
          </w:tcPr>
          <w:p>
            <w:pPr>
              <w:jc w:val="right"/>
              <w:ind w:right="1030"/>
              <w:spacing w:after="0" w:line="196" w:lineRule="exact"/>
              <w:rPr>
                <w:sz w:val="20"/>
                <w:szCs w:val="20"/>
                <w:color w:val="auto"/>
              </w:rPr>
            </w:pPr>
            <w:r>
              <w:rPr>
                <w:rFonts w:ascii="Arial" w:cs="Arial" w:eastAsia="Arial" w:hAnsi="Arial"/>
                <w:sz w:val="18"/>
                <w:szCs w:val="18"/>
                <w:b w:val="1"/>
                <w:bCs w:val="1"/>
                <w:color w:val="auto"/>
              </w:rPr>
              <w:t>$</w:t>
            </w:r>
          </w:p>
        </w:tc>
        <w:tc>
          <w:tcPr>
            <w:tcW w:w="480" w:type="dxa"/>
            <w:vAlign w:val="bottom"/>
            <w:shd w:val="clear" w:color="auto" w:fill="CFF0FC"/>
          </w:tcPr>
          <w:p>
            <w:pPr>
              <w:jc w:val="right"/>
              <w:ind w:right="50"/>
              <w:spacing w:after="0" w:line="196" w:lineRule="exact"/>
              <w:rPr>
                <w:sz w:val="20"/>
                <w:szCs w:val="20"/>
                <w:color w:val="auto"/>
              </w:rPr>
            </w:pPr>
            <w:r>
              <w:rPr>
                <w:rFonts w:ascii="Arial" w:cs="Arial" w:eastAsia="Arial" w:hAnsi="Arial"/>
                <w:sz w:val="18"/>
                <w:szCs w:val="18"/>
                <w:b w:val="1"/>
                <w:bCs w:val="1"/>
                <w:color w:val="auto"/>
              </w:rPr>
              <w:t>—</w:t>
            </w:r>
          </w:p>
        </w:tc>
        <w:tc>
          <w:tcPr>
            <w:tcW w:w="32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w:t>
            </w:r>
          </w:p>
        </w:tc>
        <w:tc>
          <w:tcPr>
            <w:tcW w:w="148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w:t>
            </w:r>
          </w:p>
        </w:tc>
      </w:tr>
      <w:tr>
        <w:trPr>
          <w:trHeight w:val="203"/>
        </w:trPr>
        <w:tc>
          <w:tcPr>
            <w:tcW w:w="5160" w:type="dxa"/>
            <w:vAlign w:val="bottom"/>
            <w:tcBorders>
              <w:bottom w:val="single" w:sz="8" w:color="auto"/>
            </w:tcBorders>
          </w:tcPr>
          <w:p>
            <w:pPr>
              <w:ind w:left="20"/>
              <w:spacing w:after="0" w:line="202" w:lineRule="exact"/>
              <w:rPr>
                <w:sz w:val="20"/>
                <w:szCs w:val="20"/>
                <w:color w:val="auto"/>
              </w:rPr>
            </w:pPr>
            <w:r>
              <w:rPr>
                <w:rFonts w:ascii="Arial" w:cs="Arial" w:eastAsia="Arial" w:hAnsi="Arial"/>
                <w:sz w:val="18"/>
                <w:szCs w:val="18"/>
                <w:color w:val="auto"/>
              </w:rPr>
              <w:t>Convertible Senior Notes due 2025</w:t>
            </w:r>
          </w:p>
        </w:tc>
        <w:tc>
          <w:tcPr>
            <w:tcW w:w="380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jc w:val="right"/>
              <w:ind w:right="50"/>
              <w:spacing w:after="0" w:line="202" w:lineRule="exact"/>
              <w:rPr>
                <w:sz w:val="20"/>
                <w:szCs w:val="20"/>
                <w:color w:val="auto"/>
              </w:rPr>
            </w:pPr>
            <w:r>
              <w:rPr>
                <w:rFonts w:ascii="Arial" w:cs="Arial" w:eastAsia="Arial" w:hAnsi="Arial"/>
                <w:sz w:val="18"/>
                <w:szCs w:val="18"/>
                <w:b w:val="1"/>
                <w:bCs w:val="1"/>
                <w:color w:val="auto"/>
                <w:w w:val="91"/>
              </w:rPr>
              <w:t>35.2</w:t>
            </w:r>
          </w:p>
        </w:tc>
        <w:tc>
          <w:tcPr>
            <w:tcW w:w="32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color w:val="auto"/>
              </w:rPr>
              <w:t>44.9</w:t>
            </w:r>
          </w:p>
        </w:tc>
      </w:tr>
      <w:tr>
        <w:trPr>
          <w:trHeight w:val="196"/>
        </w:trPr>
        <w:tc>
          <w:tcPr>
            <w:tcW w:w="516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Total debt</w:t>
            </w:r>
          </w:p>
        </w:tc>
        <w:tc>
          <w:tcPr>
            <w:tcW w:w="3800" w:type="dxa"/>
            <w:vAlign w:val="bottom"/>
            <w:shd w:val="clear" w:color="auto" w:fill="CFF0FC"/>
          </w:tcPr>
          <w:p>
            <w:pPr>
              <w:jc w:val="right"/>
              <w:ind w:right="1030"/>
              <w:spacing w:after="0" w:line="196" w:lineRule="exact"/>
              <w:rPr>
                <w:sz w:val="20"/>
                <w:szCs w:val="20"/>
                <w:color w:val="auto"/>
              </w:rPr>
            </w:pPr>
            <w:r>
              <w:rPr>
                <w:rFonts w:ascii="Arial" w:cs="Arial" w:eastAsia="Arial" w:hAnsi="Arial"/>
                <w:sz w:val="18"/>
                <w:szCs w:val="18"/>
                <w:b w:val="1"/>
                <w:bCs w:val="1"/>
                <w:color w:val="auto"/>
              </w:rPr>
              <w:t>$</w:t>
            </w:r>
          </w:p>
        </w:tc>
        <w:tc>
          <w:tcPr>
            <w:tcW w:w="480" w:type="dxa"/>
            <w:vAlign w:val="bottom"/>
            <w:shd w:val="clear" w:color="auto" w:fill="CFF0FC"/>
          </w:tcPr>
          <w:p>
            <w:pPr>
              <w:jc w:val="right"/>
              <w:ind w:right="50"/>
              <w:spacing w:after="0" w:line="196" w:lineRule="exact"/>
              <w:rPr>
                <w:sz w:val="20"/>
                <w:szCs w:val="20"/>
                <w:color w:val="auto"/>
              </w:rPr>
            </w:pPr>
            <w:r>
              <w:rPr>
                <w:rFonts w:ascii="Arial" w:cs="Arial" w:eastAsia="Arial" w:hAnsi="Arial"/>
                <w:sz w:val="18"/>
                <w:szCs w:val="18"/>
                <w:b w:val="1"/>
                <w:bCs w:val="1"/>
                <w:color w:val="auto"/>
                <w:w w:val="91"/>
              </w:rPr>
              <w:t>35.2</w:t>
            </w:r>
          </w:p>
        </w:tc>
        <w:tc>
          <w:tcPr>
            <w:tcW w:w="32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w:t>
            </w:r>
          </w:p>
        </w:tc>
        <w:tc>
          <w:tcPr>
            <w:tcW w:w="148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44.9</w:t>
            </w:r>
          </w:p>
        </w:tc>
      </w:tr>
      <w:tr>
        <w:trPr>
          <w:trHeight w:val="203"/>
        </w:trPr>
        <w:tc>
          <w:tcPr>
            <w:tcW w:w="5160" w:type="dxa"/>
            <w:vAlign w:val="bottom"/>
            <w:tcBorders>
              <w:bottom w:val="single" w:sz="8" w:color="auto"/>
            </w:tcBorders>
          </w:tcPr>
          <w:p>
            <w:pPr>
              <w:ind w:left="240"/>
              <w:spacing w:after="0" w:line="202" w:lineRule="exact"/>
              <w:rPr>
                <w:sz w:val="20"/>
                <w:szCs w:val="20"/>
                <w:color w:val="auto"/>
              </w:rPr>
            </w:pPr>
            <w:r>
              <w:rPr>
                <w:rFonts w:ascii="Arial" w:cs="Arial" w:eastAsia="Arial" w:hAnsi="Arial"/>
                <w:sz w:val="18"/>
                <w:szCs w:val="18"/>
                <w:color w:val="auto"/>
              </w:rPr>
              <w:t>Less current portion of debt</w:t>
            </w:r>
          </w:p>
        </w:tc>
        <w:tc>
          <w:tcPr>
            <w:tcW w:w="380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jc w:val="right"/>
              <w:ind w:right="50"/>
              <w:spacing w:after="0" w:line="202" w:lineRule="exact"/>
              <w:rPr>
                <w:sz w:val="20"/>
                <w:szCs w:val="20"/>
                <w:color w:val="auto"/>
              </w:rPr>
            </w:pPr>
            <w:r>
              <w:rPr>
                <w:rFonts w:ascii="Arial" w:cs="Arial" w:eastAsia="Arial" w:hAnsi="Arial"/>
                <w:sz w:val="18"/>
                <w:szCs w:val="18"/>
                <w:b w:val="1"/>
                <w:bCs w:val="1"/>
                <w:color w:val="auto"/>
                <w:w w:val="91"/>
              </w:rPr>
              <w:t>35.2</w:t>
            </w:r>
          </w:p>
        </w:tc>
        <w:tc>
          <w:tcPr>
            <w:tcW w:w="32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color w:val="auto"/>
              </w:rPr>
              <w:t>44.9</w:t>
            </w:r>
          </w:p>
        </w:tc>
      </w:tr>
      <w:tr>
        <w:trPr>
          <w:trHeight w:val="196"/>
        </w:trPr>
        <w:tc>
          <w:tcPr>
            <w:tcW w:w="5160" w:type="dxa"/>
            <w:vAlign w:val="bottom"/>
            <w:tcBorders>
              <w:bottom w:val="single" w:sz="8" w:color="auto"/>
            </w:tcBorders>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Total non-current portion of debt</w:t>
            </w:r>
          </w:p>
        </w:tc>
        <w:tc>
          <w:tcPr>
            <w:tcW w:w="3800" w:type="dxa"/>
            <w:vAlign w:val="bottom"/>
            <w:tcBorders>
              <w:bottom w:val="single" w:sz="8" w:color="auto"/>
            </w:tcBorders>
            <w:shd w:val="clear" w:color="auto" w:fill="CFF0FC"/>
          </w:tcPr>
          <w:p>
            <w:pPr>
              <w:jc w:val="right"/>
              <w:ind w:right="1030"/>
              <w:spacing w:after="0" w:line="196" w:lineRule="exact"/>
              <w:rPr>
                <w:sz w:val="20"/>
                <w:szCs w:val="20"/>
                <w:color w:val="auto"/>
              </w:rPr>
            </w:pPr>
            <w:r>
              <w:rPr>
                <w:rFonts w:ascii="Arial" w:cs="Arial" w:eastAsia="Arial" w:hAnsi="Arial"/>
                <w:sz w:val="18"/>
                <w:szCs w:val="18"/>
                <w:b w:val="1"/>
                <w:bCs w:val="1"/>
                <w:color w:val="auto"/>
              </w:rPr>
              <w:t>$</w:t>
            </w:r>
          </w:p>
        </w:tc>
        <w:tc>
          <w:tcPr>
            <w:tcW w:w="480" w:type="dxa"/>
            <w:vAlign w:val="bottom"/>
            <w:tcBorders>
              <w:bottom w:val="single" w:sz="8" w:color="auto"/>
            </w:tcBorders>
            <w:shd w:val="clear" w:color="auto" w:fill="CFF0FC"/>
          </w:tcPr>
          <w:p>
            <w:pPr>
              <w:jc w:val="right"/>
              <w:ind w:right="50"/>
              <w:spacing w:after="0" w:line="196" w:lineRule="exact"/>
              <w:rPr>
                <w:sz w:val="20"/>
                <w:szCs w:val="20"/>
                <w:color w:val="auto"/>
              </w:rPr>
            </w:pPr>
            <w:r>
              <w:rPr>
                <w:rFonts w:ascii="Arial" w:cs="Arial" w:eastAsia="Arial" w:hAnsi="Arial"/>
                <w:sz w:val="18"/>
                <w:szCs w:val="18"/>
                <w:b w:val="1"/>
                <w:bCs w:val="1"/>
                <w:color w:val="auto"/>
              </w:rPr>
              <w:t>—</w:t>
            </w:r>
          </w:p>
        </w:tc>
        <w:tc>
          <w:tcPr>
            <w:tcW w:w="320" w:type="dxa"/>
            <w:vAlign w:val="bottom"/>
            <w:tcBorders>
              <w:bottom w:val="single" w:sz="8" w:color="auto"/>
            </w:tcBorders>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w:t>
            </w:r>
          </w:p>
        </w:tc>
        <w:tc>
          <w:tcPr>
            <w:tcW w:w="1480" w:type="dxa"/>
            <w:vAlign w:val="bottom"/>
            <w:tcBorders>
              <w:bottom w:val="single" w:sz="8" w:color="auto"/>
            </w:tcBorders>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w:t>
            </w:r>
          </w:p>
        </w:tc>
      </w:tr>
    </w:tbl>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Amended Credit Agreement</w:t>
      </w:r>
    </w:p>
    <w:p>
      <w:pPr>
        <w:spacing w:after="0" w:line="171" w:lineRule="exact"/>
        <w:rPr>
          <w:sz w:val="20"/>
          <w:szCs w:val="20"/>
          <w:color w:val="auto"/>
        </w:rPr>
      </w:pPr>
    </w:p>
    <w:p>
      <w:pPr>
        <w:ind w:right="240"/>
        <w:spacing w:after="0" w:line="257" w:lineRule="auto"/>
        <w:rPr>
          <w:sz w:val="20"/>
          <w:szCs w:val="20"/>
          <w:color w:val="auto"/>
        </w:rPr>
      </w:pPr>
      <w:r>
        <w:rPr>
          <w:rFonts w:ascii="Arial" w:cs="Arial" w:eastAsia="Arial" w:hAnsi="Arial"/>
          <w:sz w:val="17"/>
          <w:szCs w:val="17"/>
          <w:color w:val="auto"/>
        </w:rPr>
        <w:t>On October 15, 2019, the Company, as borrower, and certain domestic subsidiaries of the Company, as subsidiary guarantors, entered into a Third Amended and Restated Credit Agreement (the “Amended Credit Agreement”), with JP Morgan Chase Bank, N.A., as administrative agent (the “Administrative Agent”), Bank of America, N.A., as syndication agent, and the other lenders party thereto (collectively, the “Lenders”), which further amended and restated the Company’s Second Amended and Restated Credit Agreement dated as of January 26, 2018. As of March 31, 2022, the amount available under the Amended Credit Agreement was $282.9 million, reflective of the Company’s asset borrowing base with no outstanding borrowings. Additionally, the Company is in compliance with all covenants outlined in the Amended Credit Agreement.</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Convertible Senior Notes due 2021</w:t>
      </w:r>
    </w:p>
    <w:p>
      <w:pPr>
        <w:spacing w:after="0" w:line="171" w:lineRule="exact"/>
        <w:rPr>
          <w:sz w:val="20"/>
          <w:szCs w:val="20"/>
          <w:color w:val="auto"/>
        </w:rPr>
      </w:pPr>
    </w:p>
    <w:p>
      <w:pPr>
        <w:spacing w:after="0" w:line="241" w:lineRule="auto"/>
        <w:rPr>
          <w:sz w:val="20"/>
          <w:szCs w:val="20"/>
          <w:color w:val="auto"/>
        </w:rPr>
      </w:pPr>
      <w:r>
        <w:rPr>
          <w:rFonts w:ascii="Arial" w:cs="Arial" w:eastAsia="Arial" w:hAnsi="Arial"/>
          <w:sz w:val="18"/>
          <w:szCs w:val="18"/>
          <w:color w:val="auto"/>
        </w:rPr>
        <w:t>The Convertible Senior Notes due 2021 were settled on June 1, 2021 with cash payment of $38.9 million and issuance of shares of 0.1 million, as most noteholders exercised the conversion option prior to the date of maturity. For details regarding method of settlement for noteholders who exercised their conversion option prior to maturity, refer to the Indenture for the Convertible Senior Notes due 2021 filed as an exhibit to a Form 8-K on May 31, 2016 and incorporated by reference in our most recent 10-K filing. The final cash payment for interest was also made to noteholders on June 1, 2021 in the amount of $1.2 million.</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Convertible Senior Notes due 2025</w:t>
      </w:r>
    </w:p>
    <w:p>
      <w:pPr>
        <w:spacing w:after="0" w:line="144" w:lineRule="exact"/>
        <w:rPr>
          <w:sz w:val="20"/>
          <w:szCs w:val="20"/>
          <w:color w:val="auto"/>
        </w:rPr>
      </w:pPr>
    </w:p>
    <w:p>
      <w:pPr>
        <w:jc w:val="both"/>
        <w:ind w:right="40"/>
        <w:spacing w:after="0" w:line="262" w:lineRule="auto"/>
        <w:rPr>
          <w:sz w:val="20"/>
          <w:szCs w:val="20"/>
          <w:color w:val="auto"/>
        </w:rPr>
      </w:pPr>
      <w:r>
        <w:rPr>
          <w:rFonts w:ascii="Arial" w:cs="Arial" w:eastAsia="Arial" w:hAnsi="Arial"/>
          <w:sz w:val="17"/>
          <w:szCs w:val="17"/>
          <w:color w:val="auto"/>
        </w:rPr>
        <w:t>The principal amount of the Convertible Senior Notes due 2025 upon issuance was $46.0 million. Transaction costs related to the Convertible Senior Notes due 2025 incurred upon issuance were $1.5 million. These costs are amortized to interest expense over the term of the notes. The Convertible Senior Notes due 2025 mature on December 1, 2025. The Convertible Senior Notes due 2025 are convertible at the option of holders in certain circumstances and during certain periods into the Company’s common shares, cash, or a combination thereof, at the Company’s election.</w:t>
      </w:r>
    </w:p>
    <w:p>
      <w:pPr>
        <w:spacing w:after="0" w:line="118" w:lineRule="exact"/>
        <w:rPr>
          <w:sz w:val="20"/>
          <w:szCs w:val="20"/>
          <w:color w:val="auto"/>
        </w:rPr>
      </w:pPr>
    </w:p>
    <w:p>
      <w:pPr>
        <w:ind w:right="20"/>
        <w:spacing w:after="0"/>
        <w:rPr>
          <w:sz w:val="20"/>
          <w:szCs w:val="20"/>
          <w:color w:val="auto"/>
        </w:rPr>
      </w:pPr>
      <w:r>
        <w:rPr>
          <w:rFonts w:ascii="Arial" w:cs="Arial" w:eastAsia="Arial" w:hAnsi="Arial"/>
          <w:sz w:val="18"/>
          <w:szCs w:val="18"/>
          <w:color w:val="auto"/>
        </w:rPr>
        <w:t>The Indenture for the Convertible Senior Notes due 2025 provides that notes will become convertible during a quarter when the share price for 20 trading days during the final 30 trading days of the immediately preceding quarter was greater than 130% of the conversion price. This criterion was met during the first quarter of 2022 and as such the notes can be converted at the option of the holders beginning April 1 through June 30, 2022. Whether the notes will be convertible following such period will depend on if this criterion, or another conversion condition, is met in the future. As such, the Convertible Senior Notes due 2025 are classified as a current liability in the Consolidated Balance Sheets as of March 31, 2022. This criterion was also met as of December 31, 2021.</w:t>
      </w:r>
    </w:p>
    <w:p>
      <w:pPr>
        <w:spacing w:after="0" w:line="135" w:lineRule="exact"/>
        <w:rPr>
          <w:sz w:val="20"/>
          <w:szCs w:val="20"/>
          <w:color w:val="auto"/>
        </w:rPr>
      </w:pPr>
    </w:p>
    <w:p>
      <w:pPr>
        <w:ind w:right="420"/>
        <w:spacing w:after="0" w:line="244" w:lineRule="auto"/>
        <w:rPr>
          <w:sz w:val="20"/>
          <w:szCs w:val="20"/>
          <w:color w:val="auto"/>
        </w:rPr>
      </w:pPr>
      <w:r>
        <w:rPr>
          <w:rFonts w:ascii="Arial" w:cs="Arial" w:eastAsia="Arial" w:hAnsi="Arial"/>
          <w:sz w:val="18"/>
          <w:szCs w:val="18"/>
          <w:color w:val="auto"/>
        </w:rPr>
        <w:t>For details regarding all conversion mechanics and methods of settlement, refer to the Indenture for the Convertible Senior Notes due 2025 filed as an exhibit to a Form 8-K on December 15, 2020 and incorporated by reference in our most recent 10-K filing.</w:t>
      </w: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317500</wp:posOffset>
            </wp:positionV>
            <wp:extent cx="715772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3" w:name="page14"/>
    <w:bookmarkEnd w:id="1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810895" cy="8255"/>
                    </a:xfrm>
                    <a:prstGeom prst="rect">
                      <a:avLst/>
                    </a:prstGeom>
                    <a:noFill/>
                  </pic:spPr>
                </pic:pic>
              </a:graphicData>
            </a:graphic>
          </wp:anchor>
        </w:drawing>
      </w:r>
    </w:p>
    <w:p>
      <w:pPr>
        <w:spacing w:after="0" w:line="367" w:lineRule="exact"/>
        <w:rPr>
          <w:sz w:val="20"/>
          <w:szCs w:val="20"/>
          <w:color w:val="auto"/>
        </w:rPr>
      </w:pPr>
    </w:p>
    <w:p>
      <w:pPr>
        <w:spacing w:after="0"/>
        <w:rPr>
          <w:sz w:val="20"/>
          <w:szCs w:val="20"/>
          <w:color w:val="auto"/>
        </w:rPr>
      </w:pPr>
      <w:r>
        <w:rPr>
          <w:rFonts w:ascii="Arial" w:cs="Arial" w:eastAsia="Arial" w:hAnsi="Arial"/>
          <w:sz w:val="18"/>
          <w:szCs w:val="18"/>
          <w:color w:val="auto"/>
        </w:rPr>
        <w:t>The components of the Convertible Senior Notes due 2025 as of March 31, 2022 and December 31, 2021 were as follows:</w:t>
      </w:r>
    </w:p>
    <w:p>
      <w:pPr>
        <w:spacing w:after="0" w:line="14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520" w:type="dxa"/>
            <w:vAlign w:val="bottom"/>
          </w:tcPr>
          <w:p>
            <w:pPr>
              <w:spacing w:after="0"/>
              <w:rPr>
                <w:sz w:val="17"/>
                <w:szCs w:val="17"/>
                <w:color w:val="auto"/>
              </w:rPr>
            </w:pPr>
          </w:p>
        </w:tc>
        <w:tc>
          <w:tcPr>
            <w:tcW w:w="3420" w:type="dxa"/>
            <w:vAlign w:val="bottom"/>
          </w:tcPr>
          <w:p>
            <w:pPr>
              <w:jc w:val="right"/>
              <w:spacing w:after="0"/>
              <w:rPr>
                <w:sz w:val="20"/>
                <w:szCs w:val="20"/>
                <w:color w:val="auto"/>
              </w:rPr>
            </w:pPr>
            <w:r>
              <w:rPr>
                <w:rFonts w:ascii="Arial" w:cs="Arial" w:eastAsia="Arial" w:hAnsi="Arial"/>
                <w:sz w:val="18"/>
                <w:szCs w:val="18"/>
                <w:b w:val="1"/>
                <w:bCs w:val="1"/>
                <w:color w:val="auto"/>
              </w:rPr>
              <w:t>March 31,</w:t>
            </w:r>
          </w:p>
        </w:tc>
        <w:tc>
          <w:tcPr>
            <w:tcW w:w="5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80" w:type="dxa"/>
            <w:vAlign w:val="bottom"/>
          </w:tcPr>
          <w:p>
            <w:pPr>
              <w:jc w:val="right"/>
              <w:ind w:right="270"/>
              <w:spacing w:after="0"/>
              <w:rPr>
                <w:sz w:val="20"/>
                <w:szCs w:val="20"/>
                <w:color w:val="auto"/>
              </w:rPr>
            </w:pPr>
            <w:r>
              <w:rPr>
                <w:rFonts w:ascii="Arial" w:cs="Arial" w:eastAsia="Arial" w:hAnsi="Arial"/>
                <w:sz w:val="18"/>
                <w:szCs w:val="18"/>
                <w:b w:val="1"/>
                <w:bCs w:val="1"/>
                <w:color w:val="auto"/>
                <w:w w:val="93"/>
              </w:rPr>
              <w:t>December 31,</w:t>
            </w:r>
          </w:p>
        </w:tc>
      </w:tr>
      <w:tr>
        <w:trPr>
          <w:trHeight w:val="216"/>
        </w:trPr>
        <w:tc>
          <w:tcPr>
            <w:tcW w:w="5520" w:type="dxa"/>
            <w:vAlign w:val="bottom"/>
            <w:tcBorders>
              <w:bottom w:val="single" w:sz="8" w:color="auto"/>
            </w:tcBorders>
          </w:tcPr>
          <w:p>
            <w:pPr>
              <w:spacing w:after="0"/>
              <w:rPr>
                <w:sz w:val="18"/>
                <w:szCs w:val="18"/>
                <w:color w:val="auto"/>
              </w:rPr>
            </w:pPr>
          </w:p>
        </w:tc>
        <w:tc>
          <w:tcPr>
            <w:tcW w:w="342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2022</w:t>
            </w:r>
          </w:p>
        </w:tc>
        <w:tc>
          <w:tcPr>
            <w:tcW w:w="54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tcPr>
          <w:p>
            <w:pPr>
              <w:jc w:val="right"/>
              <w:ind w:right="610"/>
              <w:spacing w:after="0"/>
              <w:rPr>
                <w:sz w:val="20"/>
                <w:szCs w:val="20"/>
                <w:color w:val="auto"/>
              </w:rPr>
            </w:pPr>
            <w:r>
              <w:rPr>
                <w:rFonts w:ascii="Arial" w:cs="Arial" w:eastAsia="Arial" w:hAnsi="Arial"/>
                <w:sz w:val="18"/>
                <w:szCs w:val="18"/>
                <w:b w:val="1"/>
                <w:bCs w:val="1"/>
                <w:color w:val="auto"/>
              </w:rPr>
              <w:t>2021</w:t>
            </w:r>
          </w:p>
        </w:tc>
      </w:tr>
      <w:tr>
        <w:trPr>
          <w:trHeight w:val="196"/>
        </w:trPr>
        <w:tc>
          <w:tcPr>
            <w:tcW w:w="552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Principal</w:t>
            </w:r>
          </w:p>
        </w:tc>
        <w:tc>
          <w:tcPr>
            <w:tcW w:w="3420" w:type="dxa"/>
            <w:vAlign w:val="bottom"/>
            <w:shd w:val="clear" w:color="auto" w:fill="CFF0FC"/>
          </w:tcPr>
          <w:p>
            <w:pPr>
              <w:jc w:val="right"/>
              <w:ind w:right="1030"/>
              <w:spacing w:after="0" w:line="196" w:lineRule="exact"/>
              <w:rPr>
                <w:sz w:val="20"/>
                <w:szCs w:val="20"/>
                <w:color w:val="auto"/>
              </w:rPr>
            </w:pPr>
            <w:r>
              <w:rPr>
                <w:rFonts w:ascii="Arial" w:cs="Arial" w:eastAsia="Arial" w:hAnsi="Arial"/>
                <w:sz w:val="18"/>
                <w:szCs w:val="18"/>
                <w:b w:val="1"/>
                <w:bCs w:val="1"/>
                <w:color w:val="auto"/>
              </w:rPr>
              <w:t>$</w:t>
            </w:r>
          </w:p>
        </w:tc>
        <w:tc>
          <w:tcPr>
            <w:tcW w:w="540" w:type="dxa"/>
            <w:vAlign w:val="bottom"/>
            <w:shd w:val="clear" w:color="auto" w:fill="CFF0FC"/>
          </w:tcPr>
          <w:p>
            <w:pPr>
              <w:jc w:val="right"/>
              <w:ind w:right="90"/>
              <w:spacing w:after="0" w:line="196" w:lineRule="exact"/>
              <w:rPr>
                <w:sz w:val="20"/>
                <w:szCs w:val="20"/>
                <w:color w:val="auto"/>
              </w:rPr>
            </w:pPr>
            <w:r>
              <w:rPr>
                <w:rFonts w:ascii="Arial" w:cs="Arial" w:eastAsia="Arial" w:hAnsi="Arial"/>
                <w:sz w:val="18"/>
                <w:szCs w:val="18"/>
                <w:b w:val="1"/>
                <w:bCs w:val="1"/>
                <w:color w:val="auto"/>
                <w:w w:val="96"/>
              </w:rPr>
              <w:t>36.0</w:t>
            </w:r>
          </w:p>
        </w:tc>
        <w:tc>
          <w:tcPr>
            <w:tcW w:w="28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w:t>
            </w:r>
          </w:p>
        </w:tc>
        <w:tc>
          <w:tcPr>
            <w:tcW w:w="148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46.0</w:t>
            </w:r>
          </w:p>
        </w:tc>
      </w:tr>
      <w:tr>
        <w:trPr>
          <w:trHeight w:val="202"/>
        </w:trPr>
        <w:tc>
          <w:tcPr>
            <w:tcW w:w="5520" w:type="dxa"/>
            <w:vAlign w:val="bottom"/>
            <w:tcBorders>
              <w:bottom w:val="single" w:sz="8" w:color="auto"/>
            </w:tcBorders>
          </w:tcPr>
          <w:p>
            <w:pPr>
              <w:ind w:left="20"/>
              <w:spacing w:after="0" w:line="202" w:lineRule="exact"/>
              <w:rPr>
                <w:sz w:val="20"/>
                <w:szCs w:val="20"/>
                <w:color w:val="auto"/>
              </w:rPr>
            </w:pPr>
            <w:r>
              <w:rPr>
                <w:rFonts w:ascii="Arial" w:cs="Arial" w:eastAsia="Arial" w:hAnsi="Arial"/>
                <w:sz w:val="18"/>
                <w:szCs w:val="18"/>
                <w:color w:val="auto"/>
              </w:rPr>
              <w:t>Less: Debt issuance costs, net of amortization</w:t>
            </w:r>
          </w:p>
        </w:tc>
        <w:tc>
          <w:tcPr>
            <w:tcW w:w="342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b w:val="1"/>
                <w:bCs w:val="1"/>
                <w:color w:val="auto"/>
                <w:w w:val="99"/>
              </w:rPr>
              <w:t>(0.8 )</w:t>
            </w:r>
          </w:p>
        </w:tc>
        <w:tc>
          <w:tcPr>
            <w:tcW w:w="28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(1.1 )</w:t>
            </w:r>
          </w:p>
        </w:tc>
      </w:tr>
      <w:tr>
        <w:trPr>
          <w:trHeight w:val="196"/>
        </w:trPr>
        <w:tc>
          <w:tcPr>
            <w:tcW w:w="5520" w:type="dxa"/>
            <w:vAlign w:val="bottom"/>
            <w:tcBorders>
              <w:bottom w:val="single" w:sz="8" w:color="auto"/>
            </w:tcBorders>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Convertible Senior Notes due 2025, net</w:t>
            </w:r>
          </w:p>
        </w:tc>
        <w:tc>
          <w:tcPr>
            <w:tcW w:w="3420" w:type="dxa"/>
            <w:vAlign w:val="bottom"/>
            <w:tcBorders>
              <w:bottom w:val="single" w:sz="8" w:color="auto"/>
            </w:tcBorders>
            <w:shd w:val="clear" w:color="auto" w:fill="CFF0FC"/>
          </w:tcPr>
          <w:p>
            <w:pPr>
              <w:jc w:val="right"/>
              <w:ind w:right="1030"/>
              <w:spacing w:after="0" w:line="196" w:lineRule="exact"/>
              <w:rPr>
                <w:sz w:val="20"/>
                <w:szCs w:val="20"/>
                <w:color w:val="auto"/>
              </w:rPr>
            </w:pPr>
            <w:r>
              <w:rPr>
                <w:rFonts w:ascii="Arial" w:cs="Arial" w:eastAsia="Arial" w:hAnsi="Arial"/>
                <w:sz w:val="18"/>
                <w:szCs w:val="18"/>
                <w:b w:val="1"/>
                <w:bCs w:val="1"/>
                <w:color w:val="auto"/>
              </w:rPr>
              <w:t>$</w:t>
            </w:r>
          </w:p>
        </w:tc>
        <w:tc>
          <w:tcPr>
            <w:tcW w:w="540" w:type="dxa"/>
            <w:vAlign w:val="bottom"/>
            <w:tcBorders>
              <w:bottom w:val="single" w:sz="8" w:color="auto"/>
            </w:tcBorders>
            <w:shd w:val="clear" w:color="auto" w:fill="CFF0FC"/>
          </w:tcPr>
          <w:p>
            <w:pPr>
              <w:jc w:val="right"/>
              <w:ind w:right="90"/>
              <w:spacing w:after="0" w:line="196" w:lineRule="exact"/>
              <w:rPr>
                <w:sz w:val="20"/>
                <w:szCs w:val="20"/>
                <w:color w:val="auto"/>
              </w:rPr>
            </w:pPr>
            <w:r>
              <w:rPr>
                <w:rFonts w:ascii="Arial" w:cs="Arial" w:eastAsia="Arial" w:hAnsi="Arial"/>
                <w:sz w:val="18"/>
                <w:szCs w:val="18"/>
                <w:b w:val="1"/>
                <w:bCs w:val="1"/>
                <w:color w:val="auto"/>
                <w:w w:val="96"/>
              </w:rPr>
              <w:t>35.2</w:t>
            </w:r>
          </w:p>
        </w:tc>
        <w:tc>
          <w:tcPr>
            <w:tcW w:w="280" w:type="dxa"/>
            <w:vAlign w:val="bottom"/>
            <w:tcBorders>
              <w:bottom w:val="single" w:sz="8" w:color="auto"/>
            </w:tcBorders>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w:t>
            </w:r>
          </w:p>
        </w:tc>
        <w:tc>
          <w:tcPr>
            <w:tcW w:w="1480" w:type="dxa"/>
            <w:vAlign w:val="bottom"/>
            <w:tcBorders>
              <w:bottom w:val="single" w:sz="8" w:color="auto"/>
            </w:tcBorders>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44.9</w:t>
            </w:r>
          </w:p>
        </w:tc>
      </w:tr>
    </w:tbl>
    <w:p>
      <w:pPr>
        <w:spacing w:after="0" w:line="148" w:lineRule="exact"/>
        <w:rPr>
          <w:sz w:val="20"/>
          <w:szCs w:val="20"/>
          <w:color w:val="auto"/>
        </w:rPr>
      </w:pPr>
    </w:p>
    <w:p>
      <w:pPr>
        <w:jc w:val="both"/>
        <w:spacing w:after="0" w:line="243" w:lineRule="auto"/>
        <w:rPr>
          <w:sz w:val="20"/>
          <w:szCs w:val="20"/>
          <w:color w:val="auto"/>
        </w:rPr>
      </w:pPr>
      <w:r>
        <w:rPr>
          <w:rFonts w:ascii="Arial" w:cs="Arial" w:eastAsia="Arial" w:hAnsi="Arial"/>
          <w:sz w:val="18"/>
          <w:szCs w:val="18"/>
          <w:color w:val="auto"/>
        </w:rPr>
        <w:t>In the first quarter of 2022, TimkenSteel repurchased a total of $10.0 million aggregate principal amount of its Convertible Senior Notes Due 2025. Total cash paid to noteholders was $26.8 million. A loss on extinguishment of debt was recognized in the first quarter of 2022 in the amount of $17.0 million, which includes a charge of $0.2 million for unamortized debt issuance costs related to the portion of debt extinguished, as well as the related transaction costs.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340" w:type="dxa"/>
            <w:vAlign w:val="bottom"/>
          </w:tcPr>
          <w:p>
            <w:pPr>
              <w:spacing w:after="0"/>
              <w:rPr>
                <w:sz w:val="20"/>
                <w:szCs w:val="20"/>
                <w:color w:val="auto"/>
              </w:rPr>
            </w:pPr>
            <w:r>
              <w:rPr>
                <w:rFonts w:ascii="Arial" w:cs="Arial" w:eastAsia="Arial" w:hAnsi="Arial"/>
                <w:sz w:val="18"/>
                <w:szCs w:val="18"/>
                <w:b w:val="1"/>
                <w:bCs w:val="1"/>
                <w:i w:val="1"/>
                <w:iCs w:val="1"/>
                <w:color w:val="auto"/>
              </w:rPr>
              <w:t>Convertible Notes Interest Expense</w:t>
            </w:r>
          </w:p>
        </w:tc>
        <w:tc>
          <w:tcPr>
            <w:tcW w:w="15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440" w:type="dxa"/>
            <w:vAlign w:val="bottom"/>
          </w:tcPr>
          <w:p>
            <w:pPr>
              <w:spacing w:after="0"/>
              <w:rPr>
                <w:sz w:val="20"/>
                <w:szCs w:val="20"/>
                <w:color w:val="auto"/>
              </w:rPr>
            </w:pPr>
          </w:p>
        </w:tc>
      </w:tr>
      <w:tr>
        <w:trPr>
          <w:trHeight w:val="405"/>
        </w:trPr>
        <w:tc>
          <w:tcPr>
            <w:tcW w:w="7340" w:type="dxa"/>
            <w:vAlign w:val="bottom"/>
          </w:tcPr>
          <w:p>
            <w:pPr>
              <w:spacing w:after="0"/>
              <w:rPr>
                <w:sz w:val="20"/>
                <w:szCs w:val="20"/>
                <w:color w:val="auto"/>
              </w:rPr>
            </w:pPr>
            <w:r>
              <w:rPr>
                <w:rFonts w:ascii="Arial" w:cs="Arial" w:eastAsia="Arial" w:hAnsi="Arial"/>
                <w:sz w:val="18"/>
                <w:szCs w:val="18"/>
                <w:color w:val="auto"/>
                <w:w w:val="96"/>
              </w:rPr>
              <w:t>The following table sets forth total interest expense recognized related to the Convertible Notes:</w:t>
            </w:r>
          </w:p>
        </w:tc>
        <w:tc>
          <w:tcPr>
            <w:tcW w:w="1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40" w:type="dxa"/>
            <w:vAlign w:val="bottom"/>
          </w:tcPr>
          <w:p>
            <w:pPr>
              <w:spacing w:after="0"/>
              <w:rPr>
                <w:sz w:val="24"/>
                <w:szCs w:val="24"/>
                <w:color w:val="auto"/>
              </w:rPr>
            </w:pPr>
          </w:p>
        </w:tc>
      </w:tr>
      <w:tr>
        <w:trPr>
          <w:trHeight w:val="346"/>
        </w:trPr>
        <w:tc>
          <w:tcPr>
            <w:tcW w:w="7340" w:type="dxa"/>
            <w:vAlign w:val="bottom"/>
          </w:tcPr>
          <w:p>
            <w:pPr>
              <w:spacing w:after="0"/>
              <w:rPr>
                <w:sz w:val="24"/>
                <w:szCs w:val="24"/>
                <w:color w:val="auto"/>
              </w:rPr>
            </w:pPr>
          </w:p>
        </w:tc>
        <w:tc>
          <w:tcPr>
            <w:tcW w:w="3460" w:type="dxa"/>
            <w:vAlign w:val="bottom"/>
            <w:gridSpan w:val="3"/>
          </w:tcPr>
          <w:p>
            <w:pPr>
              <w:jc w:val="right"/>
              <w:ind w:right="30"/>
              <w:spacing w:after="0"/>
              <w:rPr>
                <w:sz w:val="20"/>
                <w:szCs w:val="20"/>
                <w:color w:val="auto"/>
              </w:rPr>
            </w:pPr>
            <w:r>
              <w:rPr>
                <w:rFonts w:ascii="Arial" w:cs="Arial" w:eastAsia="Arial" w:hAnsi="Arial"/>
                <w:sz w:val="18"/>
                <w:szCs w:val="18"/>
                <w:b w:val="1"/>
                <w:bCs w:val="1"/>
                <w:color w:val="auto"/>
              </w:rPr>
              <w:t>Three Months Ended March 31,</w:t>
            </w:r>
          </w:p>
        </w:tc>
        <w:tc>
          <w:tcPr>
            <w:tcW w:w="440" w:type="dxa"/>
            <w:vAlign w:val="bottom"/>
          </w:tcPr>
          <w:p>
            <w:pPr>
              <w:spacing w:after="0"/>
              <w:rPr>
                <w:sz w:val="24"/>
                <w:szCs w:val="24"/>
                <w:color w:val="auto"/>
              </w:rPr>
            </w:pPr>
          </w:p>
        </w:tc>
      </w:tr>
      <w:tr>
        <w:trPr>
          <w:trHeight w:val="221"/>
        </w:trPr>
        <w:tc>
          <w:tcPr>
            <w:tcW w:w="734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rPr>
              <w:t>2022</w:t>
            </w:r>
          </w:p>
        </w:tc>
        <w:tc>
          <w:tcPr>
            <w:tcW w:w="5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2021</w:t>
            </w:r>
          </w:p>
        </w:tc>
        <w:tc>
          <w:tcPr>
            <w:tcW w:w="440" w:type="dxa"/>
            <w:vAlign w:val="bottom"/>
            <w:tcBorders>
              <w:bottom w:val="single" w:sz="8" w:color="auto"/>
            </w:tcBorders>
          </w:tcPr>
          <w:p>
            <w:pPr>
              <w:spacing w:after="0"/>
              <w:rPr>
                <w:sz w:val="19"/>
                <w:szCs w:val="19"/>
                <w:color w:val="auto"/>
              </w:rPr>
            </w:pPr>
          </w:p>
        </w:tc>
      </w:tr>
      <w:tr>
        <w:trPr>
          <w:trHeight w:val="196"/>
        </w:trPr>
        <w:tc>
          <w:tcPr>
            <w:tcW w:w="734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Contractual interest expense</w:t>
            </w:r>
          </w:p>
        </w:tc>
        <w:tc>
          <w:tcPr>
            <w:tcW w:w="1560" w:type="dxa"/>
            <w:vAlign w:val="bottom"/>
            <w:shd w:val="clear" w:color="auto" w:fill="CFF0FC"/>
          </w:tcPr>
          <w:p>
            <w:pPr>
              <w:jc w:val="right"/>
              <w:ind w:right="970"/>
              <w:spacing w:after="0" w:line="196" w:lineRule="exact"/>
              <w:rPr>
                <w:sz w:val="20"/>
                <w:szCs w:val="20"/>
                <w:color w:val="auto"/>
              </w:rPr>
            </w:pPr>
            <w:r>
              <w:rPr>
                <w:rFonts w:ascii="Arial" w:cs="Arial" w:eastAsia="Arial" w:hAnsi="Arial"/>
                <w:sz w:val="18"/>
                <w:szCs w:val="18"/>
                <w:b w:val="1"/>
                <w:bCs w:val="1"/>
                <w:color w:val="auto"/>
              </w:rPr>
              <w:t>$</w:t>
            </w:r>
          </w:p>
        </w:tc>
        <w:tc>
          <w:tcPr>
            <w:tcW w:w="540" w:type="dxa"/>
            <w:vAlign w:val="bottom"/>
            <w:shd w:val="clear" w:color="auto" w:fill="CFF0FC"/>
          </w:tcPr>
          <w:p>
            <w:pPr>
              <w:jc w:val="right"/>
              <w:ind w:right="50"/>
              <w:spacing w:after="0" w:line="196" w:lineRule="exact"/>
              <w:rPr>
                <w:sz w:val="20"/>
                <w:szCs w:val="20"/>
                <w:color w:val="auto"/>
              </w:rPr>
            </w:pPr>
            <w:r>
              <w:rPr>
                <w:rFonts w:ascii="Arial" w:cs="Arial" w:eastAsia="Arial" w:hAnsi="Arial"/>
                <w:sz w:val="18"/>
                <w:szCs w:val="18"/>
                <w:b w:val="1"/>
                <w:bCs w:val="1"/>
                <w:color w:val="auto"/>
              </w:rPr>
              <w:t>0.6</w:t>
            </w:r>
          </w:p>
        </w:tc>
        <w:tc>
          <w:tcPr>
            <w:tcW w:w="1360" w:type="dxa"/>
            <w:vAlign w:val="bottom"/>
            <w:shd w:val="clear" w:color="auto" w:fill="CFF0FC"/>
          </w:tcPr>
          <w:p>
            <w:pPr>
              <w:jc w:val="right"/>
              <w:ind w:right="1050"/>
              <w:spacing w:after="0" w:line="196" w:lineRule="exact"/>
              <w:rPr>
                <w:sz w:val="20"/>
                <w:szCs w:val="20"/>
                <w:color w:val="auto"/>
              </w:rPr>
            </w:pPr>
            <w:r>
              <w:rPr>
                <w:rFonts w:ascii="Arial" w:cs="Arial" w:eastAsia="Arial" w:hAnsi="Arial"/>
                <w:sz w:val="18"/>
                <w:szCs w:val="18"/>
                <w:color w:val="auto"/>
              </w:rPr>
              <w:t>$</w:t>
            </w:r>
          </w:p>
        </w:tc>
        <w:tc>
          <w:tcPr>
            <w:tcW w:w="44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1.2</w:t>
            </w:r>
          </w:p>
        </w:tc>
      </w:tr>
      <w:tr>
        <w:trPr>
          <w:trHeight w:val="203"/>
        </w:trPr>
        <w:tc>
          <w:tcPr>
            <w:tcW w:w="7340" w:type="dxa"/>
            <w:vAlign w:val="bottom"/>
            <w:tcBorders>
              <w:bottom w:val="single" w:sz="8" w:color="auto"/>
            </w:tcBorders>
          </w:tcPr>
          <w:p>
            <w:pPr>
              <w:ind w:left="20"/>
              <w:spacing w:after="0" w:line="202" w:lineRule="exact"/>
              <w:rPr>
                <w:sz w:val="20"/>
                <w:szCs w:val="20"/>
                <w:color w:val="auto"/>
              </w:rPr>
            </w:pPr>
            <w:r>
              <w:rPr>
                <w:rFonts w:ascii="Arial" w:cs="Arial" w:eastAsia="Arial" w:hAnsi="Arial"/>
                <w:sz w:val="18"/>
                <w:szCs w:val="18"/>
                <w:color w:val="auto"/>
              </w:rPr>
              <w:t>Amortization of debt issuance costs</w:t>
            </w:r>
          </w:p>
        </w:tc>
        <w:tc>
          <w:tcPr>
            <w:tcW w:w="156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jc w:val="right"/>
              <w:ind w:right="50"/>
              <w:spacing w:after="0" w:line="202" w:lineRule="exact"/>
              <w:rPr>
                <w:sz w:val="20"/>
                <w:szCs w:val="20"/>
                <w:color w:val="auto"/>
              </w:rPr>
            </w:pPr>
            <w:r>
              <w:rPr>
                <w:rFonts w:ascii="Arial" w:cs="Arial" w:eastAsia="Arial" w:hAnsi="Arial"/>
                <w:sz w:val="18"/>
                <w:szCs w:val="18"/>
                <w:b w:val="1"/>
                <w:bCs w:val="1"/>
                <w:color w:val="auto"/>
              </w:rPr>
              <w:t>0.1</w:t>
            </w:r>
          </w:p>
        </w:tc>
        <w:tc>
          <w:tcPr>
            <w:tcW w:w="136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color w:val="auto"/>
              </w:rPr>
              <w:t>0.1</w:t>
            </w:r>
          </w:p>
        </w:tc>
      </w:tr>
      <w:tr>
        <w:trPr>
          <w:trHeight w:val="196"/>
        </w:trPr>
        <w:tc>
          <w:tcPr>
            <w:tcW w:w="7340" w:type="dxa"/>
            <w:vAlign w:val="bottom"/>
            <w:tcBorders>
              <w:bottom w:val="single" w:sz="8" w:color="auto"/>
            </w:tcBorders>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Total</w:t>
            </w:r>
          </w:p>
        </w:tc>
        <w:tc>
          <w:tcPr>
            <w:tcW w:w="1560" w:type="dxa"/>
            <w:vAlign w:val="bottom"/>
            <w:tcBorders>
              <w:bottom w:val="single" w:sz="8" w:color="auto"/>
            </w:tcBorders>
            <w:shd w:val="clear" w:color="auto" w:fill="CFF0FC"/>
          </w:tcPr>
          <w:p>
            <w:pPr>
              <w:jc w:val="right"/>
              <w:ind w:right="970"/>
              <w:spacing w:after="0" w:line="196" w:lineRule="exact"/>
              <w:rPr>
                <w:sz w:val="20"/>
                <w:szCs w:val="20"/>
                <w:color w:val="auto"/>
              </w:rPr>
            </w:pPr>
            <w:r>
              <w:rPr>
                <w:rFonts w:ascii="Arial" w:cs="Arial" w:eastAsia="Arial" w:hAnsi="Arial"/>
                <w:sz w:val="18"/>
                <w:szCs w:val="18"/>
                <w:b w:val="1"/>
                <w:bCs w:val="1"/>
                <w:color w:val="auto"/>
              </w:rPr>
              <w:t>$</w:t>
            </w:r>
          </w:p>
        </w:tc>
        <w:tc>
          <w:tcPr>
            <w:tcW w:w="540" w:type="dxa"/>
            <w:vAlign w:val="bottom"/>
            <w:tcBorders>
              <w:bottom w:val="single" w:sz="8" w:color="auto"/>
            </w:tcBorders>
            <w:shd w:val="clear" w:color="auto" w:fill="CFF0FC"/>
          </w:tcPr>
          <w:p>
            <w:pPr>
              <w:jc w:val="right"/>
              <w:ind w:right="50"/>
              <w:spacing w:after="0" w:line="196" w:lineRule="exact"/>
              <w:rPr>
                <w:sz w:val="20"/>
                <w:szCs w:val="20"/>
                <w:color w:val="auto"/>
              </w:rPr>
            </w:pPr>
            <w:r>
              <w:rPr>
                <w:rFonts w:ascii="Arial" w:cs="Arial" w:eastAsia="Arial" w:hAnsi="Arial"/>
                <w:sz w:val="18"/>
                <w:szCs w:val="18"/>
                <w:b w:val="1"/>
                <w:bCs w:val="1"/>
                <w:color w:val="auto"/>
              </w:rPr>
              <w:t>0.7</w:t>
            </w:r>
          </w:p>
        </w:tc>
        <w:tc>
          <w:tcPr>
            <w:tcW w:w="1360" w:type="dxa"/>
            <w:vAlign w:val="bottom"/>
            <w:tcBorders>
              <w:bottom w:val="single" w:sz="8" w:color="auto"/>
            </w:tcBorders>
            <w:shd w:val="clear" w:color="auto" w:fill="CFF0FC"/>
          </w:tcPr>
          <w:p>
            <w:pPr>
              <w:jc w:val="right"/>
              <w:ind w:right="1050"/>
              <w:spacing w:after="0" w:line="196" w:lineRule="exact"/>
              <w:rPr>
                <w:sz w:val="20"/>
                <w:szCs w:val="20"/>
                <w:color w:val="auto"/>
              </w:rPr>
            </w:pPr>
            <w:r>
              <w:rPr>
                <w:rFonts w:ascii="Arial" w:cs="Arial" w:eastAsia="Arial" w:hAnsi="Arial"/>
                <w:sz w:val="18"/>
                <w:szCs w:val="18"/>
                <w:color w:val="auto"/>
              </w:rPr>
              <w:t>$</w:t>
            </w:r>
          </w:p>
        </w:tc>
        <w:tc>
          <w:tcPr>
            <w:tcW w:w="440" w:type="dxa"/>
            <w:vAlign w:val="bottom"/>
            <w:tcBorders>
              <w:bottom w:val="single" w:sz="8" w:color="auto"/>
            </w:tcBorders>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1.3</w:t>
            </w:r>
          </w:p>
        </w:tc>
      </w:tr>
    </w:tbl>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Measurement</w:t>
      </w:r>
    </w:p>
    <w:p>
      <w:pPr>
        <w:spacing w:after="0" w:line="171" w:lineRule="exact"/>
        <w:rPr>
          <w:sz w:val="20"/>
          <w:szCs w:val="20"/>
          <w:color w:val="auto"/>
        </w:rPr>
      </w:pPr>
    </w:p>
    <w:p>
      <w:pPr>
        <w:ind w:right="120"/>
        <w:spacing w:after="0" w:line="248" w:lineRule="auto"/>
        <w:rPr>
          <w:sz w:val="20"/>
          <w:szCs w:val="20"/>
          <w:color w:val="auto"/>
        </w:rPr>
      </w:pPr>
      <w:r>
        <w:rPr>
          <w:rFonts w:ascii="Arial" w:cs="Arial" w:eastAsia="Arial" w:hAnsi="Arial"/>
          <w:sz w:val="18"/>
          <w:szCs w:val="18"/>
          <w:color w:val="auto"/>
        </w:rPr>
        <w:t>The fair value of the Convertible Senior Notes due 2025 was approximately $107.9 million as of March 31, 2022. The fair value of the Convertible Senior Notes due 2025, which falls within Level 2 of the fair value hierarchy as defined by applicable accounting guidance, is based on a valuation model primarily using observable market inputs and requires a recurring fair value measurement on a quarterly basis.</w:t>
      </w:r>
    </w:p>
    <w:p>
      <w:pPr>
        <w:spacing w:after="0" w:line="141" w:lineRule="exact"/>
        <w:rPr>
          <w:sz w:val="20"/>
          <w:szCs w:val="20"/>
          <w:color w:val="auto"/>
        </w:rPr>
      </w:pPr>
    </w:p>
    <w:p>
      <w:pPr>
        <w:ind w:right="80"/>
        <w:spacing w:after="0" w:line="243" w:lineRule="auto"/>
        <w:rPr>
          <w:sz w:val="20"/>
          <w:szCs w:val="20"/>
          <w:color w:val="auto"/>
        </w:rPr>
      </w:pPr>
      <w:r>
        <w:rPr>
          <w:rFonts w:ascii="Arial" w:cs="Arial" w:eastAsia="Arial" w:hAnsi="Arial"/>
          <w:sz w:val="18"/>
          <w:szCs w:val="18"/>
          <w:color w:val="auto"/>
        </w:rPr>
        <w:t>TimkenSteel’s Credit Facility is variable-rate debt. As such, any outstanding carrying value is a reasonable estimate of fair value as interest rates on these borrowings approximate current market rates. This valuation falls within Level 2 of the fair value hierarchy and is based on quoted prices for similar assets and liabilities in active markets that are observable either directly or indirectly. There were no outstanding borrowings on the Credit Facility as of March 31, 2022.</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Interest Paid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The total cash interest paid for the three months ended March 31, 2022 and 2021 was $0.4 million and $0.3 million, respectively.</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Treasury Shares</w:t>
      </w:r>
    </w:p>
    <w:p>
      <w:pPr>
        <w:spacing w:after="0" w:line="171" w:lineRule="exact"/>
        <w:rPr>
          <w:sz w:val="20"/>
          <w:szCs w:val="20"/>
          <w:color w:val="auto"/>
        </w:rPr>
      </w:pPr>
    </w:p>
    <w:p>
      <w:pPr>
        <w:ind w:right="40"/>
        <w:spacing w:after="0" w:line="239" w:lineRule="auto"/>
        <w:rPr>
          <w:sz w:val="20"/>
          <w:szCs w:val="20"/>
          <w:color w:val="auto"/>
        </w:rPr>
      </w:pPr>
      <w:r>
        <w:rPr>
          <w:rFonts w:ascii="Arial" w:cs="Arial" w:eastAsia="Arial" w:hAnsi="Arial"/>
          <w:sz w:val="18"/>
          <w:szCs w:val="18"/>
          <w:color w:val="auto"/>
        </w:rPr>
        <w:t>On December 20, 2021, TimkenSteel announced that its Board of Directors authorized a share repurchase program under which the Company may repurchase up to $50.0 million of its outstanding common shares. The share repurchase program is intended to return capital to shareholders while also offsetting dilution from annual equity compensation awards. The share repurchase program does not require the Company to acquire any dollar amount or number of shares and may be modified, suspended, extended or terminated by the Company at any time without prior notice. For the three months ended March 31, 2022, the Company repurchased approximately 0.2 million common shares at an aggregate cost of $3.4 million in the open market, which equates to an average repurchase price of $20.27 per share. As of March 31, 2022, the Company had a balance of $46.6 million remaining on its previously approved $50.0 million share repurchase program.</w:t>
      </w:r>
    </w:p>
    <w:p>
      <w:pPr>
        <w:spacing w:after="0" w:line="150" w:lineRule="exact"/>
        <w:rPr>
          <w:sz w:val="20"/>
          <w:szCs w:val="20"/>
          <w:color w:val="auto"/>
        </w:rPr>
      </w:pPr>
    </w:p>
    <w:p>
      <w:pPr>
        <w:ind w:right="260"/>
        <w:spacing w:after="0" w:line="248" w:lineRule="auto"/>
        <w:rPr>
          <w:sz w:val="20"/>
          <w:szCs w:val="20"/>
          <w:color w:val="auto"/>
        </w:rPr>
      </w:pPr>
      <w:r>
        <w:rPr>
          <w:rFonts w:ascii="Arial" w:cs="Arial" w:eastAsia="Arial" w:hAnsi="Arial"/>
          <w:sz w:val="18"/>
          <w:szCs w:val="18"/>
          <w:color w:val="auto"/>
        </w:rPr>
        <w:t>In April 2022, the Company repurchased approximately 0.1 million common shares at an aggregate cost of $3.0 million, which equates to an average repurchase price of $21.88 per share. As of April 30, 2022, the Company had $43.6 million remaining under its previously approved $50.0 million share repurchase program.</w:t>
      </w:r>
    </w:p>
    <w:p>
      <w:pPr>
        <w:spacing w:after="0" w:line="3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336550</wp:posOffset>
            </wp:positionV>
            <wp:extent cx="715772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4" w:name="page15"/>
    <w:bookmarkEnd w:id="1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810895" cy="8255"/>
                    </a:xfrm>
                    <a:prstGeom prst="rect">
                      <a:avLst/>
                    </a:prstGeom>
                    <a:noFill/>
                  </pic:spPr>
                </pic:pic>
              </a:graphicData>
            </a:graphic>
          </wp:anchor>
        </w:drawing>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 Retirement and Postretirement Plans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Plan Amendments</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TimkenSteel Corporation Bargaining Unit Pension Plan ("Bargaining Plan")</w:t>
      </w:r>
    </w:p>
    <w:p>
      <w:pPr>
        <w:spacing w:after="0" w:line="158" w:lineRule="exact"/>
        <w:rPr>
          <w:sz w:val="20"/>
          <w:szCs w:val="20"/>
          <w:color w:val="auto"/>
        </w:rPr>
      </w:pPr>
    </w:p>
    <w:p>
      <w:pPr>
        <w:ind w:right="40"/>
        <w:spacing w:after="0" w:line="279" w:lineRule="auto"/>
        <w:rPr>
          <w:sz w:val="20"/>
          <w:szCs w:val="20"/>
          <w:color w:val="auto"/>
        </w:rPr>
      </w:pPr>
      <w:r>
        <w:rPr>
          <w:rFonts w:ascii="Arial" w:cs="Arial" w:eastAsia="Arial" w:hAnsi="Arial"/>
          <w:sz w:val="16"/>
          <w:szCs w:val="16"/>
          <w:color w:val="auto"/>
        </w:rPr>
        <w:t>On October 29, 2021, the United Steelworkers ("USW") Local 1123 voted to ratify a new four-year contract (the “Contract”). The Contract is in effect until September 27, 2025 and resulted in several changes to the Bargaining Plan which increased the pension liability by $14.2 million in 2021. These plan amendments were recognized in other comprehensive income (loss) in 2021 and have begun to be amortized as part of the pension net periodic benefit cost in the first quarter of 2022. The primary change that drove the increase in the pension liability was the addition of a full lump sum form of payment for participants commencing benefits on or after January 1, 2022. In addition, the plan is now closed to new entrants effective January 1, 2022.</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TimkenSteel Corporation Retirement Plan ("Salaried Plan")</w:t>
      </w:r>
    </w:p>
    <w:p>
      <w:pPr>
        <w:spacing w:after="0" w:line="158" w:lineRule="exact"/>
        <w:rPr>
          <w:sz w:val="20"/>
          <w:szCs w:val="20"/>
          <w:color w:val="auto"/>
        </w:rPr>
      </w:pPr>
    </w:p>
    <w:p>
      <w:pPr>
        <w:ind w:right="440"/>
        <w:spacing w:after="0" w:line="294" w:lineRule="auto"/>
        <w:rPr>
          <w:sz w:val="20"/>
          <w:szCs w:val="20"/>
          <w:color w:val="auto"/>
        </w:rPr>
      </w:pPr>
      <w:r>
        <w:rPr>
          <w:rFonts w:ascii="Arial" w:cs="Arial" w:eastAsia="Arial" w:hAnsi="Arial"/>
          <w:sz w:val="16"/>
          <w:szCs w:val="16"/>
          <w:color w:val="auto"/>
        </w:rPr>
        <w:t>During the fourth quarter of 2021, termination of the Salaried Plan was approved by the TimkenSteel Board of Directors. Participants were notified in January 2022 and the plan was terminated effective March 31, 2022, subject to regulatory approval. The purchase of an annuity from an insurance company is expected to occur in 2023, after which time the insurance company selected will be responsible for all participant benefit payments.</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Pension Net Periodic Benefit Cost (Income)</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The components of net periodic benefit cost (income) for the three months ended March 31, 2022 were as follows:</w:t>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348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w w:val="99"/>
              </w:rPr>
              <w:t>Pension</w:t>
            </w:r>
          </w:p>
        </w:tc>
        <w:tc>
          <w:tcPr>
            <w:tcW w:w="44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5"/>
        </w:trPr>
        <w:tc>
          <w:tcPr>
            <w:tcW w:w="34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980" w:type="dxa"/>
            <w:vAlign w:val="bottom"/>
            <w:gridSpan w:val="4"/>
            <w:vMerge w:val="restart"/>
          </w:tcPr>
          <w:p>
            <w:pPr>
              <w:jc w:val="right"/>
              <w:ind w:right="370"/>
              <w:spacing w:after="0"/>
              <w:rPr>
                <w:sz w:val="20"/>
                <w:szCs w:val="20"/>
                <w:color w:val="auto"/>
              </w:rPr>
            </w:pPr>
            <w:r>
              <w:rPr>
                <w:rFonts w:ascii="Arial" w:cs="Arial" w:eastAsia="Arial" w:hAnsi="Arial"/>
                <w:sz w:val="18"/>
                <w:szCs w:val="18"/>
                <w:b w:val="1"/>
                <w:bCs w:val="1"/>
                <w:color w:val="auto"/>
              </w:rPr>
              <w:t>United States of America</w:t>
            </w:r>
          </w:p>
        </w:tc>
        <w:tc>
          <w:tcPr>
            <w:tcW w:w="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tcPr>
          <w:p>
            <w:pPr>
              <w:jc w:val="center"/>
              <w:ind w:right="170"/>
              <w:spacing w:after="0" w:line="156" w:lineRule="exact"/>
              <w:rPr>
                <w:sz w:val="20"/>
                <w:szCs w:val="20"/>
                <w:color w:val="auto"/>
              </w:rPr>
            </w:pPr>
            <w:r>
              <w:rPr>
                <w:rFonts w:ascii="Arial" w:cs="Arial" w:eastAsia="Arial" w:hAnsi="Arial"/>
                <w:sz w:val="18"/>
                <w:szCs w:val="18"/>
                <w:b w:val="1"/>
                <w:bCs w:val="1"/>
                <w:color w:val="auto"/>
                <w:w w:val="92"/>
              </w:rPr>
              <w:t>United</w:t>
            </w:r>
          </w:p>
        </w:tc>
        <w:tc>
          <w:tcPr>
            <w:tcW w:w="80" w:type="dxa"/>
            <w:vAlign w:val="bottom"/>
          </w:tcPr>
          <w:p>
            <w:pPr>
              <w:spacing w:after="0"/>
              <w:rPr>
                <w:sz w:val="13"/>
                <w:szCs w:val="13"/>
                <w:color w:val="auto"/>
              </w:rPr>
            </w:pPr>
          </w:p>
        </w:tc>
        <w:tc>
          <w:tcPr>
            <w:tcW w:w="800" w:type="dxa"/>
            <w:vAlign w:val="bottom"/>
            <w:gridSpan w:val="2"/>
            <w:vMerge w:val="restart"/>
          </w:tcPr>
          <w:p>
            <w:pPr>
              <w:jc w:val="center"/>
              <w:spacing w:after="0"/>
              <w:rPr>
                <w:sz w:val="20"/>
                <w:szCs w:val="20"/>
                <w:color w:val="auto"/>
              </w:rPr>
            </w:pPr>
            <w:r>
              <w:rPr>
                <w:rFonts w:ascii="Arial" w:cs="Arial" w:eastAsia="Arial" w:hAnsi="Arial"/>
                <w:sz w:val="18"/>
                <w:szCs w:val="18"/>
                <w:b w:val="1"/>
                <w:bCs w:val="1"/>
                <w:color w:val="auto"/>
                <w:w w:val="91"/>
              </w:rPr>
              <w:t>Mexico</w:t>
            </w: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348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2980" w:type="dxa"/>
            <w:vAlign w:val="bottom"/>
            <w:tcBorders>
              <w:bottom w:val="single" w:sz="8" w:color="auto"/>
            </w:tcBorders>
            <w:gridSpan w:val="4"/>
            <w:vMerge w:val="continue"/>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Borders>
              <w:bottom w:val="single" w:sz="8" w:color="auto"/>
            </w:tcBorders>
            <w:gridSpan w:val="2"/>
          </w:tcPr>
          <w:p>
            <w:pPr>
              <w:jc w:val="center"/>
              <w:ind w:right="30"/>
              <w:spacing w:after="0"/>
              <w:rPr>
                <w:sz w:val="20"/>
                <w:szCs w:val="20"/>
                <w:color w:val="auto"/>
              </w:rPr>
            </w:pPr>
            <w:r>
              <w:rPr>
                <w:rFonts w:ascii="Arial" w:cs="Arial" w:eastAsia="Arial" w:hAnsi="Arial"/>
                <w:sz w:val="18"/>
                <w:szCs w:val="18"/>
                <w:b w:val="1"/>
                <w:bCs w:val="1"/>
                <w:color w:val="auto"/>
                <w:w w:val="92"/>
              </w:rPr>
              <w:t>Kingdom</w:t>
            </w:r>
          </w:p>
        </w:tc>
        <w:tc>
          <w:tcPr>
            <w:tcW w:w="80" w:type="dxa"/>
            <w:vAlign w:val="bottom"/>
          </w:tcPr>
          <w:p>
            <w:pPr>
              <w:spacing w:after="0"/>
              <w:rPr>
                <w:sz w:val="18"/>
                <w:szCs w:val="18"/>
                <w:color w:val="auto"/>
              </w:rPr>
            </w:pPr>
          </w:p>
        </w:tc>
        <w:tc>
          <w:tcPr>
            <w:tcW w:w="800" w:type="dxa"/>
            <w:vAlign w:val="bottom"/>
            <w:tcBorders>
              <w:bottom w:val="single" w:sz="8" w:color="auto"/>
            </w:tcBorders>
            <w:gridSpan w:val="2"/>
            <w:vMerge w:val="continue"/>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vMerge w:val="restart"/>
          </w:tcPr>
          <w:p>
            <w:pPr>
              <w:jc w:val="center"/>
              <w:ind w:right="150"/>
              <w:spacing w:after="0"/>
              <w:rPr>
                <w:sz w:val="20"/>
                <w:szCs w:val="20"/>
                <w:color w:val="auto"/>
              </w:rPr>
            </w:pPr>
            <w:r>
              <w:rPr>
                <w:rFonts w:ascii="Arial" w:cs="Arial" w:eastAsia="Arial" w:hAnsi="Arial"/>
                <w:sz w:val="18"/>
                <w:szCs w:val="18"/>
                <w:b w:val="1"/>
                <w:bCs w:val="1"/>
                <w:color w:val="auto"/>
                <w:w w:val="88"/>
              </w:rPr>
              <w:t>Total</w:t>
            </w:r>
          </w:p>
        </w:tc>
        <w:tc>
          <w:tcPr>
            <w:tcW w:w="3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5"/>
        </w:trPr>
        <w:tc>
          <w:tcPr>
            <w:tcW w:w="34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vMerge w:val="continue"/>
          </w:tcPr>
          <w:p>
            <w:pPr>
              <w:spacing w:after="0"/>
              <w:rPr>
                <w:sz w:val="13"/>
                <w:szCs w:val="13"/>
                <w:color w:val="auto"/>
              </w:rPr>
            </w:pPr>
          </w:p>
        </w:tc>
        <w:tc>
          <w:tcPr>
            <w:tcW w:w="1360" w:type="dxa"/>
            <w:vAlign w:val="bottom"/>
            <w:gridSpan w:val="2"/>
            <w:vMerge w:val="restart"/>
          </w:tcPr>
          <w:p>
            <w:pPr>
              <w:jc w:val="right"/>
              <w:ind w:right="50"/>
              <w:spacing w:after="0"/>
              <w:rPr>
                <w:sz w:val="20"/>
                <w:szCs w:val="20"/>
                <w:color w:val="auto"/>
              </w:rPr>
            </w:pPr>
            <w:r>
              <w:rPr>
                <w:rFonts w:ascii="Arial" w:cs="Arial" w:eastAsia="Arial" w:hAnsi="Arial"/>
                <w:sz w:val="18"/>
                <w:szCs w:val="18"/>
                <w:b w:val="1"/>
                <w:bCs w:val="1"/>
                <w:color w:val="auto"/>
                <w:w w:val="94"/>
              </w:rPr>
              <w:t>Postretirement</w:t>
            </w:r>
          </w:p>
        </w:tc>
        <w:tc>
          <w:tcPr>
            <w:tcW w:w="0" w:type="dxa"/>
            <w:vAlign w:val="bottom"/>
          </w:tcPr>
          <w:p>
            <w:pPr>
              <w:spacing w:after="0"/>
              <w:rPr>
                <w:sz w:val="1"/>
                <w:szCs w:val="1"/>
                <w:color w:val="auto"/>
              </w:rPr>
            </w:pPr>
          </w:p>
        </w:tc>
      </w:tr>
      <w:tr>
        <w:trPr>
          <w:trHeight w:val="81"/>
        </w:trPr>
        <w:tc>
          <w:tcPr>
            <w:tcW w:w="3480" w:type="dxa"/>
            <w:vAlign w:val="bottom"/>
          </w:tcPr>
          <w:p>
            <w:pPr>
              <w:spacing w:after="0"/>
              <w:rPr>
                <w:sz w:val="7"/>
                <w:szCs w:val="7"/>
                <w:color w:val="auto"/>
              </w:rPr>
            </w:pPr>
          </w:p>
        </w:tc>
        <w:tc>
          <w:tcPr>
            <w:tcW w:w="1140" w:type="dxa"/>
            <w:vAlign w:val="bottom"/>
            <w:gridSpan w:val="2"/>
            <w:vMerge w:val="restart"/>
          </w:tcPr>
          <w:p>
            <w:pPr>
              <w:jc w:val="right"/>
              <w:ind w:right="150"/>
              <w:spacing w:after="0" w:line="176" w:lineRule="exact"/>
              <w:rPr>
                <w:sz w:val="20"/>
                <w:szCs w:val="20"/>
                <w:color w:val="auto"/>
              </w:rPr>
            </w:pPr>
            <w:r>
              <w:rPr>
                <w:rFonts w:ascii="Arial" w:cs="Arial" w:eastAsia="Arial" w:hAnsi="Arial"/>
                <w:sz w:val="18"/>
                <w:szCs w:val="18"/>
                <w:b w:val="1"/>
                <w:bCs w:val="1"/>
                <w:color w:val="auto"/>
                <w:w w:val="93"/>
              </w:rPr>
              <w:t>Bargaining</w:t>
            </w:r>
          </w:p>
        </w:tc>
        <w:tc>
          <w:tcPr>
            <w:tcW w:w="240" w:type="dxa"/>
            <w:vAlign w:val="bottom"/>
          </w:tcPr>
          <w:p>
            <w:pPr>
              <w:spacing w:after="0"/>
              <w:rPr>
                <w:sz w:val="7"/>
                <w:szCs w:val="7"/>
                <w:color w:val="auto"/>
              </w:rPr>
            </w:pPr>
          </w:p>
        </w:tc>
        <w:tc>
          <w:tcPr>
            <w:tcW w:w="920" w:type="dxa"/>
            <w:vAlign w:val="bottom"/>
            <w:vMerge w:val="restart"/>
          </w:tcPr>
          <w:p>
            <w:pPr>
              <w:jc w:val="right"/>
              <w:ind w:right="170"/>
              <w:spacing w:after="0" w:line="176" w:lineRule="exact"/>
              <w:rPr>
                <w:sz w:val="20"/>
                <w:szCs w:val="20"/>
                <w:color w:val="auto"/>
              </w:rPr>
            </w:pPr>
            <w:r>
              <w:rPr>
                <w:rFonts w:ascii="Arial" w:cs="Arial" w:eastAsia="Arial" w:hAnsi="Arial"/>
                <w:sz w:val="18"/>
                <w:szCs w:val="18"/>
                <w:b w:val="1"/>
                <w:bCs w:val="1"/>
                <w:color w:val="auto"/>
                <w:w w:val="91"/>
              </w:rPr>
              <w:t>Salaried</w:t>
            </w:r>
          </w:p>
        </w:tc>
        <w:tc>
          <w:tcPr>
            <w:tcW w:w="1320" w:type="dxa"/>
            <w:vAlign w:val="bottom"/>
            <w:gridSpan w:val="2"/>
            <w:vMerge w:val="restart"/>
          </w:tcPr>
          <w:p>
            <w:pPr>
              <w:jc w:val="right"/>
              <w:ind w:right="50"/>
              <w:spacing w:after="0" w:line="176" w:lineRule="exact"/>
              <w:rPr>
                <w:sz w:val="20"/>
                <w:szCs w:val="20"/>
                <w:color w:val="auto"/>
              </w:rPr>
            </w:pPr>
            <w:r>
              <w:rPr>
                <w:rFonts w:ascii="Arial" w:cs="Arial" w:eastAsia="Arial" w:hAnsi="Arial"/>
                <w:sz w:val="18"/>
                <w:szCs w:val="18"/>
                <w:b w:val="1"/>
                <w:bCs w:val="1"/>
                <w:color w:val="auto"/>
                <w:w w:val="98"/>
              </w:rPr>
              <w:t>Supplemental</w:t>
            </w: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820" w:type="dxa"/>
            <w:vAlign w:val="bottom"/>
            <w:vMerge w:val="restart"/>
          </w:tcPr>
          <w:p>
            <w:pPr>
              <w:jc w:val="center"/>
              <w:ind w:right="130"/>
              <w:spacing w:after="0" w:line="176" w:lineRule="exact"/>
              <w:rPr>
                <w:sz w:val="20"/>
                <w:szCs w:val="20"/>
                <w:color w:val="auto"/>
              </w:rPr>
            </w:pPr>
            <w:r>
              <w:rPr>
                <w:rFonts w:ascii="Arial" w:cs="Arial" w:eastAsia="Arial" w:hAnsi="Arial"/>
                <w:sz w:val="18"/>
                <w:szCs w:val="18"/>
                <w:b w:val="1"/>
                <w:bCs w:val="1"/>
                <w:color w:val="auto"/>
                <w:w w:val="85"/>
              </w:rPr>
              <w:t>Pension</w:t>
            </w:r>
          </w:p>
        </w:tc>
        <w:tc>
          <w:tcPr>
            <w:tcW w:w="80" w:type="dxa"/>
            <w:vAlign w:val="bottom"/>
          </w:tcPr>
          <w:p>
            <w:pPr>
              <w:spacing w:after="0"/>
              <w:rPr>
                <w:sz w:val="7"/>
                <w:szCs w:val="7"/>
                <w:color w:val="auto"/>
              </w:rPr>
            </w:pPr>
          </w:p>
        </w:tc>
        <w:tc>
          <w:tcPr>
            <w:tcW w:w="800" w:type="dxa"/>
            <w:vAlign w:val="bottom"/>
            <w:gridSpan w:val="2"/>
            <w:vMerge w:val="restart"/>
          </w:tcPr>
          <w:p>
            <w:pPr>
              <w:jc w:val="center"/>
              <w:spacing w:after="0" w:line="176" w:lineRule="exact"/>
              <w:rPr>
                <w:sz w:val="20"/>
                <w:szCs w:val="20"/>
                <w:color w:val="auto"/>
              </w:rPr>
            </w:pPr>
            <w:r>
              <w:rPr>
                <w:rFonts w:ascii="Arial" w:cs="Arial" w:eastAsia="Arial" w:hAnsi="Arial"/>
                <w:sz w:val="18"/>
                <w:szCs w:val="18"/>
                <w:b w:val="1"/>
                <w:bCs w:val="1"/>
                <w:color w:val="auto"/>
                <w:w w:val="85"/>
              </w:rPr>
              <w:t>Pension</w:t>
            </w:r>
          </w:p>
        </w:tc>
        <w:tc>
          <w:tcPr>
            <w:tcW w:w="860" w:type="dxa"/>
            <w:vAlign w:val="bottom"/>
            <w:gridSpan w:val="2"/>
            <w:vMerge w:val="restart"/>
          </w:tcPr>
          <w:p>
            <w:pPr>
              <w:jc w:val="center"/>
              <w:spacing w:after="0" w:line="176" w:lineRule="exact"/>
              <w:rPr>
                <w:sz w:val="20"/>
                <w:szCs w:val="20"/>
                <w:color w:val="auto"/>
              </w:rPr>
            </w:pPr>
            <w:r>
              <w:rPr>
                <w:rFonts w:ascii="Arial" w:cs="Arial" w:eastAsia="Arial" w:hAnsi="Arial"/>
                <w:sz w:val="18"/>
                <w:szCs w:val="18"/>
                <w:b w:val="1"/>
                <w:bCs w:val="1"/>
                <w:color w:val="auto"/>
                <w:w w:val="84"/>
              </w:rPr>
              <w:t>Pensio</w:t>
            </w:r>
          </w:p>
        </w:tc>
        <w:tc>
          <w:tcPr>
            <w:tcW w:w="13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5"/>
        </w:trPr>
        <w:tc>
          <w:tcPr>
            <w:tcW w:w="3480" w:type="dxa"/>
            <w:vAlign w:val="bottom"/>
          </w:tcPr>
          <w:p>
            <w:pPr>
              <w:spacing w:after="0"/>
              <w:rPr>
                <w:sz w:val="8"/>
                <w:szCs w:val="8"/>
                <w:color w:val="auto"/>
              </w:rPr>
            </w:pPr>
          </w:p>
        </w:tc>
        <w:tc>
          <w:tcPr>
            <w:tcW w:w="1140" w:type="dxa"/>
            <w:vAlign w:val="bottom"/>
            <w:gridSpan w:val="2"/>
            <w:vMerge w:val="continue"/>
          </w:tcPr>
          <w:p>
            <w:pPr>
              <w:spacing w:after="0"/>
              <w:rPr>
                <w:sz w:val="8"/>
                <w:szCs w:val="8"/>
                <w:color w:val="auto"/>
              </w:rPr>
            </w:pPr>
          </w:p>
        </w:tc>
        <w:tc>
          <w:tcPr>
            <w:tcW w:w="240" w:type="dxa"/>
            <w:vAlign w:val="bottom"/>
          </w:tcPr>
          <w:p>
            <w:pPr>
              <w:spacing w:after="0"/>
              <w:rPr>
                <w:sz w:val="8"/>
                <w:szCs w:val="8"/>
                <w:color w:val="auto"/>
              </w:rPr>
            </w:pPr>
          </w:p>
        </w:tc>
        <w:tc>
          <w:tcPr>
            <w:tcW w:w="920" w:type="dxa"/>
            <w:vAlign w:val="bottom"/>
            <w:vMerge w:val="continue"/>
          </w:tcPr>
          <w:p>
            <w:pPr>
              <w:spacing w:after="0"/>
              <w:rPr>
                <w:sz w:val="8"/>
                <w:szCs w:val="8"/>
                <w:color w:val="auto"/>
              </w:rPr>
            </w:pPr>
          </w:p>
        </w:tc>
        <w:tc>
          <w:tcPr>
            <w:tcW w:w="132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80" w:type="dxa"/>
            <w:vAlign w:val="bottom"/>
          </w:tcPr>
          <w:p>
            <w:pPr>
              <w:spacing w:after="0"/>
              <w:rPr>
                <w:sz w:val="8"/>
                <w:szCs w:val="8"/>
                <w:color w:val="auto"/>
              </w:rPr>
            </w:pPr>
          </w:p>
        </w:tc>
        <w:tc>
          <w:tcPr>
            <w:tcW w:w="800" w:type="dxa"/>
            <w:vAlign w:val="bottom"/>
            <w:gridSpan w:val="2"/>
            <w:vMerge w:val="continue"/>
          </w:tcPr>
          <w:p>
            <w:pPr>
              <w:spacing w:after="0"/>
              <w:rPr>
                <w:sz w:val="8"/>
                <w:szCs w:val="8"/>
                <w:color w:val="auto"/>
              </w:rPr>
            </w:pPr>
          </w:p>
        </w:tc>
        <w:tc>
          <w:tcPr>
            <w:tcW w:w="860" w:type="dxa"/>
            <w:vAlign w:val="bottom"/>
            <w:gridSpan w:val="2"/>
            <w:vMerge w:val="continue"/>
          </w:tcPr>
          <w:p>
            <w:pPr>
              <w:spacing w:after="0"/>
              <w:rPr>
                <w:sz w:val="8"/>
                <w:szCs w:val="8"/>
                <w:color w:val="auto"/>
              </w:rPr>
            </w:pPr>
          </w:p>
        </w:tc>
        <w:tc>
          <w:tcPr>
            <w:tcW w:w="300" w:type="dxa"/>
            <w:vAlign w:val="bottom"/>
          </w:tcPr>
          <w:p>
            <w:pPr>
              <w:spacing w:after="0"/>
              <w:rPr>
                <w:sz w:val="8"/>
                <w:szCs w:val="8"/>
                <w:color w:val="auto"/>
              </w:rPr>
            </w:pPr>
          </w:p>
        </w:tc>
        <w:tc>
          <w:tcPr>
            <w:tcW w:w="1060" w:type="dxa"/>
            <w:vAlign w:val="bottom"/>
            <w:vMerge w:val="restart"/>
          </w:tcPr>
          <w:p>
            <w:pPr>
              <w:jc w:val="right"/>
              <w:ind w:right="410"/>
              <w:spacing w:after="0"/>
              <w:rPr>
                <w:sz w:val="20"/>
                <w:szCs w:val="20"/>
                <w:color w:val="auto"/>
              </w:rPr>
            </w:pPr>
            <w:r>
              <w:rPr>
                <w:rFonts w:ascii="Arial" w:cs="Arial" w:eastAsia="Arial" w:hAnsi="Arial"/>
                <w:sz w:val="18"/>
                <w:szCs w:val="18"/>
                <w:b w:val="1"/>
                <w:bCs w:val="1"/>
                <w:color w:val="auto"/>
              </w:rPr>
              <w:t>Plans</w:t>
            </w:r>
          </w:p>
        </w:tc>
        <w:tc>
          <w:tcPr>
            <w:tcW w:w="0" w:type="dxa"/>
            <w:vAlign w:val="bottom"/>
          </w:tcPr>
          <w:p>
            <w:pPr>
              <w:spacing w:after="0"/>
              <w:rPr>
                <w:sz w:val="1"/>
                <w:szCs w:val="1"/>
                <w:color w:val="auto"/>
              </w:rPr>
            </w:pPr>
          </w:p>
        </w:tc>
      </w:tr>
      <w:tr>
        <w:trPr>
          <w:trHeight w:val="140"/>
        </w:trPr>
        <w:tc>
          <w:tcPr>
            <w:tcW w:w="34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40" w:type="dxa"/>
            <w:vAlign w:val="bottom"/>
            <w:vMerge w:val="restart"/>
          </w:tcPr>
          <w:p>
            <w:pPr>
              <w:jc w:val="right"/>
              <w:ind w:right="410"/>
              <w:spacing w:after="0"/>
              <w:rPr>
                <w:sz w:val="20"/>
                <w:szCs w:val="20"/>
                <w:color w:val="auto"/>
              </w:rPr>
            </w:pPr>
            <w:r>
              <w:rPr>
                <w:rFonts w:ascii="Arial" w:cs="Arial" w:eastAsia="Arial" w:hAnsi="Arial"/>
                <w:sz w:val="18"/>
                <w:szCs w:val="18"/>
                <w:b w:val="1"/>
                <w:bCs w:val="1"/>
                <w:color w:val="auto"/>
              </w:rPr>
              <w:t>Plan</w:t>
            </w:r>
          </w:p>
        </w:tc>
        <w:tc>
          <w:tcPr>
            <w:tcW w:w="240" w:type="dxa"/>
            <w:vAlign w:val="bottom"/>
          </w:tcPr>
          <w:p>
            <w:pPr>
              <w:spacing w:after="0"/>
              <w:rPr>
                <w:sz w:val="12"/>
                <w:szCs w:val="12"/>
                <w:color w:val="auto"/>
              </w:rPr>
            </w:pPr>
          </w:p>
        </w:tc>
        <w:tc>
          <w:tcPr>
            <w:tcW w:w="920" w:type="dxa"/>
            <w:vAlign w:val="bottom"/>
            <w:vMerge w:val="restart"/>
          </w:tcPr>
          <w:p>
            <w:pPr>
              <w:jc w:val="right"/>
              <w:ind w:right="330"/>
              <w:spacing w:after="0"/>
              <w:rPr>
                <w:sz w:val="20"/>
                <w:szCs w:val="20"/>
                <w:color w:val="auto"/>
              </w:rPr>
            </w:pPr>
            <w:r>
              <w:rPr>
                <w:rFonts w:ascii="Arial" w:cs="Arial" w:eastAsia="Arial" w:hAnsi="Arial"/>
                <w:sz w:val="18"/>
                <w:szCs w:val="18"/>
                <w:b w:val="1"/>
                <w:bCs w:val="1"/>
                <w:color w:val="auto"/>
              </w:rPr>
              <w:t>Plan</w:t>
            </w:r>
          </w:p>
        </w:tc>
        <w:tc>
          <w:tcPr>
            <w:tcW w:w="88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Plan</w:t>
            </w:r>
          </w:p>
        </w:tc>
        <w:tc>
          <w:tcPr>
            <w:tcW w:w="4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vMerge w:val="restart"/>
          </w:tcPr>
          <w:p>
            <w:pPr>
              <w:jc w:val="center"/>
              <w:ind w:right="110"/>
              <w:spacing w:after="0"/>
              <w:rPr>
                <w:sz w:val="20"/>
                <w:szCs w:val="20"/>
                <w:color w:val="auto"/>
              </w:rPr>
            </w:pPr>
            <w:r>
              <w:rPr>
                <w:rFonts w:ascii="Arial" w:cs="Arial" w:eastAsia="Arial" w:hAnsi="Arial"/>
                <w:sz w:val="18"/>
                <w:szCs w:val="18"/>
                <w:b w:val="1"/>
                <w:bCs w:val="1"/>
                <w:color w:val="auto"/>
                <w:w w:val="83"/>
              </w:rPr>
              <w:t>Scheme</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vMerge w:val="restart"/>
          </w:tcPr>
          <w:p>
            <w:pPr>
              <w:jc w:val="center"/>
              <w:ind w:right="130"/>
              <w:spacing w:after="0"/>
              <w:rPr>
                <w:sz w:val="20"/>
                <w:szCs w:val="20"/>
                <w:color w:val="auto"/>
              </w:rPr>
            </w:pPr>
            <w:r>
              <w:rPr>
                <w:rFonts w:ascii="Arial" w:cs="Arial" w:eastAsia="Arial" w:hAnsi="Arial"/>
                <w:sz w:val="18"/>
                <w:szCs w:val="18"/>
                <w:b w:val="1"/>
                <w:bCs w:val="1"/>
                <w:color w:val="auto"/>
                <w:w w:val="94"/>
              </w:rPr>
              <w:t>Plan</w:t>
            </w:r>
          </w:p>
        </w:tc>
        <w:tc>
          <w:tcPr>
            <w:tcW w:w="200" w:type="dxa"/>
            <w:vAlign w:val="bottom"/>
          </w:tcPr>
          <w:p>
            <w:pPr>
              <w:spacing w:after="0"/>
              <w:rPr>
                <w:sz w:val="12"/>
                <w:szCs w:val="12"/>
                <w:color w:val="auto"/>
              </w:rPr>
            </w:pPr>
          </w:p>
        </w:tc>
        <w:tc>
          <w:tcPr>
            <w:tcW w:w="660" w:type="dxa"/>
            <w:vAlign w:val="bottom"/>
            <w:vMerge w:val="restart"/>
          </w:tcPr>
          <w:p>
            <w:pPr>
              <w:jc w:val="center"/>
              <w:ind w:right="150"/>
              <w:spacing w:after="0"/>
              <w:rPr>
                <w:sz w:val="20"/>
                <w:szCs w:val="20"/>
                <w:color w:val="auto"/>
              </w:rPr>
            </w:pPr>
            <w:r>
              <w:rPr>
                <w:rFonts w:ascii="Arial" w:cs="Arial" w:eastAsia="Arial" w:hAnsi="Arial"/>
                <w:sz w:val="18"/>
                <w:szCs w:val="18"/>
                <w:b w:val="1"/>
                <w:bCs w:val="1"/>
                <w:color w:val="auto"/>
                <w:w w:val="90"/>
              </w:rPr>
              <w:t>n</w:t>
            </w:r>
          </w:p>
        </w:tc>
        <w:tc>
          <w:tcPr>
            <w:tcW w:w="30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76"/>
        </w:trPr>
        <w:tc>
          <w:tcPr>
            <w:tcW w:w="3480" w:type="dxa"/>
            <w:vAlign w:val="bottom"/>
            <w:tcBorders>
              <w:bottom w:val="single" w:sz="8" w:color="auto"/>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940" w:type="dxa"/>
            <w:vAlign w:val="bottom"/>
            <w:tcBorders>
              <w:bottom w:val="single" w:sz="8" w:color="auto"/>
            </w:tcBorders>
            <w:vMerge w:val="continue"/>
          </w:tcPr>
          <w:p>
            <w:pPr>
              <w:spacing w:after="0"/>
              <w:rPr>
                <w:sz w:val="6"/>
                <w:szCs w:val="6"/>
                <w:color w:val="auto"/>
              </w:rPr>
            </w:pPr>
          </w:p>
        </w:tc>
        <w:tc>
          <w:tcPr>
            <w:tcW w:w="240" w:type="dxa"/>
            <w:vAlign w:val="bottom"/>
            <w:tcBorders>
              <w:bottom w:val="single" w:sz="8" w:color="auto"/>
            </w:tcBorders>
          </w:tcPr>
          <w:p>
            <w:pPr>
              <w:spacing w:after="0"/>
              <w:rPr>
                <w:sz w:val="6"/>
                <w:szCs w:val="6"/>
                <w:color w:val="auto"/>
              </w:rPr>
            </w:pPr>
          </w:p>
        </w:tc>
        <w:tc>
          <w:tcPr>
            <w:tcW w:w="920" w:type="dxa"/>
            <w:vAlign w:val="bottom"/>
            <w:tcBorders>
              <w:bottom w:val="single" w:sz="8" w:color="auto"/>
            </w:tcBorders>
            <w:vMerge w:val="continue"/>
          </w:tcPr>
          <w:p>
            <w:pPr>
              <w:spacing w:after="0"/>
              <w:rPr>
                <w:sz w:val="6"/>
                <w:szCs w:val="6"/>
                <w:color w:val="auto"/>
              </w:rPr>
            </w:pPr>
          </w:p>
        </w:tc>
        <w:tc>
          <w:tcPr>
            <w:tcW w:w="880" w:type="dxa"/>
            <w:vAlign w:val="bottom"/>
            <w:tcBorders>
              <w:bottom w:val="single" w:sz="8" w:color="auto"/>
            </w:tcBorders>
            <w:vMerge w:val="continue"/>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vMerge w:val="continue"/>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660" w:type="dxa"/>
            <w:vAlign w:val="bottom"/>
            <w:tcBorders>
              <w:bottom w:val="single" w:sz="8" w:color="auto"/>
            </w:tcBorders>
            <w:vMerge w:val="continue"/>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660" w:type="dxa"/>
            <w:vAlign w:val="bottom"/>
            <w:tcBorders>
              <w:bottom w:val="single" w:sz="8" w:color="auto"/>
            </w:tcBorders>
            <w:vMerge w:val="continue"/>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106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96"/>
        </w:trPr>
        <w:tc>
          <w:tcPr>
            <w:tcW w:w="348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Service cost</w:t>
            </w:r>
          </w:p>
        </w:tc>
        <w:tc>
          <w:tcPr>
            <w:tcW w:w="20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b w:val="1"/>
                <w:bCs w:val="1"/>
                <w:color w:val="auto"/>
                <w:w w:val="79"/>
              </w:rPr>
              <w:t>$</w:t>
            </w:r>
          </w:p>
        </w:tc>
        <w:tc>
          <w:tcPr>
            <w:tcW w:w="940" w:type="dxa"/>
            <w:vAlign w:val="bottom"/>
            <w:shd w:val="clear" w:color="auto" w:fill="CFF0FC"/>
          </w:tcPr>
          <w:p>
            <w:pPr>
              <w:jc w:val="right"/>
              <w:ind w:right="130"/>
              <w:spacing w:after="0" w:line="196" w:lineRule="exact"/>
              <w:rPr>
                <w:sz w:val="20"/>
                <w:szCs w:val="20"/>
                <w:color w:val="auto"/>
              </w:rPr>
            </w:pPr>
            <w:r>
              <w:rPr>
                <w:rFonts w:ascii="Arial" w:cs="Arial" w:eastAsia="Arial" w:hAnsi="Arial"/>
                <w:sz w:val="18"/>
                <w:szCs w:val="18"/>
                <w:b w:val="1"/>
                <w:bCs w:val="1"/>
                <w:color w:val="auto"/>
              </w:rPr>
              <w:t>4.1</w:t>
            </w:r>
          </w:p>
        </w:tc>
        <w:tc>
          <w:tcPr>
            <w:tcW w:w="24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920" w:type="dxa"/>
            <w:vAlign w:val="bottom"/>
            <w:shd w:val="clear" w:color="auto" w:fill="CFF0FC"/>
          </w:tcPr>
          <w:p>
            <w:pPr>
              <w:jc w:val="right"/>
              <w:ind w:right="70"/>
              <w:spacing w:after="0" w:line="196" w:lineRule="exact"/>
              <w:rPr>
                <w:sz w:val="20"/>
                <w:szCs w:val="20"/>
                <w:color w:val="auto"/>
              </w:rPr>
            </w:pPr>
            <w:r>
              <w:rPr>
                <w:rFonts w:ascii="Arial" w:cs="Arial" w:eastAsia="Arial" w:hAnsi="Arial"/>
                <w:sz w:val="18"/>
                <w:szCs w:val="18"/>
                <w:b w:val="1"/>
                <w:bCs w:val="1"/>
                <w:color w:val="auto"/>
              </w:rPr>
              <w:t>0.1</w:t>
            </w:r>
          </w:p>
        </w:tc>
        <w:tc>
          <w:tcPr>
            <w:tcW w:w="880" w:type="dxa"/>
            <w:vAlign w:val="bottom"/>
            <w:shd w:val="clear" w:color="auto" w:fill="CFF0FC"/>
          </w:tcPr>
          <w:p>
            <w:pPr>
              <w:jc w:val="right"/>
              <w:ind w:right="610"/>
              <w:spacing w:after="0" w:line="196" w:lineRule="exact"/>
              <w:rPr>
                <w:sz w:val="20"/>
                <w:szCs w:val="20"/>
                <w:color w:val="auto"/>
              </w:rPr>
            </w:pPr>
            <w:r>
              <w:rPr>
                <w:rFonts w:ascii="Arial" w:cs="Arial" w:eastAsia="Arial" w:hAnsi="Arial"/>
                <w:sz w:val="18"/>
                <w:szCs w:val="18"/>
                <w:b w:val="1"/>
                <w:bCs w:val="1"/>
                <w:color w:val="auto"/>
              </w:rPr>
              <w:t>$</w:t>
            </w:r>
          </w:p>
        </w:tc>
        <w:tc>
          <w:tcPr>
            <w:tcW w:w="44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b w:val="1"/>
                <w:bCs w:val="1"/>
                <w:color w:val="auto"/>
              </w:rPr>
              <w:t>—</w:t>
            </w:r>
          </w:p>
        </w:tc>
        <w:tc>
          <w:tcPr>
            <w:tcW w:w="220" w:type="dxa"/>
            <w:vAlign w:val="bottom"/>
            <w:gridSpan w:val="2"/>
            <w:shd w:val="clear" w:color="auto" w:fill="CFF0FC"/>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82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b w:val="1"/>
                <w:bCs w:val="1"/>
                <w:color w:val="auto"/>
              </w:rPr>
              <w:t>—</w:t>
            </w:r>
          </w:p>
        </w:tc>
        <w:tc>
          <w:tcPr>
            <w:tcW w:w="220" w:type="dxa"/>
            <w:vAlign w:val="bottom"/>
            <w:gridSpan w:val="2"/>
            <w:shd w:val="clear" w:color="auto" w:fill="CFF0FC"/>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660" w:type="dxa"/>
            <w:vAlign w:val="bottom"/>
            <w:shd w:val="clear" w:color="auto" w:fill="CFF0FC"/>
          </w:tcPr>
          <w:p>
            <w:pPr>
              <w:ind w:left="380"/>
              <w:spacing w:after="0" w:line="196" w:lineRule="exact"/>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660" w:type="dxa"/>
            <w:vAlign w:val="bottom"/>
            <w:shd w:val="clear" w:color="auto" w:fill="CFF0FC"/>
          </w:tcPr>
          <w:p>
            <w:pPr>
              <w:jc w:val="right"/>
              <w:ind w:right="70"/>
              <w:spacing w:after="0" w:line="196" w:lineRule="exact"/>
              <w:rPr>
                <w:sz w:val="20"/>
                <w:szCs w:val="20"/>
                <w:color w:val="auto"/>
              </w:rPr>
            </w:pPr>
            <w:r>
              <w:rPr>
                <w:rFonts w:ascii="Arial" w:cs="Arial" w:eastAsia="Arial" w:hAnsi="Arial"/>
                <w:sz w:val="18"/>
                <w:szCs w:val="18"/>
                <w:b w:val="1"/>
                <w:bCs w:val="1"/>
                <w:color w:val="auto"/>
              </w:rPr>
              <w:t>4.2</w:t>
            </w:r>
          </w:p>
        </w:tc>
        <w:tc>
          <w:tcPr>
            <w:tcW w:w="300" w:type="dxa"/>
            <w:vAlign w:val="bottom"/>
            <w:shd w:val="clear" w:color="auto" w:fill="CFF0FC"/>
          </w:tcPr>
          <w:p>
            <w:pPr>
              <w:jc w:val="right"/>
              <w:ind w:right="50"/>
              <w:spacing w:after="0" w:line="196" w:lineRule="exact"/>
              <w:rPr>
                <w:sz w:val="20"/>
                <w:szCs w:val="20"/>
                <w:color w:val="auto"/>
              </w:rPr>
            </w:pPr>
            <w:r>
              <w:rPr>
                <w:rFonts w:ascii="Arial" w:cs="Arial" w:eastAsia="Arial" w:hAnsi="Arial"/>
                <w:sz w:val="18"/>
                <w:szCs w:val="18"/>
                <w:b w:val="1"/>
                <w:bCs w:val="1"/>
                <w:color w:val="auto"/>
              </w:rPr>
              <w:t>$</w:t>
            </w:r>
          </w:p>
        </w:tc>
        <w:tc>
          <w:tcPr>
            <w:tcW w:w="106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b w:val="1"/>
                <w:bCs w:val="1"/>
                <w:color w:val="auto"/>
              </w:rPr>
              <w:t>0.3</w:t>
            </w:r>
          </w:p>
        </w:tc>
        <w:tc>
          <w:tcPr>
            <w:tcW w:w="0" w:type="dxa"/>
            <w:vAlign w:val="bottom"/>
          </w:tcPr>
          <w:p>
            <w:pPr>
              <w:spacing w:after="0"/>
              <w:rPr>
                <w:sz w:val="1"/>
                <w:szCs w:val="1"/>
                <w:color w:val="auto"/>
              </w:rPr>
            </w:pPr>
          </w:p>
        </w:tc>
      </w:tr>
      <w:tr>
        <w:trPr>
          <w:trHeight w:val="203"/>
        </w:trPr>
        <w:tc>
          <w:tcPr>
            <w:tcW w:w="3480" w:type="dxa"/>
            <w:vAlign w:val="bottom"/>
          </w:tcPr>
          <w:p>
            <w:pPr>
              <w:ind w:left="20"/>
              <w:spacing w:after="0" w:line="202" w:lineRule="exact"/>
              <w:rPr>
                <w:sz w:val="20"/>
                <w:szCs w:val="20"/>
                <w:color w:val="auto"/>
              </w:rPr>
            </w:pPr>
            <w:r>
              <w:rPr>
                <w:rFonts w:ascii="Arial" w:cs="Arial" w:eastAsia="Arial" w:hAnsi="Arial"/>
                <w:sz w:val="18"/>
                <w:szCs w:val="18"/>
                <w:color w:val="auto"/>
              </w:rPr>
              <w:t>Interest cost</w:t>
            </w:r>
          </w:p>
        </w:tc>
        <w:tc>
          <w:tcPr>
            <w:tcW w:w="200" w:type="dxa"/>
            <w:vAlign w:val="bottom"/>
          </w:tcPr>
          <w:p>
            <w:pPr>
              <w:spacing w:after="0"/>
              <w:rPr>
                <w:sz w:val="17"/>
                <w:szCs w:val="17"/>
                <w:color w:val="auto"/>
              </w:rPr>
            </w:pPr>
          </w:p>
        </w:tc>
        <w:tc>
          <w:tcPr>
            <w:tcW w:w="940" w:type="dxa"/>
            <w:vAlign w:val="bottom"/>
          </w:tcPr>
          <w:p>
            <w:pPr>
              <w:jc w:val="right"/>
              <w:ind w:right="130"/>
              <w:spacing w:after="0" w:line="202" w:lineRule="exact"/>
              <w:rPr>
                <w:sz w:val="20"/>
                <w:szCs w:val="20"/>
                <w:color w:val="auto"/>
              </w:rPr>
            </w:pPr>
            <w:r>
              <w:rPr>
                <w:rFonts w:ascii="Arial" w:cs="Arial" w:eastAsia="Arial" w:hAnsi="Arial"/>
                <w:sz w:val="18"/>
                <w:szCs w:val="18"/>
                <w:b w:val="1"/>
                <w:bCs w:val="1"/>
                <w:color w:val="auto"/>
              </w:rPr>
              <w:t>7.5</w:t>
            </w:r>
          </w:p>
        </w:tc>
        <w:tc>
          <w:tcPr>
            <w:tcW w:w="240" w:type="dxa"/>
            <w:vAlign w:val="bottom"/>
          </w:tcPr>
          <w:p>
            <w:pPr>
              <w:spacing w:after="0"/>
              <w:rPr>
                <w:sz w:val="17"/>
                <w:szCs w:val="17"/>
                <w:color w:val="auto"/>
              </w:rPr>
            </w:pPr>
          </w:p>
        </w:tc>
        <w:tc>
          <w:tcPr>
            <w:tcW w:w="920" w:type="dxa"/>
            <w:vAlign w:val="bottom"/>
          </w:tcPr>
          <w:p>
            <w:pPr>
              <w:jc w:val="right"/>
              <w:ind w:right="70"/>
              <w:spacing w:after="0" w:line="202" w:lineRule="exact"/>
              <w:rPr>
                <w:sz w:val="20"/>
                <w:szCs w:val="20"/>
                <w:color w:val="auto"/>
              </w:rPr>
            </w:pPr>
            <w:r>
              <w:rPr>
                <w:rFonts w:ascii="Arial" w:cs="Arial" w:eastAsia="Arial" w:hAnsi="Arial"/>
                <w:sz w:val="18"/>
                <w:szCs w:val="18"/>
                <w:b w:val="1"/>
                <w:bCs w:val="1"/>
                <w:color w:val="auto"/>
              </w:rPr>
              <w:t>1.4</w:t>
            </w:r>
          </w:p>
        </w:tc>
        <w:tc>
          <w:tcPr>
            <w:tcW w:w="880" w:type="dxa"/>
            <w:vAlign w:val="bottom"/>
          </w:tcPr>
          <w:p>
            <w:pPr>
              <w:spacing w:after="0"/>
              <w:rPr>
                <w:sz w:val="17"/>
                <w:szCs w:val="17"/>
                <w:color w:val="auto"/>
              </w:rPr>
            </w:pPr>
          </w:p>
        </w:tc>
        <w:tc>
          <w:tcPr>
            <w:tcW w:w="440" w:type="dxa"/>
            <w:vAlign w:val="bottom"/>
          </w:tcPr>
          <w:p>
            <w:pPr>
              <w:jc w:val="right"/>
              <w:ind w:right="30"/>
              <w:spacing w:after="0" w:line="202" w:lineRule="exact"/>
              <w:rPr>
                <w:sz w:val="20"/>
                <w:szCs w:val="20"/>
                <w:color w:val="auto"/>
              </w:rPr>
            </w:pPr>
            <w:r>
              <w:rPr>
                <w:rFonts w:ascii="Arial" w:cs="Arial" w:eastAsia="Arial" w:hAnsi="Arial"/>
                <w:sz w:val="18"/>
                <w:szCs w:val="18"/>
                <w:b w:val="1"/>
                <w:bCs w:val="1"/>
                <w:color w:val="auto"/>
              </w:rPr>
              <w:t>0.1</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jc w:val="right"/>
              <w:ind w:right="30"/>
              <w:spacing w:after="0" w:line="202" w:lineRule="exact"/>
              <w:rPr>
                <w:sz w:val="20"/>
                <w:szCs w:val="20"/>
                <w:color w:val="auto"/>
              </w:rPr>
            </w:pPr>
            <w:r>
              <w:rPr>
                <w:rFonts w:ascii="Arial" w:cs="Arial" w:eastAsia="Arial" w:hAnsi="Arial"/>
                <w:sz w:val="18"/>
                <w:szCs w:val="18"/>
                <w:b w:val="1"/>
                <w:bCs w:val="1"/>
                <w:color w:val="auto"/>
              </w:rPr>
              <w:t>0.4</w:t>
            </w: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ind w:left="380"/>
              <w:spacing w:after="0" w:line="202" w:lineRule="exact"/>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7"/>
                <w:szCs w:val="17"/>
                <w:color w:val="auto"/>
              </w:rPr>
            </w:pPr>
          </w:p>
        </w:tc>
        <w:tc>
          <w:tcPr>
            <w:tcW w:w="660" w:type="dxa"/>
            <w:vAlign w:val="bottom"/>
          </w:tcPr>
          <w:p>
            <w:pPr>
              <w:jc w:val="right"/>
              <w:ind w:right="70"/>
              <w:spacing w:after="0" w:line="202" w:lineRule="exact"/>
              <w:rPr>
                <w:sz w:val="20"/>
                <w:szCs w:val="20"/>
                <w:color w:val="auto"/>
              </w:rPr>
            </w:pPr>
            <w:r>
              <w:rPr>
                <w:rFonts w:ascii="Arial" w:cs="Arial" w:eastAsia="Arial" w:hAnsi="Arial"/>
                <w:sz w:val="18"/>
                <w:szCs w:val="18"/>
                <w:b w:val="1"/>
                <w:bCs w:val="1"/>
                <w:color w:val="auto"/>
              </w:rPr>
              <w:t>9.4</w:t>
            </w:r>
          </w:p>
        </w:tc>
        <w:tc>
          <w:tcPr>
            <w:tcW w:w="300" w:type="dxa"/>
            <w:vAlign w:val="bottom"/>
          </w:tcPr>
          <w:p>
            <w:pPr>
              <w:spacing w:after="0"/>
              <w:rPr>
                <w:sz w:val="17"/>
                <w:szCs w:val="17"/>
                <w:color w:val="auto"/>
              </w:rPr>
            </w:pPr>
          </w:p>
        </w:tc>
        <w:tc>
          <w:tcPr>
            <w:tcW w:w="1060" w:type="dxa"/>
            <w:vAlign w:val="bottom"/>
          </w:tcPr>
          <w:p>
            <w:pPr>
              <w:jc w:val="right"/>
              <w:ind w:right="10"/>
              <w:spacing w:after="0" w:line="202" w:lineRule="exact"/>
              <w:rPr>
                <w:sz w:val="20"/>
                <w:szCs w:val="20"/>
                <w:color w:val="auto"/>
              </w:rPr>
            </w:pPr>
            <w:r>
              <w:rPr>
                <w:rFonts w:ascii="Arial" w:cs="Arial" w:eastAsia="Arial" w:hAnsi="Arial"/>
                <w:sz w:val="18"/>
                <w:szCs w:val="18"/>
                <w:b w:val="1"/>
                <w:bCs w:val="1"/>
                <w:color w:val="auto"/>
              </w:rPr>
              <w:t>0.8</w:t>
            </w:r>
          </w:p>
        </w:tc>
        <w:tc>
          <w:tcPr>
            <w:tcW w:w="0" w:type="dxa"/>
            <w:vAlign w:val="bottom"/>
          </w:tcPr>
          <w:p>
            <w:pPr>
              <w:spacing w:after="0"/>
              <w:rPr>
                <w:sz w:val="1"/>
                <w:szCs w:val="1"/>
                <w:color w:val="auto"/>
              </w:rPr>
            </w:pPr>
          </w:p>
        </w:tc>
      </w:tr>
      <w:tr>
        <w:trPr>
          <w:trHeight w:val="203"/>
        </w:trPr>
        <w:tc>
          <w:tcPr>
            <w:tcW w:w="348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Expected return on plan assets</w:t>
            </w:r>
          </w:p>
        </w:tc>
        <w:tc>
          <w:tcPr>
            <w:tcW w:w="200" w:type="dxa"/>
            <w:vAlign w:val="bottom"/>
            <w:shd w:val="clear" w:color="auto" w:fill="CFF0FC"/>
          </w:tcPr>
          <w:p>
            <w:pPr>
              <w:spacing w:after="0"/>
              <w:rPr>
                <w:sz w:val="17"/>
                <w:szCs w:val="17"/>
                <w:color w:val="auto"/>
              </w:rPr>
            </w:pPr>
          </w:p>
        </w:tc>
        <w:tc>
          <w:tcPr>
            <w:tcW w:w="940" w:type="dxa"/>
            <w:vAlign w:val="bottom"/>
            <w:shd w:val="clear" w:color="auto" w:fill="CFF0FC"/>
          </w:tcPr>
          <w:p>
            <w:pPr>
              <w:jc w:val="right"/>
              <w:ind w:right="30"/>
              <w:spacing w:after="0" w:line="202" w:lineRule="exact"/>
              <w:rPr>
                <w:sz w:val="20"/>
                <w:szCs w:val="20"/>
                <w:color w:val="auto"/>
              </w:rPr>
            </w:pPr>
            <w:r>
              <w:rPr>
                <w:rFonts w:ascii="Arial" w:cs="Arial" w:eastAsia="Arial" w:hAnsi="Arial"/>
                <w:sz w:val="18"/>
                <w:szCs w:val="18"/>
                <w:b w:val="1"/>
                <w:bCs w:val="1"/>
                <w:color w:val="auto"/>
              </w:rPr>
              <w:t>(14.4 )</w:t>
            </w:r>
          </w:p>
        </w:tc>
        <w:tc>
          <w:tcPr>
            <w:tcW w:w="240" w:type="dxa"/>
            <w:vAlign w:val="bottom"/>
            <w:shd w:val="clear" w:color="auto" w:fill="CFF0FC"/>
          </w:tcPr>
          <w:p>
            <w:pPr>
              <w:spacing w:after="0"/>
              <w:rPr>
                <w:sz w:val="17"/>
                <w:szCs w:val="17"/>
                <w:color w:val="auto"/>
              </w:rPr>
            </w:pPr>
          </w:p>
        </w:tc>
        <w:tc>
          <w:tcPr>
            <w:tcW w:w="9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b w:val="1"/>
                <w:bCs w:val="1"/>
                <w:color w:val="auto"/>
              </w:rPr>
              <w:t>(1.5 )</w:t>
            </w:r>
          </w:p>
        </w:tc>
        <w:tc>
          <w:tcPr>
            <w:tcW w:w="880" w:type="dxa"/>
            <w:vAlign w:val="bottom"/>
            <w:shd w:val="clear" w:color="auto" w:fill="CFF0FC"/>
          </w:tcPr>
          <w:p>
            <w:pPr>
              <w:spacing w:after="0"/>
              <w:rPr>
                <w:sz w:val="17"/>
                <w:szCs w:val="17"/>
                <w:color w:val="auto"/>
              </w:rPr>
            </w:pPr>
          </w:p>
        </w:tc>
        <w:tc>
          <w:tcPr>
            <w:tcW w:w="440" w:type="dxa"/>
            <w:vAlign w:val="bottom"/>
            <w:shd w:val="clear" w:color="auto" w:fill="CFF0FC"/>
          </w:tcPr>
          <w:p>
            <w:pPr>
              <w:jc w:val="right"/>
              <w:ind w:right="30"/>
              <w:spacing w:after="0" w:line="202" w:lineRule="exact"/>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8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b w:val="1"/>
                <w:bCs w:val="1"/>
                <w:color w:val="auto"/>
              </w:rPr>
              <w:t>(0.9 )</w:t>
            </w:r>
          </w:p>
        </w:tc>
        <w:tc>
          <w:tcPr>
            <w:tcW w:w="8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660" w:type="dxa"/>
            <w:vAlign w:val="bottom"/>
            <w:shd w:val="clear" w:color="auto" w:fill="CFF0FC"/>
          </w:tcPr>
          <w:p>
            <w:pPr>
              <w:ind w:left="380"/>
              <w:spacing w:after="0" w:line="202" w:lineRule="exact"/>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FF0FC"/>
          </w:tcPr>
          <w:p>
            <w:pPr>
              <w:spacing w:after="0"/>
              <w:rPr>
                <w:sz w:val="17"/>
                <w:szCs w:val="17"/>
                <w:color w:val="auto"/>
              </w:rPr>
            </w:pPr>
          </w:p>
        </w:tc>
        <w:tc>
          <w:tcPr>
            <w:tcW w:w="66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b w:val="1"/>
                <w:bCs w:val="1"/>
                <w:color w:val="auto"/>
              </w:rPr>
              <w:t>(16.8 )</w:t>
            </w:r>
          </w:p>
        </w:tc>
        <w:tc>
          <w:tcPr>
            <w:tcW w:w="300" w:type="dxa"/>
            <w:vAlign w:val="bottom"/>
            <w:shd w:val="clear" w:color="auto" w:fill="CFF0FC"/>
          </w:tcPr>
          <w:p>
            <w:pPr>
              <w:spacing w:after="0"/>
              <w:rPr>
                <w:sz w:val="17"/>
                <w:szCs w:val="17"/>
                <w:color w:val="auto"/>
              </w:rPr>
            </w:pPr>
          </w:p>
        </w:tc>
        <w:tc>
          <w:tcPr>
            <w:tcW w:w="106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b w:val="1"/>
                <w:bCs w:val="1"/>
                <w:color w:val="auto"/>
              </w:rPr>
              <w:t>(0.9 )</w:t>
            </w:r>
          </w:p>
        </w:tc>
        <w:tc>
          <w:tcPr>
            <w:tcW w:w="0" w:type="dxa"/>
            <w:vAlign w:val="bottom"/>
          </w:tcPr>
          <w:p>
            <w:pPr>
              <w:spacing w:after="0"/>
              <w:rPr>
                <w:sz w:val="1"/>
                <w:szCs w:val="1"/>
                <w:color w:val="auto"/>
              </w:rPr>
            </w:pPr>
          </w:p>
        </w:tc>
      </w:tr>
      <w:tr>
        <w:trPr>
          <w:trHeight w:val="203"/>
        </w:trPr>
        <w:tc>
          <w:tcPr>
            <w:tcW w:w="3480" w:type="dxa"/>
            <w:vAlign w:val="bottom"/>
          </w:tcPr>
          <w:p>
            <w:pPr>
              <w:ind w:left="20"/>
              <w:spacing w:after="0" w:line="202" w:lineRule="exact"/>
              <w:rPr>
                <w:sz w:val="20"/>
                <w:szCs w:val="20"/>
                <w:color w:val="auto"/>
              </w:rPr>
            </w:pPr>
            <w:r>
              <w:rPr>
                <w:rFonts w:ascii="Arial" w:cs="Arial" w:eastAsia="Arial" w:hAnsi="Arial"/>
                <w:sz w:val="18"/>
                <w:szCs w:val="18"/>
                <w:color w:val="auto"/>
              </w:rPr>
              <w:t>Amortization of prior service cost</w:t>
            </w:r>
          </w:p>
        </w:tc>
        <w:tc>
          <w:tcPr>
            <w:tcW w:w="200" w:type="dxa"/>
            <w:vAlign w:val="bottom"/>
          </w:tcPr>
          <w:p>
            <w:pPr>
              <w:spacing w:after="0"/>
              <w:rPr>
                <w:sz w:val="17"/>
                <w:szCs w:val="17"/>
                <w:color w:val="auto"/>
              </w:rPr>
            </w:pPr>
          </w:p>
        </w:tc>
        <w:tc>
          <w:tcPr>
            <w:tcW w:w="940" w:type="dxa"/>
            <w:vAlign w:val="bottom"/>
          </w:tcPr>
          <w:p>
            <w:pPr>
              <w:jc w:val="right"/>
              <w:ind w:right="130"/>
              <w:spacing w:after="0" w:line="202" w:lineRule="exact"/>
              <w:rPr>
                <w:sz w:val="20"/>
                <w:szCs w:val="20"/>
                <w:color w:val="auto"/>
              </w:rPr>
            </w:pPr>
            <w:r>
              <w:rPr>
                <w:rFonts w:ascii="Arial" w:cs="Arial" w:eastAsia="Arial" w:hAnsi="Arial"/>
                <w:sz w:val="18"/>
                <w:szCs w:val="18"/>
                <w:b w:val="1"/>
                <w:bCs w:val="1"/>
                <w:color w:val="auto"/>
              </w:rPr>
              <w:t>0.3</w:t>
            </w:r>
          </w:p>
        </w:tc>
        <w:tc>
          <w:tcPr>
            <w:tcW w:w="240" w:type="dxa"/>
            <w:vAlign w:val="bottom"/>
          </w:tcPr>
          <w:p>
            <w:pPr>
              <w:spacing w:after="0"/>
              <w:rPr>
                <w:sz w:val="17"/>
                <w:szCs w:val="17"/>
                <w:color w:val="auto"/>
              </w:rPr>
            </w:pPr>
          </w:p>
        </w:tc>
        <w:tc>
          <w:tcPr>
            <w:tcW w:w="920" w:type="dxa"/>
            <w:vAlign w:val="bottom"/>
          </w:tcPr>
          <w:p>
            <w:pPr>
              <w:jc w:val="right"/>
              <w:ind w:right="70"/>
              <w:spacing w:after="0" w:line="202" w:lineRule="exact"/>
              <w:rPr>
                <w:sz w:val="20"/>
                <w:szCs w:val="20"/>
                <w:color w:val="auto"/>
              </w:rPr>
            </w:pPr>
            <w:r>
              <w:rPr>
                <w:rFonts w:ascii="Arial" w:cs="Arial" w:eastAsia="Arial" w:hAnsi="Arial"/>
                <w:sz w:val="18"/>
                <w:szCs w:val="18"/>
                <w:b w:val="1"/>
                <w:bCs w:val="1"/>
                <w:color w:val="auto"/>
              </w:rPr>
              <w:t>—</w:t>
            </w:r>
          </w:p>
        </w:tc>
        <w:tc>
          <w:tcPr>
            <w:tcW w:w="880" w:type="dxa"/>
            <w:vAlign w:val="bottom"/>
          </w:tcPr>
          <w:p>
            <w:pPr>
              <w:spacing w:after="0"/>
              <w:rPr>
                <w:sz w:val="17"/>
                <w:szCs w:val="17"/>
                <w:color w:val="auto"/>
              </w:rPr>
            </w:pPr>
          </w:p>
        </w:tc>
        <w:tc>
          <w:tcPr>
            <w:tcW w:w="440" w:type="dxa"/>
            <w:vAlign w:val="bottom"/>
          </w:tcPr>
          <w:p>
            <w:pPr>
              <w:jc w:val="right"/>
              <w:ind w:right="30"/>
              <w:spacing w:after="0" w:line="202" w:lineRule="exact"/>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jc w:val="right"/>
              <w:ind w:right="30"/>
              <w:spacing w:after="0" w:line="202" w:lineRule="exact"/>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ind w:left="380"/>
              <w:spacing w:after="0" w:line="202" w:lineRule="exact"/>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7"/>
                <w:szCs w:val="17"/>
                <w:color w:val="auto"/>
              </w:rPr>
            </w:pPr>
          </w:p>
        </w:tc>
        <w:tc>
          <w:tcPr>
            <w:tcW w:w="660" w:type="dxa"/>
            <w:vAlign w:val="bottom"/>
          </w:tcPr>
          <w:p>
            <w:pPr>
              <w:jc w:val="right"/>
              <w:ind w:right="70"/>
              <w:spacing w:after="0" w:line="202" w:lineRule="exact"/>
              <w:rPr>
                <w:sz w:val="20"/>
                <w:szCs w:val="20"/>
                <w:color w:val="auto"/>
              </w:rPr>
            </w:pPr>
            <w:r>
              <w:rPr>
                <w:rFonts w:ascii="Arial" w:cs="Arial" w:eastAsia="Arial" w:hAnsi="Arial"/>
                <w:sz w:val="18"/>
                <w:szCs w:val="18"/>
                <w:b w:val="1"/>
                <w:bCs w:val="1"/>
                <w:color w:val="auto"/>
              </w:rPr>
              <w:t>0.3</w:t>
            </w:r>
          </w:p>
        </w:tc>
        <w:tc>
          <w:tcPr>
            <w:tcW w:w="300" w:type="dxa"/>
            <w:vAlign w:val="bottom"/>
          </w:tcPr>
          <w:p>
            <w:pPr>
              <w:spacing w:after="0"/>
              <w:rPr>
                <w:sz w:val="17"/>
                <w:szCs w:val="17"/>
                <w:color w:val="auto"/>
              </w:rPr>
            </w:pPr>
          </w:p>
        </w:tc>
        <w:tc>
          <w:tcPr>
            <w:tcW w:w="1060" w:type="dxa"/>
            <w:vAlign w:val="bottom"/>
          </w:tcPr>
          <w:p>
            <w:pPr>
              <w:jc w:val="right"/>
              <w:spacing w:after="0" w:line="202" w:lineRule="exact"/>
              <w:rPr>
                <w:sz w:val="20"/>
                <w:szCs w:val="20"/>
                <w:color w:val="auto"/>
              </w:rPr>
            </w:pPr>
            <w:r>
              <w:rPr>
                <w:rFonts w:ascii="Arial" w:cs="Arial" w:eastAsia="Arial" w:hAnsi="Arial"/>
                <w:sz w:val="18"/>
                <w:szCs w:val="18"/>
                <w:b w:val="1"/>
                <w:bCs w:val="1"/>
                <w:color w:val="auto"/>
              </w:rPr>
              <w:t>(1.5 )</w:t>
            </w:r>
          </w:p>
        </w:tc>
        <w:tc>
          <w:tcPr>
            <w:tcW w:w="0" w:type="dxa"/>
            <w:vAlign w:val="bottom"/>
          </w:tcPr>
          <w:p>
            <w:pPr>
              <w:spacing w:after="0"/>
              <w:rPr>
                <w:sz w:val="1"/>
                <w:szCs w:val="1"/>
                <w:color w:val="auto"/>
              </w:rPr>
            </w:pPr>
          </w:p>
        </w:tc>
      </w:tr>
      <w:tr>
        <w:trPr>
          <w:trHeight w:val="203"/>
        </w:trPr>
        <w:tc>
          <w:tcPr>
            <w:tcW w:w="3480" w:type="dxa"/>
            <w:vAlign w:val="bottom"/>
            <w:tcBorders>
              <w:bottom w:val="single" w:sz="8" w:color="auto"/>
            </w:tcBorders>
            <w:shd w:val="clear" w:color="auto" w:fill="CFF0FC"/>
          </w:tcPr>
          <w:p>
            <w:pPr>
              <w:ind w:left="20"/>
              <w:spacing w:after="0" w:line="202" w:lineRule="exact"/>
              <w:rPr>
                <w:sz w:val="20"/>
                <w:szCs w:val="20"/>
                <w:color w:val="auto"/>
              </w:rPr>
            </w:pPr>
            <w:r>
              <w:rPr>
                <w:rFonts w:ascii="Arial" w:cs="Arial" w:eastAsia="Arial" w:hAnsi="Arial"/>
                <w:sz w:val="18"/>
                <w:szCs w:val="18"/>
                <w:color w:val="auto"/>
              </w:rPr>
              <w:t>Net remeasurement losses (gains)</w:t>
            </w:r>
          </w:p>
        </w:tc>
        <w:tc>
          <w:tcPr>
            <w:tcW w:w="200" w:type="dxa"/>
            <w:vAlign w:val="bottom"/>
            <w:tcBorders>
              <w:bottom w:val="single" w:sz="8" w:color="auto"/>
            </w:tcBorders>
            <w:shd w:val="clear" w:color="auto" w:fill="CFF0FC"/>
          </w:tcPr>
          <w:p>
            <w:pPr>
              <w:spacing w:after="0"/>
              <w:rPr>
                <w:sz w:val="17"/>
                <w:szCs w:val="17"/>
                <w:color w:val="auto"/>
              </w:rPr>
            </w:pPr>
          </w:p>
        </w:tc>
        <w:tc>
          <w:tcPr>
            <w:tcW w:w="940" w:type="dxa"/>
            <w:vAlign w:val="bottom"/>
            <w:tcBorders>
              <w:bottom w:val="single" w:sz="8" w:color="auto"/>
            </w:tcBorders>
            <w:shd w:val="clear" w:color="auto" w:fill="CFF0FC"/>
          </w:tcPr>
          <w:p>
            <w:pPr>
              <w:jc w:val="right"/>
              <w:ind w:right="130"/>
              <w:spacing w:after="0" w:line="202" w:lineRule="exact"/>
              <w:rPr>
                <w:sz w:val="20"/>
                <w:szCs w:val="20"/>
                <w:color w:val="auto"/>
              </w:rPr>
            </w:pPr>
            <w:r>
              <w:rPr>
                <w:rFonts w:ascii="Arial" w:cs="Arial" w:eastAsia="Arial" w:hAnsi="Arial"/>
                <w:sz w:val="18"/>
                <w:szCs w:val="18"/>
                <w:b w:val="1"/>
                <w:bCs w:val="1"/>
                <w:color w:val="auto"/>
              </w:rPr>
              <w:t>—</w:t>
            </w:r>
          </w:p>
        </w:tc>
        <w:tc>
          <w:tcPr>
            <w:tcW w:w="240" w:type="dxa"/>
            <w:vAlign w:val="bottom"/>
            <w:tcBorders>
              <w:bottom w:val="single" w:sz="8" w:color="auto"/>
            </w:tcBorders>
            <w:shd w:val="clear" w:color="auto" w:fill="CFF0FC"/>
          </w:tcPr>
          <w:p>
            <w:pPr>
              <w:spacing w:after="0"/>
              <w:rPr>
                <w:sz w:val="17"/>
                <w:szCs w:val="17"/>
                <w:color w:val="auto"/>
              </w:rPr>
            </w:pPr>
          </w:p>
        </w:tc>
        <w:tc>
          <w:tcPr>
            <w:tcW w:w="92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b w:val="1"/>
                <w:bCs w:val="1"/>
                <w:color w:val="auto"/>
              </w:rPr>
              <w:t>(4.0 )</w:t>
            </w:r>
          </w:p>
        </w:tc>
        <w:tc>
          <w:tcPr>
            <w:tcW w:w="880" w:type="dxa"/>
            <w:vAlign w:val="bottom"/>
            <w:tcBorders>
              <w:bottom w:val="single" w:sz="8" w:color="auto"/>
            </w:tcBorders>
            <w:shd w:val="clear" w:color="auto" w:fill="CFF0FC"/>
          </w:tcPr>
          <w:p>
            <w:pPr>
              <w:spacing w:after="0"/>
              <w:rPr>
                <w:sz w:val="17"/>
                <w:szCs w:val="17"/>
                <w:color w:val="auto"/>
              </w:rPr>
            </w:pPr>
          </w:p>
        </w:tc>
        <w:tc>
          <w:tcPr>
            <w:tcW w:w="44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b w:val="1"/>
                <w:bCs w:val="1"/>
                <w:color w:val="auto"/>
                <w:w w:val="95"/>
              </w:rPr>
              <w:t>(2.5 )</w:t>
            </w:r>
          </w:p>
        </w:tc>
        <w:tc>
          <w:tcPr>
            <w:tcW w:w="120" w:type="dxa"/>
            <w:vAlign w:val="bottom"/>
            <w:tcBorders>
              <w:bottom w:val="single" w:sz="8" w:color="auto"/>
            </w:tcBorders>
            <w:shd w:val="clear" w:color="auto" w:fill="CFF0FC"/>
          </w:tcPr>
          <w:p>
            <w:pPr>
              <w:spacing w:after="0"/>
              <w:rPr>
                <w:sz w:val="17"/>
                <w:szCs w:val="17"/>
                <w:color w:val="auto"/>
              </w:rPr>
            </w:pPr>
          </w:p>
        </w:tc>
        <w:tc>
          <w:tcPr>
            <w:tcW w:w="100" w:type="dxa"/>
            <w:vAlign w:val="bottom"/>
            <w:tcBorders>
              <w:bottom w:val="single" w:sz="8" w:color="auto"/>
            </w:tcBorders>
            <w:shd w:val="clear" w:color="auto" w:fill="CFF0FC"/>
          </w:tcPr>
          <w:p>
            <w:pPr>
              <w:spacing w:after="0"/>
              <w:rPr>
                <w:sz w:val="17"/>
                <w:szCs w:val="17"/>
                <w:color w:val="auto"/>
              </w:rPr>
            </w:pPr>
          </w:p>
        </w:tc>
        <w:tc>
          <w:tcPr>
            <w:tcW w:w="820" w:type="dxa"/>
            <w:vAlign w:val="bottom"/>
            <w:tcBorders>
              <w:bottom w:val="single" w:sz="8" w:color="auto"/>
            </w:tcBorders>
            <w:shd w:val="clear" w:color="auto" w:fill="CFF0FC"/>
          </w:tcPr>
          <w:p>
            <w:pPr>
              <w:jc w:val="right"/>
              <w:ind w:right="30"/>
              <w:spacing w:after="0" w:line="202" w:lineRule="exact"/>
              <w:rPr>
                <w:sz w:val="20"/>
                <w:szCs w:val="20"/>
                <w:color w:val="auto"/>
              </w:rPr>
            </w:pPr>
            <w:r>
              <w:rPr>
                <w:rFonts w:ascii="Arial" w:cs="Arial" w:eastAsia="Arial" w:hAnsi="Arial"/>
                <w:sz w:val="18"/>
                <w:szCs w:val="18"/>
                <w:b w:val="1"/>
                <w:bCs w:val="1"/>
                <w:color w:val="auto"/>
              </w:rPr>
              <w:t>—</w:t>
            </w:r>
          </w:p>
        </w:tc>
        <w:tc>
          <w:tcPr>
            <w:tcW w:w="80" w:type="dxa"/>
            <w:vAlign w:val="bottom"/>
            <w:tcBorders>
              <w:bottom w:val="single" w:sz="8" w:color="auto"/>
            </w:tcBorders>
            <w:shd w:val="clear" w:color="auto" w:fill="CFF0FC"/>
          </w:tcPr>
          <w:p>
            <w:pPr>
              <w:spacing w:after="0"/>
              <w:rPr>
                <w:sz w:val="17"/>
                <w:szCs w:val="17"/>
                <w:color w:val="auto"/>
              </w:rPr>
            </w:pPr>
          </w:p>
        </w:tc>
        <w:tc>
          <w:tcPr>
            <w:tcW w:w="140" w:type="dxa"/>
            <w:vAlign w:val="bottom"/>
            <w:tcBorders>
              <w:bottom w:val="single" w:sz="8" w:color="auto"/>
            </w:tcBorders>
            <w:shd w:val="clear" w:color="auto" w:fill="CFF0FC"/>
          </w:tcPr>
          <w:p>
            <w:pPr>
              <w:spacing w:after="0"/>
              <w:rPr>
                <w:sz w:val="17"/>
                <w:szCs w:val="17"/>
                <w:color w:val="auto"/>
              </w:rPr>
            </w:pPr>
          </w:p>
        </w:tc>
        <w:tc>
          <w:tcPr>
            <w:tcW w:w="660" w:type="dxa"/>
            <w:vAlign w:val="bottom"/>
            <w:tcBorders>
              <w:bottom w:val="single" w:sz="8" w:color="auto"/>
            </w:tcBorders>
            <w:shd w:val="clear" w:color="auto" w:fill="CFF0FC"/>
          </w:tcPr>
          <w:p>
            <w:pPr>
              <w:ind w:left="380"/>
              <w:spacing w:after="0" w:line="202" w:lineRule="exact"/>
              <w:rPr>
                <w:sz w:val="20"/>
                <w:szCs w:val="20"/>
                <w:color w:val="auto"/>
              </w:rPr>
            </w:pPr>
            <w:r>
              <w:rPr>
                <w:rFonts w:ascii="Arial" w:cs="Arial" w:eastAsia="Arial" w:hAnsi="Arial"/>
                <w:sz w:val="18"/>
                <w:szCs w:val="18"/>
                <w:b w:val="1"/>
                <w:bCs w:val="1"/>
                <w:color w:val="auto"/>
              </w:rPr>
              <w:t>—</w:t>
            </w:r>
          </w:p>
        </w:tc>
        <w:tc>
          <w:tcPr>
            <w:tcW w:w="200" w:type="dxa"/>
            <w:vAlign w:val="bottom"/>
            <w:tcBorders>
              <w:bottom w:val="single" w:sz="8" w:color="auto"/>
            </w:tcBorders>
            <w:shd w:val="clear" w:color="auto" w:fill="CFF0FC"/>
          </w:tcPr>
          <w:p>
            <w:pPr>
              <w:spacing w:after="0"/>
              <w:rPr>
                <w:sz w:val="17"/>
                <w:szCs w:val="17"/>
                <w:color w:val="auto"/>
              </w:rPr>
            </w:pPr>
          </w:p>
        </w:tc>
        <w:tc>
          <w:tcPr>
            <w:tcW w:w="66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b w:val="1"/>
                <w:bCs w:val="1"/>
                <w:color w:val="auto"/>
              </w:rPr>
              <w:t>(6.5 )</w:t>
            </w:r>
          </w:p>
        </w:tc>
        <w:tc>
          <w:tcPr>
            <w:tcW w:w="300" w:type="dxa"/>
            <w:vAlign w:val="bottom"/>
            <w:tcBorders>
              <w:bottom w:val="single" w:sz="8" w:color="auto"/>
            </w:tcBorders>
            <w:shd w:val="clear" w:color="auto" w:fill="CFF0FC"/>
          </w:tcPr>
          <w:p>
            <w:pPr>
              <w:spacing w:after="0"/>
              <w:rPr>
                <w:sz w:val="17"/>
                <w:szCs w:val="17"/>
                <w:color w:val="auto"/>
              </w:rPr>
            </w:pPr>
          </w:p>
        </w:tc>
        <w:tc>
          <w:tcPr>
            <w:tcW w:w="1060" w:type="dxa"/>
            <w:vAlign w:val="bottom"/>
            <w:tcBorders>
              <w:bottom w:val="single" w:sz="8" w:color="auto"/>
            </w:tcBorders>
            <w:shd w:val="clear" w:color="auto" w:fill="CFF0FC"/>
          </w:tcPr>
          <w:p>
            <w:pPr>
              <w:jc w:val="right"/>
              <w:ind w:right="10"/>
              <w:spacing w:after="0" w:line="202" w:lineRule="exact"/>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196"/>
        </w:trPr>
        <w:tc>
          <w:tcPr>
            <w:tcW w:w="3480" w:type="dxa"/>
            <w:vAlign w:val="bottom"/>
            <w:tcBorders>
              <w:bottom w:val="single" w:sz="8" w:color="auto"/>
            </w:tcBorders>
          </w:tcPr>
          <w:p>
            <w:pPr>
              <w:ind w:left="20"/>
              <w:spacing w:after="0" w:line="196" w:lineRule="exact"/>
              <w:rPr>
                <w:sz w:val="20"/>
                <w:szCs w:val="20"/>
                <w:color w:val="auto"/>
              </w:rPr>
            </w:pPr>
            <w:r>
              <w:rPr>
                <w:rFonts w:ascii="Arial" w:cs="Arial" w:eastAsia="Arial" w:hAnsi="Arial"/>
                <w:sz w:val="18"/>
                <w:szCs w:val="18"/>
                <w:b w:val="1"/>
                <w:bCs w:val="1"/>
                <w:color w:val="auto"/>
              </w:rPr>
              <w:t>Net Periodic Benefit Cost (Income)</w:t>
            </w:r>
          </w:p>
        </w:tc>
        <w:tc>
          <w:tcPr>
            <w:tcW w:w="20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b w:val="1"/>
                <w:bCs w:val="1"/>
                <w:color w:val="auto"/>
                <w:w w:val="79"/>
              </w:rPr>
              <w:t>$</w:t>
            </w:r>
          </w:p>
        </w:tc>
        <w:tc>
          <w:tcPr>
            <w:tcW w:w="940" w:type="dxa"/>
            <w:vAlign w:val="bottom"/>
            <w:tcBorders>
              <w:bottom w:val="single" w:sz="8" w:color="auto"/>
            </w:tcBorders>
          </w:tcPr>
          <w:p>
            <w:pPr>
              <w:jc w:val="right"/>
              <w:ind w:right="30"/>
              <w:spacing w:after="0" w:line="196" w:lineRule="exact"/>
              <w:rPr>
                <w:sz w:val="20"/>
                <w:szCs w:val="20"/>
                <w:color w:val="auto"/>
              </w:rPr>
            </w:pPr>
            <w:r>
              <w:rPr>
                <w:rFonts w:ascii="Arial" w:cs="Arial" w:eastAsia="Arial" w:hAnsi="Arial"/>
                <w:sz w:val="18"/>
                <w:szCs w:val="18"/>
                <w:b w:val="1"/>
                <w:bCs w:val="1"/>
                <w:color w:val="auto"/>
              </w:rPr>
              <w:t>(2.5 )</w:t>
            </w:r>
          </w:p>
        </w:tc>
        <w:tc>
          <w:tcPr>
            <w:tcW w:w="2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9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(4.0 )</w:t>
            </w:r>
          </w:p>
        </w:tc>
        <w:tc>
          <w:tcPr>
            <w:tcW w:w="880" w:type="dxa"/>
            <w:vAlign w:val="bottom"/>
            <w:tcBorders>
              <w:bottom w:val="single" w:sz="8" w:color="auto"/>
            </w:tcBorders>
          </w:tcPr>
          <w:p>
            <w:pPr>
              <w:jc w:val="right"/>
              <w:ind w:right="610"/>
              <w:spacing w:after="0" w:line="196" w:lineRule="exact"/>
              <w:rPr>
                <w:sz w:val="20"/>
                <w:szCs w:val="20"/>
                <w:color w:val="auto"/>
              </w:rPr>
            </w:pPr>
            <w:r>
              <w:rPr>
                <w:rFonts w:ascii="Arial" w:cs="Arial" w:eastAsia="Arial" w:hAnsi="Arial"/>
                <w:sz w:val="18"/>
                <w:szCs w:val="18"/>
                <w:b w:val="1"/>
                <w:bCs w:val="1"/>
                <w:color w:val="auto"/>
              </w:rPr>
              <w:t>$</w:t>
            </w:r>
          </w:p>
        </w:tc>
        <w:tc>
          <w:tcPr>
            <w:tcW w:w="4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w w:val="95"/>
              </w:rPr>
              <w:t>(2.4 )</w:t>
            </w:r>
          </w:p>
        </w:tc>
        <w:tc>
          <w:tcPr>
            <w:tcW w:w="220" w:type="dxa"/>
            <w:vAlign w:val="bottom"/>
            <w:tcBorders>
              <w:bottom w:val="single" w:sz="8" w:color="auto"/>
            </w:tcBorders>
            <w:gridSpan w:val="2"/>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8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(0.5 )</w:t>
            </w:r>
          </w:p>
        </w:tc>
        <w:tc>
          <w:tcPr>
            <w:tcW w:w="220" w:type="dxa"/>
            <w:vAlign w:val="bottom"/>
            <w:tcBorders>
              <w:bottom w:val="single" w:sz="8" w:color="auto"/>
            </w:tcBorders>
            <w:gridSpan w:val="2"/>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660" w:type="dxa"/>
            <w:vAlign w:val="bottom"/>
            <w:tcBorders>
              <w:bottom w:val="single" w:sz="8" w:color="auto"/>
            </w:tcBorders>
          </w:tcPr>
          <w:p>
            <w:pPr>
              <w:ind w:left="380"/>
              <w:spacing w:after="0" w:line="196" w:lineRule="exact"/>
              <w:rPr>
                <w:sz w:val="20"/>
                <w:szCs w:val="20"/>
                <w:color w:val="auto"/>
              </w:rPr>
            </w:pPr>
            <w:r>
              <w:rPr>
                <w:rFonts w:ascii="Arial" w:cs="Arial" w:eastAsia="Arial" w:hAnsi="Arial"/>
                <w:sz w:val="18"/>
                <w:szCs w:val="18"/>
                <w:b w:val="1"/>
                <w:bCs w:val="1"/>
                <w:color w:val="auto"/>
              </w:rPr>
              <w:t>—</w:t>
            </w:r>
          </w:p>
        </w:tc>
        <w:tc>
          <w:tcPr>
            <w:tcW w:w="2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6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(9.4 )</w:t>
            </w:r>
          </w:p>
        </w:tc>
        <w:tc>
          <w:tcPr>
            <w:tcW w:w="300" w:type="dxa"/>
            <w:vAlign w:val="bottom"/>
            <w:tcBorders>
              <w:bottom w:val="single" w:sz="8" w:color="auto"/>
            </w:tcBorders>
          </w:tcPr>
          <w:p>
            <w:pPr>
              <w:jc w:val="right"/>
              <w:ind w:right="50"/>
              <w:spacing w:after="0" w:line="196" w:lineRule="exact"/>
              <w:rPr>
                <w:sz w:val="20"/>
                <w:szCs w:val="20"/>
                <w:color w:val="auto"/>
              </w:rPr>
            </w:pPr>
            <w:r>
              <w:rPr>
                <w:rFonts w:ascii="Arial" w:cs="Arial" w:eastAsia="Arial" w:hAnsi="Arial"/>
                <w:sz w:val="18"/>
                <w:szCs w:val="18"/>
                <w:b w:val="1"/>
                <w:bCs w:val="1"/>
                <w:color w:val="auto"/>
              </w:rPr>
              <w:t>$</w:t>
            </w:r>
          </w:p>
        </w:tc>
        <w:tc>
          <w:tcPr>
            <w:tcW w:w="10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(1.3 )</w:t>
            </w:r>
          </w:p>
        </w:tc>
        <w:tc>
          <w:tcPr>
            <w:tcW w:w="0" w:type="dxa"/>
            <w:vAlign w:val="bottom"/>
          </w:tcPr>
          <w:p>
            <w:pPr>
              <w:spacing w:after="0"/>
              <w:rPr>
                <w:sz w:val="1"/>
                <w:szCs w:val="1"/>
                <w:color w:val="auto"/>
              </w:rPr>
            </w:pPr>
          </w:p>
        </w:tc>
      </w:tr>
    </w:tbl>
    <w:p>
      <w:pPr>
        <w:spacing w:after="0" w:line="134" w:lineRule="exact"/>
        <w:rPr>
          <w:sz w:val="20"/>
          <w:szCs w:val="20"/>
          <w:color w:val="auto"/>
        </w:rPr>
      </w:pPr>
    </w:p>
    <w:p>
      <w:pPr>
        <w:spacing w:after="0"/>
        <w:rPr>
          <w:sz w:val="20"/>
          <w:szCs w:val="20"/>
          <w:color w:val="auto"/>
        </w:rPr>
      </w:pPr>
      <w:r>
        <w:rPr>
          <w:rFonts w:ascii="Arial" w:cs="Arial" w:eastAsia="Arial" w:hAnsi="Arial"/>
          <w:sz w:val="18"/>
          <w:szCs w:val="18"/>
          <w:color w:val="auto"/>
        </w:rPr>
        <w:t>The components of net periodic benefit cost (income) for the three months ended March 31, 2021 were as follows:</w:t>
      </w:r>
    </w:p>
    <w:p>
      <w:pPr>
        <w:spacing w:after="0" w:line="140"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354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Pension</w:t>
            </w:r>
          </w:p>
        </w:tc>
        <w:tc>
          <w:tcPr>
            <w:tcW w:w="4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5"/>
        </w:trPr>
        <w:tc>
          <w:tcPr>
            <w:tcW w:w="35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gridSpan w:val="2"/>
          </w:tcPr>
          <w:p>
            <w:pPr>
              <w:ind w:left="100"/>
              <w:spacing w:after="0" w:line="156" w:lineRule="exact"/>
              <w:rPr>
                <w:sz w:val="20"/>
                <w:szCs w:val="20"/>
                <w:color w:val="auto"/>
              </w:rPr>
            </w:pPr>
            <w:r>
              <w:rPr>
                <w:rFonts w:ascii="Arial" w:cs="Arial" w:eastAsia="Arial" w:hAnsi="Arial"/>
                <w:sz w:val="18"/>
                <w:szCs w:val="18"/>
                <w:b w:val="1"/>
                <w:bCs w:val="1"/>
                <w:color w:val="auto"/>
              </w:rPr>
              <w:t>United</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35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820" w:type="dxa"/>
            <w:vAlign w:val="bottom"/>
            <w:gridSpan w:val="4"/>
            <w:vMerge w:val="restart"/>
          </w:tcPr>
          <w:p>
            <w:pPr>
              <w:jc w:val="right"/>
              <w:ind w:right="310"/>
              <w:spacing w:after="0"/>
              <w:rPr>
                <w:sz w:val="20"/>
                <w:szCs w:val="20"/>
                <w:color w:val="auto"/>
              </w:rPr>
            </w:pPr>
            <w:r>
              <w:rPr>
                <w:rFonts w:ascii="Arial" w:cs="Arial" w:eastAsia="Arial" w:hAnsi="Arial"/>
                <w:sz w:val="18"/>
                <w:szCs w:val="18"/>
                <w:b w:val="1"/>
                <w:bCs w:val="1"/>
                <w:color w:val="auto"/>
              </w:rPr>
              <w:t>United States of America</w:t>
            </w:r>
          </w:p>
        </w:tc>
        <w:tc>
          <w:tcPr>
            <w:tcW w:w="4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60" w:type="dxa"/>
            <w:vAlign w:val="bottom"/>
            <w:gridSpan w:val="2"/>
          </w:tcPr>
          <w:p>
            <w:pPr>
              <w:ind w:left="100"/>
              <w:spacing w:after="0" w:line="176" w:lineRule="exact"/>
              <w:rPr>
                <w:sz w:val="20"/>
                <w:szCs w:val="20"/>
                <w:color w:val="auto"/>
              </w:rPr>
            </w:pPr>
            <w:r>
              <w:rPr>
                <w:rFonts w:ascii="Arial" w:cs="Arial" w:eastAsia="Arial" w:hAnsi="Arial"/>
                <w:sz w:val="18"/>
                <w:szCs w:val="18"/>
                <w:b w:val="1"/>
                <w:bCs w:val="1"/>
                <w:color w:val="auto"/>
              </w:rPr>
              <w:t>Kingdo</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vMerge w:val="restart"/>
          </w:tcPr>
          <w:p>
            <w:pPr>
              <w:jc w:val="center"/>
              <w:ind w:right="130"/>
              <w:spacing w:after="0"/>
              <w:rPr>
                <w:sz w:val="20"/>
                <w:szCs w:val="20"/>
                <w:color w:val="auto"/>
              </w:rPr>
            </w:pPr>
            <w:r>
              <w:rPr>
                <w:rFonts w:ascii="Arial" w:cs="Arial" w:eastAsia="Arial" w:hAnsi="Arial"/>
                <w:sz w:val="18"/>
                <w:szCs w:val="18"/>
                <w:b w:val="1"/>
                <w:bCs w:val="1"/>
                <w:color w:val="auto"/>
                <w:w w:val="91"/>
              </w:rPr>
              <w:t>Mexico</w:t>
            </w:r>
          </w:p>
        </w:tc>
        <w:tc>
          <w:tcPr>
            <w:tcW w:w="2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354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2820" w:type="dxa"/>
            <w:vAlign w:val="bottom"/>
            <w:tcBorders>
              <w:bottom w:val="single" w:sz="8" w:color="auto"/>
            </w:tcBorders>
            <w:gridSpan w:val="4"/>
            <w:vMerge w:val="continue"/>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m</w:t>
            </w:r>
          </w:p>
        </w:tc>
        <w:tc>
          <w:tcPr>
            <w:tcW w:w="10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vMerge w:val="continue"/>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vMerge w:val="restart"/>
          </w:tcPr>
          <w:p>
            <w:pPr>
              <w:jc w:val="right"/>
              <w:ind w:right="190"/>
              <w:spacing w:after="0"/>
              <w:rPr>
                <w:sz w:val="20"/>
                <w:szCs w:val="20"/>
                <w:color w:val="auto"/>
              </w:rPr>
            </w:pPr>
            <w:r>
              <w:rPr>
                <w:rFonts w:ascii="Arial" w:cs="Arial" w:eastAsia="Arial" w:hAnsi="Arial"/>
                <w:sz w:val="18"/>
                <w:szCs w:val="18"/>
                <w:b w:val="1"/>
                <w:bCs w:val="1"/>
                <w:color w:val="auto"/>
                <w:w w:val="92"/>
              </w:rPr>
              <w:t>Total</w:t>
            </w:r>
          </w:p>
        </w:tc>
        <w:tc>
          <w:tcPr>
            <w:tcW w:w="1380" w:type="dxa"/>
            <w:vAlign w:val="bottom"/>
            <w:gridSpan w:val="2"/>
            <w:vMerge w:val="restart"/>
          </w:tcPr>
          <w:p>
            <w:pPr>
              <w:jc w:val="right"/>
              <w:ind w:right="50"/>
              <w:spacing w:after="0"/>
              <w:rPr>
                <w:sz w:val="20"/>
                <w:szCs w:val="20"/>
                <w:color w:val="auto"/>
              </w:rPr>
            </w:pPr>
            <w:r>
              <w:rPr>
                <w:rFonts w:ascii="Arial" w:cs="Arial" w:eastAsia="Arial" w:hAnsi="Arial"/>
                <w:sz w:val="18"/>
                <w:szCs w:val="18"/>
                <w:b w:val="1"/>
                <w:bCs w:val="1"/>
                <w:color w:val="auto"/>
                <w:w w:val="96"/>
              </w:rPr>
              <w:t>Postretirement</w:t>
            </w:r>
          </w:p>
        </w:tc>
        <w:tc>
          <w:tcPr>
            <w:tcW w:w="0" w:type="dxa"/>
            <w:vAlign w:val="bottom"/>
          </w:tcPr>
          <w:p>
            <w:pPr>
              <w:spacing w:after="0"/>
              <w:rPr>
                <w:sz w:val="1"/>
                <w:szCs w:val="1"/>
                <w:color w:val="auto"/>
              </w:rPr>
            </w:pPr>
          </w:p>
        </w:tc>
      </w:tr>
      <w:tr>
        <w:trPr>
          <w:trHeight w:val="155"/>
        </w:trPr>
        <w:tc>
          <w:tcPr>
            <w:tcW w:w="3540" w:type="dxa"/>
            <w:vAlign w:val="bottom"/>
          </w:tcPr>
          <w:p>
            <w:pPr>
              <w:spacing w:after="0"/>
              <w:rPr>
                <w:sz w:val="13"/>
                <w:szCs w:val="13"/>
                <w:color w:val="auto"/>
              </w:rPr>
            </w:pPr>
          </w:p>
        </w:tc>
        <w:tc>
          <w:tcPr>
            <w:tcW w:w="1200" w:type="dxa"/>
            <w:vAlign w:val="bottom"/>
            <w:gridSpan w:val="2"/>
          </w:tcPr>
          <w:p>
            <w:pPr>
              <w:jc w:val="right"/>
              <w:ind w:right="170"/>
              <w:spacing w:after="0" w:line="156" w:lineRule="exact"/>
              <w:rPr>
                <w:sz w:val="20"/>
                <w:szCs w:val="20"/>
                <w:color w:val="auto"/>
              </w:rPr>
            </w:pPr>
            <w:r>
              <w:rPr>
                <w:rFonts w:ascii="Arial" w:cs="Arial" w:eastAsia="Arial" w:hAnsi="Arial"/>
                <w:sz w:val="18"/>
                <w:szCs w:val="18"/>
                <w:b w:val="1"/>
                <w:bCs w:val="1"/>
                <w:color w:val="auto"/>
                <w:w w:val="97"/>
              </w:rPr>
              <w:t>Bargaining</w:t>
            </w:r>
          </w:p>
        </w:tc>
        <w:tc>
          <w:tcPr>
            <w:tcW w:w="940" w:type="dxa"/>
            <w:vAlign w:val="bottom"/>
            <w:gridSpan w:val="2"/>
          </w:tcPr>
          <w:p>
            <w:pPr>
              <w:jc w:val="right"/>
              <w:ind w:right="110"/>
              <w:spacing w:after="0" w:line="156" w:lineRule="exact"/>
              <w:rPr>
                <w:sz w:val="20"/>
                <w:szCs w:val="20"/>
                <w:color w:val="auto"/>
              </w:rPr>
            </w:pPr>
            <w:r>
              <w:rPr>
                <w:rFonts w:ascii="Arial" w:cs="Arial" w:eastAsia="Arial" w:hAnsi="Arial"/>
                <w:sz w:val="18"/>
                <w:szCs w:val="18"/>
                <w:b w:val="1"/>
                <w:bCs w:val="1"/>
                <w:color w:val="auto"/>
              </w:rPr>
              <w:t>Salaried</w:t>
            </w:r>
          </w:p>
        </w:tc>
        <w:tc>
          <w:tcPr>
            <w:tcW w:w="1320" w:type="dxa"/>
            <w:vAlign w:val="bottom"/>
            <w:gridSpan w:val="2"/>
          </w:tcPr>
          <w:p>
            <w:pPr>
              <w:jc w:val="right"/>
              <w:ind w:right="70"/>
              <w:spacing w:after="0" w:line="156" w:lineRule="exact"/>
              <w:rPr>
                <w:sz w:val="20"/>
                <w:szCs w:val="20"/>
                <w:color w:val="auto"/>
              </w:rPr>
            </w:pPr>
            <w:r>
              <w:rPr>
                <w:rFonts w:ascii="Arial" w:cs="Arial" w:eastAsia="Arial" w:hAnsi="Arial"/>
                <w:sz w:val="18"/>
                <w:szCs w:val="18"/>
                <w:b w:val="1"/>
                <w:bCs w:val="1"/>
                <w:color w:val="auto"/>
                <w:w w:val="96"/>
              </w:rPr>
              <w:t>Supplemental</w:t>
            </w:r>
          </w:p>
        </w:tc>
        <w:tc>
          <w:tcPr>
            <w:tcW w:w="100" w:type="dxa"/>
            <w:vAlign w:val="bottom"/>
          </w:tcPr>
          <w:p>
            <w:pPr>
              <w:spacing w:after="0"/>
              <w:rPr>
                <w:sz w:val="13"/>
                <w:szCs w:val="13"/>
                <w:color w:val="auto"/>
              </w:rPr>
            </w:pPr>
          </w:p>
        </w:tc>
        <w:tc>
          <w:tcPr>
            <w:tcW w:w="860" w:type="dxa"/>
            <w:vAlign w:val="bottom"/>
            <w:gridSpan w:val="2"/>
          </w:tcPr>
          <w:p>
            <w:pPr>
              <w:ind w:left="80"/>
              <w:spacing w:after="0" w:line="156" w:lineRule="exact"/>
              <w:rPr>
                <w:sz w:val="20"/>
                <w:szCs w:val="20"/>
                <w:color w:val="auto"/>
              </w:rPr>
            </w:pPr>
            <w:r>
              <w:rPr>
                <w:rFonts w:ascii="Arial" w:cs="Arial" w:eastAsia="Arial" w:hAnsi="Arial"/>
                <w:sz w:val="18"/>
                <w:szCs w:val="18"/>
                <w:b w:val="1"/>
                <w:bCs w:val="1"/>
                <w:color w:val="auto"/>
              </w:rPr>
              <w:t>Pension</w:t>
            </w:r>
          </w:p>
        </w:tc>
        <w:tc>
          <w:tcPr>
            <w:tcW w:w="100" w:type="dxa"/>
            <w:vAlign w:val="bottom"/>
          </w:tcPr>
          <w:p>
            <w:pPr>
              <w:spacing w:after="0"/>
              <w:rPr>
                <w:sz w:val="13"/>
                <w:szCs w:val="13"/>
                <w:color w:val="auto"/>
              </w:rPr>
            </w:pPr>
          </w:p>
        </w:tc>
        <w:tc>
          <w:tcPr>
            <w:tcW w:w="880" w:type="dxa"/>
            <w:vAlign w:val="bottom"/>
            <w:gridSpan w:val="2"/>
          </w:tcPr>
          <w:p>
            <w:pPr>
              <w:jc w:val="center"/>
              <w:ind w:right="30"/>
              <w:spacing w:after="0" w:line="156" w:lineRule="exact"/>
              <w:rPr>
                <w:sz w:val="20"/>
                <w:szCs w:val="20"/>
                <w:color w:val="auto"/>
              </w:rPr>
            </w:pPr>
            <w:r>
              <w:rPr>
                <w:rFonts w:ascii="Arial" w:cs="Arial" w:eastAsia="Arial" w:hAnsi="Arial"/>
                <w:sz w:val="18"/>
                <w:szCs w:val="18"/>
                <w:b w:val="1"/>
                <w:bCs w:val="1"/>
                <w:color w:val="auto"/>
                <w:w w:val="85"/>
              </w:rPr>
              <w:t>Pension</w:t>
            </w:r>
          </w:p>
        </w:tc>
        <w:tc>
          <w:tcPr>
            <w:tcW w:w="220" w:type="dxa"/>
            <w:vAlign w:val="bottom"/>
          </w:tcPr>
          <w:p>
            <w:pPr>
              <w:spacing w:after="0"/>
              <w:rPr>
                <w:sz w:val="13"/>
                <w:szCs w:val="13"/>
                <w:color w:val="auto"/>
              </w:rPr>
            </w:pPr>
          </w:p>
        </w:tc>
        <w:tc>
          <w:tcPr>
            <w:tcW w:w="700" w:type="dxa"/>
            <w:vAlign w:val="bottom"/>
            <w:vMerge w:val="continue"/>
          </w:tcPr>
          <w:p>
            <w:pPr>
              <w:spacing w:after="0"/>
              <w:rPr>
                <w:sz w:val="13"/>
                <w:szCs w:val="13"/>
                <w:color w:val="auto"/>
              </w:rPr>
            </w:pPr>
          </w:p>
        </w:tc>
        <w:tc>
          <w:tcPr>
            <w:tcW w:w="138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354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Plan</w:t>
            </w:r>
          </w:p>
        </w:tc>
        <w:tc>
          <w:tcPr>
            <w:tcW w:w="2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w w:val="99"/>
              </w:rPr>
              <w:t>Plan</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Plan</w:t>
            </w:r>
          </w:p>
        </w:tc>
        <w:tc>
          <w:tcPr>
            <w:tcW w:w="4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gridSpan w:val="2"/>
          </w:tcPr>
          <w:p>
            <w:pPr>
              <w:ind w:left="80"/>
              <w:spacing w:after="0"/>
              <w:rPr>
                <w:sz w:val="20"/>
                <w:szCs w:val="20"/>
                <w:color w:val="auto"/>
              </w:rPr>
            </w:pPr>
            <w:r>
              <w:rPr>
                <w:rFonts w:ascii="Arial" w:cs="Arial" w:eastAsia="Arial" w:hAnsi="Arial"/>
                <w:sz w:val="18"/>
                <w:szCs w:val="18"/>
                <w:b w:val="1"/>
                <w:bCs w:val="1"/>
                <w:color w:val="auto"/>
              </w:rPr>
              <w:t>Scheme</w:t>
            </w:r>
          </w:p>
        </w:tc>
        <w:tc>
          <w:tcPr>
            <w:tcW w:w="10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center"/>
              <w:ind w:right="110"/>
              <w:spacing w:after="0"/>
              <w:rPr>
                <w:sz w:val="20"/>
                <w:szCs w:val="20"/>
                <w:color w:val="auto"/>
              </w:rPr>
            </w:pPr>
            <w:r>
              <w:rPr>
                <w:rFonts w:ascii="Arial" w:cs="Arial" w:eastAsia="Arial" w:hAnsi="Arial"/>
                <w:sz w:val="18"/>
                <w:szCs w:val="18"/>
                <w:b w:val="1"/>
                <w:bCs w:val="1"/>
                <w:color w:val="auto"/>
                <w:w w:val="89"/>
              </w:rPr>
              <w:t>Plan</w:t>
            </w:r>
          </w:p>
        </w:tc>
        <w:tc>
          <w:tcPr>
            <w:tcW w:w="920" w:type="dxa"/>
            <w:vAlign w:val="bottom"/>
            <w:tcBorders>
              <w:bottom w:val="single" w:sz="8" w:color="auto"/>
            </w:tcBorders>
            <w:gridSpan w:val="2"/>
          </w:tcPr>
          <w:p>
            <w:pPr>
              <w:jc w:val="right"/>
              <w:ind w:right="90"/>
              <w:spacing w:after="0"/>
              <w:rPr>
                <w:sz w:val="20"/>
                <w:szCs w:val="20"/>
                <w:color w:val="auto"/>
              </w:rPr>
            </w:pPr>
            <w:r>
              <w:rPr>
                <w:rFonts w:ascii="Arial" w:cs="Arial" w:eastAsia="Arial" w:hAnsi="Arial"/>
                <w:sz w:val="18"/>
                <w:szCs w:val="18"/>
                <w:b w:val="1"/>
                <w:bCs w:val="1"/>
                <w:color w:val="auto"/>
              </w:rPr>
              <w:t>Pension</w:t>
            </w:r>
          </w:p>
        </w:tc>
        <w:tc>
          <w:tcPr>
            <w:tcW w:w="3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Plans</w:t>
            </w:r>
          </w:p>
        </w:tc>
        <w:tc>
          <w:tcPr>
            <w:tcW w:w="0" w:type="dxa"/>
            <w:vAlign w:val="bottom"/>
          </w:tcPr>
          <w:p>
            <w:pPr>
              <w:spacing w:after="0"/>
              <w:rPr>
                <w:sz w:val="1"/>
                <w:szCs w:val="1"/>
                <w:color w:val="auto"/>
              </w:rPr>
            </w:pPr>
          </w:p>
        </w:tc>
      </w:tr>
      <w:tr>
        <w:trPr>
          <w:trHeight w:val="196"/>
        </w:trPr>
        <w:tc>
          <w:tcPr>
            <w:tcW w:w="354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Service cost</w:t>
            </w:r>
          </w:p>
        </w:tc>
        <w:tc>
          <w:tcPr>
            <w:tcW w:w="22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shd w:val="clear" w:color="auto" w:fill="CFF0FC"/>
          </w:tcPr>
          <w:p>
            <w:pPr>
              <w:jc w:val="right"/>
              <w:ind w:right="70"/>
              <w:spacing w:after="0" w:line="196" w:lineRule="exact"/>
              <w:rPr>
                <w:sz w:val="20"/>
                <w:szCs w:val="20"/>
                <w:color w:val="auto"/>
              </w:rPr>
            </w:pPr>
            <w:r>
              <w:rPr>
                <w:rFonts w:ascii="Arial" w:cs="Arial" w:eastAsia="Arial" w:hAnsi="Arial"/>
                <w:sz w:val="18"/>
                <w:szCs w:val="18"/>
                <w:color w:val="auto"/>
              </w:rPr>
              <w:t>4.3</w:t>
            </w:r>
          </w:p>
        </w:tc>
        <w:tc>
          <w:tcPr>
            <w:tcW w:w="20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740" w:type="dxa"/>
            <w:vAlign w:val="bottom"/>
            <w:shd w:val="clear" w:color="auto" w:fill="CFF0FC"/>
          </w:tcPr>
          <w:p>
            <w:pPr>
              <w:jc w:val="right"/>
              <w:ind w:right="70"/>
              <w:spacing w:after="0" w:line="196" w:lineRule="exact"/>
              <w:rPr>
                <w:sz w:val="20"/>
                <w:szCs w:val="20"/>
                <w:color w:val="auto"/>
              </w:rPr>
            </w:pPr>
            <w:r>
              <w:rPr>
                <w:rFonts w:ascii="Arial" w:cs="Arial" w:eastAsia="Arial" w:hAnsi="Arial"/>
                <w:sz w:val="18"/>
                <w:szCs w:val="18"/>
                <w:color w:val="auto"/>
              </w:rPr>
              <w:t>0.1</w:t>
            </w:r>
          </w:p>
        </w:tc>
        <w:tc>
          <w:tcPr>
            <w:tcW w:w="900" w:type="dxa"/>
            <w:vAlign w:val="bottom"/>
            <w:shd w:val="clear" w:color="auto" w:fill="CFF0FC"/>
          </w:tcPr>
          <w:p>
            <w:pPr>
              <w:jc w:val="right"/>
              <w:ind w:right="650"/>
              <w:spacing w:after="0" w:line="196" w:lineRule="exact"/>
              <w:rPr>
                <w:sz w:val="20"/>
                <w:szCs w:val="20"/>
                <w:color w:val="auto"/>
              </w:rPr>
            </w:pPr>
            <w:r>
              <w:rPr>
                <w:rFonts w:ascii="Arial" w:cs="Arial" w:eastAsia="Arial" w:hAnsi="Arial"/>
                <w:sz w:val="18"/>
                <w:szCs w:val="18"/>
                <w:color w:val="auto"/>
              </w:rPr>
              <w:t>$</w:t>
            </w:r>
          </w:p>
        </w:tc>
        <w:tc>
          <w:tcPr>
            <w:tcW w:w="42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w:t>
            </w:r>
          </w:p>
        </w:tc>
        <w:tc>
          <w:tcPr>
            <w:tcW w:w="300" w:type="dxa"/>
            <w:vAlign w:val="bottom"/>
            <w:gridSpan w:val="2"/>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66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w:t>
            </w:r>
          </w:p>
        </w:tc>
        <w:tc>
          <w:tcPr>
            <w:tcW w:w="200" w:type="dxa"/>
            <w:vAlign w:val="bottom"/>
            <w:gridSpan w:val="2"/>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780" w:type="dxa"/>
            <w:vAlign w:val="bottom"/>
            <w:shd w:val="clear" w:color="auto" w:fill="CFF0FC"/>
          </w:tcPr>
          <w:p>
            <w:pPr>
              <w:ind w:left="480"/>
              <w:spacing w:after="0" w:line="196" w:lineRule="exact"/>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700" w:type="dxa"/>
            <w:vAlign w:val="bottom"/>
            <w:shd w:val="clear" w:color="auto" w:fill="CFF0FC"/>
          </w:tcPr>
          <w:p>
            <w:pPr>
              <w:jc w:val="right"/>
              <w:ind w:right="50"/>
              <w:spacing w:after="0" w:line="196" w:lineRule="exact"/>
              <w:rPr>
                <w:sz w:val="20"/>
                <w:szCs w:val="20"/>
                <w:color w:val="auto"/>
              </w:rPr>
            </w:pPr>
            <w:r>
              <w:rPr>
                <w:rFonts w:ascii="Arial" w:cs="Arial" w:eastAsia="Arial" w:hAnsi="Arial"/>
                <w:sz w:val="18"/>
                <w:szCs w:val="18"/>
                <w:color w:val="auto"/>
              </w:rPr>
              <w:t>4.4</w:t>
            </w:r>
          </w:p>
        </w:tc>
        <w:tc>
          <w:tcPr>
            <w:tcW w:w="320" w:type="dxa"/>
            <w:vAlign w:val="bottom"/>
            <w:shd w:val="clear" w:color="auto" w:fill="CFF0FC"/>
          </w:tcPr>
          <w:p>
            <w:pPr>
              <w:jc w:val="right"/>
              <w:ind w:right="70"/>
              <w:spacing w:after="0" w:line="196" w:lineRule="exact"/>
              <w:rPr>
                <w:sz w:val="20"/>
                <w:szCs w:val="20"/>
                <w:color w:val="auto"/>
              </w:rPr>
            </w:pPr>
            <w:r>
              <w:rPr>
                <w:rFonts w:ascii="Arial" w:cs="Arial" w:eastAsia="Arial" w:hAnsi="Arial"/>
                <w:sz w:val="18"/>
                <w:szCs w:val="18"/>
                <w:color w:val="auto"/>
              </w:rPr>
              <w:t>$</w:t>
            </w:r>
          </w:p>
        </w:tc>
        <w:tc>
          <w:tcPr>
            <w:tcW w:w="106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03"/>
        </w:trPr>
        <w:tc>
          <w:tcPr>
            <w:tcW w:w="3540" w:type="dxa"/>
            <w:vAlign w:val="bottom"/>
          </w:tcPr>
          <w:p>
            <w:pPr>
              <w:ind w:left="20"/>
              <w:spacing w:after="0" w:line="202" w:lineRule="exact"/>
              <w:rPr>
                <w:sz w:val="20"/>
                <w:szCs w:val="20"/>
                <w:color w:val="auto"/>
              </w:rPr>
            </w:pPr>
            <w:r>
              <w:rPr>
                <w:rFonts w:ascii="Arial" w:cs="Arial" w:eastAsia="Arial" w:hAnsi="Arial"/>
                <w:sz w:val="18"/>
                <w:szCs w:val="18"/>
                <w:color w:val="auto"/>
              </w:rPr>
              <w:t>Interest cost</w:t>
            </w:r>
          </w:p>
        </w:tc>
        <w:tc>
          <w:tcPr>
            <w:tcW w:w="220" w:type="dxa"/>
            <w:vAlign w:val="bottom"/>
          </w:tcPr>
          <w:p>
            <w:pPr>
              <w:spacing w:after="0"/>
              <w:rPr>
                <w:sz w:val="17"/>
                <w:szCs w:val="17"/>
                <w:color w:val="auto"/>
              </w:rPr>
            </w:pPr>
          </w:p>
        </w:tc>
        <w:tc>
          <w:tcPr>
            <w:tcW w:w="980" w:type="dxa"/>
            <w:vAlign w:val="bottom"/>
          </w:tcPr>
          <w:p>
            <w:pPr>
              <w:jc w:val="right"/>
              <w:ind w:right="70"/>
              <w:spacing w:after="0" w:line="202" w:lineRule="exact"/>
              <w:rPr>
                <w:sz w:val="20"/>
                <w:szCs w:val="20"/>
                <w:color w:val="auto"/>
              </w:rPr>
            </w:pPr>
            <w:r>
              <w:rPr>
                <w:rFonts w:ascii="Arial" w:cs="Arial" w:eastAsia="Arial" w:hAnsi="Arial"/>
                <w:sz w:val="18"/>
                <w:szCs w:val="18"/>
                <w:color w:val="auto"/>
              </w:rPr>
              <w:t>7.1</w:t>
            </w:r>
          </w:p>
        </w:tc>
        <w:tc>
          <w:tcPr>
            <w:tcW w:w="200" w:type="dxa"/>
            <w:vAlign w:val="bottom"/>
          </w:tcPr>
          <w:p>
            <w:pPr>
              <w:spacing w:after="0"/>
              <w:rPr>
                <w:sz w:val="17"/>
                <w:szCs w:val="17"/>
                <w:color w:val="auto"/>
              </w:rPr>
            </w:pPr>
          </w:p>
        </w:tc>
        <w:tc>
          <w:tcPr>
            <w:tcW w:w="740" w:type="dxa"/>
            <w:vAlign w:val="bottom"/>
          </w:tcPr>
          <w:p>
            <w:pPr>
              <w:jc w:val="right"/>
              <w:ind w:right="70"/>
              <w:spacing w:after="0" w:line="202" w:lineRule="exact"/>
              <w:rPr>
                <w:sz w:val="20"/>
                <w:szCs w:val="20"/>
                <w:color w:val="auto"/>
              </w:rPr>
            </w:pPr>
            <w:r>
              <w:rPr>
                <w:rFonts w:ascii="Arial" w:cs="Arial" w:eastAsia="Arial" w:hAnsi="Arial"/>
                <w:sz w:val="18"/>
                <w:szCs w:val="18"/>
                <w:color w:val="auto"/>
              </w:rPr>
              <w:t>1.5</w:t>
            </w:r>
          </w:p>
        </w:tc>
        <w:tc>
          <w:tcPr>
            <w:tcW w:w="900" w:type="dxa"/>
            <w:vAlign w:val="bottom"/>
          </w:tcPr>
          <w:p>
            <w:pPr>
              <w:spacing w:after="0"/>
              <w:rPr>
                <w:sz w:val="17"/>
                <w:szCs w:val="17"/>
                <w:color w:val="auto"/>
              </w:rPr>
            </w:pPr>
          </w:p>
        </w:tc>
        <w:tc>
          <w:tcPr>
            <w:tcW w:w="420" w:type="dxa"/>
            <w:vAlign w:val="bottom"/>
          </w:tcPr>
          <w:p>
            <w:pPr>
              <w:jc w:val="right"/>
              <w:ind w:right="30"/>
              <w:spacing w:after="0" w:line="202" w:lineRule="exact"/>
              <w:rPr>
                <w:sz w:val="20"/>
                <w:szCs w:val="20"/>
                <w:color w:val="auto"/>
              </w:rPr>
            </w:pPr>
            <w:r>
              <w:rPr>
                <w:rFonts w:ascii="Arial" w:cs="Arial" w:eastAsia="Arial" w:hAnsi="Arial"/>
                <w:sz w:val="18"/>
                <w:szCs w:val="18"/>
                <w:color w:val="auto"/>
              </w:rPr>
              <w:t>0.2</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60" w:type="dxa"/>
            <w:vAlign w:val="bottom"/>
          </w:tcPr>
          <w:p>
            <w:pPr>
              <w:jc w:val="right"/>
              <w:ind w:right="30"/>
              <w:spacing w:after="0" w:line="202" w:lineRule="exact"/>
              <w:rPr>
                <w:sz w:val="20"/>
                <w:szCs w:val="20"/>
                <w:color w:val="auto"/>
              </w:rPr>
            </w:pPr>
            <w:r>
              <w:rPr>
                <w:rFonts w:ascii="Arial" w:cs="Arial" w:eastAsia="Arial" w:hAnsi="Arial"/>
                <w:sz w:val="18"/>
                <w:szCs w:val="18"/>
                <w:color w:val="auto"/>
              </w:rPr>
              <w:t>0.3</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ind w:left="480"/>
              <w:spacing w:after="0" w:line="202"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7"/>
                <w:szCs w:val="17"/>
                <w:color w:val="auto"/>
              </w:rPr>
            </w:pPr>
          </w:p>
        </w:tc>
        <w:tc>
          <w:tcPr>
            <w:tcW w:w="700" w:type="dxa"/>
            <w:vAlign w:val="bottom"/>
          </w:tcPr>
          <w:p>
            <w:pPr>
              <w:jc w:val="right"/>
              <w:ind w:right="50"/>
              <w:spacing w:after="0" w:line="202" w:lineRule="exact"/>
              <w:rPr>
                <w:sz w:val="20"/>
                <w:szCs w:val="20"/>
                <w:color w:val="auto"/>
              </w:rPr>
            </w:pPr>
            <w:r>
              <w:rPr>
                <w:rFonts w:ascii="Arial" w:cs="Arial" w:eastAsia="Arial" w:hAnsi="Arial"/>
                <w:sz w:val="18"/>
                <w:szCs w:val="18"/>
                <w:color w:val="auto"/>
              </w:rPr>
              <w:t>9.1</w:t>
            </w:r>
          </w:p>
        </w:tc>
        <w:tc>
          <w:tcPr>
            <w:tcW w:w="320" w:type="dxa"/>
            <w:vAlign w:val="bottom"/>
          </w:tcPr>
          <w:p>
            <w:pPr>
              <w:spacing w:after="0"/>
              <w:rPr>
                <w:sz w:val="17"/>
                <w:szCs w:val="17"/>
                <w:color w:val="auto"/>
              </w:rPr>
            </w:pPr>
          </w:p>
        </w:tc>
        <w:tc>
          <w:tcPr>
            <w:tcW w:w="1060" w:type="dxa"/>
            <w:vAlign w:val="bottom"/>
          </w:tcPr>
          <w:p>
            <w:pPr>
              <w:jc w:val="right"/>
              <w:ind w:right="10"/>
              <w:spacing w:after="0" w:line="202" w:lineRule="exact"/>
              <w:rPr>
                <w:sz w:val="20"/>
                <w:szCs w:val="20"/>
                <w:color w:val="auto"/>
              </w:rPr>
            </w:pPr>
            <w:r>
              <w:rPr>
                <w:rFonts w:ascii="Arial" w:cs="Arial" w:eastAsia="Arial" w:hAnsi="Arial"/>
                <w:sz w:val="18"/>
                <w:szCs w:val="18"/>
                <w:color w:val="auto"/>
              </w:rPr>
              <w:t>0.8</w:t>
            </w:r>
          </w:p>
        </w:tc>
        <w:tc>
          <w:tcPr>
            <w:tcW w:w="0" w:type="dxa"/>
            <w:vAlign w:val="bottom"/>
          </w:tcPr>
          <w:p>
            <w:pPr>
              <w:spacing w:after="0"/>
              <w:rPr>
                <w:sz w:val="1"/>
                <w:szCs w:val="1"/>
                <w:color w:val="auto"/>
              </w:rPr>
            </w:pPr>
          </w:p>
        </w:tc>
      </w:tr>
      <w:tr>
        <w:trPr>
          <w:trHeight w:val="203"/>
        </w:trPr>
        <w:tc>
          <w:tcPr>
            <w:tcW w:w="354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Expected return on plan assets</w:t>
            </w:r>
          </w:p>
        </w:tc>
        <w:tc>
          <w:tcPr>
            <w:tcW w:w="220" w:type="dxa"/>
            <w:vAlign w:val="bottom"/>
            <w:shd w:val="clear" w:color="auto" w:fill="CFF0FC"/>
          </w:tcPr>
          <w:p>
            <w:pPr>
              <w:spacing w:after="0"/>
              <w:rPr>
                <w:sz w:val="17"/>
                <w:szCs w:val="17"/>
                <w:color w:val="auto"/>
              </w:rPr>
            </w:pPr>
          </w:p>
        </w:tc>
        <w:tc>
          <w:tcPr>
            <w:tcW w:w="9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(12.9 )</w:t>
            </w:r>
          </w:p>
        </w:tc>
        <w:tc>
          <w:tcPr>
            <w:tcW w:w="200" w:type="dxa"/>
            <w:vAlign w:val="bottom"/>
            <w:shd w:val="clear" w:color="auto" w:fill="CFF0FC"/>
          </w:tcPr>
          <w:p>
            <w:pPr>
              <w:spacing w:after="0"/>
              <w:rPr>
                <w:sz w:val="17"/>
                <w:szCs w:val="17"/>
                <w:color w:val="auto"/>
              </w:rPr>
            </w:pPr>
          </w:p>
        </w:tc>
        <w:tc>
          <w:tcPr>
            <w:tcW w:w="7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(3.5 )</w:t>
            </w:r>
          </w:p>
        </w:tc>
        <w:tc>
          <w:tcPr>
            <w:tcW w:w="900" w:type="dxa"/>
            <w:vAlign w:val="bottom"/>
            <w:shd w:val="clear" w:color="auto" w:fill="CFF0FC"/>
          </w:tcPr>
          <w:p>
            <w:pPr>
              <w:spacing w:after="0"/>
              <w:rPr>
                <w:sz w:val="17"/>
                <w:szCs w:val="17"/>
                <w:color w:val="auto"/>
              </w:rPr>
            </w:pPr>
          </w:p>
        </w:tc>
        <w:tc>
          <w:tcPr>
            <w:tcW w:w="420" w:type="dxa"/>
            <w:vAlign w:val="bottom"/>
            <w:shd w:val="clear" w:color="auto" w:fill="CFF0FC"/>
          </w:tcPr>
          <w:p>
            <w:pPr>
              <w:jc w:val="right"/>
              <w:ind w:right="30"/>
              <w:spacing w:after="0" w:line="202" w:lineRule="exact"/>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66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(0.8 )</w:t>
            </w:r>
          </w:p>
        </w:tc>
        <w:tc>
          <w:tcPr>
            <w:tcW w:w="10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780" w:type="dxa"/>
            <w:vAlign w:val="bottom"/>
            <w:shd w:val="clear" w:color="auto" w:fill="CFF0FC"/>
          </w:tcPr>
          <w:p>
            <w:pPr>
              <w:ind w:left="480"/>
              <w:spacing w:after="0" w:line="202" w:lineRule="exact"/>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7"/>
                <w:szCs w:val="17"/>
                <w:color w:val="auto"/>
              </w:rPr>
            </w:pPr>
          </w:p>
        </w:tc>
        <w:tc>
          <w:tcPr>
            <w:tcW w:w="70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(17.2 )</w:t>
            </w:r>
          </w:p>
        </w:tc>
        <w:tc>
          <w:tcPr>
            <w:tcW w:w="320" w:type="dxa"/>
            <w:vAlign w:val="bottom"/>
            <w:shd w:val="clear" w:color="auto" w:fill="CFF0FC"/>
          </w:tcPr>
          <w:p>
            <w:pPr>
              <w:spacing w:after="0"/>
              <w:rPr>
                <w:sz w:val="17"/>
                <w:szCs w:val="17"/>
                <w:color w:val="auto"/>
              </w:rPr>
            </w:pPr>
          </w:p>
        </w:tc>
        <w:tc>
          <w:tcPr>
            <w:tcW w:w="106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(0.9 )</w:t>
            </w:r>
          </w:p>
        </w:tc>
        <w:tc>
          <w:tcPr>
            <w:tcW w:w="0" w:type="dxa"/>
            <w:vAlign w:val="bottom"/>
          </w:tcPr>
          <w:p>
            <w:pPr>
              <w:spacing w:after="0"/>
              <w:rPr>
                <w:sz w:val="1"/>
                <w:szCs w:val="1"/>
                <w:color w:val="auto"/>
              </w:rPr>
            </w:pPr>
          </w:p>
        </w:tc>
      </w:tr>
      <w:tr>
        <w:trPr>
          <w:trHeight w:val="203"/>
        </w:trPr>
        <w:tc>
          <w:tcPr>
            <w:tcW w:w="3540" w:type="dxa"/>
            <w:vAlign w:val="bottom"/>
          </w:tcPr>
          <w:p>
            <w:pPr>
              <w:ind w:left="20"/>
              <w:spacing w:after="0" w:line="202" w:lineRule="exact"/>
              <w:rPr>
                <w:sz w:val="20"/>
                <w:szCs w:val="20"/>
                <w:color w:val="auto"/>
              </w:rPr>
            </w:pPr>
            <w:r>
              <w:rPr>
                <w:rFonts w:ascii="Arial" w:cs="Arial" w:eastAsia="Arial" w:hAnsi="Arial"/>
                <w:sz w:val="18"/>
                <w:szCs w:val="18"/>
                <w:color w:val="auto"/>
              </w:rPr>
              <w:t>Amortization of prior service cost</w:t>
            </w:r>
          </w:p>
        </w:tc>
        <w:tc>
          <w:tcPr>
            <w:tcW w:w="220" w:type="dxa"/>
            <w:vAlign w:val="bottom"/>
          </w:tcPr>
          <w:p>
            <w:pPr>
              <w:spacing w:after="0"/>
              <w:rPr>
                <w:sz w:val="17"/>
                <w:szCs w:val="17"/>
                <w:color w:val="auto"/>
              </w:rPr>
            </w:pPr>
          </w:p>
        </w:tc>
        <w:tc>
          <w:tcPr>
            <w:tcW w:w="980" w:type="dxa"/>
            <w:vAlign w:val="bottom"/>
          </w:tcPr>
          <w:p>
            <w:pPr>
              <w:jc w:val="right"/>
              <w:ind w:right="70"/>
              <w:spacing w:after="0" w:line="202" w:lineRule="exact"/>
              <w:rPr>
                <w:sz w:val="20"/>
                <w:szCs w:val="20"/>
                <w:color w:val="auto"/>
              </w:rPr>
            </w:pPr>
            <w:r>
              <w:rPr>
                <w:rFonts w:ascii="Arial" w:cs="Arial" w:eastAsia="Arial" w:hAnsi="Arial"/>
                <w:sz w:val="18"/>
                <w:szCs w:val="18"/>
                <w:color w:val="auto"/>
              </w:rPr>
              <w:t>0.1</w:t>
            </w:r>
          </w:p>
        </w:tc>
        <w:tc>
          <w:tcPr>
            <w:tcW w:w="200" w:type="dxa"/>
            <w:vAlign w:val="bottom"/>
          </w:tcPr>
          <w:p>
            <w:pPr>
              <w:spacing w:after="0"/>
              <w:rPr>
                <w:sz w:val="17"/>
                <w:szCs w:val="17"/>
                <w:color w:val="auto"/>
              </w:rPr>
            </w:pPr>
          </w:p>
        </w:tc>
        <w:tc>
          <w:tcPr>
            <w:tcW w:w="740" w:type="dxa"/>
            <w:vAlign w:val="bottom"/>
          </w:tcPr>
          <w:p>
            <w:pPr>
              <w:jc w:val="right"/>
              <w:ind w:right="70"/>
              <w:spacing w:after="0" w:line="202" w:lineRule="exact"/>
              <w:rPr>
                <w:sz w:val="20"/>
                <w:szCs w:val="20"/>
                <w:color w:val="auto"/>
              </w:rPr>
            </w:pPr>
            <w:r>
              <w:rPr>
                <w:rFonts w:ascii="Arial" w:cs="Arial" w:eastAsia="Arial" w:hAnsi="Arial"/>
                <w:sz w:val="18"/>
                <w:szCs w:val="18"/>
                <w:color w:val="auto"/>
              </w:rPr>
              <w:t>—</w:t>
            </w:r>
          </w:p>
        </w:tc>
        <w:tc>
          <w:tcPr>
            <w:tcW w:w="900" w:type="dxa"/>
            <w:vAlign w:val="bottom"/>
          </w:tcPr>
          <w:p>
            <w:pPr>
              <w:spacing w:after="0"/>
              <w:rPr>
                <w:sz w:val="17"/>
                <w:szCs w:val="17"/>
                <w:color w:val="auto"/>
              </w:rPr>
            </w:pPr>
          </w:p>
        </w:tc>
        <w:tc>
          <w:tcPr>
            <w:tcW w:w="420" w:type="dxa"/>
            <w:vAlign w:val="bottom"/>
          </w:tcPr>
          <w:p>
            <w:pPr>
              <w:jc w:val="right"/>
              <w:ind w:right="30"/>
              <w:spacing w:after="0" w:line="202" w:lineRule="exact"/>
              <w:rPr>
                <w:sz w:val="20"/>
                <w:szCs w:val="20"/>
                <w:color w:val="auto"/>
              </w:rPr>
            </w:pPr>
            <w:r>
              <w:rPr>
                <w:rFonts w:ascii="Arial" w:cs="Arial" w:eastAsia="Arial" w:hAnsi="Arial"/>
                <w:sz w:val="18"/>
                <w:szCs w:val="18"/>
                <w:color w:val="auto"/>
              </w:rPr>
              <w:t>—</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60" w:type="dxa"/>
            <w:vAlign w:val="bottom"/>
          </w:tcPr>
          <w:p>
            <w:pPr>
              <w:jc w:val="right"/>
              <w:ind w:right="30"/>
              <w:spacing w:after="0" w:line="202" w:lineRule="exact"/>
              <w:rPr>
                <w:sz w:val="20"/>
                <w:szCs w:val="20"/>
                <w:color w:val="auto"/>
              </w:rPr>
            </w:pPr>
            <w:r>
              <w:rPr>
                <w:rFonts w:ascii="Arial" w:cs="Arial" w:eastAsia="Arial" w:hAnsi="Arial"/>
                <w:sz w:val="18"/>
                <w:szCs w:val="18"/>
                <w:color w:val="auto"/>
              </w:rPr>
              <w:t>—</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ind w:left="480"/>
              <w:spacing w:after="0" w:line="202"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7"/>
                <w:szCs w:val="17"/>
                <w:color w:val="auto"/>
              </w:rPr>
            </w:pPr>
          </w:p>
        </w:tc>
        <w:tc>
          <w:tcPr>
            <w:tcW w:w="700" w:type="dxa"/>
            <w:vAlign w:val="bottom"/>
          </w:tcPr>
          <w:p>
            <w:pPr>
              <w:jc w:val="right"/>
              <w:ind w:right="50"/>
              <w:spacing w:after="0" w:line="202" w:lineRule="exact"/>
              <w:rPr>
                <w:sz w:val="20"/>
                <w:szCs w:val="20"/>
                <w:color w:val="auto"/>
              </w:rPr>
            </w:pPr>
            <w:r>
              <w:rPr>
                <w:rFonts w:ascii="Arial" w:cs="Arial" w:eastAsia="Arial" w:hAnsi="Arial"/>
                <w:sz w:val="18"/>
                <w:szCs w:val="18"/>
                <w:color w:val="auto"/>
              </w:rPr>
              <w:t>0.1</w:t>
            </w:r>
          </w:p>
        </w:tc>
        <w:tc>
          <w:tcPr>
            <w:tcW w:w="320" w:type="dxa"/>
            <w:vAlign w:val="bottom"/>
          </w:tcPr>
          <w:p>
            <w:pPr>
              <w:spacing w:after="0"/>
              <w:rPr>
                <w:sz w:val="17"/>
                <w:szCs w:val="17"/>
                <w:color w:val="auto"/>
              </w:rPr>
            </w:pPr>
          </w:p>
        </w:tc>
        <w:tc>
          <w:tcPr>
            <w:tcW w:w="1060" w:type="dxa"/>
            <w:vAlign w:val="bottom"/>
          </w:tcPr>
          <w:p>
            <w:pPr>
              <w:jc w:val="right"/>
              <w:spacing w:after="0" w:line="202" w:lineRule="exact"/>
              <w:rPr>
                <w:sz w:val="20"/>
                <w:szCs w:val="20"/>
                <w:color w:val="auto"/>
              </w:rPr>
            </w:pPr>
            <w:r>
              <w:rPr>
                <w:rFonts w:ascii="Arial" w:cs="Arial" w:eastAsia="Arial" w:hAnsi="Arial"/>
                <w:sz w:val="18"/>
                <w:szCs w:val="18"/>
                <w:color w:val="auto"/>
              </w:rPr>
              <w:t>(1.5 )</w:t>
            </w:r>
          </w:p>
        </w:tc>
        <w:tc>
          <w:tcPr>
            <w:tcW w:w="0" w:type="dxa"/>
            <w:vAlign w:val="bottom"/>
          </w:tcPr>
          <w:p>
            <w:pPr>
              <w:spacing w:after="0"/>
              <w:rPr>
                <w:sz w:val="1"/>
                <w:szCs w:val="1"/>
                <w:color w:val="auto"/>
              </w:rPr>
            </w:pPr>
          </w:p>
        </w:tc>
      </w:tr>
      <w:tr>
        <w:trPr>
          <w:trHeight w:val="203"/>
        </w:trPr>
        <w:tc>
          <w:tcPr>
            <w:tcW w:w="3540" w:type="dxa"/>
            <w:vAlign w:val="bottom"/>
            <w:tcBorders>
              <w:bottom w:val="single" w:sz="8" w:color="auto"/>
            </w:tcBorders>
            <w:shd w:val="clear" w:color="auto" w:fill="CFF0FC"/>
          </w:tcPr>
          <w:p>
            <w:pPr>
              <w:ind w:left="20"/>
              <w:spacing w:after="0" w:line="202" w:lineRule="exact"/>
              <w:rPr>
                <w:sz w:val="20"/>
                <w:szCs w:val="20"/>
                <w:color w:val="auto"/>
              </w:rPr>
            </w:pPr>
            <w:r>
              <w:rPr>
                <w:rFonts w:ascii="Arial" w:cs="Arial" w:eastAsia="Arial" w:hAnsi="Arial"/>
                <w:sz w:val="18"/>
                <w:szCs w:val="18"/>
                <w:color w:val="auto"/>
              </w:rPr>
              <w:t>Net remeasurement losses (gains)</w:t>
            </w:r>
          </w:p>
        </w:tc>
        <w:tc>
          <w:tcPr>
            <w:tcW w:w="220" w:type="dxa"/>
            <w:vAlign w:val="bottom"/>
            <w:tcBorders>
              <w:bottom w:val="single" w:sz="8" w:color="auto"/>
            </w:tcBorders>
            <w:shd w:val="clear" w:color="auto" w:fill="CFF0FC"/>
          </w:tcPr>
          <w:p>
            <w:pPr>
              <w:spacing w:after="0"/>
              <w:rPr>
                <w:sz w:val="17"/>
                <w:szCs w:val="17"/>
                <w:color w:val="auto"/>
              </w:rPr>
            </w:pPr>
          </w:p>
        </w:tc>
        <w:tc>
          <w:tcPr>
            <w:tcW w:w="980" w:type="dxa"/>
            <w:vAlign w:val="bottom"/>
            <w:tcBorders>
              <w:bottom w:val="single" w:sz="8" w:color="auto"/>
            </w:tcBorders>
            <w:shd w:val="clear" w:color="auto" w:fill="CFF0FC"/>
          </w:tcPr>
          <w:p>
            <w:pPr>
              <w:jc w:val="right"/>
              <w:ind w:right="70"/>
              <w:spacing w:after="0" w:line="202" w:lineRule="exact"/>
              <w:rPr>
                <w:sz w:val="20"/>
                <w:szCs w:val="20"/>
                <w:color w:val="auto"/>
              </w:rPr>
            </w:pPr>
            <w:r>
              <w:rPr>
                <w:rFonts w:ascii="Arial" w:cs="Arial" w:eastAsia="Arial" w:hAnsi="Arial"/>
                <w:sz w:val="18"/>
                <w:szCs w:val="18"/>
                <w:color w:val="auto"/>
              </w:rPr>
              <w:t>—</w:t>
            </w:r>
          </w:p>
        </w:tc>
        <w:tc>
          <w:tcPr>
            <w:tcW w:w="200" w:type="dxa"/>
            <w:vAlign w:val="bottom"/>
            <w:tcBorders>
              <w:bottom w:val="single" w:sz="8" w:color="auto"/>
            </w:tcBorders>
            <w:shd w:val="clear" w:color="auto" w:fill="CFF0FC"/>
          </w:tcPr>
          <w:p>
            <w:pPr>
              <w:spacing w:after="0"/>
              <w:rPr>
                <w:sz w:val="17"/>
                <w:szCs w:val="17"/>
                <w:color w:val="auto"/>
              </w:rPr>
            </w:pPr>
          </w:p>
        </w:tc>
        <w:tc>
          <w:tcPr>
            <w:tcW w:w="740" w:type="dxa"/>
            <w:vAlign w:val="bottom"/>
            <w:tcBorders>
              <w:bottom w:val="single" w:sz="8" w:color="auto"/>
            </w:tcBorders>
            <w:shd w:val="clear" w:color="auto" w:fill="CFF0FC"/>
          </w:tcPr>
          <w:p>
            <w:pPr>
              <w:jc w:val="right"/>
              <w:ind w:right="70"/>
              <w:spacing w:after="0" w:line="202" w:lineRule="exact"/>
              <w:rPr>
                <w:sz w:val="20"/>
                <w:szCs w:val="20"/>
                <w:color w:val="auto"/>
              </w:rPr>
            </w:pPr>
            <w:r>
              <w:rPr>
                <w:rFonts w:ascii="Arial" w:cs="Arial" w:eastAsia="Arial" w:hAnsi="Arial"/>
                <w:sz w:val="18"/>
                <w:szCs w:val="18"/>
                <w:color w:val="auto"/>
              </w:rPr>
              <w:t>0.2</w:t>
            </w:r>
          </w:p>
        </w:tc>
        <w:tc>
          <w:tcPr>
            <w:tcW w:w="900" w:type="dxa"/>
            <w:vAlign w:val="bottom"/>
            <w:tcBorders>
              <w:bottom w:val="single" w:sz="8" w:color="auto"/>
            </w:tcBorders>
            <w:shd w:val="clear" w:color="auto" w:fill="CFF0FC"/>
          </w:tcPr>
          <w:p>
            <w:pPr>
              <w:spacing w:after="0"/>
              <w:rPr>
                <w:sz w:val="17"/>
                <w:szCs w:val="17"/>
                <w:color w:val="auto"/>
              </w:rPr>
            </w:pPr>
          </w:p>
        </w:tc>
        <w:tc>
          <w:tcPr>
            <w:tcW w:w="420" w:type="dxa"/>
            <w:vAlign w:val="bottom"/>
            <w:tcBorders>
              <w:bottom w:val="single" w:sz="8" w:color="auto"/>
            </w:tcBorders>
            <w:shd w:val="clear" w:color="auto" w:fill="CFF0FC"/>
          </w:tcPr>
          <w:p>
            <w:pPr>
              <w:jc w:val="right"/>
              <w:ind w:right="30"/>
              <w:spacing w:after="0" w:line="202" w:lineRule="exact"/>
              <w:rPr>
                <w:sz w:val="20"/>
                <w:szCs w:val="20"/>
                <w:color w:val="auto"/>
              </w:rPr>
            </w:pPr>
            <w:r>
              <w:rPr>
                <w:rFonts w:ascii="Arial" w:cs="Arial" w:eastAsia="Arial" w:hAnsi="Arial"/>
                <w:sz w:val="18"/>
                <w:szCs w:val="18"/>
                <w:color w:val="auto"/>
              </w:rPr>
              <w:t>—</w:t>
            </w:r>
          </w:p>
        </w:tc>
        <w:tc>
          <w:tcPr>
            <w:tcW w:w="100" w:type="dxa"/>
            <w:vAlign w:val="bottom"/>
            <w:tcBorders>
              <w:bottom w:val="single" w:sz="8" w:color="auto"/>
            </w:tcBorders>
            <w:shd w:val="clear" w:color="auto" w:fill="CFF0FC"/>
          </w:tcPr>
          <w:p>
            <w:pPr>
              <w:spacing w:after="0"/>
              <w:rPr>
                <w:sz w:val="17"/>
                <w:szCs w:val="17"/>
                <w:color w:val="auto"/>
              </w:rPr>
            </w:pPr>
          </w:p>
        </w:tc>
        <w:tc>
          <w:tcPr>
            <w:tcW w:w="200" w:type="dxa"/>
            <w:vAlign w:val="bottom"/>
            <w:tcBorders>
              <w:bottom w:val="single" w:sz="8" w:color="auto"/>
            </w:tcBorders>
            <w:shd w:val="clear" w:color="auto" w:fill="CFF0FC"/>
          </w:tcPr>
          <w:p>
            <w:pPr>
              <w:spacing w:after="0"/>
              <w:rPr>
                <w:sz w:val="17"/>
                <w:szCs w:val="17"/>
                <w:color w:val="auto"/>
              </w:rPr>
            </w:pPr>
          </w:p>
        </w:tc>
        <w:tc>
          <w:tcPr>
            <w:tcW w:w="660" w:type="dxa"/>
            <w:vAlign w:val="bottom"/>
            <w:tcBorders>
              <w:bottom w:val="single" w:sz="8" w:color="auto"/>
            </w:tcBorders>
            <w:shd w:val="clear" w:color="auto" w:fill="CFF0FC"/>
          </w:tcPr>
          <w:p>
            <w:pPr>
              <w:jc w:val="right"/>
              <w:ind w:right="30"/>
              <w:spacing w:after="0" w:line="202" w:lineRule="exact"/>
              <w:rPr>
                <w:sz w:val="20"/>
                <w:szCs w:val="20"/>
                <w:color w:val="auto"/>
              </w:rPr>
            </w:pPr>
            <w:r>
              <w:rPr>
                <w:rFonts w:ascii="Arial" w:cs="Arial" w:eastAsia="Arial" w:hAnsi="Arial"/>
                <w:sz w:val="18"/>
                <w:szCs w:val="18"/>
                <w:color w:val="auto"/>
              </w:rPr>
              <w:t>—</w:t>
            </w:r>
          </w:p>
        </w:tc>
        <w:tc>
          <w:tcPr>
            <w:tcW w:w="100" w:type="dxa"/>
            <w:vAlign w:val="bottom"/>
            <w:tcBorders>
              <w:bottom w:val="single" w:sz="8" w:color="auto"/>
            </w:tcBorders>
            <w:shd w:val="clear" w:color="auto" w:fill="CFF0FC"/>
          </w:tcPr>
          <w:p>
            <w:pPr>
              <w:spacing w:after="0"/>
              <w:rPr>
                <w:sz w:val="17"/>
                <w:szCs w:val="17"/>
                <w:color w:val="auto"/>
              </w:rPr>
            </w:pPr>
          </w:p>
        </w:tc>
        <w:tc>
          <w:tcPr>
            <w:tcW w:w="100" w:type="dxa"/>
            <w:vAlign w:val="bottom"/>
            <w:tcBorders>
              <w:bottom w:val="single" w:sz="8" w:color="auto"/>
            </w:tcBorders>
            <w:shd w:val="clear" w:color="auto" w:fill="CFF0FC"/>
          </w:tcPr>
          <w:p>
            <w:pPr>
              <w:spacing w:after="0"/>
              <w:rPr>
                <w:sz w:val="17"/>
                <w:szCs w:val="17"/>
                <w:color w:val="auto"/>
              </w:rPr>
            </w:pPr>
          </w:p>
        </w:tc>
        <w:tc>
          <w:tcPr>
            <w:tcW w:w="780" w:type="dxa"/>
            <w:vAlign w:val="bottom"/>
            <w:tcBorders>
              <w:bottom w:val="single" w:sz="8" w:color="auto"/>
            </w:tcBorders>
            <w:shd w:val="clear" w:color="auto" w:fill="CFF0FC"/>
          </w:tcPr>
          <w:p>
            <w:pPr>
              <w:ind w:left="480"/>
              <w:spacing w:after="0" w:line="202" w:lineRule="exact"/>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shd w:val="clear" w:color="auto" w:fill="CFF0FC"/>
          </w:tcPr>
          <w:p>
            <w:pPr>
              <w:spacing w:after="0"/>
              <w:rPr>
                <w:sz w:val="17"/>
                <w:szCs w:val="17"/>
                <w:color w:val="auto"/>
              </w:rPr>
            </w:pPr>
          </w:p>
        </w:tc>
        <w:tc>
          <w:tcPr>
            <w:tcW w:w="700" w:type="dxa"/>
            <w:vAlign w:val="bottom"/>
            <w:tcBorders>
              <w:bottom w:val="single" w:sz="8" w:color="auto"/>
            </w:tcBorders>
            <w:shd w:val="clear" w:color="auto" w:fill="CFF0FC"/>
          </w:tcPr>
          <w:p>
            <w:pPr>
              <w:jc w:val="right"/>
              <w:ind w:right="50"/>
              <w:spacing w:after="0" w:line="202" w:lineRule="exact"/>
              <w:rPr>
                <w:sz w:val="20"/>
                <w:szCs w:val="20"/>
                <w:color w:val="auto"/>
              </w:rPr>
            </w:pPr>
            <w:r>
              <w:rPr>
                <w:rFonts w:ascii="Arial" w:cs="Arial" w:eastAsia="Arial" w:hAnsi="Arial"/>
                <w:sz w:val="18"/>
                <w:szCs w:val="18"/>
                <w:color w:val="auto"/>
              </w:rPr>
              <w:t>0.2</w:t>
            </w:r>
          </w:p>
        </w:tc>
        <w:tc>
          <w:tcPr>
            <w:tcW w:w="320" w:type="dxa"/>
            <w:vAlign w:val="bottom"/>
            <w:tcBorders>
              <w:bottom w:val="single" w:sz="8" w:color="auto"/>
            </w:tcBorders>
            <w:shd w:val="clear" w:color="auto" w:fill="CFF0FC"/>
          </w:tcPr>
          <w:p>
            <w:pPr>
              <w:spacing w:after="0"/>
              <w:rPr>
                <w:sz w:val="17"/>
                <w:szCs w:val="17"/>
                <w:color w:val="auto"/>
              </w:rPr>
            </w:pPr>
          </w:p>
        </w:tc>
        <w:tc>
          <w:tcPr>
            <w:tcW w:w="1060" w:type="dxa"/>
            <w:vAlign w:val="bottom"/>
            <w:tcBorders>
              <w:bottom w:val="single" w:sz="8" w:color="auto"/>
            </w:tcBorders>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96"/>
        </w:trPr>
        <w:tc>
          <w:tcPr>
            <w:tcW w:w="3540" w:type="dxa"/>
            <w:vAlign w:val="bottom"/>
            <w:tcBorders>
              <w:bottom w:val="single" w:sz="8" w:color="auto"/>
            </w:tcBorders>
          </w:tcPr>
          <w:p>
            <w:pPr>
              <w:ind w:left="20"/>
              <w:spacing w:after="0" w:line="196" w:lineRule="exact"/>
              <w:rPr>
                <w:sz w:val="20"/>
                <w:szCs w:val="20"/>
                <w:color w:val="auto"/>
              </w:rPr>
            </w:pPr>
            <w:r>
              <w:rPr>
                <w:rFonts w:ascii="Arial" w:cs="Arial" w:eastAsia="Arial" w:hAnsi="Arial"/>
                <w:sz w:val="18"/>
                <w:szCs w:val="18"/>
                <w:b w:val="1"/>
                <w:bCs w:val="1"/>
                <w:color w:val="auto"/>
              </w:rPr>
              <w:t>Net Periodic Benefit Cost (Income)</w:t>
            </w:r>
          </w:p>
        </w:tc>
        <w:tc>
          <w:tcPr>
            <w:tcW w:w="220" w:type="dxa"/>
            <w:vAlign w:val="bottom"/>
            <w:tcBorders>
              <w:bottom w:val="single" w:sz="8" w:color="auto"/>
            </w:tcBorders>
          </w:tcPr>
          <w:p>
            <w:pPr>
              <w:jc w:val="right"/>
              <w:ind w:right="30"/>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(1.4 )</w:t>
            </w:r>
          </w:p>
        </w:tc>
        <w:tc>
          <w:tcPr>
            <w:tcW w:w="2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w:t>
            </w:r>
          </w:p>
        </w:tc>
        <w:tc>
          <w:tcPr>
            <w:tcW w:w="7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(1.7 )</w:t>
            </w:r>
          </w:p>
        </w:tc>
        <w:tc>
          <w:tcPr>
            <w:tcW w:w="900" w:type="dxa"/>
            <w:vAlign w:val="bottom"/>
            <w:tcBorders>
              <w:bottom w:val="single" w:sz="8" w:color="auto"/>
            </w:tcBorders>
          </w:tcPr>
          <w:p>
            <w:pPr>
              <w:jc w:val="right"/>
              <w:ind w:right="650"/>
              <w:spacing w:after="0" w:line="196" w:lineRule="exact"/>
              <w:rPr>
                <w:sz w:val="20"/>
                <w:szCs w:val="20"/>
                <w:color w:val="auto"/>
              </w:rPr>
            </w:pPr>
            <w:r>
              <w:rPr>
                <w:rFonts w:ascii="Arial" w:cs="Arial" w:eastAsia="Arial" w:hAnsi="Arial"/>
                <w:sz w:val="18"/>
                <w:szCs w:val="18"/>
                <w:color w:val="auto"/>
              </w:rPr>
              <w:t>$</w:t>
            </w:r>
          </w:p>
        </w:tc>
        <w:tc>
          <w:tcPr>
            <w:tcW w:w="420" w:type="dxa"/>
            <w:vAlign w:val="bottom"/>
            <w:tcBorders>
              <w:bottom w:val="single" w:sz="8" w:color="auto"/>
            </w:tcBorders>
          </w:tcPr>
          <w:p>
            <w:pPr>
              <w:jc w:val="right"/>
              <w:ind w:right="30"/>
              <w:spacing w:after="0" w:line="196" w:lineRule="exact"/>
              <w:rPr>
                <w:sz w:val="20"/>
                <w:szCs w:val="20"/>
                <w:color w:val="auto"/>
              </w:rPr>
            </w:pPr>
            <w:r>
              <w:rPr>
                <w:rFonts w:ascii="Arial" w:cs="Arial" w:eastAsia="Arial" w:hAnsi="Arial"/>
                <w:sz w:val="18"/>
                <w:szCs w:val="18"/>
                <w:color w:val="auto"/>
              </w:rPr>
              <w:t>0.2</w:t>
            </w:r>
          </w:p>
        </w:tc>
        <w:tc>
          <w:tcPr>
            <w:tcW w:w="300" w:type="dxa"/>
            <w:vAlign w:val="bottom"/>
            <w:tcBorders>
              <w:bottom w:val="single" w:sz="8" w:color="auto"/>
            </w:tcBorders>
            <w:gridSpan w:val="2"/>
          </w:tcPr>
          <w:p>
            <w:pPr>
              <w:jc w:val="right"/>
              <w:spacing w:after="0" w:line="196" w:lineRule="exact"/>
              <w:rPr>
                <w:sz w:val="20"/>
                <w:szCs w:val="20"/>
                <w:color w:val="auto"/>
              </w:rPr>
            </w:pPr>
            <w:r>
              <w:rPr>
                <w:rFonts w:ascii="Arial" w:cs="Arial" w:eastAsia="Arial" w:hAnsi="Arial"/>
                <w:sz w:val="18"/>
                <w:szCs w:val="18"/>
                <w:color w:val="auto"/>
              </w:rPr>
              <w:t>$</w:t>
            </w:r>
          </w:p>
        </w:tc>
        <w:tc>
          <w:tcPr>
            <w:tcW w:w="6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(0.5 )</w:t>
            </w:r>
          </w:p>
        </w:tc>
        <w:tc>
          <w:tcPr>
            <w:tcW w:w="200" w:type="dxa"/>
            <w:vAlign w:val="bottom"/>
            <w:tcBorders>
              <w:bottom w:val="single" w:sz="8" w:color="auto"/>
            </w:tcBorders>
            <w:gridSpan w:val="2"/>
          </w:tcPr>
          <w:p>
            <w:pPr>
              <w:jc w:val="right"/>
              <w:spacing w:after="0" w:line="196" w:lineRule="exact"/>
              <w:rPr>
                <w:sz w:val="20"/>
                <w:szCs w:val="20"/>
                <w:color w:val="auto"/>
              </w:rPr>
            </w:pPr>
            <w:r>
              <w:rPr>
                <w:rFonts w:ascii="Arial" w:cs="Arial" w:eastAsia="Arial" w:hAnsi="Arial"/>
                <w:sz w:val="18"/>
                <w:szCs w:val="18"/>
                <w:color w:val="auto"/>
              </w:rPr>
              <w:t>$</w:t>
            </w:r>
          </w:p>
        </w:tc>
        <w:tc>
          <w:tcPr>
            <w:tcW w:w="780" w:type="dxa"/>
            <w:vAlign w:val="bottom"/>
            <w:tcBorders>
              <w:bottom w:val="single" w:sz="8" w:color="auto"/>
            </w:tcBorders>
          </w:tcPr>
          <w:p>
            <w:pPr>
              <w:ind w:left="480"/>
              <w:spacing w:after="0" w:line="196" w:lineRule="exact"/>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w:t>
            </w:r>
          </w:p>
        </w:tc>
        <w:tc>
          <w:tcPr>
            <w:tcW w:w="7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(3.4 )</w:t>
            </w:r>
          </w:p>
        </w:tc>
        <w:tc>
          <w:tcPr>
            <w:tcW w:w="320" w:type="dxa"/>
            <w:vAlign w:val="bottom"/>
            <w:tcBorders>
              <w:bottom w:val="single" w:sz="8" w:color="auto"/>
            </w:tcBorders>
          </w:tcPr>
          <w:p>
            <w:pPr>
              <w:jc w:val="right"/>
              <w:ind w:right="70"/>
              <w:spacing w:after="0" w:line="196" w:lineRule="exact"/>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(1.3 )</w:t>
            </w:r>
          </w:p>
        </w:tc>
        <w:tc>
          <w:tcPr>
            <w:tcW w:w="0" w:type="dxa"/>
            <w:vAlign w:val="bottom"/>
          </w:tcPr>
          <w:p>
            <w:pPr>
              <w:spacing w:after="0"/>
              <w:rPr>
                <w:sz w:val="1"/>
                <w:szCs w:val="1"/>
                <w:color w:val="auto"/>
              </w:rPr>
            </w:pPr>
          </w:p>
        </w:tc>
      </w:tr>
    </w:tbl>
    <w:p>
      <w:pPr>
        <w:spacing w:after="0" w:line="121" w:lineRule="exact"/>
        <w:rPr>
          <w:sz w:val="20"/>
          <w:szCs w:val="20"/>
          <w:color w:val="auto"/>
        </w:rPr>
      </w:pPr>
    </w:p>
    <w:p>
      <w:pPr>
        <w:jc w:val="both"/>
        <w:ind w:right="20"/>
        <w:spacing w:after="0" w:line="262" w:lineRule="auto"/>
        <w:rPr>
          <w:sz w:val="20"/>
          <w:szCs w:val="20"/>
          <w:color w:val="auto"/>
        </w:rPr>
      </w:pPr>
      <w:r>
        <w:rPr>
          <w:rFonts w:ascii="Arial" w:cs="Arial" w:eastAsia="Arial" w:hAnsi="Arial"/>
          <w:sz w:val="17"/>
          <w:szCs w:val="17"/>
          <w:color w:val="auto"/>
        </w:rPr>
        <w:t>The Supplemental Plan and Salaried Plan have a provision that permits employees to elect to receive their pension benefits in a lump sum upon retirement. In the first quarter of 2022, the cumulative cost of all lump sum payments exceeded the sum of the service cost and interest cost components of net periodic pension cost for the Supplemental Plan. Additionally, the cumulative costs of all lump sum payments were projected to exceed the sum of the service costs and interest cost components of net periodic pension cost in 2022 for the Salaried Plan. As a</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327660</wp:posOffset>
            </wp:positionV>
            <wp:extent cx="715772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5" w:name="page16"/>
    <w:bookmarkEnd w:id="1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810895" cy="8255"/>
                    </a:xfrm>
                    <a:prstGeom prst="rect">
                      <a:avLst/>
                    </a:prstGeom>
                    <a:noFill/>
                  </pic:spPr>
                </pic:pic>
              </a:graphicData>
            </a:graphic>
          </wp:anchor>
        </w:drawing>
      </w:r>
    </w:p>
    <w:p>
      <w:pPr>
        <w:spacing w:after="0" w:line="340" w:lineRule="exact"/>
        <w:rPr>
          <w:sz w:val="20"/>
          <w:szCs w:val="20"/>
          <w:color w:val="auto"/>
        </w:rPr>
      </w:pPr>
    </w:p>
    <w:p>
      <w:pPr>
        <w:ind w:right="280"/>
        <w:spacing w:after="0" w:line="294" w:lineRule="auto"/>
        <w:rPr>
          <w:sz w:val="20"/>
          <w:szCs w:val="20"/>
          <w:color w:val="auto"/>
        </w:rPr>
      </w:pPr>
      <w:r>
        <w:rPr>
          <w:rFonts w:ascii="Arial" w:cs="Arial" w:eastAsia="Arial" w:hAnsi="Arial"/>
          <w:sz w:val="16"/>
          <w:szCs w:val="16"/>
          <w:color w:val="auto"/>
        </w:rPr>
        <w:t>result, the Company completed a full remeasurement of its pension obligations and plan assets associated with the Supplemental Plan and Salaried Plan during the first quarter of 2022, and is required to complete a full remeasurement of both plans each quarter for the remainder of 2022. A full remeasurement of the pension obligations and plan assets associated with the Salaried Plan was also required during each quarter of 2021.</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 – Stock-Based Compensation</w:t>
      </w:r>
    </w:p>
    <w:p>
      <w:pPr>
        <w:spacing w:after="0" w:line="189" w:lineRule="exact"/>
        <w:rPr>
          <w:sz w:val="20"/>
          <w:szCs w:val="20"/>
          <w:color w:val="auto"/>
        </w:rPr>
      </w:pPr>
    </w:p>
    <w:p>
      <w:pPr>
        <w:ind w:right="180"/>
        <w:spacing w:after="0" w:line="261" w:lineRule="auto"/>
        <w:rPr>
          <w:sz w:val="20"/>
          <w:szCs w:val="20"/>
          <w:color w:val="auto"/>
        </w:rPr>
      </w:pPr>
      <w:r>
        <w:rPr>
          <w:rFonts w:ascii="Arial" w:cs="Arial" w:eastAsia="Arial" w:hAnsi="Arial"/>
          <w:sz w:val="18"/>
          <w:szCs w:val="18"/>
          <w:color w:val="auto"/>
        </w:rPr>
        <w:t>During the three months ended March 31, 2022 the Board of Directors granted 292,773 time-based restricted stock units and 178,467 performance-based restricted stock units, which relates to the annual grant to our employees.</w:t>
      </w:r>
    </w:p>
    <w:p>
      <w:pPr>
        <w:spacing w:after="0" w:line="130" w:lineRule="exact"/>
        <w:rPr>
          <w:sz w:val="20"/>
          <w:szCs w:val="20"/>
          <w:color w:val="auto"/>
        </w:rPr>
      </w:pPr>
    </w:p>
    <w:p>
      <w:pPr>
        <w:ind w:right="20"/>
        <w:spacing w:after="0" w:line="243" w:lineRule="auto"/>
        <w:rPr>
          <w:sz w:val="20"/>
          <w:szCs w:val="20"/>
          <w:color w:val="auto"/>
        </w:rPr>
      </w:pPr>
      <w:r>
        <w:rPr>
          <w:rFonts w:ascii="Arial" w:cs="Arial" w:eastAsia="Arial" w:hAnsi="Arial"/>
          <w:sz w:val="18"/>
          <w:szCs w:val="18"/>
          <w:color w:val="auto"/>
        </w:rPr>
        <w:t>Time-based restricted stock units are issued with the fair value equal to the closing market price of TimkenSteel common shares on the date of grant. These restricted stock units do not have any performance conditions for vesting. Expense is recognized over the service period, adjusted for any forfeitures that should occur during the vesting period. The fair value of the restricted stock units granted during the three months ended March 31, 2022 was $17.74 per share.</w:t>
      </w:r>
    </w:p>
    <w:p>
      <w:pPr>
        <w:spacing w:after="0" w:line="147" w:lineRule="exact"/>
        <w:rPr>
          <w:sz w:val="20"/>
          <w:szCs w:val="20"/>
          <w:color w:val="auto"/>
        </w:rPr>
      </w:pPr>
    </w:p>
    <w:p>
      <w:pPr>
        <w:spacing w:after="0" w:line="271" w:lineRule="auto"/>
        <w:rPr>
          <w:sz w:val="20"/>
          <w:szCs w:val="20"/>
          <w:color w:val="auto"/>
        </w:rPr>
      </w:pPr>
      <w:r>
        <w:rPr>
          <w:rFonts w:ascii="Arial" w:cs="Arial" w:eastAsia="Arial" w:hAnsi="Arial"/>
          <w:sz w:val="16"/>
          <w:szCs w:val="16"/>
          <w:color w:val="auto"/>
        </w:rPr>
        <w:t>Performance-based restricted stock units issued in 2022 vest based on achievement of a total shareholder return (“TSR”) metric. The TSR metric is considered a market condition, which requires TimkenSteel to reflect it in the fair value on grant date using an advanced option-pricing model. The fair value of each performance share was therefore determined using a Monte Carlo valuation model, a generally accepted lattice pricing model under ASC 718</w:t>
      </w:r>
    </w:p>
    <w:p>
      <w:pPr>
        <w:ind w:right="20"/>
        <w:spacing w:after="0" w:line="238" w:lineRule="auto"/>
        <w:rPr>
          <w:sz w:val="20"/>
          <w:szCs w:val="20"/>
          <w:color w:val="auto"/>
        </w:rPr>
      </w:pPr>
      <w:r>
        <w:rPr>
          <w:rFonts w:ascii="Arial" w:cs="Arial" w:eastAsia="Arial" w:hAnsi="Arial"/>
          <w:sz w:val="18"/>
          <w:szCs w:val="18"/>
          <w:color w:val="auto"/>
        </w:rPr>
        <w:t>– Stock-based Compensation. The Monte Carlo valuation model, among other factors, uses commonly-accepted economic theory underlying all valuation models, estimates fair value using simulations of future share prices based on stock price behavior and considers the correlation of peer company returns in determining fair value. The fair value of the performance-based restricted stock units granted during the three months ended March 31, 2022 was $25.04 per share.</w:t>
      </w:r>
    </w:p>
    <w:p>
      <w:pPr>
        <w:spacing w:after="0" w:line="148" w:lineRule="exact"/>
        <w:rPr>
          <w:sz w:val="20"/>
          <w:szCs w:val="20"/>
          <w:color w:val="auto"/>
        </w:rPr>
      </w:pPr>
    </w:p>
    <w:p>
      <w:pPr>
        <w:ind w:right="180"/>
        <w:spacing w:after="0" w:line="248" w:lineRule="auto"/>
        <w:rPr>
          <w:sz w:val="20"/>
          <w:szCs w:val="20"/>
          <w:color w:val="auto"/>
        </w:rPr>
      </w:pPr>
      <w:r>
        <w:rPr>
          <w:rFonts w:ascii="Arial" w:cs="Arial" w:eastAsia="Arial" w:hAnsi="Arial"/>
          <w:sz w:val="18"/>
          <w:szCs w:val="18"/>
          <w:color w:val="auto"/>
        </w:rPr>
        <w:t>TimkenSteel recognized stock-based compensation expense of $2.1 million for the three months ended March 31, 2022, compared to $1.8 million for the three months ended March 31, 2021. Future stock-based compensation expense related to the unvested portion of all awards is approximately $17.4 million. The future expense is expected to be recognized over the remaining vesting periods through 2025.</w:t>
      </w:r>
    </w:p>
    <w:p>
      <w:pPr>
        <w:spacing w:after="0" w:line="1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13 - Accumulated Other Comprehensive Income (Loss)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color w:val="auto"/>
        </w:rPr>
        <w:t>Changes in accumulated other comprehensive income (loss) for the three months ended March 31, 2022 and 2021 by component were as follows:</w:t>
      </w:r>
    </w:p>
    <w:p>
      <w:pPr>
        <w:spacing w:after="0" w:line="15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327660</wp:posOffset>
            </wp:positionV>
            <wp:extent cx="7157720"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125" w:right="379" w:bottom="144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207"/>
        </w:trPr>
        <w:tc>
          <w:tcPr>
            <w:tcW w:w="5180" w:type="dxa"/>
            <w:vAlign w:val="bottom"/>
            <w:gridSpan w:val="2"/>
          </w:tcPr>
          <w:p>
            <w:pPr>
              <w:spacing w:after="0"/>
              <w:rPr>
                <w:rFonts w:ascii="Arial" w:cs="Arial" w:eastAsia="Arial" w:hAnsi="Arial"/>
                <w:sz w:val="18"/>
                <w:szCs w:val="18"/>
                <w:color w:val="0563C1"/>
              </w:rPr>
            </w:pPr>
            <w:hyperlink w:anchor="page2">
              <w:r>
                <w:rPr>
                  <w:rFonts w:ascii="Arial" w:cs="Arial" w:eastAsia="Arial" w:hAnsi="Arial"/>
                  <w:sz w:val="18"/>
                  <w:szCs w:val="18"/>
                  <w:color w:val="0563C1"/>
                </w:rPr>
                <w:t>Table of Contents</w:t>
              </w:r>
            </w:hyperlink>
          </w:p>
        </w:tc>
        <w:tc>
          <w:tcPr>
            <w:tcW w:w="340" w:type="dxa"/>
            <w:vAlign w:val="bottom"/>
          </w:tcPr>
          <w:p>
            <w:pPr>
              <w:spacing w:after="0"/>
              <w:rPr>
                <w:sz w:val="17"/>
                <w:szCs w:val="17"/>
                <w:color w:val="auto"/>
              </w:rPr>
            </w:pPr>
          </w:p>
        </w:tc>
        <w:tc>
          <w:tcPr>
            <w:tcW w:w="18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85"/>
        </w:trPr>
        <w:tc>
          <w:tcPr>
            <w:tcW w:w="1280" w:type="dxa"/>
            <w:vAlign w:val="bottom"/>
            <w:tcBorders>
              <w:top w:val="single" w:sz="8" w:color="0563C1"/>
            </w:tcBorders>
          </w:tcPr>
          <w:p>
            <w:pPr>
              <w:spacing w:after="0"/>
              <w:rPr>
                <w:sz w:val="24"/>
                <w:szCs w:val="24"/>
                <w:color w:val="auto"/>
              </w:rPr>
            </w:pPr>
          </w:p>
        </w:tc>
        <w:tc>
          <w:tcPr>
            <w:tcW w:w="39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80" w:type="dxa"/>
            <w:vAlign w:val="bottom"/>
          </w:tcPr>
          <w:p>
            <w:pPr>
              <w:jc w:val="center"/>
              <w:ind w:right="270"/>
              <w:spacing w:after="0"/>
              <w:rPr>
                <w:sz w:val="20"/>
                <w:szCs w:val="20"/>
                <w:color w:val="auto"/>
              </w:rPr>
            </w:pPr>
            <w:r>
              <w:rPr>
                <w:rFonts w:ascii="Arial" w:cs="Arial" w:eastAsia="Arial" w:hAnsi="Arial"/>
                <w:sz w:val="18"/>
                <w:szCs w:val="18"/>
                <w:b w:val="1"/>
                <w:bCs w:val="1"/>
                <w:color w:val="auto"/>
                <w:w w:val="90"/>
              </w:rPr>
              <w:t>Foreign Currency</w:t>
            </w:r>
          </w:p>
        </w:tc>
        <w:tc>
          <w:tcPr>
            <w:tcW w:w="220" w:type="dxa"/>
            <w:vAlign w:val="bottom"/>
          </w:tcPr>
          <w:p>
            <w:pPr>
              <w:spacing w:after="0"/>
              <w:rPr>
                <w:sz w:val="24"/>
                <w:szCs w:val="24"/>
                <w:color w:val="auto"/>
              </w:rPr>
            </w:pPr>
          </w:p>
        </w:tc>
        <w:tc>
          <w:tcPr>
            <w:tcW w:w="2000" w:type="dxa"/>
            <w:vAlign w:val="bottom"/>
          </w:tcPr>
          <w:p>
            <w:pPr>
              <w:jc w:val="center"/>
              <w:ind w:right="210"/>
              <w:spacing w:after="0"/>
              <w:rPr>
                <w:sz w:val="20"/>
                <w:szCs w:val="20"/>
                <w:color w:val="auto"/>
              </w:rPr>
            </w:pPr>
            <w:r>
              <w:rPr>
                <w:rFonts w:ascii="Arial" w:cs="Arial" w:eastAsia="Arial" w:hAnsi="Arial"/>
                <w:sz w:val="18"/>
                <w:szCs w:val="18"/>
                <w:b w:val="1"/>
                <w:bCs w:val="1"/>
                <w:color w:val="auto"/>
                <w:w w:val="87"/>
              </w:rPr>
              <w:t>Pension and</w:t>
            </w:r>
          </w:p>
        </w:tc>
        <w:tc>
          <w:tcPr>
            <w:tcW w:w="3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1280" w:type="dxa"/>
            <w:vAlign w:val="bottom"/>
          </w:tcPr>
          <w:p>
            <w:pPr>
              <w:spacing w:after="0"/>
              <w:rPr>
                <w:sz w:val="15"/>
                <w:szCs w:val="15"/>
                <w:color w:val="auto"/>
              </w:rPr>
            </w:pPr>
          </w:p>
        </w:tc>
        <w:tc>
          <w:tcPr>
            <w:tcW w:w="39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880" w:type="dxa"/>
            <w:vAlign w:val="bottom"/>
          </w:tcPr>
          <w:p>
            <w:pPr>
              <w:jc w:val="center"/>
              <w:ind w:right="270"/>
              <w:spacing w:after="0" w:line="176" w:lineRule="exact"/>
              <w:rPr>
                <w:sz w:val="20"/>
                <w:szCs w:val="20"/>
                <w:color w:val="auto"/>
              </w:rPr>
            </w:pPr>
            <w:r>
              <w:rPr>
                <w:rFonts w:ascii="Arial" w:cs="Arial" w:eastAsia="Arial" w:hAnsi="Arial"/>
                <w:sz w:val="18"/>
                <w:szCs w:val="18"/>
                <w:b w:val="1"/>
                <w:bCs w:val="1"/>
                <w:color w:val="auto"/>
                <w:w w:val="90"/>
              </w:rPr>
              <w:t>Translation</w:t>
            </w:r>
          </w:p>
        </w:tc>
        <w:tc>
          <w:tcPr>
            <w:tcW w:w="220" w:type="dxa"/>
            <w:vAlign w:val="bottom"/>
          </w:tcPr>
          <w:p>
            <w:pPr>
              <w:spacing w:after="0"/>
              <w:rPr>
                <w:sz w:val="15"/>
                <w:szCs w:val="15"/>
                <w:color w:val="auto"/>
              </w:rPr>
            </w:pPr>
          </w:p>
        </w:tc>
        <w:tc>
          <w:tcPr>
            <w:tcW w:w="2000" w:type="dxa"/>
            <w:vAlign w:val="bottom"/>
          </w:tcPr>
          <w:p>
            <w:pPr>
              <w:jc w:val="center"/>
              <w:ind w:right="210"/>
              <w:spacing w:after="0" w:line="176" w:lineRule="exact"/>
              <w:rPr>
                <w:sz w:val="20"/>
                <w:szCs w:val="20"/>
                <w:color w:val="auto"/>
              </w:rPr>
            </w:pPr>
            <w:r>
              <w:rPr>
                <w:rFonts w:ascii="Arial" w:cs="Arial" w:eastAsia="Arial" w:hAnsi="Arial"/>
                <w:sz w:val="18"/>
                <w:szCs w:val="18"/>
                <w:b w:val="1"/>
                <w:bCs w:val="1"/>
                <w:color w:val="auto"/>
                <w:w w:val="89"/>
              </w:rPr>
              <w:t>Postretirement</w:t>
            </w:r>
          </w:p>
        </w:tc>
        <w:tc>
          <w:tcPr>
            <w:tcW w:w="380" w:type="dxa"/>
            <w:vAlign w:val="bottom"/>
          </w:tcPr>
          <w:p>
            <w:pPr>
              <w:spacing w:after="0"/>
              <w:rPr>
                <w:sz w:val="15"/>
                <w:szCs w:val="15"/>
                <w:color w:val="auto"/>
              </w:rPr>
            </w:pPr>
          </w:p>
        </w:tc>
        <w:tc>
          <w:tcPr>
            <w:tcW w:w="1240" w:type="dxa"/>
            <w:vAlign w:val="bottom"/>
            <w:vMerge w:val="restart"/>
          </w:tcPr>
          <w:p>
            <w:pPr>
              <w:jc w:val="right"/>
              <w:ind w:right="55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16"/>
        </w:trPr>
        <w:tc>
          <w:tcPr>
            <w:tcW w:w="1280" w:type="dxa"/>
            <w:vAlign w:val="bottom"/>
            <w:tcBorders>
              <w:bottom w:val="single" w:sz="8" w:color="auto"/>
            </w:tcBorders>
          </w:tcPr>
          <w:p>
            <w:pPr>
              <w:spacing w:after="0"/>
              <w:rPr>
                <w:sz w:val="18"/>
                <w:szCs w:val="18"/>
                <w:color w:val="auto"/>
              </w:rPr>
            </w:pPr>
          </w:p>
        </w:tc>
        <w:tc>
          <w:tcPr>
            <w:tcW w:w="390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880" w:type="dxa"/>
            <w:vAlign w:val="bottom"/>
            <w:tcBorders>
              <w:bottom w:val="single" w:sz="8" w:color="auto"/>
            </w:tcBorders>
          </w:tcPr>
          <w:p>
            <w:pPr>
              <w:jc w:val="center"/>
              <w:ind w:right="290"/>
              <w:spacing w:after="0"/>
              <w:rPr>
                <w:sz w:val="20"/>
                <w:szCs w:val="20"/>
                <w:color w:val="auto"/>
              </w:rPr>
            </w:pPr>
            <w:r>
              <w:rPr>
                <w:rFonts w:ascii="Arial" w:cs="Arial" w:eastAsia="Arial" w:hAnsi="Arial"/>
                <w:sz w:val="18"/>
                <w:szCs w:val="18"/>
                <w:b w:val="1"/>
                <w:bCs w:val="1"/>
                <w:color w:val="auto"/>
                <w:w w:val="89"/>
              </w:rPr>
              <w:t>Adjustments</w:t>
            </w:r>
          </w:p>
        </w:tc>
        <w:tc>
          <w:tcPr>
            <w:tcW w:w="220" w:type="dxa"/>
            <w:vAlign w:val="bottom"/>
            <w:tcBorders>
              <w:bottom w:val="single" w:sz="8" w:color="auto"/>
            </w:tcBorders>
          </w:tcPr>
          <w:p>
            <w:pPr>
              <w:spacing w:after="0"/>
              <w:rPr>
                <w:sz w:val="18"/>
                <w:szCs w:val="18"/>
                <w:color w:val="auto"/>
              </w:rPr>
            </w:pPr>
          </w:p>
        </w:tc>
        <w:tc>
          <w:tcPr>
            <w:tcW w:w="2000" w:type="dxa"/>
            <w:vAlign w:val="bottom"/>
            <w:tcBorders>
              <w:bottom w:val="single" w:sz="8" w:color="auto"/>
            </w:tcBorders>
          </w:tcPr>
          <w:p>
            <w:pPr>
              <w:jc w:val="center"/>
              <w:ind w:right="190"/>
              <w:spacing w:after="0"/>
              <w:rPr>
                <w:sz w:val="20"/>
                <w:szCs w:val="20"/>
                <w:color w:val="auto"/>
              </w:rPr>
            </w:pPr>
            <w:r>
              <w:rPr>
                <w:rFonts w:ascii="Arial" w:cs="Arial" w:eastAsia="Arial" w:hAnsi="Arial"/>
                <w:sz w:val="18"/>
                <w:szCs w:val="18"/>
                <w:b w:val="1"/>
                <w:bCs w:val="1"/>
                <w:color w:val="auto"/>
                <w:w w:val="92"/>
              </w:rPr>
              <w:t>Liability Adjustments</w:t>
            </w:r>
          </w:p>
        </w:tc>
        <w:tc>
          <w:tcPr>
            <w:tcW w:w="38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5180" w:type="dxa"/>
            <w:vAlign w:val="bottom"/>
            <w:gridSpan w:val="2"/>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Balance as of December 31, 2021</w:t>
            </w:r>
          </w:p>
        </w:tc>
        <w:tc>
          <w:tcPr>
            <w:tcW w:w="34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188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(5.1 )</w:t>
            </w:r>
          </w:p>
        </w:tc>
        <w:tc>
          <w:tcPr>
            <w:tcW w:w="22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2000" w:type="dxa"/>
            <w:vAlign w:val="bottom"/>
            <w:shd w:val="clear" w:color="auto" w:fill="CFF0FC"/>
          </w:tcPr>
          <w:p>
            <w:pPr>
              <w:jc w:val="right"/>
              <w:ind w:right="90"/>
              <w:spacing w:after="0" w:line="196" w:lineRule="exact"/>
              <w:rPr>
                <w:sz w:val="20"/>
                <w:szCs w:val="20"/>
                <w:color w:val="auto"/>
              </w:rPr>
            </w:pPr>
            <w:r>
              <w:rPr>
                <w:rFonts w:ascii="Arial" w:cs="Arial" w:eastAsia="Arial" w:hAnsi="Arial"/>
                <w:sz w:val="18"/>
                <w:szCs w:val="18"/>
                <w:color w:val="auto"/>
              </w:rPr>
              <w:t>25.8</w:t>
            </w:r>
          </w:p>
        </w:tc>
        <w:tc>
          <w:tcPr>
            <w:tcW w:w="380" w:type="dxa"/>
            <w:vAlign w:val="bottom"/>
            <w:shd w:val="clear" w:color="auto" w:fill="CFF0FC"/>
          </w:tcPr>
          <w:p>
            <w:pPr>
              <w:jc w:val="right"/>
              <w:ind w:right="110"/>
              <w:spacing w:after="0" w:line="196" w:lineRule="exact"/>
              <w:rPr>
                <w:sz w:val="20"/>
                <w:szCs w:val="20"/>
                <w:color w:val="auto"/>
              </w:rPr>
            </w:pPr>
            <w:r>
              <w:rPr>
                <w:rFonts w:ascii="Arial" w:cs="Arial" w:eastAsia="Arial" w:hAnsi="Arial"/>
                <w:sz w:val="18"/>
                <w:szCs w:val="18"/>
                <w:color w:val="auto"/>
              </w:rPr>
              <w:t>$</w:t>
            </w:r>
          </w:p>
        </w:tc>
        <w:tc>
          <w:tcPr>
            <w:tcW w:w="124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20.7</w:t>
            </w:r>
          </w:p>
        </w:tc>
        <w:tc>
          <w:tcPr>
            <w:tcW w:w="0" w:type="dxa"/>
            <w:vAlign w:val="bottom"/>
          </w:tcPr>
          <w:p>
            <w:pPr>
              <w:spacing w:after="0"/>
              <w:rPr>
                <w:sz w:val="1"/>
                <w:szCs w:val="1"/>
                <w:color w:val="auto"/>
              </w:rPr>
            </w:pPr>
          </w:p>
        </w:tc>
      </w:tr>
      <w:tr>
        <w:trPr>
          <w:trHeight w:val="162"/>
        </w:trPr>
        <w:tc>
          <w:tcPr>
            <w:tcW w:w="5180" w:type="dxa"/>
            <w:vAlign w:val="bottom"/>
            <w:gridSpan w:val="2"/>
          </w:tcPr>
          <w:p>
            <w:pPr>
              <w:ind w:left="20"/>
              <w:spacing w:after="0" w:line="162" w:lineRule="exact"/>
              <w:rPr>
                <w:sz w:val="20"/>
                <w:szCs w:val="20"/>
                <w:color w:val="auto"/>
              </w:rPr>
            </w:pPr>
            <w:r>
              <w:rPr>
                <w:rFonts w:ascii="Arial" w:cs="Arial" w:eastAsia="Arial" w:hAnsi="Arial"/>
                <w:sz w:val="18"/>
                <w:szCs w:val="18"/>
                <w:color w:val="auto"/>
                <w:w w:val="96"/>
              </w:rPr>
              <w:t>Other comprehensive income (loss) before reclassifications, before</w:t>
            </w:r>
          </w:p>
        </w:tc>
        <w:tc>
          <w:tcPr>
            <w:tcW w:w="340" w:type="dxa"/>
            <w:vAlign w:val="bottom"/>
          </w:tcPr>
          <w:p>
            <w:pPr>
              <w:spacing w:after="0"/>
              <w:rPr>
                <w:sz w:val="14"/>
                <w:szCs w:val="14"/>
                <w:color w:val="auto"/>
              </w:rPr>
            </w:pPr>
          </w:p>
        </w:tc>
        <w:tc>
          <w:tcPr>
            <w:tcW w:w="1880" w:type="dxa"/>
            <w:vAlign w:val="bottom"/>
            <w:vMerge w:val="restart"/>
          </w:tcPr>
          <w:p>
            <w:pPr>
              <w:jc w:val="right"/>
              <w:ind w:right="10"/>
              <w:spacing w:after="0"/>
              <w:rPr>
                <w:sz w:val="20"/>
                <w:szCs w:val="20"/>
                <w:color w:val="auto"/>
              </w:rPr>
            </w:pPr>
            <w:r>
              <w:rPr>
                <w:rFonts w:ascii="Arial" w:cs="Arial" w:eastAsia="Arial" w:hAnsi="Arial"/>
                <w:sz w:val="18"/>
                <w:szCs w:val="18"/>
                <w:b w:val="1"/>
                <w:bCs w:val="1"/>
                <w:color w:val="auto"/>
              </w:rPr>
              <w:t>(0.8 )</w:t>
            </w:r>
          </w:p>
        </w:tc>
        <w:tc>
          <w:tcPr>
            <w:tcW w:w="220" w:type="dxa"/>
            <w:vAlign w:val="bottom"/>
          </w:tcPr>
          <w:p>
            <w:pPr>
              <w:spacing w:after="0"/>
              <w:rPr>
                <w:sz w:val="14"/>
                <w:szCs w:val="14"/>
                <w:color w:val="auto"/>
              </w:rPr>
            </w:pPr>
          </w:p>
        </w:tc>
        <w:tc>
          <w:tcPr>
            <w:tcW w:w="2000" w:type="dxa"/>
            <w:vAlign w:val="bottom"/>
            <w:vMerge w:val="restart"/>
          </w:tcPr>
          <w:p>
            <w:pPr>
              <w:jc w:val="right"/>
              <w:ind w:right="90"/>
              <w:spacing w:after="0"/>
              <w:rPr>
                <w:sz w:val="20"/>
                <w:szCs w:val="20"/>
                <w:color w:val="auto"/>
              </w:rPr>
            </w:pPr>
            <w:r>
              <w:rPr>
                <w:rFonts w:ascii="Arial" w:cs="Arial" w:eastAsia="Arial" w:hAnsi="Arial"/>
                <w:sz w:val="18"/>
                <w:szCs w:val="18"/>
                <w:b w:val="1"/>
                <w:bCs w:val="1"/>
                <w:color w:val="auto"/>
              </w:rPr>
              <w:t>—</w:t>
            </w:r>
          </w:p>
        </w:tc>
        <w:tc>
          <w:tcPr>
            <w:tcW w:w="380" w:type="dxa"/>
            <w:vAlign w:val="bottom"/>
          </w:tcPr>
          <w:p>
            <w:pPr>
              <w:spacing w:after="0"/>
              <w:rPr>
                <w:sz w:val="14"/>
                <w:szCs w:val="14"/>
                <w:color w:val="auto"/>
              </w:rPr>
            </w:pPr>
          </w:p>
        </w:tc>
        <w:tc>
          <w:tcPr>
            <w:tcW w:w="12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(0.8 )</w:t>
            </w:r>
          </w:p>
        </w:tc>
        <w:tc>
          <w:tcPr>
            <w:tcW w:w="0" w:type="dxa"/>
            <w:vAlign w:val="bottom"/>
          </w:tcPr>
          <w:p>
            <w:pPr>
              <w:spacing w:after="0"/>
              <w:rPr>
                <w:sz w:val="1"/>
                <w:szCs w:val="1"/>
                <w:color w:val="auto"/>
              </w:rPr>
            </w:pPr>
          </w:p>
        </w:tc>
      </w:tr>
      <w:tr>
        <w:trPr>
          <w:trHeight w:val="216"/>
        </w:trPr>
        <w:tc>
          <w:tcPr>
            <w:tcW w:w="5180" w:type="dxa"/>
            <w:vAlign w:val="bottom"/>
            <w:gridSpan w:val="2"/>
          </w:tcPr>
          <w:p>
            <w:pPr>
              <w:ind w:left="20"/>
              <w:spacing w:after="0"/>
              <w:rPr>
                <w:sz w:val="20"/>
                <w:szCs w:val="20"/>
                <w:color w:val="auto"/>
              </w:rPr>
            </w:pPr>
            <w:r>
              <w:rPr>
                <w:rFonts w:ascii="Arial" w:cs="Arial" w:eastAsia="Arial" w:hAnsi="Arial"/>
                <w:sz w:val="18"/>
                <w:szCs w:val="18"/>
                <w:color w:val="auto"/>
              </w:rPr>
              <w:t>income tax</w:t>
            </w:r>
          </w:p>
        </w:tc>
        <w:tc>
          <w:tcPr>
            <w:tcW w:w="340" w:type="dxa"/>
            <w:vAlign w:val="bottom"/>
          </w:tcPr>
          <w:p>
            <w:pPr>
              <w:spacing w:after="0"/>
              <w:rPr>
                <w:sz w:val="18"/>
                <w:szCs w:val="18"/>
                <w:color w:val="auto"/>
              </w:rPr>
            </w:pPr>
          </w:p>
        </w:tc>
        <w:tc>
          <w:tcPr>
            <w:tcW w:w="188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2000" w:type="dxa"/>
            <w:vAlign w:val="bottom"/>
            <w:vMerge w:val="continue"/>
          </w:tcPr>
          <w:p>
            <w:pPr>
              <w:spacing w:after="0"/>
              <w:rPr>
                <w:sz w:val="18"/>
                <w:szCs w:val="18"/>
                <w:color w:val="auto"/>
              </w:rPr>
            </w:pPr>
          </w:p>
        </w:tc>
        <w:tc>
          <w:tcPr>
            <w:tcW w:w="380" w:type="dxa"/>
            <w:vAlign w:val="bottom"/>
          </w:tcPr>
          <w:p>
            <w:pPr>
              <w:spacing w:after="0"/>
              <w:rPr>
                <w:sz w:val="18"/>
                <w:szCs w:val="18"/>
                <w:color w:val="auto"/>
              </w:rPr>
            </w:pPr>
          </w:p>
        </w:tc>
        <w:tc>
          <w:tcPr>
            <w:tcW w:w="12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5180" w:type="dxa"/>
            <w:vAlign w:val="bottom"/>
            <w:gridSpan w:val="2"/>
            <w:shd w:val="clear" w:color="auto" w:fill="CFF0FC"/>
          </w:tcPr>
          <w:p>
            <w:pPr>
              <w:ind w:left="20"/>
              <w:spacing w:after="0" w:line="162" w:lineRule="exact"/>
              <w:rPr>
                <w:sz w:val="20"/>
                <w:szCs w:val="20"/>
                <w:color w:val="auto"/>
              </w:rPr>
            </w:pPr>
            <w:r>
              <w:rPr>
                <w:rFonts w:ascii="Arial" w:cs="Arial" w:eastAsia="Arial" w:hAnsi="Arial"/>
                <w:sz w:val="18"/>
                <w:szCs w:val="18"/>
                <w:color w:val="auto"/>
                <w:w w:val="93"/>
              </w:rPr>
              <w:t>Amounts reclassified from accumulated other comprehensive income</w:t>
            </w:r>
          </w:p>
        </w:tc>
        <w:tc>
          <w:tcPr>
            <w:tcW w:w="340" w:type="dxa"/>
            <w:vAlign w:val="bottom"/>
            <w:shd w:val="clear" w:color="auto" w:fill="CFF0FC"/>
          </w:tcPr>
          <w:p>
            <w:pPr>
              <w:spacing w:after="0"/>
              <w:rPr>
                <w:sz w:val="14"/>
                <w:szCs w:val="14"/>
                <w:color w:val="auto"/>
              </w:rPr>
            </w:pPr>
          </w:p>
        </w:tc>
        <w:tc>
          <w:tcPr>
            <w:tcW w:w="1880" w:type="dxa"/>
            <w:vAlign w:val="bottom"/>
            <w:vMerge w:val="restart"/>
            <w:shd w:val="clear" w:color="auto" w:fill="CFF0FC"/>
          </w:tcPr>
          <w:p>
            <w:pPr>
              <w:jc w:val="right"/>
              <w:ind w:right="90"/>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FF0FC"/>
          </w:tcPr>
          <w:p>
            <w:pPr>
              <w:spacing w:after="0"/>
              <w:rPr>
                <w:sz w:val="14"/>
                <w:szCs w:val="14"/>
                <w:color w:val="auto"/>
              </w:rPr>
            </w:pPr>
          </w:p>
        </w:tc>
        <w:tc>
          <w:tcPr>
            <w:tcW w:w="2000" w:type="dxa"/>
            <w:vAlign w:val="bottom"/>
            <w:vMerge w:val="restart"/>
            <w:shd w:val="clear" w:color="auto" w:fill="CFF0FC"/>
          </w:tcPr>
          <w:p>
            <w:pPr>
              <w:jc w:val="right"/>
              <w:spacing w:after="0"/>
              <w:rPr>
                <w:sz w:val="20"/>
                <w:szCs w:val="20"/>
                <w:color w:val="auto"/>
              </w:rPr>
            </w:pPr>
            <w:r>
              <w:rPr>
                <w:rFonts w:ascii="Arial" w:cs="Arial" w:eastAsia="Arial" w:hAnsi="Arial"/>
                <w:sz w:val="18"/>
                <w:szCs w:val="18"/>
                <w:b w:val="1"/>
                <w:bCs w:val="1"/>
                <w:color w:val="auto"/>
              </w:rPr>
              <w:t>(1.2 )</w:t>
            </w:r>
          </w:p>
        </w:tc>
        <w:tc>
          <w:tcPr>
            <w:tcW w:w="380" w:type="dxa"/>
            <w:vAlign w:val="bottom"/>
            <w:shd w:val="clear" w:color="auto" w:fill="CFF0FC"/>
          </w:tcPr>
          <w:p>
            <w:pPr>
              <w:spacing w:after="0"/>
              <w:rPr>
                <w:sz w:val="14"/>
                <w:szCs w:val="14"/>
                <w:color w:val="auto"/>
              </w:rPr>
            </w:pPr>
          </w:p>
        </w:tc>
        <w:tc>
          <w:tcPr>
            <w:tcW w:w="1240" w:type="dxa"/>
            <w:vAlign w:val="bottom"/>
            <w:vMerge w:val="restart"/>
            <w:shd w:val="clear" w:color="auto" w:fill="CFF0FC"/>
          </w:tcPr>
          <w:p>
            <w:pPr>
              <w:jc w:val="right"/>
              <w:spacing w:after="0"/>
              <w:rPr>
                <w:sz w:val="20"/>
                <w:szCs w:val="20"/>
                <w:color w:val="auto"/>
              </w:rPr>
            </w:pPr>
            <w:r>
              <w:rPr>
                <w:rFonts w:ascii="Arial" w:cs="Arial" w:eastAsia="Arial" w:hAnsi="Arial"/>
                <w:sz w:val="18"/>
                <w:szCs w:val="18"/>
                <w:b w:val="1"/>
                <w:bCs w:val="1"/>
                <w:color w:val="auto"/>
              </w:rPr>
              <w:t>(1.2 )</w:t>
            </w:r>
          </w:p>
        </w:tc>
        <w:tc>
          <w:tcPr>
            <w:tcW w:w="0" w:type="dxa"/>
            <w:vAlign w:val="bottom"/>
          </w:tcPr>
          <w:p>
            <w:pPr>
              <w:spacing w:after="0"/>
              <w:rPr>
                <w:sz w:val="1"/>
                <w:szCs w:val="1"/>
                <w:color w:val="auto"/>
              </w:rPr>
            </w:pPr>
          </w:p>
        </w:tc>
      </w:tr>
      <w:tr>
        <w:trPr>
          <w:trHeight w:val="216"/>
        </w:trPr>
        <w:tc>
          <w:tcPr>
            <w:tcW w:w="5180" w:type="dxa"/>
            <w:vAlign w:val="bottom"/>
            <w:gridSpan w:val="2"/>
            <w:shd w:val="clear" w:color="auto" w:fill="CFF0FC"/>
          </w:tcPr>
          <w:p>
            <w:pPr>
              <w:ind w:left="20"/>
              <w:spacing w:after="0"/>
              <w:rPr>
                <w:sz w:val="20"/>
                <w:szCs w:val="20"/>
                <w:color w:val="auto"/>
              </w:rPr>
            </w:pPr>
            <w:r>
              <w:rPr>
                <w:rFonts w:ascii="Arial" w:cs="Arial" w:eastAsia="Arial" w:hAnsi="Arial"/>
                <w:sz w:val="18"/>
                <w:szCs w:val="18"/>
                <w:color w:val="auto"/>
              </w:rPr>
              <w:t>(loss), before income tax</w:t>
            </w:r>
          </w:p>
        </w:tc>
        <w:tc>
          <w:tcPr>
            <w:tcW w:w="340" w:type="dxa"/>
            <w:vAlign w:val="bottom"/>
            <w:shd w:val="clear" w:color="auto" w:fill="CFF0FC"/>
          </w:tcPr>
          <w:p>
            <w:pPr>
              <w:spacing w:after="0"/>
              <w:rPr>
                <w:sz w:val="18"/>
                <w:szCs w:val="18"/>
                <w:color w:val="auto"/>
              </w:rPr>
            </w:pPr>
          </w:p>
        </w:tc>
        <w:tc>
          <w:tcPr>
            <w:tcW w:w="1880" w:type="dxa"/>
            <w:vAlign w:val="bottom"/>
            <w:vMerge w:val="continue"/>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000" w:type="dxa"/>
            <w:vAlign w:val="bottom"/>
            <w:vMerge w:val="continue"/>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1240" w:type="dxa"/>
            <w:vAlign w:val="bottom"/>
            <w:vMerge w:val="continue"/>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5180" w:type="dxa"/>
            <w:vAlign w:val="bottom"/>
            <w:tcBorders>
              <w:bottom w:val="single" w:sz="8" w:color="auto"/>
            </w:tcBorders>
            <w:gridSpan w:val="2"/>
          </w:tcPr>
          <w:p>
            <w:pPr>
              <w:ind w:left="20"/>
              <w:spacing w:after="0" w:line="202" w:lineRule="exact"/>
              <w:rPr>
                <w:sz w:val="20"/>
                <w:szCs w:val="20"/>
                <w:color w:val="auto"/>
              </w:rPr>
            </w:pPr>
            <w:r>
              <w:rPr>
                <w:rFonts w:ascii="Arial" w:cs="Arial" w:eastAsia="Arial" w:hAnsi="Arial"/>
                <w:sz w:val="18"/>
                <w:szCs w:val="18"/>
                <w:color w:val="auto"/>
              </w:rPr>
              <w:t>Tax effect</w:t>
            </w:r>
          </w:p>
        </w:tc>
        <w:tc>
          <w:tcPr>
            <w:tcW w:w="340" w:type="dxa"/>
            <w:vAlign w:val="bottom"/>
            <w:tcBorders>
              <w:bottom w:val="single" w:sz="8" w:color="auto"/>
            </w:tcBorders>
          </w:tcPr>
          <w:p>
            <w:pPr>
              <w:spacing w:after="0"/>
              <w:rPr>
                <w:sz w:val="17"/>
                <w:szCs w:val="17"/>
                <w:color w:val="auto"/>
              </w:rPr>
            </w:pPr>
          </w:p>
        </w:tc>
        <w:tc>
          <w:tcPr>
            <w:tcW w:w="1880" w:type="dxa"/>
            <w:vAlign w:val="bottom"/>
            <w:tcBorders>
              <w:bottom w:val="single" w:sz="8" w:color="auto"/>
            </w:tcBorders>
          </w:tcPr>
          <w:p>
            <w:pPr>
              <w:jc w:val="right"/>
              <w:ind w:right="90"/>
              <w:spacing w:after="0" w:line="202" w:lineRule="exact"/>
              <w:rPr>
                <w:sz w:val="20"/>
                <w:szCs w:val="20"/>
                <w:color w:val="auto"/>
              </w:rPr>
            </w:pPr>
            <w:r>
              <w:rPr>
                <w:rFonts w:ascii="Arial" w:cs="Arial" w:eastAsia="Arial" w:hAnsi="Arial"/>
                <w:sz w:val="18"/>
                <w:szCs w:val="18"/>
                <w:b w:val="1"/>
                <w:bCs w:val="1"/>
                <w:color w:val="auto"/>
              </w:rPr>
              <w:t>—</w:t>
            </w:r>
          </w:p>
        </w:tc>
        <w:tc>
          <w:tcPr>
            <w:tcW w:w="220" w:type="dxa"/>
            <w:vAlign w:val="bottom"/>
            <w:tcBorders>
              <w:bottom w:val="single" w:sz="8" w:color="auto"/>
            </w:tcBorders>
          </w:tcPr>
          <w:p>
            <w:pPr>
              <w:spacing w:after="0"/>
              <w:rPr>
                <w:sz w:val="17"/>
                <w:szCs w:val="17"/>
                <w:color w:val="auto"/>
              </w:rPr>
            </w:pPr>
          </w:p>
        </w:tc>
        <w:tc>
          <w:tcPr>
            <w:tcW w:w="2000" w:type="dxa"/>
            <w:vAlign w:val="bottom"/>
            <w:tcBorders>
              <w:bottom w:val="single" w:sz="8" w:color="auto"/>
            </w:tcBorders>
          </w:tcPr>
          <w:p>
            <w:pPr>
              <w:jc w:val="right"/>
              <w:ind w:right="90"/>
              <w:spacing w:after="0" w:line="202" w:lineRule="exact"/>
              <w:rPr>
                <w:sz w:val="20"/>
                <w:szCs w:val="20"/>
                <w:color w:val="auto"/>
              </w:rPr>
            </w:pPr>
            <w:r>
              <w:rPr>
                <w:rFonts w:ascii="Arial" w:cs="Arial" w:eastAsia="Arial" w:hAnsi="Arial"/>
                <w:sz w:val="18"/>
                <w:szCs w:val="18"/>
                <w:b w:val="1"/>
                <w:bCs w:val="1"/>
                <w:color w:val="auto"/>
              </w:rPr>
              <w:t>0.1</w:t>
            </w:r>
          </w:p>
        </w:tc>
        <w:tc>
          <w:tcPr>
            <w:tcW w:w="380" w:type="dxa"/>
            <w:vAlign w:val="bottom"/>
            <w:tcBorders>
              <w:bottom w:val="single" w:sz="8" w:color="auto"/>
            </w:tcBorders>
          </w:tcPr>
          <w:p>
            <w:pPr>
              <w:spacing w:after="0"/>
              <w:rPr>
                <w:sz w:val="17"/>
                <w:szCs w:val="17"/>
                <w:color w:val="auto"/>
              </w:rPr>
            </w:pPr>
          </w:p>
        </w:tc>
        <w:tc>
          <w:tcPr>
            <w:tcW w:w="1240" w:type="dxa"/>
            <w:vAlign w:val="bottom"/>
            <w:tcBorders>
              <w:bottom w:val="single" w:sz="8" w:color="auto"/>
            </w:tcBorders>
          </w:tcPr>
          <w:p>
            <w:pPr>
              <w:jc w:val="right"/>
              <w:ind w:right="30"/>
              <w:spacing w:after="0" w:line="202" w:lineRule="exact"/>
              <w:rPr>
                <w:sz w:val="20"/>
                <w:szCs w:val="20"/>
                <w:color w:val="auto"/>
              </w:rPr>
            </w:pPr>
            <w:r>
              <w:rPr>
                <w:rFonts w:ascii="Arial" w:cs="Arial" w:eastAsia="Arial" w:hAnsi="Arial"/>
                <w:sz w:val="18"/>
                <w:szCs w:val="18"/>
                <w:b w:val="1"/>
                <w:bCs w:val="1"/>
                <w:color w:val="auto"/>
              </w:rPr>
              <w:t>0.1</w:t>
            </w:r>
          </w:p>
        </w:tc>
        <w:tc>
          <w:tcPr>
            <w:tcW w:w="0" w:type="dxa"/>
            <w:vAlign w:val="bottom"/>
          </w:tcPr>
          <w:p>
            <w:pPr>
              <w:spacing w:after="0"/>
              <w:rPr>
                <w:sz w:val="1"/>
                <w:szCs w:val="1"/>
                <w:color w:val="auto"/>
              </w:rPr>
            </w:pPr>
          </w:p>
        </w:tc>
      </w:tr>
      <w:tr>
        <w:trPr>
          <w:trHeight w:val="156"/>
        </w:trPr>
        <w:tc>
          <w:tcPr>
            <w:tcW w:w="5180" w:type="dxa"/>
            <w:vAlign w:val="bottom"/>
            <w:gridSpan w:val="2"/>
            <w:shd w:val="clear" w:color="auto" w:fill="CFF0FC"/>
          </w:tcPr>
          <w:p>
            <w:pPr>
              <w:ind w:left="20"/>
              <w:spacing w:after="0" w:line="156" w:lineRule="exact"/>
              <w:rPr>
                <w:sz w:val="20"/>
                <w:szCs w:val="20"/>
                <w:color w:val="auto"/>
              </w:rPr>
            </w:pPr>
            <w:r>
              <w:rPr>
                <w:rFonts w:ascii="Arial" w:cs="Arial" w:eastAsia="Arial" w:hAnsi="Arial"/>
                <w:sz w:val="18"/>
                <w:szCs w:val="18"/>
                <w:color w:val="auto"/>
                <w:w w:val="93"/>
              </w:rPr>
              <w:t>Net current period other comprehensive income (loss), net of income</w:t>
            </w:r>
          </w:p>
        </w:tc>
        <w:tc>
          <w:tcPr>
            <w:tcW w:w="340" w:type="dxa"/>
            <w:vAlign w:val="bottom"/>
            <w:shd w:val="clear" w:color="auto" w:fill="CFF0FC"/>
          </w:tcPr>
          <w:p>
            <w:pPr>
              <w:spacing w:after="0"/>
              <w:rPr>
                <w:sz w:val="13"/>
                <w:szCs w:val="13"/>
                <w:color w:val="auto"/>
              </w:rPr>
            </w:pPr>
          </w:p>
        </w:tc>
        <w:tc>
          <w:tcPr>
            <w:tcW w:w="1880" w:type="dxa"/>
            <w:vAlign w:val="bottom"/>
            <w:vMerge w:val="restart"/>
            <w:shd w:val="clear" w:color="auto" w:fill="CFF0FC"/>
          </w:tcPr>
          <w:p>
            <w:pPr>
              <w:jc w:val="right"/>
              <w:ind w:right="10"/>
              <w:spacing w:after="0"/>
              <w:rPr>
                <w:sz w:val="20"/>
                <w:szCs w:val="20"/>
                <w:color w:val="auto"/>
              </w:rPr>
            </w:pPr>
            <w:r>
              <w:rPr>
                <w:rFonts w:ascii="Arial" w:cs="Arial" w:eastAsia="Arial" w:hAnsi="Arial"/>
                <w:sz w:val="18"/>
                <w:szCs w:val="18"/>
                <w:b w:val="1"/>
                <w:bCs w:val="1"/>
                <w:color w:val="auto"/>
              </w:rPr>
              <w:t>(0.8 )</w:t>
            </w:r>
          </w:p>
        </w:tc>
        <w:tc>
          <w:tcPr>
            <w:tcW w:w="220" w:type="dxa"/>
            <w:vAlign w:val="bottom"/>
            <w:shd w:val="clear" w:color="auto" w:fill="CFF0FC"/>
          </w:tcPr>
          <w:p>
            <w:pPr>
              <w:spacing w:after="0"/>
              <w:rPr>
                <w:sz w:val="13"/>
                <w:szCs w:val="13"/>
                <w:color w:val="auto"/>
              </w:rPr>
            </w:pPr>
          </w:p>
        </w:tc>
        <w:tc>
          <w:tcPr>
            <w:tcW w:w="2000" w:type="dxa"/>
            <w:vAlign w:val="bottom"/>
            <w:vMerge w:val="restart"/>
            <w:shd w:val="clear" w:color="auto" w:fill="CFF0FC"/>
          </w:tcPr>
          <w:p>
            <w:pPr>
              <w:jc w:val="right"/>
              <w:spacing w:after="0"/>
              <w:rPr>
                <w:sz w:val="20"/>
                <w:szCs w:val="20"/>
                <w:color w:val="auto"/>
              </w:rPr>
            </w:pPr>
            <w:r>
              <w:rPr>
                <w:rFonts w:ascii="Arial" w:cs="Arial" w:eastAsia="Arial" w:hAnsi="Arial"/>
                <w:sz w:val="18"/>
                <w:szCs w:val="18"/>
                <w:b w:val="1"/>
                <w:bCs w:val="1"/>
                <w:color w:val="auto"/>
              </w:rPr>
              <w:t>(1.1 )</w:t>
            </w:r>
          </w:p>
        </w:tc>
        <w:tc>
          <w:tcPr>
            <w:tcW w:w="380" w:type="dxa"/>
            <w:vAlign w:val="bottom"/>
            <w:shd w:val="clear" w:color="auto" w:fill="CFF0FC"/>
          </w:tcPr>
          <w:p>
            <w:pPr>
              <w:spacing w:after="0"/>
              <w:rPr>
                <w:sz w:val="13"/>
                <w:szCs w:val="13"/>
                <w:color w:val="auto"/>
              </w:rPr>
            </w:pPr>
          </w:p>
        </w:tc>
        <w:tc>
          <w:tcPr>
            <w:tcW w:w="1240" w:type="dxa"/>
            <w:vAlign w:val="bottom"/>
            <w:vMerge w:val="restart"/>
            <w:shd w:val="clear" w:color="auto" w:fill="CFF0FC"/>
          </w:tcPr>
          <w:p>
            <w:pPr>
              <w:jc w:val="right"/>
              <w:spacing w:after="0"/>
              <w:rPr>
                <w:sz w:val="20"/>
                <w:szCs w:val="20"/>
                <w:color w:val="auto"/>
              </w:rPr>
            </w:pPr>
            <w:r>
              <w:rPr>
                <w:rFonts w:ascii="Arial" w:cs="Arial" w:eastAsia="Arial" w:hAnsi="Arial"/>
                <w:sz w:val="18"/>
                <w:szCs w:val="18"/>
                <w:b w:val="1"/>
                <w:bCs w:val="1"/>
                <w:color w:val="auto"/>
              </w:rPr>
              <w:t>(1.9 )</w:t>
            </w:r>
          </w:p>
        </w:tc>
        <w:tc>
          <w:tcPr>
            <w:tcW w:w="0" w:type="dxa"/>
            <w:vAlign w:val="bottom"/>
          </w:tcPr>
          <w:p>
            <w:pPr>
              <w:spacing w:after="0"/>
              <w:rPr>
                <w:sz w:val="1"/>
                <w:szCs w:val="1"/>
                <w:color w:val="auto"/>
              </w:rPr>
            </w:pPr>
          </w:p>
        </w:tc>
      </w:tr>
      <w:tr>
        <w:trPr>
          <w:trHeight w:val="216"/>
        </w:trPr>
        <w:tc>
          <w:tcPr>
            <w:tcW w:w="5180" w:type="dxa"/>
            <w:vAlign w:val="bottom"/>
            <w:tcBorders>
              <w:bottom w:val="single" w:sz="8" w:color="auto"/>
            </w:tcBorders>
            <w:gridSpan w:val="2"/>
            <w:shd w:val="clear" w:color="auto" w:fill="CFF0FC"/>
          </w:tcPr>
          <w:p>
            <w:pPr>
              <w:ind w:left="20"/>
              <w:spacing w:after="0"/>
              <w:rPr>
                <w:sz w:val="20"/>
                <w:szCs w:val="20"/>
                <w:color w:val="auto"/>
              </w:rPr>
            </w:pPr>
            <w:r>
              <w:rPr>
                <w:rFonts w:ascii="Arial" w:cs="Arial" w:eastAsia="Arial" w:hAnsi="Arial"/>
                <w:sz w:val="18"/>
                <w:szCs w:val="18"/>
                <w:color w:val="auto"/>
              </w:rPr>
              <w:t>taxes</w:t>
            </w:r>
          </w:p>
        </w:tc>
        <w:tc>
          <w:tcPr>
            <w:tcW w:w="340" w:type="dxa"/>
            <w:vAlign w:val="bottom"/>
            <w:tcBorders>
              <w:bottom w:val="single" w:sz="8" w:color="auto"/>
            </w:tcBorders>
            <w:shd w:val="clear" w:color="auto" w:fill="CFF0FC"/>
          </w:tcPr>
          <w:p>
            <w:pPr>
              <w:spacing w:after="0"/>
              <w:rPr>
                <w:sz w:val="18"/>
                <w:szCs w:val="18"/>
                <w:color w:val="auto"/>
              </w:rPr>
            </w:pPr>
          </w:p>
        </w:tc>
        <w:tc>
          <w:tcPr>
            <w:tcW w:w="1880" w:type="dxa"/>
            <w:vAlign w:val="bottom"/>
            <w:tcBorders>
              <w:bottom w:val="single" w:sz="8" w:color="auto"/>
            </w:tcBorders>
            <w:vMerge w:val="continue"/>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2000" w:type="dxa"/>
            <w:vAlign w:val="bottom"/>
            <w:tcBorders>
              <w:bottom w:val="single" w:sz="8" w:color="auto"/>
            </w:tcBorders>
            <w:vMerge w:val="continue"/>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1240" w:type="dxa"/>
            <w:vAlign w:val="bottom"/>
            <w:tcBorders>
              <w:bottom w:val="single" w:sz="8" w:color="auto"/>
            </w:tcBorders>
            <w:vMerge w:val="continue"/>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5180" w:type="dxa"/>
            <w:vAlign w:val="bottom"/>
            <w:tcBorders>
              <w:bottom w:val="single" w:sz="8" w:color="auto"/>
            </w:tcBorders>
            <w:gridSpan w:val="2"/>
          </w:tcPr>
          <w:p>
            <w:pPr>
              <w:ind w:left="20"/>
              <w:spacing w:after="0" w:line="196" w:lineRule="exact"/>
              <w:rPr>
                <w:sz w:val="20"/>
                <w:szCs w:val="20"/>
                <w:color w:val="auto"/>
              </w:rPr>
            </w:pPr>
            <w:r>
              <w:rPr>
                <w:rFonts w:ascii="Arial" w:cs="Arial" w:eastAsia="Arial" w:hAnsi="Arial"/>
                <w:sz w:val="18"/>
                <w:szCs w:val="18"/>
                <w:b w:val="1"/>
                <w:bCs w:val="1"/>
                <w:color w:val="auto"/>
              </w:rPr>
              <w:t>Balance as of March 31, 2022</w:t>
            </w:r>
          </w:p>
        </w:tc>
        <w:tc>
          <w:tcPr>
            <w:tcW w:w="3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188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b w:val="1"/>
                <w:bCs w:val="1"/>
                <w:color w:val="auto"/>
              </w:rPr>
              <w:t>(5.9 )</w:t>
            </w:r>
          </w:p>
        </w:tc>
        <w:tc>
          <w:tcPr>
            <w:tcW w:w="2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2000" w:type="dxa"/>
            <w:vAlign w:val="bottom"/>
            <w:tcBorders>
              <w:bottom w:val="single" w:sz="8" w:color="auto"/>
            </w:tcBorders>
          </w:tcPr>
          <w:p>
            <w:pPr>
              <w:jc w:val="right"/>
              <w:ind w:right="90"/>
              <w:spacing w:after="0" w:line="196" w:lineRule="exact"/>
              <w:rPr>
                <w:sz w:val="20"/>
                <w:szCs w:val="20"/>
                <w:color w:val="auto"/>
              </w:rPr>
            </w:pPr>
            <w:r>
              <w:rPr>
                <w:rFonts w:ascii="Arial" w:cs="Arial" w:eastAsia="Arial" w:hAnsi="Arial"/>
                <w:sz w:val="18"/>
                <w:szCs w:val="18"/>
                <w:b w:val="1"/>
                <w:bCs w:val="1"/>
                <w:color w:val="auto"/>
              </w:rPr>
              <w:t>24.7</w:t>
            </w:r>
          </w:p>
        </w:tc>
        <w:tc>
          <w:tcPr>
            <w:tcW w:w="380" w:type="dxa"/>
            <w:vAlign w:val="bottom"/>
            <w:tcBorders>
              <w:bottom w:val="single" w:sz="8" w:color="auto"/>
            </w:tcBorders>
          </w:tcPr>
          <w:p>
            <w:pPr>
              <w:jc w:val="right"/>
              <w:ind w:right="110"/>
              <w:spacing w:after="0" w:line="196" w:lineRule="exact"/>
              <w:rPr>
                <w:sz w:val="20"/>
                <w:szCs w:val="20"/>
                <w:color w:val="auto"/>
              </w:rPr>
            </w:pPr>
            <w:r>
              <w:rPr>
                <w:rFonts w:ascii="Arial" w:cs="Arial" w:eastAsia="Arial" w:hAnsi="Arial"/>
                <w:sz w:val="18"/>
                <w:szCs w:val="18"/>
                <w:b w:val="1"/>
                <w:bCs w:val="1"/>
                <w:color w:val="auto"/>
              </w:rPr>
              <w:t>$</w:t>
            </w:r>
          </w:p>
        </w:tc>
        <w:tc>
          <w:tcPr>
            <w:tcW w:w="1240" w:type="dxa"/>
            <w:vAlign w:val="bottom"/>
            <w:tcBorders>
              <w:bottom w:val="single" w:sz="8" w:color="auto"/>
            </w:tcBorders>
          </w:tcPr>
          <w:p>
            <w:pPr>
              <w:jc w:val="right"/>
              <w:ind w:right="30"/>
              <w:spacing w:after="0" w:line="196" w:lineRule="exact"/>
              <w:rPr>
                <w:sz w:val="20"/>
                <w:szCs w:val="20"/>
                <w:color w:val="auto"/>
              </w:rPr>
            </w:pPr>
            <w:r>
              <w:rPr>
                <w:rFonts w:ascii="Arial" w:cs="Arial" w:eastAsia="Arial" w:hAnsi="Arial"/>
                <w:sz w:val="18"/>
                <w:szCs w:val="18"/>
                <w:b w:val="1"/>
                <w:bCs w:val="1"/>
                <w:color w:val="auto"/>
              </w:rPr>
              <w:t>18.8</w:t>
            </w:r>
          </w:p>
        </w:tc>
        <w:tc>
          <w:tcPr>
            <w:tcW w:w="0" w:type="dxa"/>
            <w:vAlign w:val="bottom"/>
          </w:tcPr>
          <w:p>
            <w:pPr>
              <w:spacing w:after="0"/>
              <w:rPr>
                <w:sz w:val="1"/>
                <w:szCs w:val="1"/>
                <w:color w:val="auto"/>
              </w:rPr>
            </w:pPr>
          </w:p>
        </w:tc>
      </w:tr>
      <w:tr>
        <w:trPr>
          <w:trHeight w:val="358"/>
        </w:trPr>
        <w:tc>
          <w:tcPr>
            <w:tcW w:w="128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80" w:type="dxa"/>
            <w:vAlign w:val="bottom"/>
          </w:tcPr>
          <w:p>
            <w:pPr>
              <w:jc w:val="center"/>
              <w:ind w:right="270"/>
              <w:spacing w:after="0"/>
              <w:rPr>
                <w:sz w:val="20"/>
                <w:szCs w:val="20"/>
                <w:color w:val="auto"/>
              </w:rPr>
            </w:pPr>
            <w:r>
              <w:rPr>
                <w:rFonts w:ascii="Arial" w:cs="Arial" w:eastAsia="Arial" w:hAnsi="Arial"/>
                <w:sz w:val="18"/>
                <w:szCs w:val="18"/>
                <w:b w:val="1"/>
                <w:bCs w:val="1"/>
                <w:color w:val="auto"/>
                <w:w w:val="90"/>
              </w:rPr>
              <w:t>Foreign Currency</w:t>
            </w:r>
          </w:p>
        </w:tc>
        <w:tc>
          <w:tcPr>
            <w:tcW w:w="220" w:type="dxa"/>
            <w:vAlign w:val="bottom"/>
          </w:tcPr>
          <w:p>
            <w:pPr>
              <w:spacing w:after="0"/>
              <w:rPr>
                <w:sz w:val="24"/>
                <w:szCs w:val="24"/>
                <w:color w:val="auto"/>
              </w:rPr>
            </w:pPr>
          </w:p>
        </w:tc>
        <w:tc>
          <w:tcPr>
            <w:tcW w:w="2000" w:type="dxa"/>
            <w:vAlign w:val="bottom"/>
          </w:tcPr>
          <w:p>
            <w:pPr>
              <w:jc w:val="center"/>
              <w:ind w:right="210"/>
              <w:spacing w:after="0"/>
              <w:rPr>
                <w:sz w:val="20"/>
                <w:szCs w:val="20"/>
                <w:color w:val="auto"/>
              </w:rPr>
            </w:pPr>
            <w:r>
              <w:rPr>
                <w:rFonts w:ascii="Arial" w:cs="Arial" w:eastAsia="Arial" w:hAnsi="Arial"/>
                <w:sz w:val="18"/>
                <w:szCs w:val="18"/>
                <w:b w:val="1"/>
                <w:bCs w:val="1"/>
                <w:color w:val="auto"/>
                <w:w w:val="87"/>
              </w:rPr>
              <w:t>Pension and</w:t>
            </w:r>
          </w:p>
        </w:tc>
        <w:tc>
          <w:tcPr>
            <w:tcW w:w="3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5"/>
        </w:trPr>
        <w:tc>
          <w:tcPr>
            <w:tcW w:w="1280" w:type="dxa"/>
            <w:vAlign w:val="bottom"/>
          </w:tcPr>
          <w:p>
            <w:pPr>
              <w:spacing w:after="0"/>
              <w:rPr>
                <w:sz w:val="15"/>
                <w:szCs w:val="15"/>
                <w:color w:val="auto"/>
              </w:rPr>
            </w:pPr>
          </w:p>
        </w:tc>
        <w:tc>
          <w:tcPr>
            <w:tcW w:w="39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880" w:type="dxa"/>
            <w:vAlign w:val="bottom"/>
          </w:tcPr>
          <w:p>
            <w:pPr>
              <w:jc w:val="center"/>
              <w:ind w:right="270"/>
              <w:spacing w:after="0" w:line="176" w:lineRule="exact"/>
              <w:rPr>
                <w:sz w:val="20"/>
                <w:szCs w:val="20"/>
                <w:color w:val="auto"/>
              </w:rPr>
            </w:pPr>
            <w:r>
              <w:rPr>
                <w:rFonts w:ascii="Arial" w:cs="Arial" w:eastAsia="Arial" w:hAnsi="Arial"/>
                <w:sz w:val="18"/>
                <w:szCs w:val="18"/>
                <w:b w:val="1"/>
                <w:bCs w:val="1"/>
                <w:color w:val="auto"/>
                <w:w w:val="90"/>
              </w:rPr>
              <w:t>Translation</w:t>
            </w:r>
          </w:p>
        </w:tc>
        <w:tc>
          <w:tcPr>
            <w:tcW w:w="220" w:type="dxa"/>
            <w:vAlign w:val="bottom"/>
          </w:tcPr>
          <w:p>
            <w:pPr>
              <w:spacing w:after="0"/>
              <w:rPr>
                <w:sz w:val="15"/>
                <w:szCs w:val="15"/>
                <w:color w:val="auto"/>
              </w:rPr>
            </w:pPr>
          </w:p>
        </w:tc>
        <w:tc>
          <w:tcPr>
            <w:tcW w:w="2000" w:type="dxa"/>
            <w:vAlign w:val="bottom"/>
          </w:tcPr>
          <w:p>
            <w:pPr>
              <w:jc w:val="center"/>
              <w:ind w:right="210"/>
              <w:spacing w:after="0" w:line="176" w:lineRule="exact"/>
              <w:rPr>
                <w:sz w:val="20"/>
                <w:szCs w:val="20"/>
                <w:color w:val="auto"/>
              </w:rPr>
            </w:pPr>
            <w:r>
              <w:rPr>
                <w:rFonts w:ascii="Arial" w:cs="Arial" w:eastAsia="Arial" w:hAnsi="Arial"/>
                <w:sz w:val="18"/>
                <w:szCs w:val="18"/>
                <w:b w:val="1"/>
                <w:bCs w:val="1"/>
                <w:color w:val="auto"/>
                <w:w w:val="89"/>
              </w:rPr>
              <w:t>Postretirement</w:t>
            </w:r>
          </w:p>
        </w:tc>
        <w:tc>
          <w:tcPr>
            <w:tcW w:w="380" w:type="dxa"/>
            <w:vAlign w:val="bottom"/>
          </w:tcPr>
          <w:p>
            <w:pPr>
              <w:spacing w:after="0"/>
              <w:rPr>
                <w:sz w:val="15"/>
                <w:szCs w:val="15"/>
                <w:color w:val="auto"/>
              </w:rPr>
            </w:pPr>
          </w:p>
        </w:tc>
        <w:tc>
          <w:tcPr>
            <w:tcW w:w="1240" w:type="dxa"/>
            <w:vAlign w:val="bottom"/>
            <w:vMerge w:val="restart"/>
          </w:tcPr>
          <w:p>
            <w:pPr>
              <w:jc w:val="right"/>
              <w:ind w:right="55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16"/>
        </w:trPr>
        <w:tc>
          <w:tcPr>
            <w:tcW w:w="1280" w:type="dxa"/>
            <w:vAlign w:val="bottom"/>
            <w:tcBorders>
              <w:bottom w:val="single" w:sz="8" w:color="auto"/>
            </w:tcBorders>
          </w:tcPr>
          <w:p>
            <w:pPr>
              <w:spacing w:after="0"/>
              <w:rPr>
                <w:sz w:val="18"/>
                <w:szCs w:val="18"/>
                <w:color w:val="auto"/>
              </w:rPr>
            </w:pPr>
          </w:p>
        </w:tc>
        <w:tc>
          <w:tcPr>
            <w:tcW w:w="390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880" w:type="dxa"/>
            <w:vAlign w:val="bottom"/>
            <w:tcBorders>
              <w:bottom w:val="single" w:sz="8" w:color="auto"/>
            </w:tcBorders>
          </w:tcPr>
          <w:p>
            <w:pPr>
              <w:jc w:val="center"/>
              <w:ind w:right="290"/>
              <w:spacing w:after="0"/>
              <w:rPr>
                <w:sz w:val="20"/>
                <w:szCs w:val="20"/>
                <w:color w:val="auto"/>
              </w:rPr>
            </w:pPr>
            <w:r>
              <w:rPr>
                <w:rFonts w:ascii="Arial" w:cs="Arial" w:eastAsia="Arial" w:hAnsi="Arial"/>
                <w:sz w:val="18"/>
                <w:szCs w:val="18"/>
                <w:b w:val="1"/>
                <w:bCs w:val="1"/>
                <w:color w:val="auto"/>
                <w:w w:val="89"/>
              </w:rPr>
              <w:t>Adjustments</w:t>
            </w:r>
          </w:p>
        </w:tc>
        <w:tc>
          <w:tcPr>
            <w:tcW w:w="220" w:type="dxa"/>
            <w:vAlign w:val="bottom"/>
            <w:tcBorders>
              <w:bottom w:val="single" w:sz="8" w:color="auto"/>
            </w:tcBorders>
          </w:tcPr>
          <w:p>
            <w:pPr>
              <w:spacing w:after="0"/>
              <w:rPr>
                <w:sz w:val="18"/>
                <w:szCs w:val="18"/>
                <w:color w:val="auto"/>
              </w:rPr>
            </w:pPr>
          </w:p>
        </w:tc>
        <w:tc>
          <w:tcPr>
            <w:tcW w:w="2000" w:type="dxa"/>
            <w:vAlign w:val="bottom"/>
            <w:tcBorders>
              <w:bottom w:val="single" w:sz="8" w:color="auto"/>
            </w:tcBorders>
          </w:tcPr>
          <w:p>
            <w:pPr>
              <w:jc w:val="center"/>
              <w:ind w:right="190"/>
              <w:spacing w:after="0"/>
              <w:rPr>
                <w:sz w:val="20"/>
                <w:szCs w:val="20"/>
                <w:color w:val="auto"/>
              </w:rPr>
            </w:pPr>
            <w:r>
              <w:rPr>
                <w:rFonts w:ascii="Arial" w:cs="Arial" w:eastAsia="Arial" w:hAnsi="Arial"/>
                <w:sz w:val="18"/>
                <w:szCs w:val="18"/>
                <w:b w:val="1"/>
                <w:bCs w:val="1"/>
                <w:color w:val="auto"/>
                <w:w w:val="92"/>
              </w:rPr>
              <w:t>Liability Adjustments</w:t>
            </w:r>
          </w:p>
        </w:tc>
        <w:tc>
          <w:tcPr>
            <w:tcW w:w="38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5180" w:type="dxa"/>
            <w:vAlign w:val="bottom"/>
            <w:gridSpan w:val="2"/>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Balance at December 31, 2020</w:t>
            </w:r>
          </w:p>
        </w:tc>
        <w:tc>
          <w:tcPr>
            <w:tcW w:w="34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188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(5.4 )</w:t>
            </w:r>
          </w:p>
        </w:tc>
        <w:tc>
          <w:tcPr>
            <w:tcW w:w="22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2000" w:type="dxa"/>
            <w:vAlign w:val="bottom"/>
            <w:shd w:val="clear" w:color="auto" w:fill="CFF0FC"/>
          </w:tcPr>
          <w:p>
            <w:pPr>
              <w:jc w:val="right"/>
              <w:ind w:right="90"/>
              <w:spacing w:after="0" w:line="196" w:lineRule="exact"/>
              <w:rPr>
                <w:sz w:val="20"/>
                <w:szCs w:val="20"/>
                <w:color w:val="auto"/>
              </w:rPr>
            </w:pPr>
            <w:r>
              <w:rPr>
                <w:rFonts w:ascii="Arial" w:cs="Arial" w:eastAsia="Arial" w:hAnsi="Arial"/>
                <w:sz w:val="18"/>
                <w:szCs w:val="18"/>
                <w:color w:val="auto"/>
              </w:rPr>
              <w:t>45.8</w:t>
            </w:r>
          </w:p>
        </w:tc>
        <w:tc>
          <w:tcPr>
            <w:tcW w:w="380" w:type="dxa"/>
            <w:vAlign w:val="bottom"/>
            <w:shd w:val="clear" w:color="auto" w:fill="CFF0FC"/>
          </w:tcPr>
          <w:p>
            <w:pPr>
              <w:jc w:val="right"/>
              <w:ind w:right="110"/>
              <w:spacing w:after="0" w:line="196" w:lineRule="exact"/>
              <w:rPr>
                <w:sz w:val="20"/>
                <w:szCs w:val="20"/>
                <w:color w:val="auto"/>
              </w:rPr>
            </w:pPr>
            <w:r>
              <w:rPr>
                <w:rFonts w:ascii="Arial" w:cs="Arial" w:eastAsia="Arial" w:hAnsi="Arial"/>
                <w:sz w:val="18"/>
                <w:szCs w:val="18"/>
                <w:color w:val="auto"/>
              </w:rPr>
              <w:t>$</w:t>
            </w:r>
          </w:p>
        </w:tc>
        <w:tc>
          <w:tcPr>
            <w:tcW w:w="124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40.4</w:t>
            </w:r>
          </w:p>
        </w:tc>
        <w:tc>
          <w:tcPr>
            <w:tcW w:w="0" w:type="dxa"/>
            <w:vAlign w:val="bottom"/>
          </w:tcPr>
          <w:p>
            <w:pPr>
              <w:spacing w:after="0"/>
              <w:rPr>
                <w:sz w:val="1"/>
                <w:szCs w:val="1"/>
                <w:color w:val="auto"/>
              </w:rPr>
            </w:pPr>
          </w:p>
        </w:tc>
      </w:tr>
      <w:tr>
        <w:trPr>
          <w:trHeight w:val="162"/>
        </w:trPr>
        <w:tc>
          <w:tcPr>
            <w:tcW w:w="5180" w:type="dxa"/>
            <w:vAlign w:val="bottom"/>
            <w:gridSpan w:val="2"/>
          </w:tcPr>
          <w:p>
            <w:pPr>
              <w:ind w:left="20"/>
              <w:spacing w:after="0" w:line="162" w:lineRule="exact"/>
              <w:rPr>
                <w:sz w:val="20"/>
                <w:szCs w:val="20"/>
                <w:color w:val="auto"/>
              </w:rPr>
            </w:pPr>
            <w:r>
              <w:rPr>
                <w:rFonts w:ascii="Arial" w:cs="Arial" w:eastAsia="Arial" w:hAnsi="Arial"/>
                <w:sz w:val="18"/>
                <w:szCs w:val="18"/>
                <w:color w:val="auto"/>
                <w:w w:val="96"/>
              </w:rPr>
              <w:t>Other comprehensive income (loss) before reclassifications, before</w:t>
            </w:r>
          </w:p>
        </w:tc>
        <w:tc>
          <w:tcPr>
            <w:tcW w:w="340" w:type="dxa"/>
            <w:vAlign w:val="bottom"/>
          </w:tcPr>
          <w:p>
            <w:pPr>
              <w:spacing w:after="0"/>
              <w:rPr>
                <w:sz w:val="14"/>
                <w:szCs w:val="14"/>
                <w:color w:val="auto"/>
              </w:rPr>
            </w:pPr>
          </w:p>
        </w:tc>
        <w:tc>
          <w:tcPr>
            <w:tcW w:w="1880" w:type="dxa"/>
            <w:vAlign w:val="bottom"/>
            <w:vMerge w:val="restart"/>
          </w:tcPr>
          <w:p>
            <w:pPr>
              <w:jc w:val="right"/>
              <w:ind w:right="90"/>
              <w:spacing w:after="0"/>
              <w:rPr>
                <w:sz w:val="20"/>
                <w:szCs w:val="20"/>
                <w:color w:val="auto"/>
              </w:rPr>
            </w:pPr>
            <w:r>
              <w:rPr>
                <w:rFonts w:ascii="Arial" w:cs="Arial" w:eastAsia="Arial" w:hAnsi="Arial"/>
                <w:sz w:val="18"/>
                <w:szCs w:val="18"/>
                <w:color w:val="auto"/>
              </w:rPr>
              <w:t>0.1</w:t>
            </w:r>
          </w:p>
        </w:tc>
        <w:tc>
          <w:tcPr>
            <w:tcW w:w="220" w:type="dxa"/>
            <w:vAlign w:val="bottom"/>
          </w:tcPr>
          <w:p>
            <w:pPr>
              <w:spacing w:after="0"/>
              <w:rPr>
                <w:sz w:val="14"/>
                <w:szCs w:val="14"/>
                <w:color w:val="auto"/>
              </w:rPr>
            </w:pPr>
          </w:p>
        </w:tc>
        <w:tc>
          <w:tcPr>
            <w:tcW w:w="2000" w:type="dxa"/>
            <w:vAlign w:val="bottom"/>
            <w:vMerge w:val="restart"/>
          </w:tcPr>
          <w:p>
            <w:pPr>
              <w:jc w:val="right"/>
              <w:ind w:right="9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4"/>
                <w:szCs w:val="14"/>
                <w:color w:val="auto"/>
              </w:rPr>
            </w:pPr>
          </w:p>
        </w:tc>
        <w:tc>
          <w:tcPr>
            <w:tcW w:w="1240" w:type="dxa"/>
            <w:vAlign w:val="bottom"/>
            <w:vMerge w:val="restart"/>
          </w:tcPr>
          <w:p>
            <w:pPr>
              <w:jc w:val="right"/>
              <w:ind w:right="3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6"/>
        </w:trPr>
        <w:tc>
          <w:tcPr>
            <w:tcW w:w="5180" w:type="dxa"/>
            <w:vAlign w:val="bottom"/>
            <w:gridSpan w:val="2"/>
          </w:tcPr>
          <w:p>
            <w:pPr>
              <w:ind w:left="20"/>
              <w:spacing w:after="0"/>
              <w:rPr>
                <w:sz w:val="20"/>
                <w:szCs w:val="20"/>
                <w:color w:val="auto"/>
              </w:rPr>
            </w:pPr>
            <w:r>
              <w:rPr>
                <w:rFonts w:ascii="Arial" w:cs="Arial" w:eastAsia="Arial" w:hAnsi="Arial"/>
                <w:sz w:val="18"/>
                <w:szCs w:val="18"/>
                <w:color w:val="auto"/>
              </w:rPr>
              <w:t>income tax</w:t>
            </w:r>
          </w:p>
        </w:tc>
        <w:tc>
          <w:tcPr>
            <w:tcW w:w="340" w:type="dxa"/>
            <w:vAlign w:val="bottom"/>
          </w:tcPr>
          <w:p>
            <w:pPr>
              <w:spacing w:after="0"/>
              <w:rPr>
                <w:sz w:val="18"/>
                <w:szCs w:val="18"/>
                <w:color w:val="auto"/>
              </w:rPr>
            </w:pPr>
          </w:p>
        </w:tc>
        <w:tc>
          <w:tcPr>
            <w:tcW w:w="188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2000" w:type="dxa"/>
            <w:vAlign w:val="bottom"/>
            <w:vMerge w:val="continue"/>
          </w:tcPr>
          <w:p>
            <w:pPr>
              <w:spacing w:after="0"/>
              <w:rPr>
                <w:sz w:val="18"/>
                <w:szCs w:val="18"/>
                <w:color w:val="auto"/>
              </w:rPr>
            </w:pPr>
          </w:p>
        </w:tc>
        <w:tc>
          <w:tcPr>
            <w:tcW w:w="380" w:type="dxa"/>
            <w:vAlign w:val="bottom"/>
          </w:tcPr>
          <w:p>
            <w:pPr>
              <w:spacing w:after="0"/>
              <w:rPr>
                <w:sz w:val="18"/>
                <w:szCs w:val="18"/>
                <w:color w:val="auto"/>
              </w:rPr>
            </w:pPr>
          </w:p>
        </w:tc>
        <w:tc>
          <w:tcPr>
            <w:tcW w:w="12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5180" w:type="dxa"/>
            <w:vAlign w:val="bottom"/>
            <w:gridSpan w:val="2"/>
            <w:shd w:val="clear" w:color="auto" w:fill="CFF0FC"/>
          </w:tcPr>
          <w:p>
            <w:pPr>
              <w:ind w:left="20"/>
              <w:spacing w:after="0" w:line="162" w:lineRule="exact"/>
              <w:rPr>
                <w:sz w:val="20"/>
                <w:szCs w:val="20"/>
                <w:color w:val="auto"/>
              </w:rPr>
            </w:pPr>
            <w:r>
              <w:rPr>
                <w:rFonts w:ascii="Arial" w:cs="Arial" w:eastAsia="Arial" w:hAnsi="Arial"/>
                <w:sz w:val="18"/>
                <w:szCs w:val="18"/>
                <w:color w:val="auto"/>
                <w:w w:val="93"/>
              </w:rPr>
              <w:t>Amounts reclassified from accumulated other comprehensive income</w:t>
            </w:r>
          </w:p>
        </w:tc>
        <w:tc>
          <w:tcPr>
            <w:tcW w:w="340" w:type="dxa"/>
            <w:vAlign w:val="bottom"/>
            <w:shd w:val="clear" w:color="auto" w:fill="CFF0FC"/>
          </w:tcPr>
          <w:p>
            <w:pPr>
              <w:spacing w:after="0"/>
              <w:rPr>
                <w:sz w:val="14"/>
                <w:szCs w:val="14"/>
                <w:color w:val="auto"/>
              </w:rPr>
            </w:pPr>
          </w:p>
        </w:tc>
        <w:tc>
          <w:tcPr>
            <w:tcW w:w="1880" w:type="dxa"/>
            <w:vAlign w:val="bottom"/>
            <w:vMerge w:val="restart"/>
            <w:shd w:val="clear" w:color="auto" w:fill="CFF0FC"/>
          </w:tcPr>
          <w:p>
            <w:pPr>
              <w:jc w:val="right"/>
              <w:ind w:right="90"/>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4"/>
                <w:szCs w:val="14"/>
                <w:color w:val="auto"/>
              </w:rPr>
            </w:pPr>
          </w:p>
        </w:tc>
        <w:tc>
          <w:tcPr>
            <w:tcW w:w="2000" w:type="dxa"/>
            <w:vAlign w:val="bottom"/>
            <w:vMerge w:val="restart"/>
            <w:shd w:val="clear" w:color="auto" w:fill="CFF0FC"/>
          </w:tcPr>
          <w:p>
            <w:pPr>
              <w:jc w:val="right"/>
              <w:spacing w:after="0"/>
              <w:rPr>
                <w:sz w:val="20"/>
                <w:szCs w:val="20"/>
                <w:color w:val="auto"/>
              </w:rPr>
            </w:pPr>
            <w:r>
              <w:rPr>
                <w:rFonts w:ascii="Arial" w:cs="Arial" w:eastAsia="Arial" w:hAnsi="Arial"/>
                <w:sz w:val="18"/>
                <w:szCs w:val="18"/>
                <w:color w:val="auto"/>
              </w:rPr>
              <w:t>(1.5 )</w:t>
            </w:r>
          </w:p>
        </w:tc>
        <w:tc>
          <w:tcPr>
            <w:tcW w:w="380" w:type="dxa"/>
            <w:vAlign w:val="bottom"/>
            <w:shd w:val="clear" w:color="auto" w:fill="CFF0FC"/>
          </w:tcPr>
          <w:p>
            <w:pPr>
              <w:spacing w:after="0"/>
              <w:rPr>
                <w:sz w:val="14"/>
                <w:szCs w:val="14"/>
                <w:color w:val="auto"/>
              </w:rPr>
            </w:pPr>
          </w:p>
        </w:tc>
        <w:tc>
          <w:tcPr>
            <w:tcW w:w="1240" w:type="dxa"/>
            <w:vAlign w:val="bottom"/>
            <w:vMerge w:val="restart"/>
            <w:shd w:val="clear" w:color="auto" w:fill="CFF0FC"/>
          </w:tcPr>
          <w:p>
            <w:pPr>
              <w:jc w:val="right"/>
              <w:spacing w:after="0"/>
              <w:rPr>
                <w:sz w:val="20"/>
                <w:szCs w:val="20"/>
                <w:color w:val="auto"/>
              </w:rPr>
            </w:pPr>
            <w:r>
              <w:rPr>
                <w:rFonts w:ascii="Arial" w:cs="Arial" w:eastAsia="Arial" w:hAnsi="Arial"/>
                <w:sz w:val="18"/>
                <w:szCs w:val="18"/>
                <w:color w:val="auto"/>
              </w:rPr>
              <w:t>(1.5 )</w:t>
            </w:r>
          </w:p>
        </w:tc>
        <w:tc>
          <w:tcPr>
            <w:tcW w:w="0" w:type="dxa"/>
            <w:vAlign w:val="bottom"/>
          </w:tcPr>
          <w:p>
            <w:pPr>
              <w:spacing w:after="0"/>
              <w:rPr>
                <w:sz w:val="1"/>
                <w:szCs w:val="1"/>
                <w:color w:val="auto"/>
              </w:rPr>
            </w:pPr>
          </w:p>
        </w:tc>
      </w:tr>
      <w:tr>
        <w:trPr>
          <w:trHeight w:val="216"/>
        </w:trPr>
        <w:tc>
          <w:tcPr>
            <w:tcW w:w="5180" w:type="dxa"/>
            <w:vAlign w:val="bottom"/>
            <w:gridSpan w:val="2"/>
            <w:shd w:val="clear" w:color="auto" w:fill="CFF0FC"/>
          </w:tcPr>
          <w:p>
            <w:pPr>
              <w:ind w:left="20"/>
              <w:spacing w:after="0"/>
              <w:rPr>
                <w:sz w:val="20"/>
                <w:szCs w:val="20"/>
                <w:color w:val="auto"/>
              </w:rPr>
            </w:pPr>
            <w:r>
              <w:rPr>
                <w:rFonts w:ascii="Arial" w:cs="Arial" w:eastAsia="Arial" w:hAnsi="Arial"/>
                <w:sz w:val="18"/>
                <w:szCs w:val="18"/>
                <w:color w:val="auto"/>
              </w:rPr>
              <w:t>(loss), before income tax</w:t>
            </w:r>
          </w:p>
        </w:tc>
        <w:tc>
          <w:tcPr>
            <w:tcW w:w="340" w:type="dxa"/>
            <w:vAlign w:val="bottom"/>
            <w:shd w:val="clear" w:color="auto" w:fill="CFF0FC"/>
          </w:tcPr>
          <w:p>
            <w:pPr>
              <w:spacing w:after="0"/>
              <w:rPr>
                <w:sz w:val="18"/>
                <w:szCs w:val="18"/>
                <w:color w:val="auto"/>
              </w:rPr>
            </w:pPr>
          </w:p>
        </w:tc>
        <w:tc>
          <w:tcPr>
            <w:tcW w:w="1880" w:type="dxa"/>
            <w:vAlign w:val="bottom"/>
            <w:vMerge w:val="continue"/>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000" w:type="dxa"/>
            <w:vAlign w:val="bottom"/>
            <w:vMerge w:val="continue"/>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1240" w:type="dxa"/>
            <w:vAlign w:val="bottom"/>
            <w:vMerge w:val="continue"/>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5180" w:type="dxa"/>
            <w:vAlign w:val="bottom"/>
            <w:tcBorders>
              <w:bottom w:val="single" w:sz="8" w:color="auto"/>
            </w:tcBorders>
            <w:gridSpan w:val="2"/>
          </w:tcPr>
          <w:p>
            <w:pPr>
              <w:ind w:left="20"/>
              <w:spacing w:after="0" w:line="202" w:lineRule="exact"/>
              <w:rPr>
                <w:sz w:val="20"/>
                <w:szCs w:val="20"/>
                <w:color w:val="auto"/>
              </w:rPr>
            </w:pPr>
            <w:r>
              <w:rPr>
                <w:rFonts w:ascii="Arial" w:cs="Arial" w:eastAsia="Arial" w:hAnsi="Arial"/>
                <w:sz w:val="18"/>
                <w:szCs w:val="18"/>
                <w:color w:val="auto"/>
              </w:rPr>
              <w:t>Tax effect</w:t>
            </w:r>
          </w:p>
        </w:tc>
        <w:tc>
          <w:tcPr>
            <w:tcW w:w="340" w:type="dxa"/>
            <w:vAlign w:val="bottom"/>
            <w:tcBorders>
              <w:bottom w:val="single" w:sz="8" w:color="auto"/>
            </w:tcBorders>
          </w:tcPr>
          <w:p>
            <w:pPr>
              <w:spacing w:after="0"/>
              <w:rPr>
                <w:sz w:val="17"/>
                <w:szCs w:val="17"/>
                <w:color w:val="auto"/>
              </w:rPr>
            </w:pPr>
          </w:p>
        </w:tc>
        <w:tc>
          <w:tcPr>
            <w:tcW w:w="1880" w:type="dxa"/>
            <w:vAlign w:val="bottom"/>
            <w:tcBorders>
              <w:bottom w:val="single" w:sz="8" w:color="auto"/>
            </w:tcBorders>
          </w:tcPr>
          <w:p>
            <w:pPr>
              <w:jc w:val="right"/>
              <w:ind w:right="90"/>
              <w:spacing w:after="0" w:line="202" w:lineRule="exact"/>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tcPr>
          <w:p>
            <w:pPr>
              <w:spacing w:after="0"/>
              <w:rPr>
                <w:sz w:val="17"/>
                <w:szCs w:val="17"/>
                <w:color w:val="auto"/>
              </w:rPr>
            </w:pPr>
          </w:p>
        </w:tc>
        <w:tc>
          <w:tcPr>
            <w:tcW w:w="2000" w:type="dxa"/>
            <w:vAlign w:val="bottom"/>
            <w:tcBorders>
              <w:bottom w:val="single" w:sz="8" w:color="auto"/>
            </w:tcBorders>
          </w:tcPr>
          <w:p>
            <w:pPr>
              <w:jc w:val="right"/>
              <w:ind w:right="90"/>
              <w:spacing w:after="0" w:line="202" w:lineRule="exact"/>
              <w:rPr>
                <w:sz w:val="20"/>
                <w:szCs w:val="20"/>
                <w:color w:val="auto"/>
              </w:rPr>
            </w:pPr>
            <w:r>
              <w:rPr>
                <w:rFonts w:ascii="Arial" w:cs="Arial" w:eastAsia="Arial" w:hAnsi="Arial"/>
                <w:sz w:val="18"/>
                <w:szCs w:val="18"/>
                <w:color w:val="auto"/>
              </w:rPr>
              <w:t>—</w:t>
            </w:r>
          </w:p>
        </w:tc>
        <w:tc>
          <w:tcPr>
            <w:tcW w:w="380" w:type="dxa"/>
            <w:vAlign w:val="bottom"/>
            <w:tcBorders>
              <w:bottom w:val="single" w:sz="8" w:color="auto"/>
            </w:tcBorders>
          </w:tcPr>
          <w:p>
            <w:pPr>
              <w:spacing w:after="0"/>
              <w:rPr>
                <w:sz w:val="17"/>
                <w:szCs w:val="17"/>
                <w:color w:val="auto"/>
              </w:rPr>
            </w:pPr>
          </w:p>
        </w:tc>
        <w:tc>
          <w:tcPr>
            <w:tcW w:w="1240" w:type="dxa"/>
            <w:vAlign w:val="bottom"/>
            <w:tcBorders>
              <w:bottom w:val="single" w:sz="8" w:color="auto"/>
            </w:tcBorders>
          </w:tcPr>
          <w:p>
            <w:pPr>
              <w:jc w:val="right"/>
              <w:ind w:right="30"/>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55"/>
        </w:trPr>
        <w:tc>
          <w:tcPr>
            <w:tcW w:w="5180" w:type="dxa"/>
            <w:vAlign w:val="bottom"/>
            <w:gridSpan w:val="2"/>
            <w:shd w:val="clear" w:color="auto" w:fill="CFF0FC"/>
          </w:tcPr>
          <w:p>
            <w:pPr>
              <w:ind w:left="20"/>
              <w:spacing w:after="0" w:line="156" w:lineRule="exact"/>
              <w:rPr>
                <w:sz w:val="20"/>
                <w:szCs w:val="20"/>
                <w:color w:val="auto"/>
              </w:rPr>
            </w:pPr>
            <w:r>
              <w:rPr>
                <w:rFonts w:ascii="Arial" w:cs="Arial" w:eastAsia="Arial" w:hAnsi="Arial"/>
                <w:sz w:val="18"/>
                <w:szCs w:val="18"/>
                <w:color w:val="auto"/>
                <w:w w:val="93"/>
              </w:rPr>
              <w:t>Net current period other comprehensive income (loss), net of income</w:t>
            </w:r>
          </w:p>
        </w:tc>
        <w:tc>
          <w:tcPr>
            <w:tcW w:w="340" w:type="dxa"/>
            <w:vAlign w:val="bottom"/>
            <w:shd w:val="clear" w:color="auto" w:fill="CFF0FC"/>
          </w:tcPr>
          <w:p>
            <w:pPr>
              <w:spacing w:after="0"/>
              <w:rPr>
                <w:sz w:val="13"/>
                <w:szCs w:val="13"/>
                <w:color w:val="auto"/>
              </w:rPr>
            </w:pPr>
          </w:p>
        </w:tc>
        <w:tc>
          <w:tcPr>
            <w:tcW w:w="1880" w:type="dxa"/>
            <w:vAlign w:val="bottom"/>
            <w:vMerge w:val="restart"/>
            <w:shd w:val="clear" w:color="auto" w:fill="CFF0FC"/>
          </w:tcPr>
          <w:p>
            <w:pPr>
              <w:jc w:val="right"/>
              <w:ind w:right="90"/>
              <w:spacing w:after="0"/>
              <w:rPr>
                <w:sz w:val="20"/>
                <w:szCs w:val="20"/>
                <w:color w:val="auto"/>
              </w:rPr>
            </w:pPr>
            <w:r>
              <w:rPr>
                <w:rFonts w:ascii="Arial" w:cs="Arial" w:eastAsia="Arial" w:hAnsi="Arial"/>
                <w:sz w:val="18"/>
                <w:szCs w:val="18"/>
                <w:color w:val="auto"/>
              </w:rPr>
              <w:t>0.1</w:t>
            </w:r>
          </w:p>
        </w:tc>
        <w:tc>
          <w:tcPr>
            <w:tcW w:w="220" w:type="dxa"/>
            <w:vAlign w:val="bottom"/>
            <w:shd w:val="clear" w:color="auto" w:fill="CFF0FC"/>
          </w:tcPr>
          <w:p>
            <w:pPr>
              <w:spacing w:after="0"/>
              <w:rPr>
                <w:sz w:val="13"/>
                <w:szCs w:val="13"/>
                <w:color w:val="auto"/>
              </w:rPr>
            </w:pPr>
          </w:p>
        </w:tc>
        <w:tc>
          <w:tcPr>
            <w:tcW w:w="2000" w:type="dxa"/>
            <w:vAlign w:val="bottom"/>
            <w:vMerge w:val="restart"/>
            <w:shd w:val="clear" w:color="auto" w:fill="CFF0FC"/>
          </w:tcPr>
          <w:p>
            <w:pPr>
              <w:jc w:val="right"/>
              <w:spacing w:after="0"/>
              <w:rPr>
                <w:sz w:val="20"/>
                <w:szCs w:val="20"/>
                <w:color w:val="auto"/>
              </w:rPr>
            </w:pPr>
            <w:r>
              <w:rPr>
                <w:rFonts w:ascii="Arial" w:cs="Arial" w:eastAsia="Arial" w:hAnsi="Arial"/>
                <w:sz w:val="18"/>
                <w:szCs w:val="18"/>
                <w:color w:val="auto"/>
              </w:rPr>
              <w:t>(1.5 )</w:t>
            </w:r>
          </w:p>
        </w:tc>
        <w:tc>
          <w:tcPr>
            <w:tcW w:w="380" w:type="dxa"/>
            <w:vAlign w:val="bottom"/>
            <w:shd w:val="clear" w:color="auto" w:fill="CFF0FC"/>
          </w:tcPr>
          <w:p>
            <w:pPr>
              <w:spacing w:after="0"/>
              <w:rPr>
                <w:sz w:val="13"/>
                <w:szCs w:val="13"/>
                <w:color w:val="auto"/>
              </w:rPr>
            </w:pPr>
          </w:p>
        </w:tc>
        <w:tc>
          <w:tcPr>
            <w:tcW w:w="1240" w:type="dxa"/>
            <w:vAlign w:val="bottom"/>
            <w:vMerge w:val="restart"/>
            <w:shd w:val="clear" w:color="auto" w:fill="CFF0FC"/>
          </w:tcPr>
          <w:p>
            <w:pPr>
              <w:jc w:val="right"/>
              <w:spacing w:after="0"/>
              <w:rPr>
                <w:sz w:val="20"/>
                <w:szCs w:val="20"/>
                <w:color w:val="auto"/>
              </w:rPr>
            </w:pPr>
            <w:r>
              <w:rPr>
                <w:rFonts w:ascii="Arial" w:cs="Arial" w:eastAsia="Arial" w:hAnsi="Arial"/>
                <w:sz w:val="18"/>
                <w:szCs w:val="18"/>
                <w:color w:val="auto"/>
              </w:rPr>
              <w:t>(1.4 )</w:t>
            </w:r>
          </w:p>
        </w:tc>
        <w:tc>
          <w:tcPr>
            <w:tcW w:w="0" w:type="dxa"/>
            <w:vAlign w:val="bottom"/>
          </w:tcPr>
          <w:p>
            <w:pPr>
              <w:spacing w:after="0"/>
              <w:rPr>
                <w:sz w:val="1"/>
                <w:szCs w:val="1"/>
                <w:color w:val="auto"/>
              </w:rPr>
            </w:pPr>
          </w:p>
        </w:tc>
      </w:tr>
      <w:tr>
        <w:trPr>
          <w:trHeight w:val="216"/>
        </w:trPr>
        <w:tc>
          <w:tcPr>
            <w:tcW w:w="5180" w:type="dxa"/>
            <w:vAlign w:val="bottom"/>
            <w:tcBorders>
              <w:bottom w:val="single" w:sz="8" w:color="auto"/>
            </w:tcBorders>
            <w:gridSpan w:val="2"/>
            <w:shd w:val="clear" w:color="auto" w:fill="CFF0FC"/>
          </w:tcPr>
          <w:p>
            <w:pPr>
              <w:ind w:left="20"/>
              <w:spacing w:after="0"/>
              <w:rPr>
                <w:sz w:val="20"/>
                <w:szCs w:val="20"/>
                <w:color w:val="auto"/>
              </w:rPr>
            </w:pPr>
            <w:r>
              <w:rPr>
                <w:rFonts w:ascii="Arial" w:cs="Arial" w:eastAsia="Arial" w:hAnsi="Arial"/>
                <w:sz w:val="18"/>
                <w:szCs w:val="18"/>
                <w:color w:val="auto"/>
              </w:rPr>
              <w:t>taxes</w:t>
            </w:r>
          </w:p>
        </w:tc>
        <w:tc>
          <w:tcPr>
            <w:tcW w:w="340" w:type="dxa"/>
            <w:vAlign w:val="bottom"/>
            <w:tcBorders>
              <w:bottom w:val="single" w:sz="8" w:color="auto"/>
            </w:tcBorders>
            <w:shd w:val="clear" w:color="auto" w:fill="CFF0FC"/>
          </w:tcPr>
          <w:p>
            <w:pPr>
              <w:spacing w:after="0"/>
              <w:rPr>
                <w:sz w:val="18"/>
                <w:szCs w:val="18"/>
                <w:color w:val="auto"/>
              </w:rPr>
            </w:pPr>
          </w:p>
        </w:tc>
        <w:tc>
          <w:tcPr>
            <w:tcW w:w="1880" w:type="dxa"/>
            <w:vAlign w:val="bottom"/>
            <w:tcBorders>
              <w:bottom w:val="single" w:sz="8" w:color="auto"/>
            </w:tcBorders>
            <w:vMerge w:val="continue"/>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2000" w:type="dxa"/>
            <w:vAlign w:val="bottom"/>
            <w:tcBorders>
              <w:bottom w:val="single" w:sz="8" w:color="auto"/>
            </w:tcBorders>
            <w:vMerge w:val="continue"/>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1240" w:type="dxa"/>
            <w:vAlign w:val="bottom"/>
            <w:tcBorders>
              <w:bottom w:val="single" w:sz="8" w:color="auto"/>
            </w:tcBorders>
            <w:vMerge w:val="continue"/>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5180" w:type="dxa"/>
            <w:vAlign w:val="bottom"/>
            <w:tcBorders>
              <w:bottom w:val="single" w:sz="8" w:color="auto"/>
            </w:tcBorders>
            <w:gridSpan w:val="2"/>
          </w:tcPr>
          <w:p>
            <w:pPr>
              <w:ind w:left="20"/>
              <w:spacing w:after="0" w:line="196" w:lineRule="exact"/>
              <w:rPr>
                <w:sz w:val="20"/>
                <w:szCs w:val="20"/>
                <w:color w:val="auto"/>
              </w:rPr>
            </w:pPr>
            <w:r>
              <w:rPr>
                <w:rFonts w:ascii="Arial" w:cs="Arial" w:eastAsia="Arial" w:hAnsi="Arial"/>
                <w:sz w:val="18"/>
                <w:szCs w:val="18"/>
                <w:b w:val="1"/>
                <w:bCs w:val="1"/>
                <w:color w:val="auto"/>
              </w:rPr>
              <w:t>Balance as of March 31, 2021</w:t>
            </w:r>
          </w:p>
        </w:tc>
        <w:tc>
          <w:tcPr>
            <w:tcW w:w="3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w:t>
            </w:r>
          </w:p>
        </w:tc>
        <w:tc>
          <w:tcPr>
            <w:tcW w:w="188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rPr>
              <w:t>(5.3 )</w:t>
            </w:r>
          </w:p>
        </w:tc>
        <w:tc>
          <w:tcPr>
            <w:tcW w:w="2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w:t>
            </w:r>
          </w:p>
        </w:tc>
        <w:tc>
          <w:tcPr>
            <w:tcW w:w="2000" w:type="dxa"/>
            <w:vAlign w:val="bottom"/>
            <w:tcBorders>
              <w:bottom w:val="single" w:sz="8" w:color="auto"/>
            </w:tcBorders>
          </w:tcPr>
          <w:p>
            <w:pPr>
              <w:jc w:val="right"/>
              <w:ind w:right="90"/>
              <w:spacing w:after="0" w:line="196" w:lineRule="exact"/>
              <w:rPr>
                <w:sz w:val="20"/>
                <w:szCs w:val="20"/>
                <w:color w:val="auto"/>
              </w:rPr>
            </w:pPr>
            <w:r>
              <w:rPr>
                <w:rFonts w:ascii="Arial" w:cs="Arial" w:eastAsia="Arial" w:hAnsi="Arial"/>
                <w:sz w:val="18"/>
                <w:szCs w:val="18"/>
                <w:color w:val="auto"/>
              </w:rPr>
              <w:t>44.3</w:t>
            </w:r>
          </w:p>
        </w:tc>
        <w:tc>
          <w:tcPr>
            <w:tcW w:w="380" w:type="dxa"/>
            <w:vAlign w:val="bottom"/>
            <w:tcBorders>
              <w:bottom w:val="single" w:sz="8" w:color="auto"/>
            </w:tcBorders>
          </w:tcPr>
          <w:p>
            <w:pPr>
              <w:jc w:val="right"/>
              <w:ind w:right="110"/>
              <w:spacing w:after="0" w:line="196" w:lineRule="exact"/>
              <w:rPr>
                <w:sz w:val="20"/>
                <w:szCs w:val="20"/>
                <w:color w:val="auto"/>
              </w:rPr>
            </w:pPr>
            <w:r>
              <w:rPr>
                <w:rFonts w:ascii="Arial" w:cs="Arial" w:eastAsia="Arial" w:hAnsi="Arial"/>
                <w:sz w:val="18"/>
                <w:szCs w:val="18"/>
                <w:color w:val="auto"/>
              </w:rPr>
              <w:t>$</w:t>
            </w:r>
          </w:p>
        </w:tc>
        <w:tc>
          <w:tcPr>
            <w:tcW w:w="1240" w:type="dxa"/>
            <w:vAlign w:val="bottom"/>
            <w:tcBorders>
              <w:bottom w:val="single" w:sz="8" w:color="auto"/>
            </w:tcBorders>
          </w:tcPr>
          <w:p>
            <w:pPr>
              <w:jc w:val="right"/>
              <w:ind w:right="30"/>
              <w:spacing w:after="0" w:line="196" w:lineRule="exact"/>
              <w:rPr>
                <w:sz w:val="20"/>
                <w:szCs w:val="20"/>
                <w:color w:val="auto"/>
              </w:rPr>
            </w:pPr>
            <w:r>
              <w:rPr>
                <w:rFonts w:ascii="Arial" w:cs="Arial" w:eastAsia="Arial" w:hAnsi="Arial"/>
                <w:sz w:val="18"/>
                <w:szCs w:val="18"/>
                <w:color w:val="auto"/>
              </w:rPr>
              <w:t>39.0</w:t>
            </w:r>
          </w:p>
        </w:tc>
        <w:tc>
          <w:tcPr>
            <w:tcW w:w="0" w:type="dxa"/>
            <w:vAlign w:val="bottom"/>
          </w:tcPr>
          <w:p>
            <w:pPr>
              <w:spacing w:after="0"/>
              <w:rPr>
                <w:sz w:val="1"/>
                <w:szCs w:val="1"/>
                <w:color w:val="auto"/>
              </w:rPr>
            </w:pPr>
          </w:p>
        </w:tc>
      </w:tr>
    </w:tbl>
    <w:p>
      <w:pPr>
        <w:spacing w:after="0" w:line="161" w:lineRule="exact"/>
        <w:rPr>
          <w:sz w:val="20"/>
          <w:szCs w:val="20"/>
          <w:color w:val="auto"/>
        </w:rPr>
      </w:pPr>
    </w:p>
    <w:p>
      <w:pPr>
        <w:ind w:right="360"/>
        <w:spacing w:after="0" w:line="324" w:lineRule="auto"/>
        <w:rPr>
          <w:sz w:val="20"/>
          <w:szCs w:val="20"/>
          <w:color w:val="auto"/>
        </w:rPr>
      </w:pPr>
      <w:r>
        <w:rPr>
          <w:rFonts w:ascii="Arial" w:cs="Arial" w:eastAsia="Arial" w:hAnsi="Arial"/>
          <w:sz w:val="16"/>
          <w:szCs w:val="16"/>
          <w:color w:val="auto"/>
        </w:rPr>
        <w:t>The amount reclassified from accumulated other comprehensive income (loss) in the three months ended March 31, 2022 and 2021 for the pension and postretirement liability adjustment was included in other (income) expense, net in the unaudited Consolidated Statements of Operations.</w:t>
      </w:r>
    </w:p>
    <w:p>
      <w:pPr>
        <w:spacing w:after="0" w:line="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14 – Contingencies</w:t>
      </w:r>
    </w:p>
    <w:p>
      <w:pPr>
        <w:spacing w:after="0" w:line="175" w:lineRule="exact"/>
        <w:rPr>
          <w:sz w:val="20"/>
          <w:szCs w:val="20"/>
          <w:color w:val="auto"/>
        </w:rPr>
      </w:pPr>
    </w:p>
    <w:p>
      <w:pPr>
        <w:jc w:val="both"/>
        <w:ind w:right="20"/>
        <w:spacing w:after="0" w:line="271" w:lineRule="auto"/>
        <w:rPr>
          <w:sz w:val="20"/>
          <w:szCs w:val="20"/>
          <w:color w:val="auto"/>
        </w:rPr>
      </w:pPr>
      <w:r>
        <w:rPr>
          <w:rFonts w:ascii="Arial" w:cs="Arial" w:eastAsia="Arial" w:hAnsi="Arial"/>
          <w:sz w:val="16"/>
          <w:szCs w:val="16"/>
          <w:color w:val="auto"/>
        </w:rPr>
        <w:t>TimkenSteel has a number of loss exposures incurred in the ordinary course of business, such as environmental claims, product warranty claims, employee-related matters, and other litigation. Establishing loss reserves for these matters requires management’s estimate and judgment regarding risk exposure and ultimate liability or realization. These loss reserves are reviewed periodically and adjustments are made to reflect the most recent facts and circumstances.</w:t>
      </w:r>
    </w:p>
    <w:p>
      <w:pPr>
        <w:ind w:right="240"/>
        <w:spacing w:after="0" w:line="256" w:lineRule="auto"/>
        <w:rPr>
          <w:sz w:val="20"/>
          <w:szCs w:val="20"/>
          <w:color w:val="auto"/>
        </w:rPr>
      </w:pPr>
      <w:r>
        <w:rPr>
          <w:rFonts w:ascii="Arial" w:cs="Arial" w:eastAsia="Arial" w:hAnsi="Arial"/>
          <w:sz w:val="17"/>
          <w:szCs w:val="17"/>
          <w:color w:val="auto"/>
        </w:rPr>
        <w:t>Accruals related to environmental claims represent management’s best estimate of the fees and costs associated with these claims. Although it is not possible to predict with certainty the outcome of such claims, management believes that their ultimate dispositions should not have a material adverse effect on our financial position, cash flows or results of operations. As of March 31, 2022 and December 31, 2021, TimkenSteel had a $0.4 million and a $0.3 million contingency reserve, respectively, related to loss exposures incurred in the ordinary course of business.</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336550</wp:posOffset>
            </wp:positionV>
            <wp:extent cx="7157720"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17" w:name="page18"/>
    <w:bookmarkEnd w:id="1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810895" cy="8255"/>
                    </a:xfrm>
                    <a:prstGeom prst="rect">
                      <a:avLst/>
                    </a:prstGeom>
                    <a:noFill/>
                  </pic:spPr>
                </pic:pic>
              </a:graphicData>
            </a:graphic>
          </wp:anchor>
        </w:drawing>
      </w:r>
    </w:p>
    <w:p>
      <w:pPr>
        <w:spacing w:after="0" w:line="188" w:lineRule="exact"/>
        <w:rPr>
          <w:sz w:val="20"/>
          <w:szCs w:val="20"/>
          <w:color w:val="auto"/>
        </w:rPr>
      </w:pPr>
    </w:p>
    <w:p>
      <w:pPr>
        <w:ind w:right="3800"/>
        <w:spacing w:after="0" w:line="266" w:lineRule="auto"/>
        <w:rPr>
          <w:sz w:val="20"/>
          <w:szCs w:val="20"/>
          <w:color w:val="auto"/>
        </w:rPr>
      </w:pPr>
      <w:r>
        <w:rPr>
          <w:rFonts w:ascii="Arial" w:cs="Arial" w:eastAsia="Arial" w:hAnsi="Arial"/>
          <w:sz w:val="18"/>
          <w:szCs w:val="18"/>
          <w:b w:val="1"/>
          <w:bCs w:val="1"/>
          <w:color w:val="auto"/>
        </w:rPr>
        <w:t xml:space="preserve">Item 2. Management’s Discussion and Analysis of Financial Condition and Results of Operations </w:t>
      </w:r>
      <w:r>
        <w:rPr>
          <w:rFonts w:ascii="Arial" w:cs="Arial" w:eastAsia="Arial" w:hAnsi="Arial"/>
          <w:sz w:val="18"/>
          <w:szCs w:val="18"/>
          <w:i w:val="1"/>
          <w:iCs w:val="1"/>
          <w:color w:val="auto"/>
        </w:rPr>
        <w:t>(dollars in millions, except per share data)</w:t>
      </w:r>
    </w:p>
    <w:p>
      <w:pPr>
        <w:spacing w:after="0" w:line="1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Overview</w:t>
      </w:r>
    </w:p>
    <w:p>
      <w:pPr>
        <w:spacing w:after="0" w:line="175" w:lineRule="exact"/>
        <w:rPr>
          <w:sz w:val="20"/>
          <w:szCs w:val="20"/>
          <w:color w:val="auto"/>
        </w:rPr>
      </w:pPr>
    </w:p>
    <w:p>
      <w:pPr>
        <w:ind w:right="100"/>
        <w:spacing w:after="0" w:line="257" w:lineRule="auto"/>
        <w:rPr>
          <w:sz w:val="20"/>
          <w:szCs w:val="20"/>
          <w:color w:val="auto"/>
        </w:rPr>
      </w:pPr>
      <w:r>
        <w:rPr>
          <w:rFonts w:ascii="Arial" w:cs="Arial" w:eastAsia="Arial" w:hAnsi="Arial"/>
          <w:sz w:val="17"/>
          <w:szCs w:val="17"/>
          <w:color w:val="auto"/>
        </w:rPr>
        <w:t>We manufacture alloy steel, as well as carbon and micro-alloy steel, with an annual melt capacity of approximately 1.2 million tons and shipment capacity of approximately 0.9 million tons. Our portfolio includes special bar quality (“SBQ”) bars, seamless mechanical tubing (“tubes”), manufactured components (formerly known as the "value-add" product type) such as precision steel components, and billets. In addition, we supply machining and thermal treatment services and manage raw material recycling programs, which are also used as a feeder system for our melt operations. Our products and services are used in a diverse range of demanding applications in the following market sectors: automotive; oil and gas; industrial equipment; mining; construction; rail; defense; heavy truck; agriculture; power generation; and oil country tubular goods (“OCTG”).</w:t>
      </w:r>
    </w:p>
    <w:p>
      <w:pPr>
        <w:spacing w:after="0" w:line="135" w:lineRule="exact"/>
        <w:rPr>
          <w:sz w:val="20"/>
          <w:szCs w:val="20"/>
          <w:color w:val="auto"/>
        </w:rPr>
      </w:pPr>
    </w:p>
    <w:p>
      <w:pPr>
        <w:ind w:right="100"/>
        <w:spacing w:after="0" w:line="262" w:lineRule="auto"/>
        <w:rPr>
          <w:sz w:val="20"/>
          <w:szCs w:val="20"/>
          <w:color w:val="auto"/>
        </w:rPr>
      </w:pPr>
      <w:r>
        <w:rPr>
          <w:rFonts w:ascii="Arial" w:cs="Arial" w:eastAsia="Arial" w:hAnsi="Arial"/>
          <w:sz w:val="17"/>
          <w:szCs w:val="17"/>
          <w:color w:val="auto"/>
        </w:rPr>
        <w:t>SBQ steel is made to restrictive chemical compositions and high internal purity levels and is used in critical mechanical applications. We make these products from nearly 100% recycled steel, using our expertise in raw materials to create custom steel products. We focus on creating tailored products and services for our customers’ most demanding applications. Our engineers are experts in both materials and applications, so we can work closely with each customer to deliver flexible solutions related to our products as well as to their applications and supply chains.</w:t>
      </w:r>
    </w:p>
    <w:p>
      <w:pPr>
        <w:spacing w:after="0" w:line="132" w:lineRule="exact"/>
        <w:rPr>
          <w:sz w:val="20"/>
          <w:szCs w:val="20"/>
          <w:color w:val="auto"/>
        </w:rPr>
      </w:pPr>
    </w:p>
    <w:p>
      <w:pPr>
        <w:ind w:right="60"/>
        <w:spacing w:after="0"/>
        <w:rPr>
          <w:sz w:val="20"/>
          <w:szCs w:val="20"/>
          <w:color w:val="auto"/>
        </w:rPr>
      </w:pPr>
      <w:r>
        <w:rPr>
          <w:rFonts w:ascii="Arial" w:cs="Arial" w:eastAsia="Arial" w:hAnsi="Arial"/>
          <w:sz w:val="18"/>
          <w:szCs w:val="18"/>
          <w:color w:val="auto"/>
        </w:rPr>
        <w:t>The SBQ bar, tube, and billet production processes take place at our Canton, Ohio manufacturing location. This location accounts for all of the SBQ bars, seamless mechanical tubes and billets we produce and includes three manufacturing facilities: the Faircrest, Harrison, and Gambrinus facilities. Our production of manufactured components takes place at two downstream manufacturing facilities: Tryon Peak (Columbus, North Carolina) and St. Clair (Eaton, Ohio). Many of the production processes are integrated, and the manufacturing facilities produce products that are sold in all of our market sectors. As a result, investments in our facilities and resource allocation decisions affecting our operations are designed to benefit the overall business, not any specific aspect of the business.</w:t>
      </w:r>
    </w:p>
    <w:p>
      <w:pPr>
        <w:spacing w:after="0" w:line="149" w:lineRule="exact"/>
        <w:rPr>
          <w:sz w:val="20"/>
          <w:szCs w:val="20"/>
          <w:color w:val="auto"/>
        </w:rPr>
      </w:pPr>
    </w:p>
    <w:p>
      <w:pPr>
        <w:ind w:right="120"/>
        <w:spacing w:after="0" w:line="261" w:lineRule="auto"/>
        <w:rPr>
          <w:sz w:val="20"/>
          <w:szCs w:val="20"/>
          <w:color w:val="auto"/>
        </w:rPr>
      </w:pPr>
      <w:r>
        <w:rPr>
          <w:rFonts w:ascii="Arial" w:cs="Arial" w:eastAsia="Arial" w:hAnsi="Arial"/>
          <w:sz w:val="18"/>
          <w:szCs w:val="18"/>
          <w:color w:val="auto"/>
        </w:rPr>
        <w:t>The lead time for our products varies based on product type and specifications. As of the date of this filing, lead times for SBQ bars and tubes are through the end of the third quarter of 2022.</w:t>
      </w:r>
    </w:p>
    <w:p>
      <w:pPr>
        <w:spacing w:after="0" w:line="130" w:lineRule="exact"/>
        <w:rPr>
          <w:sz w:val="20"/>
          <w:szCs w:val="20"/>
          <w:color w:val="auto"/>
        </w:rPr>
      </w:pPr>
    </w:p>
    <w:p>
      <w:pPr>
        <w:ind w:right="80"/>
        <w:spacing w:after="0" w:line="262" w:lineRule="auto"/>
        <w:rPr>
          <w:sz w:val="20"/>
          <w:szCs w:val="20"/>
          <w:color w:val="auto"/>
        </w:rPr>
      </w:pPr>
      <w:r>
        <w:rPr>
          <w:rFonts w:ascii="Arial" w:cs="Arial" w:eastAsia="Arial" w:hAnsi="Arial"/>
          <w:sz w:val="17"/>
          <w:szCs w:val="17"/>
          <w:color w:val="auto"/>
        </w:rPr>
        <w:t>We conduct our business activities and report financial results as one business segment. The presentation of financial results as one reportable segment is consistent with the way we operate our business and is consistent with the manner in which the CODM evaluates performance and makes resource and operating decisions for the business as described above. Furthermore, the Company notes that monitoring financial results as one reportable segment helps the CODM manage costs on a consolidated basis, consistent with the integrated nature of our operations.</w:t>
      </w:r>
    </w:p>
    <w:p>
      <w:pPr>
        <w:spacing w:after="0" w:line="1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Impact of Raw Material Prices</w:t>
      </w:r>
    </w:p>
    <w:p>
      <w:pPr>
        <w:spacing w:after="0" w:line="175"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In the ordinary course of business, we are exposed to the volatility of the costs of our raw materials. For example, the current Russia-Ukraine conflict could exacerbate inflationary pressures throughout the global economy and lead to potential market disruptions, such as significant volatility in commodity prices and supply chain disruptions. Although our business has not been materially impacted by this conflict to date, it is difficult to predict the extent to which our operations, or those of our suppliers, will be impacted in the future.</w:t>
      </w:r>
    </w:p>
    <w:p>
      <w:pPr>
        <w:spacing w:after="0" w:line="147" w:lineRule="exact"/>
        <w:rPr>
          <w:sz w:val="20"/>
          <w:szCs w:val="20"/>
          <w:color w:val="auto"/>
        </w:rPr>
      </w:pPr>
    </w:p>
    <w:p>
      <w:pPr>
        <w:ind w:right="100"/>
        <w:spacing w:after="0" w:line="241" w:lineRule="auto"/>
        <w:rPr>
          <w:sz w:val="20"/>
          <w:szCs w:val="20"/>
          <w:color w:val="auto"/>
        </w:rPr>
      </w:pPr>
      <w:r>
        <w:rPr>
          <w:rFonts w:ascii="Arial" w:cs="Arial" w:eastAsia="Arial" w:hAnsi="Arial"/>
          <w:sz w:val="18"/>
          <w:szCs w:val="18"/>
          <w:color w:val="auto"/>
        </w:rPr>
        <w:t>Whenever possible, we manage our exposure to commodity risks primarily through the use of supplier pricing agreements that enable us to establish the purchase prices for certain inputs that are used in our manufacturing process. We utilize a raw material surcharge mechanism when pricing products to our customers, which is designed to mitigate the impact of increases or decreases in raw material costs, although generally with a lag effect. This timing effect can result in raw material spread whereby costs can be over- or under-recovered in certain periods. While the surcharge generally protects gross profit, it has the effect of diluting gross margin as a percent of sales.</w:t>
      </w:r>
    </w:p>
    <w:p>
      <w:pPr>
        <w:spacing w:after="0" w:line="17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336550</wp:posOffset>
            </wp:positionV>
            <wp:extent cx="7157720"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125" w:right="359" w:bottom="1440" w:gutter="0" w:footer="0" w:header="0"/>
        </w:sectPr>
      </w:pPr>
    </w:p>
    <w:bookmarkStart w:id="18" w:name="page19"/>
    <w:bookmarkEnd w:id="1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810895" cy="8255"/>
                    </a:xfrm>
                    <a:prstGeom prst="rect">
                      <a:avLst/>
                    </a:prstGeom>
                    <a:noFill/>
                  </pic:spPr>
                </pic:pic>
              </a:graphicData>
            </a:graphic>
          </wp:anchor>
        </w:drawing>
      </w:r>
    </w:p>
    <w:p>
      <w:pPr>
        <w:spacing w:after="0" w:line="3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Sales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The charts below present net sales and shipments for the three months ended March 31, 2022 and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536575</wp:posOffset>
            </wp:positionH>
            <wp:positionV relativeFrom="paragraph">
              <wp:posOffset>134620</wp:posOffset>
            </wp:positionV>
            <wp:extent cx="6214745" cy="199707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6214745" cy="19970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spacing w:after="0" w:line="238" w:lineRule="auto"/>
        <w:rPr>
          <w:sz w:val="20"/>
          <w:szCs w:val="20"/>
          <w:color w:val="auto"/>
        </w:rPr>
      </w:pPr>
      <w:r>
        <w:rPr>
          <w:rFonts w:ascii="Arial" w:cs="Arial" w:eastAsia="Arial" w:hAnsi="Arial"/>
          <w:sz w:val="18"/>
          <w:szCs w:val="18"/>
          <w:color w:val="auto"/>
        </w:rPr>
        <w:t>Net sales for the three months ended March 31, 2022 were $352.0 million, an increase of $78.4 million, or 28.7% compared with the three months ended March 31, 2021. The increase in net sales was driven by an increase in surcharges, favorable price/mix, and higher volumes. The increase in surcharges of $41.0 million was due to higher market prices for scrap and alloys. Favorable price/mix of $32.2 million was primarily due to higher base prices across all end-market sectors, as well as an improvement of mix within all end-market sectors. Higher volumes of three thousand ship tons resulted in a net sales increase of $5.2 million, primarily due to increased customer demand in the industrial and energy end-market sectors. The overall increase in volume was partially offset by decreased ship tons in the mobile end-market sector, primarily driven by the semiconductor chip shortage, which caused an approximate six thousand ton decrease in expected ship tons for the three months ended March 31, 2022. Excluding surcharges, net sales increased $37.4 million or 18.2%.</w:t>
      </w:r>
    </w:p>
    <w:p>
      <w:pPr>
        <w:spacing w:after="0" w:line="38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336550</wp:posOffset>
            </wp:positionV>
            <wp:extent cx="7157720"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40"/>
          </w:cols>
          <w:pgMar w:left="320" w:top="125" w:right="439" w:bottom="1440" w:gutter="0" w:footer="0" w:header="0"/>
        </w:sectPr>
      </w:pPr>
    </w:p>
    <w:bookmarkStart w:id="19" w:name="page20"/>
    <w:bookmarkEnd w:id="1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810895" cy="8255"/>
                    </a:xfrm>
                    <a:prstGeom prst="rect">
                      <a:avLst/>
                    </a:prstGeom>
                    <a:noFill/>
                  </pic:spPr>
                </pic:pic>
              </a:graphicData>
            </a:graphic>
          </wp:anchor>
        </w:drawing>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Profit</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The chart below presents the drivers of the gross profit variance from the three months ended March 31, 2021 to March 31,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262255</wp:posOffset>
            </wp:positionH>
            <wp:positionV relativeFrom="paragraph">
              <wp:posOffset>134620</wp:posOffset>
            </wp:positionV>
            <wp:extent cx="6583680" cy="294005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6583680" cy="29400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spacing w:after="0" w:line="279" w:lineRule="auto"/>
        <w:rPr>
          <w:sz w:val="20"/>
          <w:szCs w:val="20"/>
          <w:color w:val="auto"/>
        </w:rPr>
      </w:pPr>
      <w:r>
        <w:rPr>
          <w:rFonts w:ascii="Arial" w:cs="Arial" w:eastAsia="Arial" w:hAnsi="Arial"/>
          <w:sz w:val="16"/>
          <w:szCs w:val="16"/>
          <w:color w:val="auto"/>
        </w:rPr>
        <w:t>Gross profit for the three months ended March 31, 2022 increased $29.3 million, or 95.4% compared with the three months ended March 31, 2021. The increase was driven by favorable price/mix and increased volume, partially offset by unfavorable raw material spread. Favorable price/mix was due to higher base prices across all end-market sectors, as well as an improvement of mix within all end-market sectors. The increase in volume was due to higher customer demand in the industrial and energy end-market sectors, partially offset by lower mobile end-market shipments, primarily driven by the semiconductor chip shortage. These increases were partially offset by unfavorable raw material spread due to lower scrap and alloy spreads.</w:t>
      </w:r>
    </w:p>
    <w:p>
      <w:pPr>
        <w:spacing w:after="0" w:line="34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336550</wp:posOffset>
            </wp:positionV>
            <wp:extent cx="7157720"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125" w:right="379" w:bottom="1440" w:gutter="0" w:footer="0" w:header="0"/>
        </w:sectPr>
      </w:pPr>
    </w:p>
    <w:bookmarkStart w:id="20" w:name="page21"/>
    <w:bookmarkEnd w:id="2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810895" cy="8255"/>
                    </a:xfrm>
                    <a:prstGeom prst="rect">
                      <a:avLst/>
                    </a:prstGeom>
                    <a:noFill/>
                  </pic:spPr>
                </pic:pic>
              </a:graphicData>
            </a:graphic>
          </wp:anchor>
        </w:drawing>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Selling, General and Administrative Expenses</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The charts below present selling, general and administrative (“SG&amp;A”) expense for the three months ended March 31, 2022 and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2096770</wp:posOffset>
            </wp:positionH>
            <wp:positionV relativeFrom="paragraph">
              <wp:posOffset>117475</wp:posOffset>
            </wp:positionV>
            <wp:extent cx="2914650" cy="236601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2914650" cy="23660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right="400"/>
        <w:spacing w:after="0" w:line="261" w:lineRule="auto"/>
        <w:rPr>
          <w:sz w:val="20"/>
          <w:szCs w:val="20"/>
          <w:color w:val="auto"/>
        </w:rPr>
      </w:pPr>
      <w:r>
        <w:rPr>
          <w:rFonts w:ascii="Arial" w:cs="Arial" w:eastAsia="Arial" w:hAnsi="Arial"/>
          <w:sz w:val="18"/>
          <w:szCs w:val="18"/>
          <w:color w:val="auto"/>
        </w:rPr>
        <w:t>SG&amp;A expense for the three months ended March 31, 2022 decreased by $1.0 million, or 5.1% compared with the March 31, 2021. This decrease was primarily due to lower employee expense as a result of prior restructuring actions.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Restructuring Charges</w:t>
      </w:r>
    </w:p>
    <w:p>
      <w:pPr>
        <w:spacing w:after="0" w:line="171" w:lineRule="exact"/>
        <w:rPr>
          <w:sz w:val="20"/>
          <w:szCs w:val="20"/>
          <w:color w:val="auto"/>
        </w:rPr>
      </w:pPr>
    </w:p>
    <w:p>
      <w:pPr>
        <w:ind w:right="40"/>
        <w:spacing w:after="0" w:line="259" w:lineRule="auto"/>
        <w:rPr>
          <w:sz w:val="20"/>
          <w:szCs w:val="20"/>
          <w:color w:val="auto"/>
        </w:rPr>
      </w:pPr>
      <w:r>
        <w:rPr>
          <w:rFonts w:ascii="Arial" w:cs="Arial" w:eastAsia="Arial" w:hAnsi="Arial"/>
          <w:sz w:val="17"/>
          <w:szCs w:val="17"/>
          <w:color w:val="auto"/>
        </w:rPr>
        <w:t>Over the past several years, TimkenSteel has made numerous organizational changes to enhance profitable and sustainable growth. These company-wide actions included the restructuring of its business support functions, the reduction of management layers throughout the organization and other domestic and international actions to further improve the Company’s overall cost structure. Restructuring charges totaled $0.4 million for the three months ended March 31, 2022 compared with restructuring charges of $0.5 million for the three months ended March 31, 2021. Refer to “Note 4 - Restructuring Charges” in the Notes to the unaudited Consolidated Financial Statements for additional information.</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Impairment Charges</w:t>
      </w:r>
    </w:p>
    <w:p>
      <w:pPr>
        <w:spacing w:after="0" w:line="198" w:lineRule="exact"/>
        <w:rPr>
          <w:sz w:val="20"/>
          <w:szCs w:val="20"/>
          <w:color w:val="auto"/>
        </w:rPr>
      </w:pPr>
    </w:p>
    <w:p>
      <w:pPr>
        <w:ind w:right="480"/>
        <w:spacing w:after="0" w:line="270" w:lineRule="auto"/>
        <w:rPr>
          <w:sz w:val="20"/>
          <w:szCs w:val="20"/>
          <w:color w:val="auto"/>
        </w:rPr>
      </w:pPr>
      <w:r>
        <w:rPr>
          <w:rFonts w:ascii="Arial" w:cs="Arial" w:eastAsia="Arial" w:hAnsi="Arial"/>
          <w:sz w:val="17"/>
          <w:szCs w:val="17"/>
          <w:color w:val="auto"/>
        </w:rPr>
        <w:t>TimkenSteel recorded no impairment charges for the three months ended March 31, 2022. For the three months ended March 31, 2021, the Company recorded $8.2 million of impairment charges driven by $7.9 million related to the indefinite idling of our Harrison melt and casting assets. Other impairment charges in the prior year included $0.3 million related to the disposition of assets at our former TMS facility.</w:t>
      </w:r>
    </w:p>
    <w:p>
      <w:pPr>
        <w:spacing w:after="0" w:line="150" w:lineRule="exact"/>
        <w:rPr>
          <w:sz w:val="20"/>
          <w:szCs w:val="20"/>
          <w:color w:val="auto"/>
        </w:rPr>
      </w:pPr>
    </w:p>
    <w:p>
      <w:pPr>
        <w:ind w:right="880"/>
        <w:spacing w:after="0" w:line="422" w:lineRule="auto"/>
        <w:rPr>
          <w:sz w:val="20"/>
          <w:szCs w:val="20"/>
          <w:color w:val="auto"/>
        </w:rPr>
      </w:pPr>
      <w:r>
        <w:rPr>
          <w:rFonts w:ascii="Arial" w:cs="Arial" w:eastAsia="Arial" w:hAnsi="Arial"/>
          <w:sz w:val="18"/>
          <w:szCs w:val="18"/>
          <w:color w:val="auto"/>
        </w:rPr>
        <w:t xml:space="preserve">Refer to “Note 5 - Disposition of Non-Core Assets” in the Notes to the unaudited Consolidated Financial Statements for additional information. </w:t>
      </w:r>
      <w:r>
        <w:rPr>
          <w:rFonts w:ascii="Arial" w:cs="Arial" w:eastAsia="Arial" w:hAnsi="Arial"/>
          <w:sz w:val="18"/>
          <w:szCs w:val="18"/>
          <w:b w:val="1"/>
          <w:bCs w:val="1"/>
          <w:i w:val="1"/>
          <w:iCs w:val="1"/>
          <w:color w:val="auto"/>
        </w:rPr>
        <w:t>Interest Expense</w:t>
      </w:r>
    </w:p>
    <w:p>
      <w:pPr>
        <w:spacing w:after="0" w:line="1" w:lineRule="exact"/>
        <w:rPr>
          <w:sz w:val="20"/>
          <w:szCs w:val="20"/>
          <w:color w:val="auto"/>
        </w:rPr>
      </w:pPr>
    </w:p>
    <w:p>
      <w:pPr>
        <w:ind w:right="40"/>
        <w:spacing w:after="0" w:line="248" w:lineRule="auto"/>
        <w:rPr>
          <w:sz w:val="20"/>
          <w:szCs w:val="20"/>
          <w:color w:val="auto"/>
        </w:rPr>
      </w:pPr>
      <w:r>
        <w:rPr>
          <w:rFonts w:ascii="Arial" w:cs="Arial" w:eastAsia="Arial" w:hAnsi="Arial"/>
          <w:sz w:val="18"/>
          <w:szCs w:val="18"/>
          <w:color w:val="auto"/>
        </w:rPr>
        <w:t>Interest expense for the three months ended March 31, 2022 was $1.2 million, a decrease of $0.7 million, compared with the three months ended March 31, 2021. The decrease was due to a reduction in average outstanding borrowings. Refer to “Note 10 - Financing Arrangements” in the Notes to the unaudited Consolidated Financial Statements for additional information.</w:t>
      </w:r>
    </w:p>
    <w:p>
      <w:pPr>
        <w:spacing w:after="0" w:line="14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980" w:type="dxa"/>
            <w:vAlign w:val="bottom"/>
          </w:tcPr>
          <w:p>
            <w:pPr>
              <w:spacing w:after="0"/>
              <w:rPr>
                <w:sz w:val="20"/>
                <w:szCs w:val="20"/>
                <w:color w:val="auto"/>
              </w:rPr>
            </w:pPr>
            <w:r>
              <w:rPr>
                <w:rFonts w:ascii="Arial" w:cs="Arial" w:eastAsia="Arial" w:hAnsi="Arial"/>
                <w:sz w:val="18"/>
                <w:szCs w:val="18"/>
                <w:b w:val="1"/>
                <w:bCs w:val="1"/>
                <w:i w:val="1"/>
                <w:iCs w:val="1"/>
                <w:color w:val="auto"/>
              </w:rPr>
              <w:t>Other (Income) Expense, net</w:t>
            </w:r>
          </w:p>
        </w:tc>
        <w:tc>
          <w:tcPr>
            <w:tcW w:w="23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346"/>
        </w:trPr>
        <w:tc>
          <w:tcPr>
            <w:tcW w:w="498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2700" w:type="dxa"/>
            <w:vAlign w:val="bottom"/>
            <w:gridSpan w:val="4"/>
          </w:tcPr>
          <w:p>
            <w:pPr>
              <w:jc w:val="right"/>
              <w:spacing w:after="0"/>
              <w:rPr>
                <w:sz w:val="20"/>
                <w:szCs w:val="20"/>
                <w:color w:val="auto"/>
              </w:rPr>
            </w:pPr>
            <w:r>
              <w:rPr>
                <w:rFonts w:ascii="Arial" w:cs="Arial" w:eastAsia="Arial" w:hAnsi="Arial"/>
                <w:sz w:val="18"/>
                <w:szCs w:val="18"/>
                <w:b w:val="1"/>
                <w:bCs w:val="1"/>
                <w:color w:val="auto"/>
                <w:w w:val="98"/>
              </w:rPr>
              <w:t>Three Months Ended March 31,</w:t>
            </w:r>
          </w:p>
        </w:tc>
        <w:tc>
          <w:tcPr>
            <w:tcW w:w="1220" w:type="dxa"/>
            <w:vAlign w:val="bottom"/>
          </w:tcPr>
          <w:p>
            <w:pPr>
              <w:spacing w:after="0"/>
              <w:rPr>
                <w:sz w:val="24"/>
                <w:szCs w:val="24"/>
                <w:color w:val="auto"/>
              </w:rPr>
            </w:pPr>
          </w:p>
        </w:tc>
      </w:tr>
      <w:tr>
        <w:trPr>
          <w:trHeight w:val="221"/>
        </w:trPr>
        <w:tc>
          <w:tcPr>
            <w:tcW w:w="4980" w:type="dxa"/>
            <w:vAlign w:val="bottom"/>
            <w:tcBorders>
              <w:bottom w:val="single" w:sz="8" w:color="auto"/>
            </w:tcBorders>
          </w:tcPr>
          <w:p>
            <w:pPr>
              <w:spacing w:after="0"/>
              <w:rPr>
                <w:sz w:val="19"/>
                <w:szCs w:val="19"/>
                <w:color w:val="auto"/>
              </w:rPr>
            </w:pPr>
          </w:p>
        </w:tc>
        <w:tc>
          <w:tcPr>
            <w:tcW w:w="23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2022</w:t>
            </w:r>
          </w:p>
        </w:tc>
        <w:tc>
          <w:tcPr>
            <w:tcW w:w="64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ind w:right="610"/>
              <w:spacing w:after="0"/>
              <w:rPr>
                <w:sz w:val="20"/>
                <w:szCs w:val="20"/>
                <w:color w:val="auto"/>
              </w:rPr>
            </w:pPr>
            <w:r>
              <w:rPr>
                <w:rFonts w:ascii="Arial" w:cs="Arial" w:eastAsia="Arial" w:hAnsi="Arial"/>
                <w:sz w:val="18"/>
                <w:szCs w:val="18"/>
                <w:b w:val="1"/>
                <w:bCs w:val="1"/>
                <w:color w:val="auto"/>
              </w:rPr>
              <w:t>2021</w:t>
            </w:r>
          </w:p>
        </w:tc>
        <w:tc>
          <w:tcPr>
            <w:tcW w:w="40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w w:val="91"/>
              </w:rPr>
              <w:t>$ Change</w:t>
            </w:r>
          </w:p>
        </w:tc>
      </w:tr>
      <w:tr>
        <w:trPr>
          <w:trHeight w:val="196"/>
        </w:trPr>
        <w:tc>
          <w:tcPr>
            <w:tcW w:w="498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Pension and postretirement non-service benefit (income) loss</w:t>
            </w:r>
          </w:p>
        </w:tc>
        <w:tc>
          <w:tcPr>
            <w:tcW w:w="2340" w:type="dxa"/>
            <w:vAlign w:val="bottom"/>
            <w:shd w:val="clear" w:color="auto" w:fill="CFF0FC"/>
          </w:tcPr>
          <w:p>
            <w:pPr>
              <w:jc w:val="right"/>
              <w:ind w:right="810"/>
              <w:spacing w:after="0" w:line="196" w:lineRule="exact"/>
              <w:rPr>
                <w:sz w:val="20"/>
                <w:szCs w:val="20"/>
                <w:color w:val="auto"/>
              </w:rPr>
            </w:pPr>
            <w:r>
              <w:rPr>
                <w:rFonts w:ascii="Arial" w:cs="Arial" w:eastAsia="Arial" w:hAnsi="Arial"/>
                <w:sz w:val="18"/>
                <w:szCs w:val="18"/>
                <w:b w:val="1"/>
                <w:bCs w:val="1"/>
                <w:color w:val="auto"/>
              </w:rPr>
              <w:t>$</w:t>
            </w:r>
          </w:p>
        </w:tc>
        <w:tc>
          <w:tcPr>
            <w:tcW w:w="64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b w:val="1"/>
                <w:bCs w:val="1"/>
                <w:color w:val="auto"/>
              </w:rPr>
              <w:t>(8.7 )</w:t>
            </w:r>
          </w:p>
        </w:tc>
        <w:tc>
          <w:tcPr>
            <w:tcW w:w="380" w:type="dxa"/>
            <w:vAlign w:val="bottom"/>
            <w:shd w:val="clear" w:color="auto" w:fill="CFF0FC"/>
          </w:tcPr>
          <w:p>
            <w:pPr>
              <w:jc w:val="right"/>
              <w:ind w:right="110"/>
              <w:spacing w:after="0" w:line="196" w:lineRule="exact"/>
              <w:rPr>
                <w:sz w:val="20"/>
                <w:szCs w:val="20"/>
                <w:color w:val="auto"/>
              </w:rPr>
            </w:pPr>
            <w:r>
              <w:rPr>
                <w:rFonts w:ascii="Arial" w:cs="Arial" w:eastAsia="Arial" w:hAnsi="Arial"/>
                <w:sz w:val="18"/>
                <w:szCs w:val="18"/>
                <w:color w:val="auto"/>
              </w:rPr>
              <w:t>$</w:t>
            </w:r>
          </w:p>
        </w:tc>
        <w:tc>
          <w:tcPr>
            <w:tcW w:w="128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(9.6 )</w:t>
            </w:r>
          </w:p>
        </w:tc>
        <w:tc>
          <w:tcPr>
            <w:tcW w:w="400" w:type="dxa"/>
            <w:vAlign w:val="bottom"/>
            <w:shd w:val="clear" w:color="auto" w:fill="CFF0FC"/>
          </w:tcPr>
          <w:p>
            <w:pPr>
              <w:jc w:val="right"/>
              <w:ind w:right="130"/>
              <w:spacing w:after="0" w:line="196" w:lineRule="exact"/>
              <w:rPr>
                <w:sz w:val="20"/>
                <w:szCs w:val="20"/>
                <w:color w:val="auto"/>
              </w:rPr>
            </w:pPr>
            <w:r>
              <w:rPr>
                <w:rFonts w:ascii="Arial" w:cs="Arial" w:eastAsia="Arial" w:hAnsi="Arial"/>
                <w:sz w:val="18"/>
                <w:szCs w:val="18"/>
                <w:color w:val="auto"/>
              </w:rPr>
              <w:t>$</w:t>
            </w:r>
          </w:p>
        </w:tc>
        <w:tc>
          <w:tcPr>
            <w:tcW w:w="122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0.9</w:t>
            </w:r>
          </w:p>
        </w:tc>
      </w:tr>
      <w:tr>
        <w:trPr>
          <w:trHeight w:val="203"/>
        </w:trPr>
        <w:tc>
          <w:tcPr>
            <w:tcW w:w="4980" w:type="dxa"/>
            <w:vAlign w:val="bottom"/>
            <w:tcBorders>
              <w:bottom w:val="single" w:sz="8" w:color="auto"/>
            </w:tcBorders>
          </w:tcPr>
          <w:p>
            <w:pPr>
              <w:ind w:left="20"/>
              <w:spacing w:after="0" w:line="202" w:lineRule="exact"/>
              <w:rPr>
                <w:sz w:val="20"/>
                <w:szCs w:val="20"/>
                <w:color w:val="auto"/>
              </w:rPr>
            </w:pPr>
            <w:r>
              <w:rPr>
                <w:rFonts w:ascii="Arial" w:cs="Arial" w:eastAsia="Arial" w:hAnsi="Arial"/>
                <w:sz w:val="18"/>
                <w:szCs w:val="18"/>
                <w:color w:val="auto"/>
              </w:rPr>
              <w:t>Loss (gain) from remeasurement benefit plan</w:t>
            </w:r>
          </w:p>
        </w:tc>
        <w:tc>
          <w:tcPr>
            <w:tcW w:w="234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b w:val="1"/>
                <w:bCs w:val="1"/>
                <w:color w:val="auto"/>
              </w:rPr>
              <w:t>(6.5 )</w:t>
            </w:r>
          </w:p>
        </w:tc>
        <w:tc>
          <w:tcPr>
            <w:tcW w:w="38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jc w:val="right"/>
              <w:ind w:right="70"/>
              <w:spacing w:after="0" w:line="202" w:lineRule="exact"/>
              <w:rPr>
                <w:sz w:val="20"/>
                <w:szCs w:val="20"/>
                <w:color w:val="auto"/>
              </w:rPr>
            </w:pPr>
            <w:r>
              <w:rPr>
                <w:rFonts w:ascii="Arial" w:cs="Arial" w:eastAsia="Arial" w:hAnsi="Arial"/>
                <w:sz w:val="18"/>
                <w:szCs w:val="18"/>
                <w:color w:val="auto"/>
              </w:rPr>
              <w:t>0.2</w:t>
            </w:r>
          </w:p>
        </w:tc>
        <w:tc>
          <w:tcPr>
            <w:tcW w:w="40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(6.7 )</w:t>
            </w:r>
          </w:p>
        </w:tc>
      </w:tr>
      <w:tr>
        <w:trPr>
          <w:trHeight w:val="196"/>
        </w:trPr>
        <w:tc>
          <w:tcPr>
            <w:tcW w:w="4980" w:type="dxa"/>
            <w:vAlign w:val="bottom"/>
            <w:tcBorders>
              <w:bottom w:val="single" w:sz="8" w:color="auto"/>
            </w:tcBorders>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Total other (income) expense, net</w:t>
            </w:r>
          </w:p>
        </w:tc>
        <w:tc>
          <w:tcPr>
            <w:tcW w:w="2340" w:type="dxa"/>
            <w:vAlign w:val="bottom"/>
            <w:tcBorders>
              <w:bottom w:val="single" w:sz="8" w:color="auto"/>
            </w:tcBorders>
            <w:shd w:val="clear" w:color="auto" w:fill="CFF0FC"/>
          </w:tcPr>
          <w:p>
            <w:pPr>
              <w:jc w:val="right"/>
              <w:ind w:right="810"/>
              <w:spacing w:after="0" w:line="196" w:lineRule="exact"/>
              <w:rPr>
                <w:sz w:val="20"/>
                <w:szCs w:val="20"/>
                <w:color w:val="auto"/>
              </w:rPr>
            </w:pPr>
            <w:r>
              <w:rPr>
                <w:rFonts w:ascii="Arial" w:cs="Arial" w:eastAsia="Arial" w:hAnsi="Arial"/>
                <w:sz w:val="18"/>
                <w:szCs w:val="18"/>
                <w:b w:val="1"/>
                <w:bCs w:val="1"/>
                <w:color w:val="auto"/>
              </w:rPr>
              <w:t>$</w:t>
            </w:r>
          </w:p>
        </w:tc>
        <w:tc>
          <w:tcPr>
            <w:tcW w:w="64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b w:val="1"/>
                <w:bCs w:val="1"/>
                <w:color w:val="auto"/>
              </w:rPr>
              <w:t>(15.2 )</w:t>
            </w:r>
          </w:p>
        </w:tc>
        <w:tc>
          <w:tcPr>
            <w:tcW w:w="380" w:type="dxa"/>
            <w:vAlign w:val="bottom"/>
            <w:tcBorders>
              <w:bottom w:val="single" w:sz="8" w:color="auto"/>
            </w:tcBorders>
            <w:shd w:val="clear" w:color="auto" w:fill="CFF0FC"/>
          </w:tcPr>
          <w:p>
            <w:pPr>
              <w:jc w:val="right"/>
              <w:ind w:right="110"/>
              <w:spacing w:after="0" w:line="196" w:lineRule="exact"/>
              <w:rPr>
                <w:sz w:val="20"/>
                <w:szCs w:val="20"/>
                <w:color w:val="auto"/>
              </w:rPr>
            </w:pPr>
            <w:r>
              <w:rPr>
                <w:rFonts w:ascii="Arial" w:cs="Arial" w:eastAsia="Arial" w:hAnsi="Arial"/>
                <w:sz w:val="18"/>
                <w:szCs w:val="18"/>
                <w:color w:val="auto"/>
              </w:rPr>
              <w:t>$</w:t>
            </w:r>
          </w:p>
        </w:tc>
        <w:tc>
          <w:tcPr>
            <w:tcW w:w="128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(9.4 )</w:t>
            </w:r>
          </w:p>
        </w:tc>
        <w:tc>
          <w:tcPr>
            <w:tcW w:w="400" w:type="dxa"/>
            <w:vAlign w:val="bottom"/>
            <w:tcBorders>
              <w:bottom w:val="single" w:sz="8" w:color="auto"/>
            </w:tcBorders>
            <w:shd w:val="clear" w:color="auto" w:fill="CFF0FC"/>
          </w:tcPr>
          <w:p>
            <w:pPr>
              <w:jc w:val="right"/>
              <w:ind w:right="130"/>
              <w:spacing w:after="0" w:line="196" w:lineRule="exact"/>
              <w:rPr>
                <w:sz w:val="20"/>
                <w:szCs w:val="20"/>
                <w:color w:val="auto"/>
              </w:rPr>
            </w:pPr>
            <w:r>
              <w:rPr>
                <w:rFonts w:ascii="Arial" w:cs="Arial" w:eastAsia="Arial" w:hAnsi="Arial"/>
                <w:sz w:val="18"/>
                <w:szCs w:val="18"/>
                <w:color w:val="auto"/>
              </w:rPr>
              <w:t>$</w:t>
            </w:r>
          </w:p>
        </w:tc>
        <w:tc>
          <w:tcPr>
            <w:tcW w:w="122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(5.8 )</w:t>
            </w:r>
          </w:p>
        </w:tc>
      </w:tr>
      <w:tr>
        <w:trPr>
          <w:trHeight w:val="412"/>
        </w:trPr>
        <w:tc>
          <w:tcPr>
            <w:tcW w:w="4980" w:type="dxa"/>
            <w:vAlign w:val="bottom"/>
          </w:tcPr>
          <w:p>
            <w:pPr>
              <w:spacing w:after="0"/>
              <w:rPr>
                <w:sz w:val="24"/>
                <w:szCs w:val="24"/>
                <w:color w:val="auto"/>
              </w:rPr>
            </w:pPr>
          </w:p>
        </w:tc>
        <w:tc>
          <w:tcPr>
            <w:tcW w:w="2340" w:type="dxa"/>
            <w:vAlign w:val="bottom"/>
          </w:tcPr>
          <w:p>
            <w:pPr>
              <w:jc w:val="right"/>
              <w:ind w:right="1510"/>
              <w:spacing w:after="0"/>
              <w:rPr>
                <w:sz w:val="20"/>
                <w:szCs w:val="20"/>
                <w:color w:val="auto"/>
              </w:rPr>
            </w:pPr>
            <w:r>
              <w:rPr>
                <w:rFonts w:ascii="Arial" w:cs="Arial" w:eastAsia="Arial" w:hAnsi="Arial"/>
                <w:sz w:val="18"/>
                <w:szCs w:val="18"/>
                <w:color w:val="auto"/>
              </w:rPr>
              <w:t>21</w:t>
            </w:r>
          </w:p>
        </w:tc>
        <w:tc>
          <w:tcPr>
            <w:tcW w:w="6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534"/>
        </w:trPr>
        <w:tc>
          <w:tcPr>
            <w:tcW w:w="4980" w:type="dxa"/>
            <w:vAlign w:val="bottom"/>
            <w:tcBorders>
              <w:bottom w:val="single" w:sz="8" w:color="9A9A9A"/>
            </w:tcBorders>
          </w:tcPr>
          <w:p>
            <w:pPr>
              <w:spacing w:after="0"/>
              <w:rPr>
                <w:sz w:val="24"/>
                <w:szCs w:val="24"/>
                <w:color w:val="auto"/>
              </w:rPr>
            </w:pPr>
          </w:p>
        </w:tc>
        <w:tc>
          <w:tcPr>
            <w:tcW w:w="2340" w:type="dxa"/>
            <w:vAlign w:val="bottom"/>
            <w:tcBorders>
              <w:bottom w:val="single" w:sz="8" w:color="9A9A9A"/>
            </w:tcBorders>
          </w:tcPr>
          <w:p>
            <w:pPr>
              <w:spacing w:after="0"/>
              <w:rPr>
                <w:sz w:val="24"/>
                <w:szCs w:val="24"/>
                <w:color w:val="auto"/>
              </w:rPr>
            </w:pPr>
          </w:p>
        </w:tc>
        <w:tc>
          <w:tcPr>
            <w:tcW w:w="64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1280" w:type="dxa"/>
            <w:vAlign w:val="bottom"/>
            <w:tcBorders>
              <w:bottom w:val="single" w:sz="8" w:color="9A9A9A"/>
            </w:tcBorders>
          </w:tcPr>
          <w:p>
            <w:pPr>
              <w:spacing w:after="0"/>
              <w:rPr>
                <w:sz w:val="24"/>
                <w:szCs w:val="24"/>
                <w:color w:val="auto"/>
              </w:rPr>
            </w:pPr>
          </w:p>
        </w:tc>
        <w:tc>
          <w:tcPr>
            <w:tcW w:w="400" w:type="dxa"/>
            <w:vAlign w:val="bottom"/>
            <w:tcBorders>
              <w:bottom w:val="single" w:sz="8" w:color="9A9A9A"/>
            </w:tcBorders>
          </w:tcPr>
          <w:p>
            <w:pPr>
              <w:spacing w:after="0"/>
              <w:rPr>
                <w:sz w:val="24"/>
                <w:szCs w:val="24"/>
                <w:color w:val="auto"/>
              </w:rPr>
            </w:pPr>
          </w:p>
        </w:tc>
        <w:tc>
          <w:tcPr>
            <w:tcW w:w="12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1" w:name="page22"/>
    <w:bookmarkEnd w:id="2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810895" cy="8890"/>
                    </a:xfrm>
                    <a:prstGeom prst="rect">
                      <a:avLst/>
                    </a:prstGeom>
                    <a:noFill/>
                  </pic:spPr>
                </pic:pic>
              </a:graphicData>
            </a:graphic>
          </wp:anchor>
        </w:drawing>
      </w:r>
    </w:p>
    <w:p>
      <w:pPr>
        <w:spacing w:after="0" w:line="367" w:lineRule="exact"/>
        <w:rPr>
          <w:sz w:val="20"/>
          <w:szCs w:val="20"/>
          <w:color w:val="auto"/>
        </w:rPr>
      </w:pPr>
    </w:p>
    <w:p>
      <w:pPr>
        <w:ind w:right="760"/>
        <w:spacing w:after="0" w:line="261" w:lineRule="auto"/>
        <w:rPr>
          <w:sz w:val="20"/>
          <w:szCs w:val="20"/>
          <w:color w:val="auto"/>
        </w:rPr>
      </w:pPr>
      <w:r>
        <w:rPr>
          <w:rFonts w:ascii="Arial" w:cs="Arial" w:eastAsia="Arial" w:hAnsi="Arial"/>
          <w:sz w:val="18"/>
          <w:szCs w:val="18"/>
          <w:color w:val="auto"/>
        </w:rPr>
        <w:t>Non-service related pension and other postretirement benefit income, for all years, consists of the interest cost, expected return on plan assets and amortization components of net periodic cost.</w:t>
      </w:r>
    </w:p>
    <w:p>
      <w:pPr>
        <w:spacing w:after="0" w:line="130" w:lineRule="exact"/>
        <w:rPr>
          <w:sz w:val="20"/>
          <w:szCs w:val="20"/>
          <w:color w:val="auto"/>
        </w:rPr>
      </w:pPr>
    </w:p>
    <w:p>
      <w:pPr>
        <w:spacing w:after="0" w:line="253" w:lineRule="auto"/>
        <w:rPr>
          <w:sz w:val="20"/>
          <w:szCs w:val="20"/>
          <w:color w:val="auto"/>
        </w:rPr>
      </w:pPr>
      <w:r>
        <w:rPr>
          <w:rFonts w:ascii="Arial" w:cs="Arial" w:eastAsia="Arial" w:hAnsi="Arial"/>
          <w:sz w:val="17"/>
          <w:szCs w:val="17"/>
          <w:color w:val="auto"/>
        </w:rPr>
        <w:t>The Supplemental Pension Plan of TimkenSteel Corporation ("Supplemental Plan") and the TimkenSteel Corporation Retirement Plan (“Salaried Plan”) have a provision that permits employees to elect to receive their pension benefits in a lump sum upon retirement. In the first quarter of 2022, the cumulative cost of all lump sum payments exceeded the sum of the service cost and interest cost components of net periodic pension cost for the Supplemental Plan. Additionally, the cumulative costs of all lump sum payments were projected to exceed the sum of the service costs and interest cost components of net periodic pension cost in 2022 for the Salaried Plan. As a result, the Company completed a full remeasurement of its pension obligations and plan assets associated with the Supplemental Plan and Salaried Plan during the first quarter of 2022, and is required to complete a full remeasurement of both plans each quarter for the remainder of 2022. A full remeasurement of the pension obligations and plan assets associated with the Salaried Plan was also required during each quarter of 2021. For more details on the remeasurement refer to "Note 6 - Other (Income) Expense, net" and “Note 11 - Retirement and Postretirement Plans” in the Notes to the unaudited Consolidated Financial Statements.</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360" w:type="dxa"/>
            <w:vAlign w:val="bottom"/>
          </w:tcPr>
          <w:p>
            <w:pPr>
              <w:spacing w:after="0"/>
              <w:rPr>
                <w:sz w:val="20"/>
                <w:szCs w:val="20"/>
                <w:color w:val="auto"/>
              </w:rPr>
            </w:pPr>
            <w:r>
              <w:rPr>
                <w:rFonts w:ascii="Arial" w:cs="Arial" w:eastAsia="Arial" w:hAnsi="Arial"/>
                <w:sz w:val="18"/>
                <w:szCs w:val="18"/>
                <w:b w:val="1"/>
                <w:bCs w:val="1"/>
                <w:i w:val="1"/>
                <w:iCs w:val="1"/>
                <w:color w:val="auto"/>
              </w:rPr>
              <w:t>Provision for Income Taxes</w:t>
            </w:r>
          </w:p>
        </w:tc>
        <w:tc>
          <w:tcPr>
            <w:tcW w:w="27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380" w:type="dxa"/>
            <w:vAlign w:val="bottom"/>
          </w:tcPr>
          <w:p>
            <w:pPr>
              <w:spacing w:after="0"/>
              <w:rPr>
                <w:sz w:val="20"/>
                <w:szCs w:val="20"/>
                <w:color w:val="auto"/>
              </w:rPr>
            </w:pPr>
          </w:p>
        </w:tc>
      </w:tr>
      <w:tr>
        <w:trPr>
          <w:trHeight w:val="346"/>
        </w:trPr>
        <w:tc>
          <w:tcPr>
            <w:tcW w:w="436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2740" w:type="dxa"/>
            <w:vAlign w:val="bottom"/>
            <w:gridSpan w:val="4"/>
          </w:tcPr>
          <w:p>
            <w:pPr>
              <w:jc w:val="center"/>
              <w:ind w:left="30"/>
              <w:spacing w:after="0"/>
              <w:rPr>
                <w:sz w:val="20"/>
                <w:szCs w:val="20"/>
                <w:color w:val="auto"/>
              </w:rPr>
            </w:pPr>
            <w:r>
              <w:rPr>
                <w:rFonts w:ascii="Arial" w:cs="Arial" w:eastAsia="Arial" w:hAnsi="Arial"/>
                <w:sz w:val="18"/>
                <w:szCs w:val="18"/>
                <w:b w:val="1"/>
                <w:bCs w:val="1"/>
                <w:color w:val="auto"/>
                <w:w w:val="92"/>
              </w:rPr>
              <w:t>Three Months Ended March 31,</w:t>
            </w:r>
          </w:p>
        </w:tc>
        <w:tc>
          <w:tcPr>
            <w:tcW w:w="1380" w:type="dxa"/>
            <w:vAlign w:val="bottom"/>
          </w:tcPr>
          <w:p>
            <w:pPr>
              <w:spacing w:after="0"/>
              <w:rPr>
                <w:sz w:val="24"/>
                <w:szCs w:val="24"/>
                <w:color w:val="auto"/>
              </w:rPr>
            </w:pPr>
          </w:p>
        </w:tc>
      </w:tr>
      <w:tr>
        <w:trPr>
          <w:trHeight w:val="221"/>
        </w:trPr>
        <w:tc>
          <w:tcPr>
            <w:tcW w:w="4360" w:type="dxa"/>
            <w:vAlign w:val="bottom"/>
            <w:tcBorders>
              <w:bottom w:val="single" w:sz="8" w:color="auto"/>
            </w:tcBorders>
          </w:tcPr>
          <w:p>
            <w:pPr>
              <w:spacing w:after="0"/>
              <w:rPr>
                <w:sz w:val="19"/>
                <w:szCs w:val="19"/>
                <w:color w:val="auto"/>
              </w:rPr>
            </w:pPr>
          </w:p>
        </w:tc>
        <w:tc>
          <w:tcPr>
            <w:tcW w:w="27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2022</w:t>
            </w:r>
          </w:p>
        </w:tc>
        <w:tc>
          <w:tcPr>
            <w:tcW w:w="66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690"/>
              <w:spacing w:after="0"/>
              <w:rPr>
                <w:sz w:val="20"/>
                <w:szCs w:val="20"/>
                <w:color w:val="auto"/>
              </w:rPr>
            </w:pPr>
            <w:r>
              <w:rPr>
                <w:rFonts w:ascii="Arial" w:cs="Arial" w:eastAsia="Arial" w:hAnsi="Arial"/>
                <w:sz w:val="18"/>
                <w:szCs w:val="18"/>
                <w:b w:val="1"/>
                <w:bCs w:val="1"/>
                <w:color w:val="auto"/>
              </w:rPr>
              <w:t>2021</w:t>
            </w:r>
          </w:p>
        </w:tc>
        <w:tc>
          <w:tcPr>
            <w:tcW w:w="34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ind w:left="80"/>
              <w:spacing w:after="0"/>
              <w:rPr>
                <w:sz w:val="20"/>
                <w:szCs w:val="20"/>
                <w:color w:val="auto"/>
              </w:rPr>
            </w:pPr>
            <w:r>
              <w:rPr>
                <w:rFonts w:ascii="Arial" w:cs="Arial" w:eastAsia="Arial" w:hAnsi="Arial"/>
                <w:sz w:val="18"/>
                <w:szCs w:val="18"/>
                <w:b w:val="1"/>
                <w:bCs w:val="1"/>
                <w:color w:val="auto"/>
              </w:rPr>
              <w:t>$ Change</w:t>
            </w:r>
          </w:p>
        </w:tc>
      </w:tr>
      <w:tr>
        <w:trPr>
          <w:trHeight w:val="196"/>
        </w:trPr>
        <w:tc>
          <w:tcPr>
            <w:tcW w:w="436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Provision (benefit) for income taxes</w:t>
            </w:r>
          </w:p>
        </w:tc>
        <w:tc>
          <w:tcPr>
            <w:tcW w:w="2760" w:type="dxa"/>
            <w:vAlign w:val="bottom"/>
            <w:shd w:val="clear" w:color="auto" w:fill="CFF0FC"/>
          </w:tcPr>
          <w:p>
            <w:pPr>
              <w:jc w:val="right"/>
              <w:ind w:right="850"/>
              <w:spacing w:after="0" w:line="196" w:lineRule="exact"/>
              <w:rPr>
                <w:sz w:val="20"/>
                <w:szCs w:val="20"/>
                <w:color w:val="auto"/>
              </w:rPr>
            </w:pPr>
            <w:r>
              <w:rPr>
                <w:rFonts w:ascii="Arial" w:cs="Arial" w:eastAsia="Arial" w:hAnsi="Arial"/>
                <w:sz w:val="18"/>
                <w:szCs w:val="18"/>
                <w:b w:val="1"/>
                <w:bCs w:val="1"/>
                <w:color w:val="auto"/>
              </w:rPr>
              <w:t>$</w:t>
            </w:r>
          </w:p>
        </w:tc>
        <w:tc>
          <w:tcPr>
            <w:tcW w:w="660" w:type="dxa"/>
            <w:vAlign w:val="bottom"/>
            <w:shd w:val="clear" w:color="auto" w:fill="CFF0FC"/>
          </w:tcPr>
          <w:p>
            <w:pPr>
              <w:ind w:left="140"/>
              <w:spacing w:after="0" w:line="196" w:lineRule="exact"/>
              <w:rPr>
                <w:sz w:val="20"/>
                <w:szCs w:val="20"/>
                <w:color w:val="auto"/>
              </w:rPr>
            </w:pPr>
            <w:r>
              <w:rPr>
                <w:rFonts w:ascii="Arial" w:cs="Arial" w:eastAsia="Arial" w:hAnsi="Arial"/>
                <w:sz w:val="18"/>
                <w:szCs w:val="18"/>
                <w:b w:val="1"/>
                <w:bCs w:val="1"/>
                <w:color w:val="auto"/>
              </w:rPr>
              <w:t>0.9</w:t>
            </w:r>
          </w:p>
        </w:tc>
        <w:tc>
          <w:tcPr>
            <w:tcW w:w="380" w:type="dxa"/>
            <w:vAlign w:val="bottom"/>
            <w:shd w:val="clear" w:color="auto" w:fill="CFF0FC"/>
          </w:tcPr>
          <w:p>
            <w:pPr>
              <w:jc w:val="right"/>
              <w:ind w:right="110"/>
              <w:spacing w:after="0" w:line="196" w:lineRule="exact"/>
              <w:rPr>
                <w:sz w:val="20"/>
                <w:szCs w:val="20"/>
                <w:color w:val="auto"/>
              </w:rPr>
            </w:pPr>
            <w:r>
              <w:rPr>
                <w:rFonts w:ascii="Arial" w:cs="Arial" w:eastAsia="Arial" w:hAnsi="Arial"/>
                <w:sz w:val="18"/>
                <w:szCs w:val="18"/>
                <w:color w:val="auto"/>
              </w:rPr>
              <w:t>$</w:t>
            </w:r>
          </w:p>
        </w:tc>
        <w:tc>
          <w:tcPr>
            <w:tcW w:w="1360" w:type="dxa"/>
            <w:vAlign w:val="bottom"/>
            <w:shd w:val="clear" w:color="auto" w:fill="CFF0FC"/>
          </w:tcPr>
          <w:p>
            <w:pPr>
              <w:ind w:left="860"/>
              <w:spacing w:after="0" w:line="196" w:lineRule="exact"/>
              <w:rPr>
                <w:sz w:val="20"/>
                <w:szCs w:val="20"/>
                <w:color w:val="auto"/>
              </w:rPr>
            </w:pPr>
            <w:r>
              <w:rPr>
                <w:rFonts w:ascii="Arial" w:cs="Arial" w:eastAsia="Arial" w:hAnsi="Arial"/>
                <w:sz w:val="18"/>
                <w:szCs w:val="18"/>
                <w:color w:val="auto"/>
              </w:rPr>
              <w:t>0.2</w:t>
            </w:r>
          </w:p>
        </w:tc>
        <w:tc>
          <w:tcPr>
            <w:tcW w:w="340" w:type="dxa"/>
            <w:vAlign w:val="bottom"/>
            <w:shd w:val="clear" w:color="auto" w:fill="CFF0FC"/>
          </w:tcPr>
          <w:p>
            <w:pPr>
              <w:jc w:val="right"/>
              <w:ind w:right="50"/>
              <w:spacing w:after="0" w:line="196" w:lineRule="exact"/>
              <w:rPr>
                <w:sz w:val="20"/>
                <w:szCs w:val="20"/>
                <w:color w:val="auto"/>
              </w:rPr>
            </w:pPr>
            <w:r>
              <w:rPr>
                <w:rFonts w:ascii="Arial" w:cs="Arial" w:eastAsia="Arial" w:hAnsi="Arial"/>
                <w:sz w:val="18"/>
                <w:szCs w:val="18"/>
                <w:color w:val="auto"/>
              </w:rPr>
              <w:t>$</w:t>
            </w:r>
          </w:p>
        </w:tc>
        <w:tc>
          <w:tcPr>
            <w:tcW w:w="1380" w:type="dxa"/>
            <w:vAlign w:val="bottom"/>
            <w:shd w:val="clear" w:color="auto" w:fill="CFF0FC"/>
          </w:tcPr>
          <w:p>
            <w:pPr>
              <w:ind w:left="920"/>
              <w:spacing w:after="0" w:line="196" w:lineRule="exact"/>
              <w:rPr>
                <w:sz w:val="20"/>
                <w:szCs w:val="20"/>
                <w:color w:val="auto"/>
              </w:rPr>
            </w:pPr>
            <w:r>
              <w:rPr>
                <w:rFonts w:ascii="Arial" w:cs="Arial" w:eastAsia="Arial" w:hAnsi="Arial"/>
                <w:sz w:val="18"/>
                <w:szCs w:val="18"/>
                <w:color w:val="auto"/>
              </w:rPr>
              <w:t>0.7</w:t>
            </w:r>
          </w:p>
        </w:tc>
      </w:tr>
      <w:tr>
        <w:trPr>
          <w:trHeight w:val="203"/>
        </w:trPr>
        <w:tc>
          <w:tcPr>
            <w:tcW w:w="4360" w:type="dxa"/>
            <w:vAlign w:val="bottom"/>
            <w:tcBorders>
              <w:bottom w:val="single" w:sz="8" w:color="auto"/>
            </w:tcBorders>
          </w:tcPr>
          <w:p>
            <w:pPr>
              <w:ind w:left="20"/>
              <w:spacing w:after="0" w:line="202" w:lineRule="exact"/>
              <w:rPr>
                <w:sz w:val="20"/>
                <w:szCs w:val="20"/>
                <w:color w:val="auto"/>
              </w:rPr>
            </w:pPr>
            <w:r>
              <w:rPr>
                <w:rFonts w:ascii="Arial" w:cs="Arial" w:eastAsia="Arial" w:hAnsi="Arial"/>
                <w:sz w:val="18"/>
                <w:szCs w:val="18"/>
                <w:color w:val="auto"/>
              </w:rPr>
              <w:t>Effective tax rate</w:t>
            </w:r>
          </w:p>
        </w:tc>
        <w:tc>
          <w:tcPr>
            <w:tcW w:w="276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ind w:left="140"/>
              <w:spacing w:after="0" w:line="202" w:lineRule="exact"/>
              <w:rPr>
                <w:sz w:val="20"/>
                <w:szCs w:val="20"/>
                <w:color w:val="auto"/>
              </w:rPr>
            </w:pPr>
            <w:r>
              <w:rPr>
                <w:rFonts w:ascii="Arial" w:cs="Arial" w:eastAsia="Arial" w:hAnsi="Arial"/>
                <w:sz w:val="18"/>
                <w:szCs w:val="18"/>
                <w:b w:val="1"/>
                <w:bCs w:val="1"/>
                <w:color w:val="auto"/>
              </w:rPr>
              <w:t>2.4 %</w:t>
            </w:r>
          </w:p>
        </w:tc>
        <w:tc>
          <w:tcPr>
            <w:tcW w:w="38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tcPr>
          <w:p>
            <w:pPr>
              <w:ind w:left="860"/>
              <w:spacing w:after="0" w:line="202" w:lineRule="exact"/>
              <w:rPr>
                <w:sz w:val="20"/>
                <w:szCs w:val="20"/>
                <w:color w:val="auto"/>
              </w:rPr>
            </w:pPr>
            <w:r>
              <w:rPr>
                <w:rFonts w:ascii="Arial" w:cs="Arial" w:eastAsia="Arial" w:hAnsi="Arial"/>
                <w:sz w:val="18"/>
                <w:szCs w:val="18"/>
                <w:color w:val="auto"/>
              </w:rPr>
              <w:t>2.0 %</w:t>
            </w:r>
          </w:p>
        </w:tc>
        <w:tc>
          <w:tcPr>
            <w:tcW w:w="340" w:type="dxa"/>
            <w:vAlign w:val="bottom"/>
            <w:tcBorders>
              <w:bottom w:val="single" w:sz="8" w:color="auto"/>
            </w:tcBorders>
          </w:tcPr>
          <w:p>
            <w:pPr>
              <w:spacing w:after="0"/>
              <w:rPr>
                <w:sz w:val="17"/>
                <w:szCs w:val="17"/>
                <w:color w:val="auto"/>
              </w:rPr>
            </w:pPr>
          </w:p>
        </w:tc>
        <w:tc>
          <w:tcPr>
            <w:tcW w:w="1380" w:type="dxa"/>
            <w:vAlign w:val="bottom"/>
            <w:tcBorders>
              <w:bottom w:val="single" w:sz="8" w:color="auto"/>
            </w:tcBorders>
          </w:tcPr>
          <w:p>
            <w:pPr>
              <w:ind w:left="920"/>
              <w:spacing w:after="0" w:line="202" w:lineRule="exact"/>
              <w:rPr>
                <w:sz w:val="20"/>
                <w:szCs w:val="20"/>
                <w:color w:val="auto"/>
              </w:rPr>
            </w:pPr>
            <w:r>
              <w:rPr>
                <w:rFonts w:ascii="Arial" w:cs="Arial" w:eastAsia="Arial" w:hAnsi="Arial"/>
                <w:sz w:val="18"/>
                <w:szCs w:val="18"/>
                <w:color w:val="auto"/>
                <w:w w:val="95"/>
              </w:rPr>
              <w:t>0.4 %</w:t>
            </w:r>
          </w:p>
        </w:tc>
      </w:tr>
    </w:tbl>
    <w:p>
      <w:pPr>
        <w:spacing w:after="0" w:line="188" w:lineRule="exact"/>
        <w:rPr>
          <w:sz w:val="20"/>
          <w:szCs w:val="20"/>
          <w:color w:val="auto"/>
        </w:rPr>
      </w:pPr>
    </w:p>
    <w:p>
      <w:pPr>
        <w:spacing w:after="0"/>
        <w:rPr>
          <w:sz w:val="20"/>
          <w:szCs w:val="20"/>
          <w:color w:val="auto"/>
        </w:rPr>
      </w:pPr>
      <w:r>
        <w:rPr>
          <w:rFonts w:ascii="Arial" w:cs="Arial" w:eastAsia="Arial" w:hAnsi="Arial"/>
          <w:sz w:val="16"/>
          <w:szCs w:val="16"/>
          <w:color w:val="auto"/>
        </w:rPr>
        <w:t>The majority of the Company’s income tax expense is derived from domestic state and local taxes. The Company remains in a full valuation for the U.S.</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jurisdiction for the three months ended March 31, 2022 and March 31, 2021.</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336550</wp:posOffset>
            </wp:positionV>
            <wp:extent cx="7157720" cy="425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2" w:name="page23"/>
    <w:bookmarkEnd w:id="2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810895" cy="8890"/>
                    </a:xfrm>
                    <a:prstGeom prst="rect">
                      <a:avLst/>
                    </a:prstGeom>
                    <a:noFill/>
                  </pic:spPr>
                </pic:pic>
              </a:graphicData>
            </a:graphic>
          </wp:anchor>
        </w:drawing>
      </w:r>
    </w:p>
    <w:p>
      <w:pPr>
        <w:spacing w:after="0" w:line="3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Financial Measures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Sales, Excluding Surcharges</w:t>
      </w:r>
    </w:p>
    <w:p>
      <w:pPr>
        <w:spacing w:after="0" w:line="171" w:lineRule="exact"/>
        <w:rPr>
          <w:sz w:val="20"/>
          <w:szCs w:val="20"/>
          <w:color w:val="auto"/>
        </w:rPr>
      </w:pPr>
    </w:p>
    <w:p>
      <w:pPr>
        <w:ind w:right="80"/>
        <w:spacing w:after="0" w:line="322" w:lineRule="auto"/>
        <w:rPr>
          <w:sz w:val="20"/>
          <w:szCs w:val="20"/>
          <w:color w:val="auto"/>
        </w:rPr>
      </w:pPr>
      <w:r>
        <w:rPr>
          <w:rFonts w:ascii="Arial" w:cs="Arial" w:eastAsia="Arial" w:hAnsi="Arial"/>
          <w:sz w:val="15"/>
          <w:szCs w:val="15"/>
          <w:color w:val="auto"/>
        </w:rPr>
        <w:t>The table below presents net sales by end-market sector, adjusted to exclude surcharges, which represents a financial measure that has not been determined in accordance with accounting principles generally accepted in the United States (“U.S. GAAP”). We believe presenting net sales by end-market sector adjusted to exclude raw material and natural gas surcharges provides additional insight into key drivers of net sales such as base price and product mix.</w:t>
      </w:r>
    </w:p>
    <w:p>
      <w:pPr>
        <w:spacing w:after="0" w:line="11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080" w:type="dxa"/>
            <w:vAlign w:val="bottom"/>
          </w:tcPr>
          <w:p>
            <w:pPr>
              <w:ind w:left="20"/>
              <w:spacing w:after="0"/>
              <w:rPr>
                <w:sz w:val="20"/>
                <w:szCs w:val="20"/>
                <w:color w:val="auto"/>
              </w:rPr>
            </w:pPr>
            <w:r>
              <w:rPr>
                <w:rFonts w:ascii="Arial" w:cs="Arial" w:eastAsia="Arial" w:hAnsi="Arial"/>
                <w:sz w:val="18"/>
                <w:szCs w:val="18"/>
                <w:b w:val="1"/>
                <w:bCs w:val="1"/>
                <w:i w:val="1"/>
                <w:iCs w:val="1"/>
                <w:color w:val="auto"/>
              </w:rPr>
              <w:t>(dollars in millions, tons in thousands)</w:t>
            </w:r>
          </w:p>
        </w:tc>
        <w:tc>
          <w:tcPr>
            <w:tcW w:w="1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200" w:type="dxa"/>
            <w:vAlign w:val="bottom"/>
            <w:gridSpan w:val="4"/>
            <w:vMerge w:val="restart"/>
          </w:tcPr>
          <w:p>
            <w:pPr>
              <w:jc w:val="right"/>
              <w:ind w:right="30"/>
              <w:spacing w:after="0"/>
              <w:rPr>
                <w:sz w:val="20"/>
                <w:szCs w:val="20"/>
                <w:color w:val="auto"/>
              </w:rPr>
            </w:pPr>
            <w:r>
              <w:rPr>
                <w:rFonts w:ascii="Arial" w:cs="Arial" w:eastAsia="Arial" w:hAnsi="Arial"/>
                <w:sz w:val="18"/>
                <w:szCs w:val="18"/>
                <w:b w:val="1"/>
                <w:bCs w:val="1"/>
                <w:color w:val="auto"/>
                <w:w w:val="98"/>
              </w:rPr>
              <w:t>Three Months Ended March 31, 2022</w:t>
            </w:r>
          </w:p>
        </w:tc>
        <w:tc>
          <w:tcPr>
            <w:tcW w:w="3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9"/>
        </w:trPr>
        <w:tc>
          <w:tcPr>
            <w:tcW w:w="508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3200" w:type="dxa"/>
            <w:vAlign w:val="bottom"/>
            <w:tcBorders>
              <w:bottom w:val="single" w:sz="8" w:color="auto"/>
            </w:tcBorders>
            <w:gridSpan w:val="4"/>
            <w:vMerge w:val="continue"/>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508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290"/>
              <w:spacing w:after="0" w:line="196" w:lineRule="exact"/>
              <w:rPr>
                <w:sz w:val="20"/>
                <w:szCs w:val="20"/>
                <w:color w:val="auto"/>
              </w:rPr>
            </w:pPr>
            <w:r>
              <w:rPr>
                <w:rFonts w:ascii="Arial" w:cs="Arial" w:eastAsia="Arial" w:hAnsi="Arial"/>
                <w:sz w:val="18"/>
                <w:szCs w:val="18"/>
                <w:b w:val="1"/>
                <w:bCs w:val="1"/>
                <w:color w:val="auto"/>
              </w:rPr>
              <w:t>Mobile</w:t>
            </w:r>
          </w:p>
        </w:tc>
        <w:tc>
          <w:tcPr>
            <w:tcW w:w="22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150"/>
              <w:spacing w:after="0" w:line="196" w:lineRule="exact"/>
              <w:rPr>
                <w:sz w:val="20"/>
                <w:szCs w:val="20"/>
                <w:color w:val="auto"/>
              </w:rPr>
            </w:pPr>
            <w:r>
              <w:rPr>
                <w:rFonts w:ascii="Arial" w:cs="Arial" w:eastAsia="Arial" w:hAnsi="Arial"/>
                <w:sz w:val="18"/>
                <w:szCs w:val="18"/>
                <w:b w:val="1"/>
                <w:bCs w:val="1"/>
                <w:color w:val="auto"/>
                <w:w w:val="96"/>
              </w:rPr>
              <w:t>Industrial</w:t>
            </w:r>
          </w:p>
        </w:tc>
        <w:tc>
          <w:tcPr>
            <w:tcW w:w="28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250"/>
              <w:spacing w:after="0" w:line="196" w:lineRule="exact"/>
              <w:rPr>
                <w:sz w:val="20"/>
                <w:szCs w:val="20"/>
                <w:color w:val="auto"/>
              </w:rPr>
            </w:pPr>
            <w:r>
              <w:rPr>
                <w:rFonts w:ascii="Arial" w:cs="Arial" w:eastAsia="Arial" w:hAnsi="Arial"/>
                <w:sz w:val="18"/>
                <w:szCs w:val="18"/>
                <w:b w:val="1"/>
                <w:bCs w:val="1"/>
                <w:color w:val="auto"/>
              </w:rPr>
              <w:t>Energy</w:t>
            </w:r>
          </w:p>
        </w:tc>
        <w:tc>
          <w:tcPr>
            <w:tcW w:w="9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Other</w:t>
            </w:r>
          </w:p>
        </w:tc>
        <w:tc>
          <w:tcPr>
            <w:tcW w:w="36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330"/>
              <w:spacing w:after="0" w:line="196" w:lineRule="exact"/>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196"/>
        </w:trPr>
        <w:tc>
          <w:tcPr>
            <w:tcW w:w="508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Tons</w:t>
            </w:r>
          </w:p>
        </w:tc>
        <w:tc>
          <w:tcPr>
            <w:tcW w:w="180" w:type="dxa"/>
            <w:vAlign w:val="bottom"/>
            <w:shd w:val="clear" w:color="auto" w:fill="CFF0FC"/>
          </w:tcPr>
          <w:p>
            <w:pPr>
              <w:spacing w:after="0"/>
              <w:rPr>
                <w:sz w:val="17"/>
                <w:szCs w:val="17"/>
                <w:color w:val="auto"/>
              </w:rPr>
            </w:pPr>
          </w:p>
        </w:tc>
        <w:tc>
          <w:tcPr>
            <w:tcW w:w="98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b w:val="1"/>
                <w:bCs w:val="1"/>
                <w:color w:val="auto"/>
              </w:rPr>
              <w:t>88.9</w:t>
            </w:r>
          </w:p>
        </w:tc>
        <w:tc>
          <w:tcPr>
            <w:tcW w:w="220" w:type="dxa"/>
            <w:vAlign w:val="bottom"/>
            <w:shd w:val="clear" w:color="auto" w:fill="CFF0FC"/>
          </w:tcPr>
          <w:p>
            <w:pPr>
              <w:spacing w:after="0"/>
              <w:rPr>
                <w:sz w:val="17"/>
                <w:szCs w:val="17"/>
                <w:color w:val="auto"/>
              </w:rPr>
            </w:pPr>
          </w:p>
        </w:tc>
        <w:tc>
          <w:tcPr>
            <w:tcW w:w="104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b w:val="1"/>
                <w:bCs w:val="1"/>
                <w:color w:val="auto"/>
              </w:rPr>
              <w:t>94.9</w:t>
            </w:r>
          </w:p>
        </w:tc>
        <w:tc>
          <w:tcPr>
            <w:tcW w:w="280" w:type="dxa"/>
            <w:vAlign w:val="bottom"/>
            <w:shd w:val="clear" w:color="auto" w:fill="CFF0FC"/>
          </w:tcPr>
          <w:p>
            <w:pPr>
              <w:spacing w:after="0"/>
              <w:rPr>
                <w:sz w:val="17"/>
                <w:szCs w:val="17"/>
                <w:color w:val="auto"/>
              </w:rPr>
            </w:pPr>
          </w:p>
        </w:tc>
        <w:tc>
          <w:tcPr>
            <w:tcW w:w="98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b w:val="1"/>
                <w:bCs w:val="1"/>
                <w:color w:val="auto"/>
              </w:rPr>
              <w:t>12.6</w:t>
            </w:r>
          </w:p>
        </w:tc>
        <w:tc>
          <w:tcPr>
            <w:tcW w:w="900" w:type="dxa"/>
            <w:vAlign w:val="bottom"/>
            <w:shd w:val="clear" w:color="auto" w:fill="CFF0FC"/>
          </w:tcPr>
          <w:p>
            <w:pPr>
              <w:spacing w:after="0"/>
              <w:rPr>
                <w:sz w:val="17"/>
                <w:szCs w:val="17"/>
                <w:color w:val="auto"/>
              </w:rPr>
            </w:pPr>
          </w:p>
        </w:tc>
        <w:tc>
          <w:tcPr>
            <w:tcW w:w="36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b w:val="1"/>
                <w:bCs w:val="1"/>
                <w:color w:val="auto"/>
              </w:rPr>
              <w:t>—</w:t>
            </w:r>
          </w:p>
        </w:tc>
        <w:tc>
          <w:tcPr>
            <w:tcW w:w="300" w:type="dxa"/>
            <w:vAlign w:val="bottom"/>
            <w:shd w:val="clear" w:color="auto" w:fill="CFF0FC"/>
          </w:tcPr>
          <w:p>
            <w:pPr>
              <w:spacing w:after="0"/>
              <w:rPr>
                <w:sz w:val="17"/>
                <w:szCs w:val="17"/>
                <w:color w:val="auto"/>
              </w:rPr>
            </w:pPr>
          </w:p>
        </w:tc>
        <w:tc>
          <w:tcPr>
            <w:tcW w:w="92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b w:val="1"/>
                <w:bCs w:val="1"/>
                <w:color w:val="auto"/>
              </w:rPr>
              <w:t>196.4</w:t>
            </w:r>
          </w:p>
        </w:tc>
        <w:tc>
          <w:tcPr>
            <w:tcW w:w="0" w:type="dxa"/>
            <w:vAlign w:val="bottom"/>
          </w:tcPr>
          <w:p>
            <w:pPr>
              <w:spacing w:after="0"/>
              <w:rPr>
                <w:sz w:val="1"/>
                <w:szCs w:val="1"/>
                <w:color w:val="auto"/>
              </w:rPr>
            </w:pPr>
          </w:p>
        </w:tc>
      </w:tr>
      <w:tr>
        <w:trPr>
          <w:trHeight w:val="203"/>
        </w:trPr>
        <w:tc>
          <w:tcPr>
            <w:tcW w:w="50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Net Sales</w:t>
            </w:r>
          </w:p>
        </w:tc>
        <w:tc>
          <w:tcPr>
            <w:tcW w:w="1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b w:val="1"/>
                <w:bCs w:val="1"/>
                <w:color w:val="auto"/>
                <w:w w:val="79"/>
              </w:rPr>
              <w:t>$</w:t>
            </w:r>
          </w:p>
        </w:tc>
        <w:tc>
          <w:tcPr>
            <w:tcW w:w="980" w:type="dxa"/>
            <w:vAlign w:val="bottom"/>
            <w:shd w:val="clear" w:color="auto" w:fill="CFF0FC"/>
          </w:tcPr>
          <w:p>
            <w:pPr>
              <w:jc w:val="right"/>
              <w:ind w:right="30"/>
              <w:spacing w:after="0" w:line="202" w:lineRule="exact"/>
              <w:rPr>
                <w:sz w:val="20"/>
                <w:szCs w:val="20"/>
                <w:color w:val="auto"/>
              </w:rPr>
            </w:pPr>
            <w:r>
              <w:rPr>
                <w:rFonts w:ascii="Arial" w:cs="Arial" w:eastAsia="Arial" w:hAnsi="Arial"/>
                <w:sz w:val="18"/>
                <w:szCs w:val="18"/>
                <w:b w:val="1"/>
                <w:bCs w:val="1"/>
                <w:color w:val="auto"/>
              </w:rPr>
              <w:t>144.1</w:t>
            </w:r>
          </w:p>
        </w:tc>
        <w:tc>
          <w:tcPr>
            <w:tcW w:w="2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b w:val="1"/>
                <w:bCs w:val="1"/>
                <w:color w:val="auto"/>
              </w:rPr>
              <w:t>$</w:t>
            </w:r>
          </w:p>
        </w:tc>
        <w:tc>
          <w:tcPr>
            <w:tcW w:w="1040" w:type="dxa"/>
            <w:vAlign w:val="bottom"/>
            <w:shd w:val="clear" w:color="auto" w:fill="CFF0FC"/>
          </w:tcPr>
          <w:p>
            <w:pPr>
              <w:jc w:val="right"/>
              <w:ind w:right="30"/>
              <w:spacing w:after="0" w:line="202" w:lineRule="exact"/>
              <w:rPr>
                <w:sz w:val="20"/>
                <w:szCs w:val="20"/>
                <w:color w:val="auto"/>
              </w:rPr>
            </w:pPr>
            <w:r>
              <w:rPr>
                <w:rFonts w:ascii="Arial" w:cs="Arial" w:eastAsia="Arial" w:hAnsi="Arial"/>
                <w:sz w:val="18"/>
                <w:szCs w:val="18"/>
                <w:b w:val="1"/>
                <w:bCs w:val="1"/>
                <w:color w:val="auto"/>
              </w:rPr>
              <w:t>175.0</w:t>
            </w:r>
          </w:p>
        </w:tc>
        <w:tc>
          <w:tcPr>
            <w:tcW w:w="2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b w:val="1"/>
                <w:bCs w:val="1"/>
                <w:color w:val="auto"/>
              </w:rPr>
              <w:t>$</w:t>
            </w:r>
          </w:p>
        </w:tc>
        <w:tc>
          <w:tcPr>
            <w:tcW w:w="980" w:type="dxa"/>
            <w:vAlign w:val="bottom"/>
            <w:shd w:val="clear" w:color="auto" w:fill="CFF0FC"/>
          </w:tcPr>
          <w:p>
            <w:pPr>
              <w:jc w:val="right"/>
              <w:ind w:right="30"/>
              <w:spacing w:after="0" w:line="202" w:lineRule="exact"/>
              <w:rPr>
                <w:sz w:val="20"/>
                <w:szCs w:val="20"/>
                <w:color w:val="auto"/>
              </w:rPr>
            </w:pPr>
            <w:r>
              <w:rPr>
                <w:rFonts w:ascii="Arial" w:cs="Arial" w:eastAsia="Arial" w:hAnsi="Arial"/>
                <w:sz w:val="18"/>
                <w:szCs w:val="18"/>
                <w:b w:val="1"/>
                <w:bCs w:val="1"/>
                <w:color w:val="auto"/>
              </w:rPr>
              <w:t>25.0</w:t>
            </w:r>
          </w:p>
        </w:tc>
        <w:tc>
          <w:tcPr>
            <w:tcW w:w="900" w:type="dxa"/>
            <w:vAlign w:val="bottom"/>
            <w:shd w:val="clear" w:color="auto" w:fill="CFF0FC"/>
          </w:tcPr>
          <w:p>
            <w:pPr>
              <w:jc w:val="right"/>
              <w:ind w:right="590"/>
              <w:spacing w:after="0" w:line="202" w:lineRule="exact"/>
              <w:rPr>
                <w:sz w:val="20"/>
                <w:szCs w:val="20"/>
                <w:color w:val="auto"/>
              </w:rPr>
            </w:pPr>
            <w:r>
              <w:rPr>
                <w:rFonts w:ascii="Arial" w:cs="Arial" w:eastAsia="Arial" w:hAnsi="Arial"/>
                <w:sz w:val="18"/>
                <w:szCs w:val="18"/>
                <w:b w:val="1"/>
                <w:bCs w:val="1"/>
                <w:color w:val="auto"/>
              </w:rPr>
              <w:t>$</w:t>
            </w:r>
          </w:p>
        </w:tc>
        <w:tc>
          <w:tcPr>
            <w:tcW w:w="36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b w:val="1"/>
                <w:bCs w:val="1"/>
                <w:color w:val="auto"/>
                <w:w w:val="95"/>
              </w:rPr>
              <w:t>7.9</w:t>
            </w:r>
          </w:p>
        </w:tc>
        <w:tc>
          <w:tcPr>
            <w:tcW w:w="30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b w:val="1"/>
                <w:bCs w:val="1"/>
                <w:color w:val="auto"/>
              </w:rPr>
              <w:t>$</w:t>
            </w:r>
          </w:p>
        </w:tc>
        <w:tc>
          <w:tcPr>
            <w:tcW w:w="92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b w:val="1"/>
                <w:bCs w:val="1"/>
                <w:color w:val="auto"/>
              </w:rPr>
              <w:t>352.0</w:t>
            </w:r>
          </w:p>
        </w:tc>
        <w:tc>
          <w:tcPr>
            <w:tcW w:w="0" w:type="dxa"/>
            <w:vAlign w:val="bottom"/>
          </w:tcPr>
          <w:p>
            <w:pPr>
              <w:spacing w:after="0"/>
              <w:rPr>
                <w:sz w:val="1"/>
                <w:szCs w:val="1"/>
                <w:color w:val="auto"/>
              </w:rPr>
            </w:pPr>
          </w:p>
        </w:tc>
      </w:tr>
      <w:tr>
        <w:trPr>
          <w:trHeight w:val="203"/>
        </w:trPr>
        <w:tc>
          <w:tcPr>
            <w:tcW w:w="5080" w:type="dxa"/>
            <w:vAlign w:val="bottom"/>
            <w:tcBorders>
              <w:bottom w:val="single" w:sz="8" w:color="auto"/>
            </w:tcBorders>
          </w:tcPr>
          <w:p>
            <w:pPr>
              <w:ind w:left="20"/>
              <w:spacing w:after="0" w:line="202" w:lineRule="exact"/>
              <w:rPr>
                <w:sz w:val="20"/>
                <w:szCs w:val="20"/>
                <w:color w:val="auto"/>
              </w:rPr>
            </w:pPr>
            <w:r>
              <w:rPr>
                <w:rFonts w:ascii="Arial" w:cs="Arial" w:eastAsia="Arial" w:hAnsi="Arial"/>
                <w:sz w:val="18"/>
                <w:szCs w:val="18"/>
                <w:color w:val="auto"/>
              </w:rPr>
              <w:t>Less: Surcharges</w:t>
            </w:r>
          </w:p>
        </w:tc>
        <w:tc>
          <w:tcPr>
            <w:tcW w:w="18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30"/>
              <w:spacing w:after="0" w:line="202" w:lineRule="exact"/>
              <w:rPr>
                <w:sz w:val="20"/>
                <w:szCs w:val="20"/>
                <w:color w:val="auto"/>
              </w:rPr>
            </w:pPr>
            <w:r>
              <w:rPr>
                <w:rFonts w:ascii="Arial" w:cs="Arial" w:eastAsia="Arial" w:hAnsi="Arial"/>
                <w:sz w:val="18"/>
                <w:szCs w:val="18"/>
                <w:b w:val="1"/>
                <w:bCs w:val="1"/>
                <w:color w:val="auto"/>
              </w:rPr>
              <w:t>45.7</w:t>
            </w:r>
          </w:p>
        </w:tc>
        <w:tc>
          <w:tcPr>
            <w:tcW w:w="22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30"/>
              <w:spacing w:after="0" w:line="202" w:lineRule="exact"/>
              <w:rPr>
                <w:sz w:val="20"/>
                <w:szCs w:val="20"/>
                <w:color w:val="auto"/>
              </w:rPr>
            </w:pPr>
            <w:r>
              <w:rPr>
                <w:rFonts w:ascii="Arial" w:cs="Arial" w:eastAsia="Arial" w:hAnsi="Arial"/>
                <w:sz w:val="18"/>
                <w:szCs w:val="18"/>
                <w:b w:val="1"/>
                <w:bCs w:val="1"/>
                <w:color w:val="auto"/>
              </w:rPr>
              <w:t>54.9</w:t>
            </w:r>
          </w:p>
        </w:tc>
        <w:tc>
          <w:tcPr>
            <w:tcW w:w="28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30"/>
              <w:spacing w:after="0" w:line="202" w:lineRule="exact"/>
              <w:rPr>
                <w:sz w:val="20"/>
                <w:szCs w:val="20"/>
                <w:color w:val="auto"/>
              </w:rPr>
            </w:pPr>
            <w:r>
              <w:rPr>
                <w:rFonts w:ascii="Arial" w:cs="Arial" w:eastAsia="Arial" w:hAnsi="Arial"/>
                <w:sz w:val="18"/>
                <w:szCs w:val="18"/>
                <w:b w:val="1"/>
                <w:bCs w:val="1"/>
                <w:color w:val="auto"/>
              </w:rPr>
              <w:t>8.0</w:t>
            </w:r>
          </w:p>
        </w:tc>
        <w:tc>
          <w:tcPr>
            <w:tcW w:w="900" w:type="dxa"/>
            <w:vAlign w:val="bottom"/>
            <w:tcBorders>
              <w:bottom w:val="single" w:sz="8" w:color="auto"/>
            </w:tcBorders>
          </w:tcPr>
          <w:p>
            <w:pPr>
              <w:spacing w:after="0"/>
              <w:rPr>
                <w:sz w:val="17"/>
                <w:szCs w:val="17"/>
                <w:color w:val="auto"/>
              </w:rPr>
            </w:pPr>
          </w:p>
        </w:tc>
        <w:tc>
          <w:tcPr>
            <w:tcW w:w="36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b w:val="1"/>
                <w:bCs w:val="1"/>
                <w:color w:val="auto"/>
              </w:rPr>
              <w:t>—</w:t>
            </w:r>
          </w:p>
        </w:tc>
        <w:tc>
          <w:tcPr>
            <w:tcW w:w="30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b w:val="1"/>
                <w:bCs w:val="1"/>
                <w:color w:val="auto"/>
              </w:rPr>
              <w:t>108.6</w:t>
            </w:r>
          </w:p>
        </w:tc>
        <w:tc>
          <w:tcPr>
            <w:tcW w:w="0" w:type="dxa"/>
            <w:vAlign w:val="bottom"/>
          </w:tcPr>
          <w:p>
            <w:pPr>
              <w:spacing w:after="0"/>
              <w:rPr>
                <w:sz w:val="1"/>
                <w:szCs w:val="1"/>
                <w:color w:val="auto"/>
              </w:rPr>
            </w:pPr>
          </w:p>
        </w:tc>
      </w:tr>
      <w:tr>
        <w:trPr>
          <w:trHeight w:val="196"/>
        </w:trPr>
        <w:tc>
          <w:tcPr>
            <w:tcW w:w="508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Base Sales</w:t>
            </w:r>
          </w:p>
        </w:tc>
        <w:tc>
          <w:tcPr>
            <w:tcW w:w="18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b w:val="1"/>
                <w:bCs w:val="1"/>
                <w:color w:val="auto"/>
                <w:w w:val="79"/>
              </w:rPr>
              <w:t>$</w:t>
            </w:r>
          </w:p>
        </w:tc>
        <w:tc>
          <w:tcPr>
            <w:tcW w:w="98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b w:val="1"/>
                <w:bCs w:val="1"/>
                <w:color w:val="auto"/>
              </w:rPr>
              <w:t>98.4</w:t>
            </w:r>
          </w:p>
        </w:tc>
        <w:tc>
          <w:tcPr>
            <w:tcW w:w="22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104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b w:val="1"/>
                <w:bCs w:val="1"/>
                <w:color w:val="auto"/>
              </w:rPr>
              <w:t>120.1</w:t>
            </w:r>
          </w:p>
        </w:tc>
        <w:tc>
          <w:tcPr>
            <w:tcW w:w="28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98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b w:val="1"/>
                <w:bCs w:val="1"/>
                <w:color w:val="auto"/>
              </w:rPr>
              <w:t>17.0</w:t>
            </w:r>
          </w:p>
        </w:tc>
        <w:tc>
          <w:tcPr>
            <w:tcW w:w="900" w:type="dxa"/>
            <w:vAlign w:val="bottom"/>
            <w:shd w:val="clear" w:color="auto" w:fill="CFF0FC"/>
          </w:tcPr>
          <w:p>
            <w:pPr>
              <w:jc w:val="right"/>
              <w:ind w:right="590"/>
              <w:spacing w:after="0" w:line="196" w:lineRule="exact"/>
              <w:rPr>
                <w:sz w:val="20"/>
                <w:szCs w:val="20"/>
                <w:color w:val="auto"/>
              </w:rPr>
            </w:pPr>
            <w:r>
              <w:rPr>
                <w:rFonts w:ascii="Arial" w:cs="Arial" w:eastAsia="Arial" w:hAnsi="Arial"/>
                <w:sz w:val="18"/>
                <w:szCs w:val="18"/>
                <w:b w:val="1"/>
                <w:bCs w:val="1"/>
                <w:color w:val="auto"/>
              </w:rPr>
              <w:t>$</w:t>
            </w:r>
          </w:p>
        </w:tc>
        <w:tc>
          <w:tcPr>
            <w:tcW w:w="36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b w:val="1"/>
                <w:bCs w:val="1"/>
                <w:color w:val="auto"/>
                <w:w w:val="95"/>
              </w:rPr>
              <w:t>7.9</w:t>
            </w:r>
          </w:p>
        </w:tc>
        <w:tc>
          <w:tcPr>
            <w:tcW w:w="30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b w:val="1"/>
                <w:bCs w:val="1"/>
                <w:color w:val="auto"/>
              </w:rPr>
              <w:t>$</w:t>
            </w:r>
          </w:p>
        </w:tc>
        <w:tc>
          <w:tcPr>
            <w:tcW w:w="92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b w:val="1"/>
                <w:bCs w:val="1"/>
                <w:color w:val="auto"/>
              </w:rPr>
              <w:t>243.4</w:t>
            </w:r>
          </w:p>
        </w:tc>
        <w:tc>
          <w:tcPr>
            <w:tcW w:w="0" w:type="dxa"/>
            <w:vAlign w:val="bottom"/>
          </w:tcPr>
          <w:p>
            <w:pPr>
              <w:spacing w:after="0"/>
              <w:rPr>
                <w:sz w:val="1"/>
                <w:szCs w:val="1"/>
                <w:color w:val="auto"/>
              </w:rPr>
            </w:pPr>
          </w:p>
        </w:tc>
      </w:tr>
      <w:tr>
        <w:trPr>
          <w:trHeight w:val="203"/>
        </w:trPr>
        <w:tc>
          <w:tcPr>
            <w:tcW w:w="50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Net Sales / Ton</w:t>
            </w:r>
          </w:p>
        </w:tc>
        <w:tc>
          <w:tcPr>
            <w:tcW w:w="1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b w:val="1"/>
                <w:bCs w:val="1"/>
                <w:color w:val="auto"/>
                <w:w w:val="79"/>
              </w:rPr>
              <w:t>$</w:t>
            </w:r>
          </w:p>
        </w:tc>
        <w:tc>
          <w:tcPr>
            <w:tcW w:w="980" w:type="dxa"/>
            <w:vAlign w:val="bottom"/>
            <w:shd w:val="clear" w:color="auto" w:fill="CFF0FC"/>
          </w:tcPr>
          <w:p>
            <w:pPr>
              <w:jc w:val="right"/>
              <w:ind w:right="30"/>
              <w:spacing w:after="0" w:line="202" w:lineRule="exact"/>
              <w:rPr>
                <w:sz w:val="20"/>
                <w:szCs w:val="20"/>
                <w:color w:val="auto"/>
              </w:rPr>
            </w:pPr>
            <w:r>
              <w:rPr>
                <w:rFonts w:ascii="Arial" w:cs="Arial" w:eastAsia="Arial" w:hAnsi="Arial"/>
                <w:sz w:val="18"/>
                <w:szCs w:val="18"/>
                <w:b w:val="1"/>
                <w:bCs w:val="1"/>
                <w:color w:val="auto"/>
              </w:rPr>
              <w:t>1,621</w:t>
            </w:r>
          </w:p>
        </w:tc>
        <w:tc>
          <w:tcPr>
            <w:tcW w:w="2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b w:val="1"/>
                <w:bCs w:val="1"/>
                <w:color w:val="auto"/>
              </w:rPr>
              <w:t>$</w:t>
            </w:r>
          </w:p>
        </w:tc>
        <w:tc>
          <w:tcPr>
            <w:tcW w:w="1040" w:type="dxa"/>
            <w:vAlign w:val="bottom"/>
            <w:shd w:val="clear" w:color="auto" w:fill="CFF0FC"/>
          </w:tcPr>
          <w:p>
            <w:pPr>
              <w:jc w:val="right"/>
              <w:ind w:right="30"/>
              <w:spacing w:after="0" w:line="202" w:lineRule="exact"/>
              <w:rPr>
                <w:sz w:val="20"/>
                <w:szCs w:val="20"/>
                <w:color w:val="auto"/>
              </w:rPr>
            </w:pPr>
            <w:r>
              <w:rPr>
                <w:rFonts w:ascii="Arial" w:cs="Arial" w:eastAsia="Arial" w:hAnsi="Arial"/>
                <w:sz w:val="18"/>
                <w:szCs w:val="18"/>
                <w:b w:val="1"/>
                <w:bCs w:val="1"/>
                <w:color w:val="auto"/>
              </w:rPr>
              <w:t>1,844</w:t>
            </w:r>
          </w:p>
        </w:tc>
        <w:tc>
          <w:tcPr>
            <w:tcW w:w="2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b w:val="1"/>
                <w:bCs w:val="1"/>
                <w:color w:val="auto"/>
              </w:rPr>
              <w:t>$</w:t>
            </w:r>
          </w:p>
        </w:tc>
        <w:tc>
          <w:tcPr>
            <w:tcW w:w="980" w:type="dxa"/>
            <w:vAlign w:val="bottom"/>
            <w:shd w:val="clear" w:color="auto" w:fill="CFF0FC"/>
          </w:tcPr>
          <w:p>
            <w:pPr>
              <w:jc w:val="right"/>
              <w:ind w:right="30"/>
              <w:spacing w:after="0" w:line="202" w:lineRule="exact"/>
              <w:rPr>
                <w:sz w:val="20"/>
                <w:szCs w:val="20"/>
                <w:color w:val="auto"/>
              </w:rPr>
            </w:pPr>
            <w:r>
              <w:rPr>
                <w:rFonts w:ascii="Arial" w:cs="Arial" w:eastAsia="Arial" w:hAnsi="Arial"/>
                <w:sz w:val="18"/>
                <w:szCs w:val="18"/>
                <w:b w:val="1"/>
                <w:bCs w:val="1"/>
                <w:color w:val="auto"/>
              </w:rPr>
              <w:t>1,984</w:t>
            </w:r>
          </w:p>
        </w:tc>
        <w:tc>
          <w:tcPr>
            <w:tcW w:w="900" w:type="dxa"/>
            <w:vAlign w:val="bottom"/>
            <w:shd w:val="clear" w:color="auto" w:fill="CFF0FC"/>
          </w:tcPr>
          <w:p>
            <w:pPr>
              <w:jc w:val="right"/>
              <w:ind w:right="590"/>
              <w:spacing w:after="0" w:line="202" w:lineRule="exact"/>
              <w:rPr>
                <w:sz w:val="20"/>
                <w:szCs w:val="20"/>
                <w:color w:val="auto"/>
              </w:rPr>
            </w:pPr>
            <w:r>
              <w:rPr>
                <w:rFonts w:ascii="Arial" w:cs="Arial" w:eastAsia="Arial" w:hAnsi="Arial"/>
                <w:sz w:val="18"/>
                <w:szCs w:val="18"/>
                <w:b w:val="1"/>
                <w:bCs w:val="1"/>
                <w:color w:val="auto"/>
              </w:rPr>
              <w:t>$</w:t>
            </w:r>
          </w:p>
        </w:tc>
        <w:tc>
          <w:tcPr>
            <w:tcW w:w="36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b w:val="1"/>
                <w:bCs w:val="1"/>
                <w:color w:val="auto"/>
              </w:rPr>
              <w:t>—</w:t>
            </w:r>
          </w:p>
        </w:tc>
        <w:tc>
          <w:tcPr>
            <w:tcW w:w="30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b w:val="1"/>
                <w:bCs w:val="1"/>
                <w:color w:val="auto"/>
              </w:rPr>
              <w:t>$</w:t>
            </w:r>
          </w:p>
        </w:tc>
        <w:tc>
          <w:tcPr>
            <w:tcW w:w="92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b w:val="1"/>
                <w:bCs w:val="1"/>
                <w:color w:val="auto"/>
              </w:rPr>
              <w:t>1,792</w:t>
            </w:r>
          </w:p>
        </w:tc>
        <w:tc>
          <w:tcPr>
            <w:tcW w:w="0" w:type="dxa"/>
            <w:vAlign w:val="bottom"/>
          </w:tcPr>
          <w:p>
            <w:pPr>
              <w:spacing w:after="0"/>
              <w:rPr>
                <w:sz w:val="1"/>
                <w:szCs w:val="1"/>
                <w:color w:val="auto"/>
              </w:rPr>
            </w:pPr>
          </w:p>
        </w:tc>
      </w:tr>
      <w:tr>
        <w:trPr>
          <w:trHeight w:val="203"/>
        </w:trPr>
        <w:tc>
          <w:tcPr>
            <w:tcW w:w="5080" w:type="dxa"/>
            <w:vAlign w:val="bottom"/>
            <w:tcBorders>
              <w:bottom w:val="single" w:sz="8" w:color="auto"/>
            </w:tcBorders>
          </w:tcPr>
          <w:p>
            <w:pPr>
              <w:ind w:left="20"/>
              <w:spacing w:after="0" w:line="202" w:lineRule="exact"/>
              <w:rPr>
                <w:sz w:val="20"/>
                <w:szCs w:val="20"/>
                <w:color w:val="auto"/>
              </w:rPr>
            </w:pPr>
            <w:r>
              <w:rPr>
                <w:rFonts w:ascii="Arial" w:cs="Arial" w:eastAsia="Arial" w:hAnsi="Arial"/>
                <w:sz w:val="18"/>
                <w:szCs w:val="18"/>
                <w:color w:val="auto"/>
              </w:rPr>
              <w:t>Surcharges / Ton</w:t>
            </w:r>
          </w:p>
        </w:tc>
        <w:tc>
          <w:tcPr>
            <w:tcW w:w="1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b w:val="1"/>
                <w:bCs w:val="1"/>
                <w:color w:val="auto"/>
                <w:w w:val="79"/>
              </w:rPr>
              <w:t>$</w:t>
            </w:r>
          </w:p>
        </w:tc>
        <w:tc>
          <w:tcPr>
            <w:tcW w:w="980" w:type="dxa"/>
            <w:vAlign w:val="bottom"/>
            <w:tcBorders>
              <w:bottom w:val="single" w:sz="8" w:color="auto"/>
            </w:tcBorders>
          </w:tcPr>
          <w:p>
            <w:pPr>
              <w:jc w:val="right"/>
              <w:ind w:right="30"/>
              <w:spacing w:after="0" w:line="202" w:lineRule="exact"/>
              <w:rPr>
                <w:sz w:val="20"/>
                <w:szCs w:val="20"/>
                <w:color w:val="auto"/>
              </w:rPr>
            </w:pPr>
            <w:r>
              <w:rPr>
                <w:rFonts w:ascii="Arial" w:cs="Arial" w:eastAsia="Arial" w:hAnsi="Arial"/>
                <w:sz w:val="18"/>
                <w:szCs w:val="18"/>
                <w:b w:val="1"/>
                <w:bCs w:val="1"/>
                <w:color w:val="auto"/>
              </w:rPr>
              <w:t>514</w:t>
            </w:r>
          </w:p>
        </w:tc>
        <w:tc>
          <w:tcPr>
            <w:tcW w:w="22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b w:val="1"/>
                <w:bCs w:val="1"/>
                <w:color w:val="auto"/>
              </w:rPr>
              <w:t>$</w:t>
            </w:r>
          </w:p>
        </w:tc>
        <w:tc>
          <w:tcPr>
            <w:tcW w:w="1040" w:type="dxa"/>
            <w:vAlign w:val="bottom"/>
            <w:tcBorders>
              <w:bottom w:val="single" w:sz="8" w:color="auto"/>
            </w:tcBorders>
          </w:tcPr>
          <w:p>
            <w:pPr>
              <w:jc w:val="right"/>
              <w:ind w:right="30"/>
              <w:spacing w:after="0" w:line="202" w:lineRule="exact"/>
              <w:rPr>
                <w:sz w:val="20"/>
                <w:szCs w:val="20"/>
                <w:color w:val="auto"/>
              </w:rPr>
            </w:pPr>
            <w:r>
              <w:rPr>
                <w:rFonts w:ascii="Arial" w:cs="Arial" w:eastAsia="Arial" w:hAnsi="Arial"/>
                <w:sz w:val="18"/>
                <w:szCs w:val="18"/>
                <w:b w:val="1"/>
                <w:bCs w:val="1"/>
                <w:color w:val="auto"/>
              </w:rPr>
              <w:t>578</w:t>
            </w:r>
          </w:p>
        </w:tc>
        <w:tc>
          <w:tcPr>
            <w:tcW w:w="2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b w:val="1"/>
                <w:bCs w:val="1"/>
                <w:color w:val="auto"/>
              </w:rPr>
              <w:t>$</w:t>
            </w:r>
          </w:p>
        </w:tc>
        <w:tc>
          <w:tcPr>
            <w:tcW w:w="980" w:type="dxa"/>
            <w:vAlign w:val="bottom"/>
            <w:tcBorders>
              <w:bottom w:val="single" w:sz="8" w:color="auto"/>
            </w:tcBorders>
          </w:tcPr>
          <w:p>
            <w:pPr>
              <w:jc w:val="right"/>
              <w:ind w:right="30"/>
              <w:spacing w:after="0" w:line="202" w:lineRule="exact"/>
              <w:rPr>
                <w:sz w:val="20"/>
                <w:szCs w:val="20"/>
                <w:color w:val="auto"/>
              </w:rPr>
            </w:pPr>
            <w:r>
              <w:rPr>
                <w:rFonts w:ascii="Arial" w:cs="Arial" w:eastAsia="Arial" w:hAnsi="Arial"/>
                <w:sz w:val="18"/>
                <w:szCs w:val="18"/>
                <w:b w:val="1"/>
                <w:bCs w:val="1"/>
                <w:color w:val="auto"/>
              </w:rPr>
              <w:t>635</w:t>
            </w:r>
          </w:p>
        </w:tc>
        <w:tc>
          <w:tcPr>
            <w:tcW w:w="900" w:type="dxa"/>
            <w:vAlign w:val="bottom"/>
            <w:tcBorders>
              <w:bottom w:val="single" w:sz="8" w:color="auto"/>
            </w:tcBorders>
          </w:tcPr>
          <w:p>
            <w:pPr>
              <w:jc w:val="right"/>
              <w:ind w:right="590"/>
              <w:spacing w:after="0" w:line="202" w:lineRule="exact"/>
              <w:rPr>
                <w:sz w:val="20"/>
                <w:szCs w:val="20"/>
                <w:color w:val="auto"/>
              </w:rPr>
            </w:pPr>
            <w:r>
              <w:rPr>
                <w:rFonts w:ascii="Arial" w:cs="Arial" w:eastAsia="Arial" w:hAnsi="Arial"/>
                <w:sz w:val="18"/>
                <w:szCs w:val="18"/>
                <w:b w:val="1"/>
                <w:bCs w:val="1"/>
                <w:color w:val="auto"/>
              </w:rPr>
              <w:t>$</w:t>
            </w:r>
          </w:p>
        </w:tc>
        <w:tc>
          <w:tcPr>
            <w:tcW w:w="36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b w:val="1"/>
                <w:bCs w:val="1"/>
                <w:color w:val="auto"/>
              </w:rPr>
              <w:t>—</w:t>
            </w:r>
          </w:p>
        </w:tc>
        <w:tc>
          <w:tcPr>
            <w:tcW w:w="30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b w:val="1"/>
                <w:bCs w:val="1"/>
                <w:color w:val="auto"/>
              </w:rPr>
              <w:t>$</w:t>
            </w:r>
          </w:p>
        </w:tc>
        <w:tc>
          <w:tcPr>
            <w:tcW w:w="92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b w:val="1"/>
                <w:bCs w:val="1"/>
                <w:color w:val="auto"/>
              </w:rPr>
              <w:t>553</w:t>
            </w:r>
          </w:p>
        </w:tc>
        <w:tc>
          <w:tcPr>
            <w:tcW w:w="0" w:type="dxa"/>
            <w:vAlign w:val="bottom"/>
          </w:tcPr>
          <w:p>
            <w:pPr>
              <w:spacing w:after="0"/>
              <w:rPr>
                <w:sz w:val="1"/>
                <w:szCs w:val="1"/>
                <w:color w:val="auto"/>
              </w:rPr>
            </w:pPr>
          </w:p>
        </w:tc>
      </w:tr>
      <w:tr>
        <w:trPr>
          <w:trHeight w:val="196"/>
        </w:trPr>
        <w:tc>
          <w:tcPr>
            <w:tcW w:w="508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Base Sales / Ton</w:t>
            </w:r>
          </w:p>
        </w:tc>
        <w:tc>
          <w:tcPr>
            <w:tcW w:w="18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b w:val="1"/>
                <w:bCs w:val="1"/>
                <w:color w:val="auto"/>
                <w:w w:val="79"/>
              </w:rPr>
              <w:t>$</w:t>
            </w:r>
          </w:p>
        </w:tc>
        <w:tc>
          <w:tcPr>
            <w:tcW w:w="98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b w:val="1"/>
                <w:bCs w:val="1"/>
                <w:color w:val="auto"/>
              </w:rPr>
              <w:t>1,107</w:t>
            </w:r>
          </w:p>
        </w:tc>
        <w:tc>
          <w:tcPr>
            <w:tcW w:w="22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104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b w:val="1"/>
                <w:bCs w:val="1"/>
                <w:color w:val="auto"/>
              </w:rPr>
              <w:t>1,266</w:t>
            </w:r>
          </w:p>
        </w:tc>
        <w:tc>
          <w:tcPr>
            <w:tcW w:w="28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98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b w:val="1"/>
                <w:bCs w:val="1"/>
                <w:color w:val="auto"/>
              </w:rPr>
              <w:t>1,349</w:t>
            </w:r>
          </w:p>
        </w:tc>
        <w:tc>
          <w:tcPr>
            <w:tcW w:w="900" w:type="dxa"/>
            <w:vAlign w:val="bottom"/>
            <w:shd w:val="clear" w:color="auto" w:fill="CFF0FC"/>
          </w:tcPr>
          <w:p>
            <w:pPr>
              <w:jc w:val="right"/>
              <w:ind w:right="590"/>
              <w:spacing w:after="0" w:line="196" w:lineRule="exact"/>
              <w:rPr>
                <w:sz w:val="20"/>
                <w:szCs w:val="20"/>
                <w:color w:val="auto"/>
              </w:rPr>
            </w:pPr>
            <w:r>
              <w:rPr>
                <w:rFonts w:ascii="Arial" w:cs="Arial" w:eastAsia="Arial" w:hAnsi="Arial"/>
                <w:sz w:val="18"/>
                <w:szCs w:val="18"/>
                <w:b w:val="1"/>
                <w:bCs w:val="1"/>
                <w:color w:val="auto"/>
              </w:rPr>
              <w:t>$</w:t>
            </w:r>
          </w:p>
        </w:tc>
        <w:tc>
          <w:tcPr>
            <w:tcW w:w="36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b w:val="1"/>
                <w:bCs w:val="1"/>
                <w:color w:val="auto"/>
              </w:rPr>
              <w:t>—</w:t>
            </w:r>
          </w:p>
        </w:tc>
        <w:tc>
          <w:tcPr>
            <w:tcW w:w="30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b w:val="1"/>
                <w:bCs w:val="1"/>
                <w:color w:val="auto"/>
              </w:rPr>
              <w:t>$</w:t>
            </w:r>
          </w:p>
        </w:tc>
        <w:tc>
          <w:tcPr>
            <w:tcW w:w="92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b w:val="1"/>
                <w:bCs w:val="1"/>
                <w:color w:val="auto"/>
              </w:rPr>
              <w:t>1,239</w:t>
            </w:r>
          </w:p>
        </w:tc>
        <w:tc>
          <w:tcPr>
            <w:tcW w:w="0" w:type="dxa"/>
            <w:vAlign w:val="bottom"/>
          </w:tcPr>
          <w:p>
            <w:pPr>
              <w:spacing w:after="0"/>
              <w:rPr>
                <w:sz w:val="1"/>
                <w:szCs w:val="1"/>
                <w:color w:val="auto"/>
              </w:rPr>
            </w:pPr>
          </w:p>
        </w:tc>
      </w:tr>
      <w:tr>
        <w:trPr>
          <w:trHeight w:val="405"/>
        </w:trPr>
        <w:tc>
          <w:tcPr>
            <w:tcW w:w="508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200" w:type="dxa"/>
            <w:vAlign w:val="bottom"/>
            <w:tcBorders>
              <w:bottom w:val="single" w:sz="8" w:color="auto"/>
            </w:tcBorders>
            <w:gridSpan w:val="4"/>
          </w:tcPr>
          <w:p>
            <w:pPr>
              <w:jc w:val="right"/>
              <w:ind w:right="30"/>
              <w:spacing w:after="0"/>
              <w:rPr>
                <w:sz w:val="20"/>
                <w:szCs w:val="20"/>
                <w:color w:val="auto"/>
              </w:rPr>
            </w:pPr>
            <w:r>
              <w:rPr>
                <w:rFonts w:ascii="Arial" w:cs="Arial" w:eastAsia="Arial" w:hAnsi="Arial"/>
                <w:sz w:val="18"/>
                <w:szCs w:val="18"/>
                <w:b w:val="1"/>
                <w:bCs w:val="1"/>
                <w:color w:val="auto"/>
                <w:w w:val="98"/>
              </w:rPr>
              <w:t>Three Months Ended March 31, 2021</w:t>
            </w:r>
          </w:p>
        </w:tc>
        <w:tc>
          <w:tcPr>
            <w:tcW w:w="3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508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290"/>
              <w:spacing w:after="0" w:line="196" w:lineRule="exact"/>
              <w:rPr>
                <w:sz w:val="20"/>
                <w:szCs w:val="20"/>
                <w:color w:val="auto"/>
              </w:rPr>
            </w:pPr>
            <w:r>
              <w:rPr>
                <w:rFonts w:ascii="Arial" w:cs="Arial" w:eastAsia="Arial" w:hAnsi="Arial"/>
                <w:sz w:val="18"/>
                <w:szCs w:val="18"/>
                <w:b w:val="1"/>
                <w:bCs w:val="1"/>
                <w:color w:val="auto"/>
              </w:rPr>
              <w:t>Mobile</w:t>
            </w:r>
          </w:p>
        </w:tc>
        <w:tc>
          <w:tcPr>
            <w:tcW w:w="22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150"/>
              <w:spacing w:after="0" w:line="196" w:lineRule="exact"/>
              <w:rPr>
                <w:sz w:val="20"/>
                <w:szCs w:val="20"/>
                <w:color w:val="auto"/>
              </w:rPr>
            </w:pPr>
            <w:r>
              <w:rPr>
                <w:rFonts w:ascii="Arial" w:cs="Arial" w:eastAsia="Arial" w:hAnsi="Arial"/>
                <w:sz w:val="18"/>
                <w:szCs w:val="18"/>
                <w:b w:val="1"/>
                <w:bCs w:val="1"/>
                <w:color w:val="auto"/>
                <w:w w:val="96"/>
              </w:rPr>
              <w:t>Industrial</w:t>
            </w:r>
          </w:p>
        </w:tc>
        <w:tc>
          <w:tcPr>
            <w:tcW w:w="28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250"/>
              <w:spacing w:after="0" w:line="196" w:lineRule="exact"/>
              <w:rPr>
                <w:sz w:val="20"/>
                <w:szCs w:val="20"/>
                <w:color w:val="auto"/>
              </w:rPr>
            </w:pPr>
            <w:r>
              <w:rPr>
                <w:rFonts w:ascii="Arial" w:cs="Arial" w:eastAsia="Arial" w:hAnsi="Arial"/>
                <w:sz w:val="18"/>
                <w:szCs w:val="18"/>
                <w:b w:val="1"/>
                <w:bCs w:val="1"/>
                <w:color w:val="auto"/>
              </w:rPr>
              <w:t>Energy</w:t>
            </w:r>
          </w:p>
        </w:tc>
        <w:tc>
          <w:tcPr>
            <w:tcW w:w="9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Other</w:t>
            </w:r>
          </w:p>
        </w:tc>
        <w:tc>
          <w:tcPr>
            <w:tcW w:w="36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330"/>
              <w:spacing w:after="0" w:line="196" w:lineRule="exact"/>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196"/>
        </w:trPr>
        <w:tc>
          <w:tcPr>
            <w:tcW w:w="508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Tons</w:t>
            </w:r>
          </w:p>
        </w:tc>
        <w:tc>
          <w:tcPr>
            <w:tcW w:w="180" w:type="dxa"/>
            <w:vAlign w:val="bottom"/>
            <w:shd w:val="clear" w:color="auto" w:fill="CFF0FC"/>
          </w:tcPr>
          <w:p>
            <w:pPr>
              <w:spacing w:after="0"/>
              <w:rPr>
                <w:sz w:val="17"/>
                <w:szCs w:val="17"/>
                <w:color w:val="auto"/>
              </w:rPr>
            </w:pPr>
          </w:p>
        </w:tc>
        <w:tc>
          <w:tcPr>
            <w:tcW w:w="98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103.5</w:t>
            </w:r>
          </w:p>
        </w:tc>
        <w:tc>
          <w:tcPr>
            <w:tcW w:w="220" w:type="dxa"/>
            <w:vAlign w:val="bottom"/>
            <w:shd w:val="clear" w:color="auto" w:fill="CFF0FC"/>
          </w:tcPr>
          <w:p>
            <w:pPr>
              <w:spacing w:after="0"/>
              <w:rPr>
                <w:sz w:val="17"/>
                <w:szCs w:val="17"/>
                <w:color w:val="auto"/>
              </w:rPr>
            </w:pPr>
          </w:p>
        </w:tc>
        <w:tc>
          <w:tcPr>
            <w:tcW w:w="104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84.4</w:t>
            </w:r>
          </w:p>
        </w:tc>
        <w:tc>
          <w:tcPr>
            <w:tcW w:w="280" w:type="dxa"/>
            <w:vAlign w:val="bottom"/>
            <w:shd w:val="clear" w:color="auto" w:fill="CFF0FC"/>
          </w:tcPr>
          <w:p>
            <w:pPr>
              <w:spacing w:after="0"/>
              <w:rPr>
                <w:sz w:val="17"/>
                <w:szCs w:val="17"/>
                <w:color w:val="auto"/>
              </w:rPr>
            </w:pPr>
          </w:p>
        </w:tc>
        <w:tc>
          <w:tcPr>
            <w:tcW w:w="98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5.5</w:t>
            </w:r>
          </w:p>
        </w:tc>
        <w:tc>
          <w:tcPr>
            <w:tcW w:w="900" w:type="dxa"/>
            <w:vAlign w:val="bottom"/>
            <w:shd w:val="clear" w:color="auto" w:fill="CFF0FC"/>
          </w:tcPr>
          <w:p>
            <w:pPr>
              <w:spacing w:after="0"/>
              <w:rPr>
                <w:sz w:val="17"/>
                <w:szCs w:val="17"/>
                <w:color w:val="auto"/>
              </w:rPr>
            </w:pPr>
          </w:p>
        </w:tc>
        <w:tc>
          <w:tcPr>
            <w:tcW w:w="36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w:t>
            </w:r>
          </w:p>
        </w:tc>
        <w:tc>
          <w:tcPr>
            <w:tcW w:w="300" w:type="dxa"/>
            <w:vAlign w:val="bottom"/>
            <w:shd w:val="clear" w:color="auto" w:fill="CFF0FC"/>
          </w:tcPr>
          <w:p>
            <w:pPr>
              <w:spacing w:after="0"/>
              <w:rPr>
                <w:sz w:val="17"/>
                <w:szCs w:val="17"/>
                <w:color w:val="auto"/>
              </w:rPr>
            </w:pPr>
          </w:p>
        </w:tc>
        <w:tc>
          <w:tcPr>
            <w:tcW w:w="92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193.4</w:t>
            </w:r>
          </w:p>
        </w:tc>
        <w:tc>
          <w:tcPr>
            <w:tcW w:w="0" w:type="dxa"/>
            <w:vAlign w:val="bottom"/>
          </w:tcPr>
          <w:p>
            <w:pPr>
              <w:spacing w:after="0"/>
              <w:rPr>
                <w:sz w:val="1"/>
                <w:szCs w:val="1"/>
                <w:color w:val="auto"/>
              </w:rPr>
            </w:pPr>
          </w:p>
        </w:tc>
      </w:tr>
      <w:tr>
        <w:trPr>
          <w:trHeight w:val="203"/>
        </w:trPr>
        <w:tc>
          <w:tcPr>
            <w:tcW w:w="50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Net Sales</w:t>
            </w:r>
          </w:p>
        </w:tc>
        <w:tc>
          <w:tcPr>
            <w:tcW w:w="1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w w:val="79"/>
              </w:rPr>
              <w:t>$</w:t>
            </w:r>
          </w:p>
        </w:tc>
        <w:tc>
          <w:tcPr>
            <w:tcW w:w="980" w:type="dxa"/>
            <w:vAlign w:val="bottom"/>
            <w:shd w:val="clear" w:color="auto" w:fill="CFF0FC"/>
          </w:tcPr>
          <w:p>
            <w:pPr>
              <w:jc w:val="right"/>
              <w:ind w:right="30"/>
              <w:spacing w:after="0" w:line="202" w:lineRule="exact"/>
              <w:rPr>
                <w:sz w:val="20"/>
                <w:szCs w:val="20"/>
                <w:color w:val="auto"/>
              </w:rPr>
            </w:pPr>
            <w:r>
              <w:rPr>
                <w:rFonts w:ascii="Arial" w:cs="Arial" w:eastAsia="Arial" w:hAnsi="Arial"/>
                <w:sz w:val="18"/>
                <w:szCs w:val="18"/>
                <w:color w:val="auto"/>
              </w:rPr>
              <w:t>133.6</w:t>
            </w:r>
          </w:p>
        </w:tc>
        <w:tc>
          <w:tcPr>
            <w:tcW w:w="2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ind w:right="30"/>
              <w:spacing w:after="0" w:line="202" w:lineRule="exact"/>
              <w:rPr>
                <w:sz w:val="20"/>
                <w:szCs w:val="20"/>
                <w:color w:val="auto"/>
              </w:rPr>
            </w:pPr>
            <w:r>
              <w:rPr>
                <w:rFonts w:ascii="Arial" w:cs="Arial" w:eastAsia="Arial" w:hAnsi="Arial"/>
                <w:sz w:val="18"/>
                <w:szCs w:val="18"/>
                <w:color w:val="auto"/>
              </w:rPr>
              <w:t>124.7</w:t>
            </w:r>
          </w:p>
        </w:tc>
        <w:tc>
          <w:tcPr>
            <w:tcW w:w="2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ind w:right="30"/>
              <w:spacing w:after="0" w:line="202" w:lineRule="exact"/>
              <w:rPr>
                <w:sz w:val="20"/>
                <w:szCs w:val="20"/>
                <w:color w:val="auto"/>
              </w:rPr>
            </w:pPr>
            <w:r>
              <w:rPr>
                <w:rFonts w:ascii="Arial" w:cs="Arial" w:eastAsia="Arial" w:hAnsi="Arial"/>
                <w:sz w:val="18"/>
                <w:szCs w:val="18"/>
                <w:color w:val="auto"/>
              </w:rPr>
              <w:t>7.7</w:t>
            </w:r>
          </w:p>
        </w:tc>
        <w:tc>
          <w:tcPr>
            <w:tcW w:w="900" w:type="dxa"/>
            <w:vAlign w:val="bottom"/>
            <w:shd w:val="clear" w:color="auto" w:fill="CFF0FC"/>
          </w:tcPr>
          <w:p>
            <w:pPr>
              <w:jc w:val="right"/>
              <w:ind w:right="590"/>
              <w:spacing w:after="0" w:line="202" w:lineRule="exact"/>
              <w:rPr>
                <w:sz w:val="20"/>
                <w:szCs w:val="20"/>
                <w:color w:val="auto"/>
              </w:rPr>
            </w:pPr>
            <w:r>
              <w:rPr>
                <w:rFonts w:ascii="Arial" w:cs="Arial" w:eastAsia="Arial" w:hAnsi="Arial"/>
                <w:sz w:val="18"/>
                <w:szCs w:val="18"/>
                <w:color w:val="auto"/>
              </w:rPr>
              <w:t>$</w:t>
            </w:r>
          </w:p>
        </w:tc>
        <w:tc>
          <w:tcPr>
            <w:tcW w:w="36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w w:val="95"/>
              </w:rPr>
              <w:t>7.6</w:t>
            </w:r>
          </w:p>
        </w:tc>
        <w:tc>
          <w:tcPr>
            <w:tcW w:w="30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w:t>
            </w:r>
          </w:p>
        </w:tc>
        <w:tc>
          <w:tcPr>
            <w:tcW w:w="92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273.6</w:t>
            </w:r>
          </w:p>
        </w:tc>
        <w:tc>
          <w:tcPr>
            <w:tcW w:w="0" w:type="dxa"/>
            <w:vAlign w:val="bottom"/>
          </w:tcPr>
          <w:p>
            <w:pPr>
              <w:spacing w:after="0"/>
              <w:rPr>
                <w:sz w:val="1"/>
                <w:szCs w:val="1"/>
                <w:color w:val="auto"/>
              </w:rPr>
            </w:pPr>
          </w:p>
        </w:tc>
      </w:tr>
      <w:tr>
        <w:trPr>
          <w:trHeight w:val="203"/>
        </w:trPr>
        <w:tc>
          <w:tcPr>
            <w:tcW w:w="5080" w:type="dxa"/>
            <w:vAlign w:val="bottom"/>
            <w:tcBorders>
              <w:bottom w:val="single" w:sz="8" w:color="auto"/>
            </w:tcBorders>
          </w:tcPr>
          <w:p>
            <w:pPr>
              <w:ind w:left="20"/>
              <w:spacing w:after="0" w:line="202" w:lineRule="exact"/>
              <w:rPr>
                <w:sz w:val="20"/>
                <w:szCs w:val="20"/>
                <w:color w:val="auto"/>
              </w:rPr>
            </w:pPr>
            <w:r>
              <w:rPr>
                <w:rFonts w:ascii="Arial" w:cs="Arial" w:eastAsia="Arial" w:hAnsi="Arial"/>
                <w:sz w:val="18"/>
                <w:szCs w:val="18"/>
                <w:color w:val="auto"/>
              </w:rPr>
              <w:t>Less: Surcharges</w:t>
            </w:r>
          </w:p>
        </w:tc>
        <w:tc>
          <w:tcPr>
            <w:tcW w:w="18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30"/>
              <w:spacing w:after="0" w:line="202" w:lineRule="exact"/>
              <w:rPr>
                <w:sz w:val="20"/>
                <w:szCs w:val="20"/>
                <w:color w:val="auto"/>
              </w:rPr>
            </w:pPr>
            <w:r>
              <w:rPr>
                <w:rFonts w:ascii="Arial" w:cs="Arial" w:eastAsia="Arial" w:hAnsi="Arial"/>
                <w:sz w:val="18"/>
                <w:szCs w:val="18"/>
                <w:color w:val="auto"/>
              </w:rPr>
              <w:t>32.8</w:t>
            </w:r>
          </w:p>
        </w:tc>
        <w:tc>
          <w:tcPr>
            <w:tcW w:w="22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30"/>
              <w:spacing w:after="0" w:line="202" w:lineRule="exact"/>
              <w:rPr>
                <w:sz w:val="20"/>
                <w:szCs w:val="20"/>
                <w:color w:val="auto"/>
              </w:rPr>
            </w:pPr>
            <w:r>
              <w:rPr>
                <w:rFonts w:ascii="Arial" w:cs="Arial" w:eastAsia="Arial" w:hAnsi="Arial"/>
                <w:sz w:val="18"/>
                <w:szCs w:val="18"/>
                <w:color w:val="auto"/>
              </w:rPr>
              <w:t>32.7</w:t>
            </w:r>
          </w:p>
        </w:tc>
        <w:tc>
          <w:tcPr>
            <w:tcW w:w="28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30"/>
              <w:spacing w:after="0" w:line="202" w:lineRule="exact"/>
              <w:rPr>
                <w:sz w:val="20"/>
                <w:szCs w:val="20"/>
                <w:color w:val="auto"/>
              </w:rPr>
            </w:pPr>
            <w:r>
              <w:rPr>
                <w:rFonts w:ascii="Arial" w:cs="Arial" w:eastAsia="Arial" w:hAnsi="Arial"/>
                <w:sz w:val="18"/>
                <w:szCs w:val="18"/>
                <w:color w:val="auto"/>
              </w:rPr>
              <w:t>2.1</w:t>
            </w:r>
          </w:p>
        </w:tc>
        <w:tc>
          <w:tcPr>
            <w:tcW w:w="900" w:type="dxa"/>
            <w:vAlign w:val="bottom"/>
            <w:tcBorders>
              <w:bottom w:val="single" w:sz="8" w:color="auto"/>
            </w:tcBorders>
          </w:tcPr>
          <w:p>
            <w:pPr>
              <w:spacing w:after="0"/>
              <w:rPr>
                <w:sz w:val="17"/>
                <w:szCs w:val="17"/>
                <w:color w:val="auto"/>
              </w:rPr>
            </w:pPr>
          </w:p>
        </w:tc>
        <w:tc>
          <w:tcPr>
            <w:tcW w:w="36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color w:val="auto"/>
              </w:rPr>
              <w:t>—</w:t>
            </w:r>
          </w:p>
        </w:tc>
        <w:tc>
          <w:tcPr>
            <w:tcW w:w="30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color w:val="auto"/>
              </w:rPr>
              <w:t>67.6</w:t>
            </w:r>
          </w:p>
        </w:tc>
        <w:tc>
          <w:tcPr>
            <w:tcW w:w="0" w:type="dxa"/>
            <w:vAlign w:val="bottom"/>
          </w:tcPr>
          <w:p>
            <w:pPr>
              <w:spacing w:after="0"/>
              <w:rPr>
                <w:sz w:val="1"/>
                <w:szCs w:val="1"/>
                <w:color w:val="auto"/>
              </w:rPr>
            </w:pPr>
          </w:p>
        </w:tc>
      </w:tr>
      <w:tr>
        <w:trPr>
          <w:trHeight w:val="196"/>
        </w:trPr>
        <w:tc>
          <w:tcPr>
            <w:tcW w:w="508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Base Sales</w:t>
            </w:r>
          </w:p>
        </w:tc>
        <w:tc>
          <w:tcPr>
            <w:tcW w:w="18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100.8</w:t>
            </w:r>
          </w:p>
        </w:tc>
        <w:tc>
          <w:tcPr>
            <w:tcW w:w="22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92.0</w:t>
            </w:r>
          </w:p>
        </w:tc>
        <w:tc>
          <w:tcPr>
            <w:tcW w:w="28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5.6</w:t>
            </w:r>
          </w:p>
        </w:tc>
        <w:tc>
          <w:tcPr>
            <w:tcW w:w="900" w:type="dxa"/>
            <w:vAlign w:val="bottom"/>
            <w:shd w:val="clear" w:color="auto" w:fill="CFF0FC"/>
          </w:tcPr>
          <w:p>
            <w:pPr>
              <w:jc w:val="right"/>
              <w:ind w:right="590"/>
              <w:spacing w:after="0" w:line="196" w:lineRule="exact"/>
              <w:rPr>
                <w:sz w:val="20"/>
                <w:szCs w:val="20"/>
                <w:color w:val="auto"/>
              </w:rPr>
            </w:pPr>
            <w:r>
              <w:rPr>
                <w:rFonts w:ascii="Arial" w:cs="Arial" w:eastAsia="Arial" w:hAnsi="Arial"/>
                <w:sz w:val="18"/>
                <w:szCs w:val="18"/>
                <w:color w:val="auto"/>
              </w:rPr>
              <w:t>$</w:t>
            </w:r>
          </w:p>
        </w:tc>
        <w:tc>
          <w:tcPr>
            <w:tcW w:w="36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w w:val="95"/>
              </w:rPr>
              <w:t>7.6</w:t>
            </w:r>
          </w:p>
        </w:tc>
        <w:tc>
          <w:tcPr>
            <w:tcW w:w="30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w:t>
            </w:r>
          </w:p>
        </w:tc>
        <w:tc>
          <w:tcPr>
            <w:tcW w:w="92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206.0</w:t>
            </w:r>
          </w:p>
        </w:tc>
        <w:tc>
          <w:tcPr>
            <w:tcW w:w="0" w:type="dxa"/>
            <w:vAlign w:val="bottom"/>
          </w:tcPr>
          <w:p>
            <w:pPr>
              <w:spacing w:after="0"/>
              <w:rPr>
                <w:sz w:val="1"/>
                <w:szCs w:val="1"/>
                <w:color w:val="auto"/>
              </w:rPr>
            </w:pPr>
          </w:p>
        </w:tc>
      </w:tr>
      <w:tr>
        <w:trPr>
          <w:trHeight w:val="202"/>
        </w:trPr>
        <w:tc>
          <w:tcPr>
            <w:tcW w:w="50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Net Sales / Ton</w:t>
            </w:r>
          </w:p>
        </w:tc>
        <w:tc>
          <w:tcPr>
            <w:tcW w:w="1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w w:val="79"/>
              </w:rPr>
              <w:t>$</w:t>
            </w:r>
          </w:p>
        </w:tc>
        <w:tc>
          <w:tcPr>
            <w:tcW w:w="980" w:type="dxa"/>
            <w:vAlign w:val="bottom"/>
            <w:shd w:val="clear" w:color="auto" w:fill="CFF0FC"/>
          </w:tcPr>
          <w:p>
            <w:pPr>
              <w:jc w:val="right"/>
              <w:ind w:right="30"/>
              <w:spacing w:after="0" w:line="202" w:lineRule="exact"/>
              <w:rPr>
                <w:sz w:val="20"/>
                <w:szCs w:val="20"/>
                <w:color w:val="auto"/>
              </w:rPr>
            </w:pPr>
            <w:r>
              <w:rPr>
                <w:rFonts w:ascii="Arial" w:cs="Arial" w:eastAsia="Arial" w:hAnsi="Arial"/>
                <w:sz w:val="18"/>
                <w:szCs w:val="18"/>
                <w:color w:val="auto"/>
              </w:rPr>
              <w:t>1,291</w:t>
            </w:r>
          </w:p>
        </w:tc>
        <w:tc>
          <w:tcPr>
            <w:tcW w:w="2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ind w:right="30"/>
              <w:spacing w:after="0" w:line="202" w:lineRule="exact"/>
              <w:rPr>
                <w:sz w:val="20"/>
                <w:szCs w:val="20"/>
                <w:color w:val="auto"/>
              </w:rPr>
            </w:pPr>
            <w:r>
              <w:rPr>
                <w:rFonts w:ascii="Arial" w:cs="Arial" w:eastAsia="Arial" w:hAnsi="Arial"/>
                <w:sz w:val="18"/>
                <w:szCs w:val="18"/>
                <w:color w:val="auto"/>
              </w:rPr>
              <w:t>1,477</w:t>
            </w:r>
          </w:p>
        </w:tc>
        <w:tc>
          <w:tcPr>
            <w:tcW w:w="2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ind w:right="30"/>
              <w:spacing w:after="0" w:line="202" w:lineRule="exact"/>
              <w:rPr>
                <w:sz w:val="20"/>
                <w:szCs w:val="20"/>
                <w:color w:val="auto"/>
              </w:rPr>
            </w:pPr>
            <w:r>
              <w:rPr>
                <w:rFonts w:ascii="Arial" w:cs="Arial" w:eastAsia="Arial" w:hAnsi="Arial"/>
                <w:sz w:val="18"/>
                <w:szCs w:val="18"/>
                <w:color w:val="auto"/>
              </w:rPr>
              <w:t>1,400</w:t>
            </w:r>
          </w:p>
        </w:tc>
        <w:tc>
          <w:tcPr>
            <w:tcW w:w="900" w:type="dxa"/>
            <w:vAlign w:val="bottom"/>
            <w:shd w:val="clear" w:color="auto" w:fill="CFF0FC"/>
          </w:tcPr>
          <w:p>
            <w:pPr>
              <w:jc w:val="right"/>
              <w:ind w:right="590"/>
              <w:spacing w:after="0" w:line="202" w:lineRule="exact"/>
              <w:rPr>
                <w:sz w:val="20"/>
                <w:szCs w:val="20"/>
                <w:color w:val="auto"/>
              </w:rPr>
            </w:pPr>
            <w:r>
              <w:rPr>
                <w:rFonts w:ascii="Arial" w:cs="Arial" w:eastAsia="Arial" w:hAnsi="Arial"/>
                <w:sz w:val="18"/>
                <w:szCs w:val="18"/>
                <w:color w:val="auto"/>
              </w:rPr>
              <w:t>$</w:t>
            </w:r>
          </w:p>
        </w:tc>
        <w:tc>
          <w:tcPr>
            <w:tcW w:w="36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w:t>
            </w:r>
          </w:p>
        </w:tc>
        <w:tc>
          <w:tcPr>
            <w:tcW w:w="30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w:t>
            </w:r>
          </w:p>
        </w:tc>
        <w:tc>
          <w:tcPr>
            <w:tcW w:w="920" w:type="dxa"/>
            <w:vAlign w:val="bottom"/>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1,415</w:t>
            </w:r>
          </w:p>
        </w:tc>
        <w:tc>
          <w:tcPr>
            <w:tcW w:w="0" w:type="dxa"/>
            <w:vAlign w:val="bottom"/>
          </w:tcPr>
          <w:p>
            <w:pPr>
              <w:spacing w:after="0"/>
              <w:rPr>
                <w:sz w:val="1"/>
                <w:szCs w:val="1"/>
                <w:color w:val="auto"/>
              </w:rPr>
            </w:pPr>
          </w:p>
        </w:tc>
      </w:tr>
      <w:tr>
        <w:trPr>
          <w:trHeight w:val="203"/>
        </w:trPr>
        <w:tc>
          <w:tcPr>
            <w:tcW w:w="5080" w:type="dxa"/>
            <w:vAlign w:val="bottom"/>
            <w:tcBorders>
              <w:bottom w:val="single" w:sz="8" w:color="auto"/>
            </w:tcBorders>
          </w:tcPr>
          <w:p>
            <w:pPr>
              <w:ind w:left="20"/>
              <w:spacing w:after="0" w:line="202" w:lineRule="exact"/>
              <w:rPr>
                <w:sz w:val="20"/>
                <w:szCs w:val="20"/>
                <w:color w:val="auto"/>
              </w:rPr>
            </w:pPr>
            <w:r>
              <w:rPr>
                <w:rFonts w:ascii="Arial" w:cs="Arial" w:eastAsia="Arial" w:hAnsi="Arial"/>
                <w:sz w:val="18"/>
                <w:szCs w:val="18"/>
                <w:color w:val="auto"/>
              </w:rPr>
              <w:t>Surcharges / Ton</w:t>
            </w:r>
          </w:p>
        </w:tc>
        <w:tc>
          <w:tcPr>
            <w:tcW w:w="1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tcPr>
          <w:p>
            <w:pPr>
              <w:jc w:val="right"/>
              <w:ind w:right="30"/>
              <w:spacing w:after="0" w:line="202" w:lineRule="exact"/>
              <w:rPr>
                <w:sz w:val="20"/>
                <w:szCs w:val="20"/>
                <w:color w:val="auto"/>
              </w:rPr>
            </w:pPr>
            <w:r>
              <w:rPr>
                <w:rFonts w:ascii="Arial" w:cs="Arial" w:eastAsia="Arial" w:hAnsi="Arial"/>
                <w:sz w:val="18"/>
                <w:szCs w:val="18"/>
                <w:color w:val="auto"/>
              </w:rPr>
              <w:t>317</w:t>
            </w:r>
          </w:p>
        </w:tc>
        <w:tc>
          <w:tcPr>
            <w:tcW w:w="22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tcPr>
          <w:p>
            <w:pPr>
              <w:jc w:val="right"/>
              <w:ind w:right="30"/>
              <w:spacing w:after="0" w:line="202" w:lineRule="exact"/>
              <w:rPr>
                <w:sz w:val="20"/>
                <w:szCs w:val="20"/>
                <w:color w:val="auto"/>
              </w:rPr>
            </w:pPr>
            <w:r>
              <w:rPr>
                <w:rFonts w:ascii="Arial" w:cs="Arial" w:eastAsia="Arial" w:hAnsi="Arial"/>
                <w:sz w:val="18"/>
                <w:szCs w:val="18"/>
                <w:color w:val="auto"/>
              </w:rPr>
              <w:t>387</w:t>
            </w:r>
          </w:p>
        </w:tc>
        <w:tc>
          <w:tcPr>
            <w:tcW w:w="2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w:t>
            </w:r>
          </w:p>
        </w:tc>
        <w:tc>
          <w:tcPr>
            <w:tcW w:w="980" w:type="dxa"/>
            <w:vAlign w:val="bottom"/>
            <w:tcBorders>
              <w:bottom w:val="single" w:sz="8" w:color="auto"/>
            </w:tcBorders>
          </w:tcPr>
          <w:p>
            <w:pPr>
              <w:jc w:val="right"/>
              <w:ind w:right="30"/>
              <w:spacing w:after="0" w:line="202" w:lineRule="exact"/>
              <w:rPr>
                <w:sz w:val="20"/>
                <w:szCs w:val="20"/>
                <w:color w:val="auto"/>
              </w:rPr>
            </w:pPr>
            <w:r>
              <w:rPr>
                <w:rFonts w:ascii="Arial" w:cs="Arial" w:eastAsia="Arial" w:hAnsi="Arial"/>
                <w:sz w:val="18"/>
                <w:szCs w:val="18"/>
                <w:color w:val="auto"/>
              </w:rPr>
              <w:t>382</w:t>
            </w:r>
          </w:p>
        </w:tc>
        <w:tc>
          <w:tcPr>
            <w:tcW w:w="900" w:type="dxa"/>
            <w:vAlign w:val="bottom"/>
            <w:tcBorders>
              <w:bottom w:val="single" w:sz="8" w:color="auto"/>
            </w:tcBorders>
          </w:tcPr>
          <w:p>
            <w:pPr>
              <w:jc w:val="right"/>
              <w:ind w:right="590"/>
              <w:spacing w:after="0" w:line="202" w:lineRule="exact"/>
              <w:rPr>
                <w:sz w:val="20"/>
                <w:szCs w:val="20"/>
                <w:color w:val="auto"/>
              </w:rPr>
            </w:pPr>
            <w:r>
              <w:rPr>
                <w:rFonts w:ascii="Arial" w:cs="Arial" w:eastAsia="Arial" w:hAnsi="Arial"/>
                <w:sz w:val="18"/>
                <w:szCs w:val="18"/>
                <w:color w:val="auto"/>
              </w:rPr>
              <w:t>$</w:t>
            </w:r>
          </w:p>
        </w:tc>
        <w:tc>
          <w:tcPr>
            <w:tcW w:w="36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color w:val="auto"/>
              </w:rPr>
              <w:t>—</w:t>
            </w:r>
          </w:p>
        </w:tc>
        <w:tc>
          <w:tcPr>
            <w:tcW w:w="30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color w:val="auto"/>
              </w:rPr>
              <w:t>$</w:t>
            </w:r>
          </w:p>
        </w:tc>
        <w:tc>
          <w:tcPr>
            <w:tcW w:w="92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color w:val="auto"/>
              </w:rPr>
              <w:t>350</w:t>
            </w:r>
          </w:p>
        </w:tc>
        <w:tc>
          <w:tcPr>
            <w:tcW w:w="0" w:type="dxa"/>
            <w:vAlign w:val="bottom"/>
          </w:tcPr>
          <w:p>
            <w:pPr>
              <w:spacing w:after="0"/>
              <w:rPr>
                <w:sz w:val="1"/>
                <w:szCs w:val="1"/>
                <w:color w:val="auto"/>
              </w:rPr>
            </w:pPr>
          </w:p>
        </w:tc>
      </w:tr>
      <w:tr>
        <w:trPr>
          <w:trHeight w:val="196"/>
        </w:trPr>
        <w:tc>
          <w:tcPr>
            <w:tcW w:w="508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Base Sales / Ton</w:t>
            </w:r>
          </w:p>
        </w:tc>
        <w:tc>
          <w:tcPr>
            <w:tcW w:w="18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974</w:t>
            </w:r>
          </w:p>
        </w:tc>
        <w:tc>
          <w:tcPr>
            <w:tcW w:w="22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1,090</w:t>
            </w:r>
          </w:p>
        </w:tc>
        <w:tc>
          <w:tcPr>
            <w:tcW w:w="28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1,018</w:t>
            </w:r>
          </w:p>
        </w:tc>
        <w:tc>
          <w:tcPr>
            <w:tcW w:w="900" w:type="dxa"/>
            <w:vAlign w:val="bottom"/>
            <w:shd w:val="clear" w:color="auto" w:fill="CFF0FC"/>
          </w:tcPr>
          <w:p>
            <w:pPr>
              <w:jc w:val="right"/>
              <w:ind w:right="590"/>
              <w:spacing w:after="0" w:line="196" w:lineRule="exact"/>
              <w:rPr>
                <w:sz w:val="20"/>
                <w:szCs w:val="20"/>
                <w:color w:val="auto"/>
              </w:rPr>
            </w:pPr>
            <w:r>
              <w:rPr>
                <w:rFonts w:ascii="Arial" w:cs="Arial" w:eastAsia="Arial" w:hAnsi="Arial"/>
                <w:sz w:val="18"/>
                <w:szCs w:val="18"/>
                <w:color w:val="auto"/>
              </w:rPr>
              <w:t>$</w:t>
            </w:r>
          </w:p>
        </w:tc>
        <w:tc>
          <w:tcPr>
            <w:tcW w:w="36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w:t>
            </w:r>
          </w:p>
        </w:tc>
        <w:tc>
          <w:tcPr>
            <w:tcW w:w="30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w:t>
            </w:r>
          </w:p>
        </w:tc>
        <w:tc>
          <w:tcPr>
            <w:tcW w:w="92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1,065</w:t>
            </w:r>
          </w:p>
        </w:tc>
        <w:tc>
          <w:tcPr>
            <w:tcW w:w="0" w:type="dxa"/>
            <w:vAlign w:val="bottom"/>
          </w:tcPr>
          <w:p>
            <w:pPr>
              <w:spacing w:after="0"/>
              <w:rPr>
                <w:sz w:val="1"/>
                <w:szCs w:val="1"/>
                <w:color w:val="auto"/>
              </w:rPr>
            </w:pPr>
          </w:p>
        </w:tc>
      </w:tr>
      <w:tr>
        <w:trPr>
          <w:trHeight w:val="419"/>
        </w:trPr>
        <w:tc>
          <w:tcPr>
            <w:tcW w:w="5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80" w:type="dxa"/>
            <w:vAlign w:val="bottom"/>
          </w:tcPr>
          <w:p>
            <w:pPr>
              <w:jc w:val="right"/>
              <w:ind w:right="430"/>
              <w:spacing w:after="0"/>
              <w:rPr>
                <w:sz w:val="20"/>
                <w:szCs w:val="20"/>
                <w:color w:val="auto"/>
              </w:rPr>
            </w:pPr>
            <w:r>
              <w:rPr>
                <w:rFonts w:ascii="Arial" w:cs="Arial" w:eastAsia="Arial" w:hAnsi="Arial"/>
                <w:sz w:val="18"/>
                <w:szCs w:val="18"/>
                <w:color w:val="auto"/>
              </w:rPr>
              <w:t>23</w:t>
            </w: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33"/>
        </w:trPr>
        <w:tc>
          <w:tcPr>
            <w:tcW w:w="508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98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104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980" w:type="dxa"/>
            <w:vAlign w:val="bottom"/>
            <w:tcBorders>
              <w:bottom w:val="single" w:sz="8" w:color="9A9A9A"/>
            </w:tcBorders>
          </w:tcPr>
          <w:p>
            <w:pPr>
              <w:spacing w:after="0"/>
              <w:rPr>
                <w:sz w:val="24"/>
                <w:szCs w:val="24"/>
                <w:color w:val="auto"/>
              </w:rPr>
            </w:pPr>
          </w:p>
        </w:tc>
        <w:tc>
          <w:tcPr>
            <w:tcW w:w="900" w:type="dxa"/>
            <w:vAlign w:val="bottom"/>
            <w:tcBorders>
              <w:bottom w:val="single" w:sz="8" w:color="9A9A9A"/>
            </w:tcBorders>
          </w:tcPr>
          <w:p>
            <w:pPr>
              <w:spacing w:after="0"/>
              <w:rPr>
                <w:sz w:val="24"/>
                <w:szCs w:val="24"/>
                <w:color w:val="auto"/>
              </w:rPr>
            </w:pPr>
          </w:p>
        </w:tc>
        <w:tc>
          <w:tcPr>
            <w:tcW w:w="360" w:type="dxa"/>
            <w:vAlign w:val="bottom"/>
            <w:tcBorders>
              <w:bottom w:val="single" w:sz="8" w:color="9A9A9A"/>
            </w:tcBorders>
          </w:tcPr>
          <w:p>
            <w:pPr>
              <w:spacing w:after="0"/>
              <w:rPr>
                <w:sz w:val="24"/>
                <w:szCs w:val="24"/>
                <w:color w:val="auto"/>
              </w:rPr>
            </w:pPr>
          </w:p>
        </w:tc>
        <w:tc>
          <w:tcPr>
            <w:tcW w:w="300" w:type="dxa"/>
            <w:vAlign w:val="bottom"/>
            <w:tcBorders>
              <w:bottom w:val="single" w:sz="8" w:color="9A9A9A"/>
            </w:tcBorders>
          </w:tcPr>
          <w:p>
            <w:pPr>
              <w:spacing w:after="0"/>
              <w:rPr>
                <w:sz w:val="24"/>
                <w:szCs w:val="24"/>
                <w:color w:val="auto"/>
              </w:rPr>
            </w:pPr>
          </w:p>
        </w:tc>
        <w:tc>
          <w:tcPr>
            <w:tcW w:w="92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3" w:name="page24"/>
    <w:bookmarkEnd w:id="2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810895" cy="8890"/>
                    </a:xfrm>
                    <a:prstGeom prst="rect">
                      <a:avLst/>
                    </a:prstGeom>
                    <a:noFill/>
                  </pic:spPr>
                </pic:pic>
              </a:graphicData>
            </a:graphic>
          </wp:anchor>
        </w:drawing>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Amended Credit Agreement</w:t>
      </w:r>
    </w:p>
    <w:p>
      <w:pPr>
        <w:spacing w:after="0" w:line="171" w:lineRule="exact"/>
        <w:rPr>
          <w:sz w:val="20"/>
          <w:szCs w:val="20"/>
          <w:color w:val="auto"/>
        </w:rPr>
      </w:pPr>
    </w:p>
    <w:p>
      <w:pPr>
        <w:jc w:val="both"/>
        <w:ind w:right="240"/>
        <w:spacing w:after="0" w:line="270" w:lineRule="auto"/>
        <w:rPr>
          <w:sz w:val="20"/>
          <w:szCs w:val="20"/>
          <w:color w:val="auto"/>
        </w:rPr>
      </w:pPr>
      <w:r>
        <w:rPr>
          <w:rFonts w:ascii="Arial" w:cs="Arial" w:eastAsia="Arial" w:hAnsi="Arial"/>
          <w:sz w:val="17"/>
          <w:szCs w:val="17"/>
          <w:color w:val="auto"/>
        </w:rPr>
        <w:t>On October 15, 2019, the Company entered into a Third Amended and Restated Credit Agreement (the “Amended Credit Agreement”) with JP Morgan Chase Bank, N.A., as administrative agent, Bank of America, N.A., as syndication agent, and the other lenders party thereto, which further amended and restated the Company’s Second Amended and Restated Credit Agreement dated as of January 26, 2018.</w:t>
      </w:r>
    </w:p>
    <w:p>
      <w:pPr>
        <w:spacing w:after="0" w:line="123" w:lineRule="exact"/>
        <w:rPr>
          <w:sz w:val="20"/>
          <w:szCs w:val="20"/>
          <w:color w:val="auto"/>
        </w:rPr>
      </w:pPr>
    </w:p>
    <w:p>
      <w:pPr>
        <w:ind w:right="200"/>
        <w:spacing w:after="0" w:line="261" w:lineRule="auto"/>
        <w:rPr>
          <w:sz w:val="20"/>
          <w:szCs w:val="20"/>
          <w:color w:val="auto"/>
        </w:rPr>
      </w:pPr>
      <w:r>
        <w:rPr>
          <w:rFonts w:ascii="Arial" w:cs="Arial" w:eastAsia="Arial" w:hAnsi="Arial"/>
          <w:sz w:val="18"/>
          <w:szCs w:val="18"/>
          <w:color w:val="auto"/>
        </w:rPr>
        <w:t>For additional details regarding the Amended Credit Agreement please refer to “Note 14 - Financing Arrangements” in the Company’s Annual Report on Form 10-K for the year ended December 31, 2021.</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Convertible Notes</w:t>
      </w:r>
    </w:p>
    <w:p>
      <w:pPr>
        <w:spacing w:after="0" w:line="171" w:lineRule="exact"/>
        <w:rPr>
          <w:sz w:val="20"/>
          <w:szCs w:val="20"/>
          <w:color w:val="auto"/>
        </w:rPr>
      </w:pPr>
    </w:p>
    <w:p>
      <w:pPr>
        <w:ind w:right="560"/>
        <w:spacing w:after="0" w:line="261" w:lineRule="auto"/>
        <w:rPr>
          <w:sz w:val="20"/>
          <w:szCs w:val="20"/>
          <w:color w:val="auto"/>
        </w:rPr>
      </w:pPr>
      <w:r>
        <w:rPr>
          <w:rFonts w:ascii="Arial" w:cs="Arial" w:eastAsia="Arial" w:hAnsi="Arial"/>
          <w:sz w:val="18"/>
          <w:szCs w:val="18"/>
          <w:color w:val="auto"/>
        </w:rPr>
        <w:t>In May 2016, the Company issued $75.0 million aggregate principal amount of Convertible Senior Notes due 2021, plus an additional $11.3 million principal amount to cover over-allotments.</w:t>
      </w:r>
    </w:p>
    <w:p>
      <w:pPr>
        <w:spacing w:after="0" w:line="130" w:lineRule="exact"/>
        <w:rPr>
          <w:sz w:val="20"/>
          <w:szCs w:val="20"/>
          <w:color w:val="auto"/>
        </w:rPr>
      </w:pPr>
    </w:p>
    <w:p>
      <w:pPr>
        <w:ind w:right="100"/>
        <w:spacing w:after="0" w:line="243" w:lineRule="auto"/>
        <w:rPr>
          <w:sz w:val="20"/>
          <w:szCs w:val="20"/>
          <w:color w:val="auto"/>
        </w:rPr>
      </w:pPr>
      <w:r>
        <w:rPr>
          <w:rFonts w:ascii="Arial" w:cs="Arial" w:eastAsia="Arial" w:hAnsi="Arial"/>
          <w:sz w:val="18"/>
          <w:szCs w:val="18"/>
          <w:color w:val="auto"/>
        </w:rPr>
        <w:t>In December 2020, the Company entered into separate, privately negotiated exchange agreements with a limited number of holders of the Company’s then outstanding Convertible Senior Notes due 2021. Pursuant to the exchange agreements, the Company exchanged $46.0 million aggregate principal amount of Convertible Senior Notes due 2021 for $46.0 million aggregate principal amount of its new Convertible Senior Notes due 2025. The Company did not receive any cash proceeds from the issuance of the Convertible Senior Notes due 2025.</w:t>
      </w:r>
    </w:p>
    <w:p>
      <w:pPr>
        <w:spacing w:after="0" w:line="147" w:lineRule="exact"/>
        <w:rPr>
          <w:sz w:val="20"/>
          <w:szCs w:val="20"/>
          <w:color w:val="auto"/>
        </w:rPr>
      </w:pPr>
    </w:p>
    <w:p>
      <w:pPr>
        <w:ind w:right="60"/>
        <w:spacing w:after="0" w:line="248" w:lineRule="auto"/>
        <w:rPr>
          <w:sz w:val="20"/>
          <w:szCs w:val="20"/>
          <w:color w:val="auto"/>
        </w:rPr>
      </w:pPr>
      <w:r>
        <w:rPr>
          <w:rFonts w:ascii="Arial" w:cs="Arial" w:eastAsia="Arial" w:hAnsi="Arial"/>
          <w:sz w:val="18"/>
          <w:szCs w:val="18"/>
          <w:color w:val="auto"/>
        </w:rPr>
        <w:t>The remaining Convertible Senior Notes due 2021 matured on June 1, 2021 and were settled with a combination of cash of $38.9 million and 0.1 million shares, as most noteholders exercised their conversion option prior to maturity. The final cash payment for interest was also made to noteholders on June 1, 2021 in the amount of $1.2 million.</w:t>
      </w:r>
    </w:p>
    <w:p>
      <w:pPr>
        <w:spacing w:after="0" w:line="141" w:lineRule="exact"/>
        <w:rPr>
          <w:sz w:val="20"/>
          <w:szCs w:val="20"/>
          <w:color w:val="auto"/>
        </w:rPr>
      </w:pPr>
    </w:p>
    <w:p>
      <w:pPr>
        <w:jc w:val="both"/>
        <w:ind w:right="20"/>
        <w:spacing w:after="0" w:line="270" w:lineRule="auto"/>
        <w:rPr>
          <w:sz w:val="20"/>
          <w:szCs w:val="20"/>
          <w:color w:val="auto"/>
        </w:rPr>
      </w:pPr>
      <w:r>
        <w:rPr>
          <w:rFonts w:ascii="Arial" w:cs="Arial" w:eastAsia="Arial" w:hAnsi="Arial"/>
          <w:sz w:val="17"/>
          <w:szCs w:val="17"/>
          <w:color w:val="auto"/>
        </w:rPr>
        <w:t>The Convertible Senior Notes due 2025 bear cash interest at a rate of 6.0% per year, payable semiannually on June 1 and December 1, beginning on June 1, 2021. The Convertible Senior Notes due 2025 will mature on December 1, 2025, unless earlier repurchased or converted. The net amount of this exchange was $44.5 million, after deducting the initial underwriters’ fees and paying other transaction costs.</w:t>
      </w:r>
    </w:p>
    <w:p>
      <w:pPr>
        <w:spacing w:after="0" w:line="123" w:lineRule="exact"/>
        <w:rPr>
          <w:sz w:val="20"/>
          <w:szCs w:val="20"/>
          <w:color w:val="auto"/>
        </w:rPr>
      </w:pPr>
    </w:p>
    <w:p>
      <w:pPr>
        <w:spacing w:after="0" w:line="276" w:lineRule="auto"/>
        <w:rPr>
          <w:sz w:val="20"/>
          <w:szCs w:val="20"/>
          <w:color w:val="auto"/>
        </w:rPr>
      </w:pPr>
      <w:r>
        <w:rPr>
          <w:rFonts w:ascii="Arial" w:cs="Arial" w:eastAsia="Arial" w:hAnsi="Arial"/>
          <w:sz w:val="16"/>
          <w:szCs w:val="16"/>
          <w:color w:val="auto"/>
        </w:rPr>
        <w:t>The Convertible Senior Notes due 2025 are convertible at the option of holders in certain circumstances and during certain periods into the Company’s common shares, cash, or a combination thereof, at the Company’s election. The Indenture for the Convertible Senior Notes due 2025 provides that notes will become convertible during a quarter when the share price for 20 trading days during the final 30 trading days of the immediately preceding quarter was greater than 130% of the conversion price. This criterion was met during the first quarter of 2022 and as such the notes can be converted at the option of the holders beginning April 1 through June 30, 2022. Whether the notes will be convertible following such period will depend on if this criterion, or another conversion condition, is met in the future. To date, no holders have elected to convert their notes during any optional conversion periods.</w:t>
      </w:r>
    </w:p>
    <w:p>
      <w:pPr>
        <w:spacing w:after="0" w:line="121" w:lineRule="exact"/>
        <w:rPr>
          <w:sz w:val="20"/>
          <w:szCs w:val="20"/>
          <w:color w:val="auto"/>
        </w:rPr>
      </w:pPr>
    </w:p>
    <w:p>
      <w:pPr>
        <w:jc w:val="both"/>
        <w:ind w:right="200"/>
        <w:spacing w:after="0" w:line="243" w:lineRule="auto"/>
        <w:rPr>
          <w:sz w:val="20"/>
          <w:szCs w:val="20"/>
          <w:color w:val="auto"/>
        </w:rPr>
      </w:pPr>
      <w:r>
        <w:rPr>
          <w:rFonts w:ascii="Arial" w:cs="Arial" w:eastAsia="Arial" w:hAnsi="Arial"/>
          <w:sz w:val="18"/>
          <w:szCs w:val="18"/>
          <w:color w:val="auto"/>
        </w:rPr>
        <w:t>In the first quarter of 2022, TimkenSteel repurchased a total of $10.0 million aggregate principal amount of its Convertible Senior Notes Due 2025. Total cash paid to noteholders was $26.8 million. A loss on extinguishment of debt was recognized in the first quarter of 2022 in the amount of $17.0 million, which includes a charge of $0.2 million for unamortized debt issuance costs related to the portion of debt extinguished, as well as the related transaction costs.</w:t>
      </w:r>
    </w:p>
    <w:p>
      <w:pPr>
        <w:spacing w:after="0" w:line="147" w:lineRule="exact"/>
        <w:rPr>
          <w:sz w:val="20"/>
          <w:szCs w:val="20"/>
          <w:color w:val="auto"/>
        </w:rPr>
      </w:pPr>
    </w:p>
    <w:p>
      <w:pPr>
        <w:ind w:right="60"/>
        <w:spacing w:after="0" w:line="261" w:lineRule="auto"/>
        <w:rPr>
          <w:sz w:val="20"/>
          <w:szCs w:val="20"/>
          <w:color w:val="auto"/>
        </w:rPr>
      </w:pPr>
      <w:r>
        <w:rPr>
          <w:rFonts w:ascii="Arial" w:cs="Arial" w:eastAsia="Arial" w:hAnsi="Arial"/>
          <w:sz w:val="18"/>
          <w:szCs w:val="18"/>
          <w:color w:val="auto"/>
        </w:rPr>
        <w:t>For additional details regarding the Convertible Notes please refer to “Note 14 - Financing Arrangements” in the Company’s Annual Report on Form 10-K for the year ended December 31, 2021.</w:t>
      </w:r>
    </w:p>
    <w:p>
      <w:pPr>
        <w:spacing w:after="0" w:line="1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336550</wp:posOffset>
            </wp:positionV>
            <wp:extent cx="7157720" cy="425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4" w:name="page25"/>
    <w:bookmarkEnd w:id="2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810895" cy="8890"/>
                    </a:xfrm>
                    <a:prstGeom prst="rect">
                      <a:avLst/>
                    </a:prstGeom>
                    <a:noFill/>
                  </pic:spPr>
                </pic:pic>
              </a:graphicData>
            </a:graphic>
          </wp:anchor>
        </w:drawing>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Additional Liquidity Considerations</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color w:val="auto"/>
        </w:rPr>
        <w:t>The following represents a summary of key liquidity measures under the Amended Credit Agreement as of March 31, 2022 and December 31, 2021:</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820" w:type="dxa"/>
            <w:vAlign w:val="bottom"/>
          </w:tcPr>
          <w:p>
            <w:pPr>
              <w:spacing w:after="0"/>
              <w:rPr>
                <w:sz w:val="17"/>
                <w:szCs w:val="17"/>
                <w:color w:val="auto"/>
              </w:rPr>
            </w:pPr>
          </w:p>
        </w:tc>
        <w:tc>
          <w:tcPr>
            <w:tcW w:w="3120" w:type="dxa"/>
            <w:vAlign w:val="bottom"/>
          </w:tcPr>
          <w:p>
            <w:pPr>
              <w:spacing w:after="0"/>
              <w:rPr>
                <w:sz w:val="17"/>
                <w:szCs w:val="17"/>
                <w:color w:val="auto"/>
              </w:rPr>
            </w:pPr>
          </w:p>
        </w:tc>
        <w:tc>
          <w:tcPr>
            <w:tcW w:w="1520" w:type="dxa"/>
            <w:vAlign w:val="bottom"/>
          </w:tcPr>
          <w:p>
            <w:pPr>
              <w:jc w:val="right"/>
              <w:ind w:right="490"/>
              <w:spacing w:after="0"/>
              <w:rPr>
                <w:sz w:val="20"/>
                <w:szCs w:val="20"/>
                <w:color w:val="auto"/>
              </w:rPr>
            </w:pPr>
            <w:r>
              <w:rPr>
                <w:rFonts w:ascii="Arial" w:cs="Arial" w:eastAsia="Arial" w:hAnsi="Arial"/>
                <w:sz w:val="18"/>
                <w:szCs w:val="18"/>
                <w:b w:val="1"/>
                <w:bCs w:val="1"/>
                <w:color w:val="auto"/>
              </w:rPr>
              <w:t>March 31,</w:t>
            </w:r>
          </w:p>
        </w:tc>
        <w:tc>
          <w:tcPr>
            <w:tcW w:w="280" w:type="dxa"/>
            <w:vAlign w:val="bottom"/>
          </w:tcPr>
          <w:p>
            <w:pPr>
              <w:spacing w:after="0"/>
              <w:rPr>
                <w:sz w:val="17"/>
                <w:szCs w:val="17"/>
                <w:color w:val="auto"/>
              </w:rPr>
            </w:pPr>
          </w:p>
        </w:tc>
        <w:tc>
          <w:tcPr>
            <w:tcW w:w="1500" w:type="dxa"/>
            <w:vAlign w:val="bottom"/>
          </w:tcPr>
          <w:p>
            <w:pPr>
              <w:jc w:val="right"/>
              <w:ind w:right="290"/>
              <w:spacing w:after="0"/>
              <w:rPr>
                <w:sz w:val="20"/>
                <w:szCs w:val="20"/>
                <w:color w:val="auto"/>
              </w:rPr>
            </w:pPr>
            <w:r>
              <w:rPr>
                <w:rFonts w:ascii="Arial" w:cs="Arial" w:eastAsia="Arial" w:hAnsi="Arial"/>
                <w:sz w:val="18"/>
                <w:szCs w:val="18"/>
                <w:b w:val="1"/>
                <w:bCs w:val="1"/>
                <w:color w:val="auto"/>
                <w:w w:val="93"/>
              </w:rPr>
              <w:t>December 31,</w:t>
            </w:r>
          </w:p>
        </w:tc>
      </w:tr>
      <w:tr>
        <w:trPr>
          <w:trHeight w:val="216"/>
        </w:trPr>
        <w:tc>
          <w:tcPr>
            <w:tcW w:w="4820" w:type="dxa"/>
            <w:vAlign w:val="bottom"/>
            <w:tcBorders>
              <w:bottom w:val="single" w:sz="8" w:color="auto"/>
            </w:tcBorders>
          </w:tcPr>
          <w:p>
            <w:pPr>
              <w:spacing w:after="0"/>
              <w:rPr>
                <w:sz w:val="18"/>
                <w:szCs w:val="18"/>
                <w:color w:val="auto"/>
              </w:rPr>
            </w:pPr>
          </w:p>
        </w:tc>
        <w:tc>
          <w:tcPr>
            <w:tcW w:w="312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ind w:right="710"/>
              <w:spacing w:after="0"/>
              <w:rPr>
                <w:sz w:val="20"/>
                <w:szCs w:val="20"/>
                <w:color w:val="auto"/>
              </w:rPr>
            </w:pPr>
            <w:r>
              <w:rPr>
                <w:rFonts w:ascii="Arial" w:cs="Arial" w:eastAsia="Arial" w:hAnsi="Arial"/>
                <w:sz w:val="18"/>
                <w:szCs w:val="18"/>
                <w:b w:val="1"/>
                <w:bCs w:val="1"/>
                <w:color w:val="auto"/>
              </w:rPr>
              <w:t>2022</w:t>
            </w:r>
          </w:p>
        </w:tc>
        <w:tc>
          <w:tcPr>
            <w:tcW w:w="28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2021</w:t>
            </w:r>
          </w:p>
        </w:tc>
      </w:tr>
      <w:tr>
        <w:trPr>
          <w:trHeight w:val="196"/>
        </w:trPr>
        <w:tc>
          <w:tcPr>
            <w:tcW w:w="482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Cash and cash equivalents</w:t>
            </w:r>
          </w:p>
        </w:tc>
        <w:tc>
          <w:tcPr>
            <w:tcW w:w="3120" w:type="dxa"/>
            <w:vAlign w:val="bottom"/>
            <w:shd w:val="clear" w:color="auto" w:fill="CFF0FC"/>
          </w:tcPr>
          <w:p>
            <w:pPr>
              <w:jc w:val="right"/>
              <w:ind w:right="50"/>
              <w:spacing w:after="0" w:line="196" w:lineRule="exact"/>
              <w:rPr>
                <w:sz w:val="20"/>
                <w:szCs w:val="20"/>
                <w:color w:val="auto"/>
              </w:rPr>
            </w:pPr>
            <w:r>
              <w:rPr>
                <w:rFonts w:ascii="Arial" w:cs="Arial" w:eastAsia="Arial" w:hAnsi="Arial"/>
                <w:sz w:val="18"/>
                <w:szCs w:val="18"/>
                <w:b w:val="1"/>
                <w:bCs w:val="1"/>
                <w:color w:val="auto"/>
              </w:rPr>
              <w:t>$</w:t>
            </w:r>
          </w:p>
        </w:tc>
        <w:tc>
          <w:tcPr>
            <w:tcW w:w="1520" w:type="dxa"/>
            <w:vAlign w:val="bottom"/>
            <w:shd w:val="clear" w:color="auto" w:fill="CFF0FC"/>
          </w:tcPr>
          <w:p>
            <w:pPr>
              <w:jc w:val="right"/>
              <w:ind w:right="110"/>
              <w:spacing w:after="0" w:line="196" w:lineRule="exact"/>
              <w:rPr>
                <w:sz w:val="20"/>
                <w:szCs w:val="20"/>
                <w:color w:val="auto"/>
              </w:rPr>
            </w:pPr>
            <w:r>
              <w:rPr>
                <w:rFonts w:ascii="Arial" w:cs="Arial" w:eastAsia="Arial" w:hAnsi="Arial"/>
                <w:sz w:val="18"/>
                <w:szCs w:val="18"/>
                <w:b w:val="1"/>
                <w:bCs w:val="1"/>
                <w:color w:val="auto"/>
              </w:rPr>
              <w:t>239.9</w:t>
            </w:r>
          </w:p>
        </w:tc>
        <w:tc>
          <w:tcPr>
            <w:tcW w:w="28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150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259.6</w:t>
            </w:r>
          </w:p>
        </w:tc>
      </w:tr>
      <w:tr>
        <w:trPr>
          <w:trHeight w:val="203"/>
        </w:trPr>
        <w:tc>
          <w:tcPr>
            <w:tcW w:w="4820" w:type="dxa"/>
            <w:vAlign w:val="bottom"/>
          </w:tcPr>
          <w:p>
            <w:pPr>
              <w:spacing w:after="0"/>
              <w:rPr>
                <w:sz w:val="17"/>
                <w:szCs w:val="17"/>
                <w:color w:val="auto"/>
              </w:rPr>
            </w:pPr>
          </w:p>
        </w:tc>
        <w:tc>
          <w:tcPr>
            <w:tcW w:w="312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500" w:type="dxa"/>
            <w:vAlign w:val="bottom"/>
          </w:tcPr>
          <w:p>
            <w:pPr>
              <w:spacing w:after="0"/>
              <w:rPr>
                <w:sz w:val="17"/>
                <w:szCs w:val="17"/>
                <w:color w:val="auto"/>
              </w:rPr>
            </w:pPr>
          </w:p>
        </w:tc>
      </w:tr>
      <w:tr>
        <w:trPr>
          <w:trHeight w:val="203"/>
        </w:trPr>
        <w:tc>
          <w:tcPr>
            <w:tcW w:w="482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b w:val="1"/>
                <w:bCs w:val="1"/>
                <w:color w:val="auto"/>
              </w:rPr>
              <w:t>Credit Agreement:</w:t>
            </w:r>
          </w:p>
        </w:tc>
        <w:tc>
          <w:tcPr>
            <w:tcW w:w="3120" w:type="dxa"/>
            <w:vAlign w:val="bottom"/>
            <w:shd w:val="clear" w:color="auto" w:fill="CFF0FC"/>
          </w:tcPr>
          <w:p>
            <w:pPr>
              <w:spacing w:after="0"/>
              <w:rPr>
                <w:sz w:val="17"/>
                <w:szCs w:val="17"/>
                <w:color w:val="auto"/>
              </w:rPr>
            </w:pPr>
          </w:p>
        </w:tc>
        <w:tc>
          <w:tcPr>
            <w:tcW w:w="152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1500" w:type="dxa"/>
            <w:vAlign w:val="bottom"/>
            <w:shd w:val="clear" w:color="auto" w:fill="CFF0FC"/>
          </w:tcPr>
          <w:p>
            <w:pPr>
              <w:spacing w:after="0"/>
              <w:rPr>
                <w:sz w:val="17"/>
                <w:szCs w:val="17"/>
                <w:color w:val="auto"/>
              </w:rPr>
            </w:pPr>
          </w:p>
        </w:tc>
      </w:tr>
      <w:tr>
        <w:trPr>
          <w:trHeight w:val="203"/>
        </w:trPr>
        <w:tc>
          <w:tcPr>
            <w:tcW w:w="4820" w:type="dxa"/>
            <w:vAlign w:val="bottom"/>
          </w:tcPr>
          <w:p>
            <w:pPr>
              <w:ind w:left="20"/>
              <w:spacing w:after="0" w:line="202" w:lineRule="exact"/>
              <w:rPr>
                <w:sz w:val="20"/>
                <w:szCs w:val="20"/>
                <w:color w:val="auto"/>
              </w:rPr>
            </w:pPr>
            <w:r>
              <w:rPr>
                <w:rFonts w:ascii="Arial" w:cs="Arial" w:eastAsia="Arial" w:hAnsi="Arial"/>
                <w:sz w:val="18"/>
                <w:szCs w:val="18"/>
                <w:color w:val="auto"/>
              </w:rPr>
              <w:t>Maximum availability</w:t>
            </w:r>
          </w:p>
        </w:tc>
        <w:tc>
          <w:tcPr>
            <w:tcW w:w="3120" w:type="dxa"/>
            <w:vAlign w:val="bottom"/>
          </w:tcPr>
          <w:p>
            <w:pPr>
              <w:jc w:val="right"/>
              <w:ind w:right="50"/>
              <w:spacing w:after="0" w:line="202" w:lineRule="exact"/>
              <w:rPr>
                <w:sz w:val="20"/>
                <w:szCs w:val="20"/>
                <w:color w:val="auto"/>
              </w:rPr>
            </w:pPr>
            <w:r>
              <w:rPr>
                <w:rFonts w:ascii="Arial" w:cs="Arial" w:eastAsia="Arial" w:hAnsi="Arial"/>
                <w:sz w:val="18"/>
                <w:szCs w:val="18"/>
                <w:b w:val="1"/>
                <w:bCs w:val="1"/>
                <w:color w:val="auto"/>
              </w:rPr>
              <w:t>$</w:t>
            </w:r>
          </w:p>
        </w:tc>
        <w:tc>
          <w:tcPr>
            <w:tcW w:w="1520" w:type="dxa"/>
            <w:vAlign w:val="bottom"/>
          </w:tcPr>
          <w:p>
            <w:pPr>
              <w:jc w:val="right"/>
              <w:ind w:right="110"/>
              <w:spacing w:after="0" w:line="202" w:lineRule="exact"/>
              <w:rPr>
                <w:sz w:val="20"/>
                <w:szCs w:val="20"/>
                <w:color w:val="auto"/>
              </w:rPr>
            </w:pPr>
            <w:r>
              <w:rPr>
                <w:rFonts w:ascii="Arial" w:cs="Arial" w:eastAsia="Arial" w:hAnsi="Arial"/>
                <w:sz w:val="18"/>
                <w:szCs w:val="18"/>
                <w:b w:val="1"/>
                <w:bCs w:val="1"/>
                <w:color w:val="auto"/>
              </w:rPr>
              <w:t>400.0</w:t>
            </w:r>
          </w:p>
        </w:tc>
        <w:tc>
          <w:tcPr>
            <w:tcW w:w="28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1500" w:type="dxa"/>
            <w:vAlign w:val="bottom"/>
          </w:tcPr>
          <w:p>
            <w:pPr>
              <w:jc w:val="right"/>
              <w:ind w:right="30"/>
              <w:spacing w:after="0" w:line="202" w:lineRule="exact"/>
              <w:rPr>
                <w:sz w:val="20"/>
                <w:szCs w:val="20"/>
                <w:color w:val="auto"/>
              </w:rPr>
            </w:pPr>
            <w:r>
              <w:rPr>
                <w:rFonts w:ascii="Arial" w:cs="Arial" w:eastAsia="Arial" w:hAnsi="Arial"/>
                <w:sz w:val="18"/>
                <w:szCs w:val="18"/>
                <w:color w:val="auto"/>
              </w:rPr>
              <w:t>400.0</w:t>
            </w:r>
          </w:p>
        </w:tc>
      </w:tr>
      <w:tr>
        <w:trPr>
          <w:trHeight w:val="203"/>
        </w:trPr>
        <w:tc>
          <w:tcPr>
            <w:tcW w:w="4820" w:type="dxa"/>
            <w:vAlign w:val="bottom"/>
            <w:tcBorders>
              <w:bottom w:val="single" w:sz="8" w:color="auto"/>
            </w:tcBorders>
            <w:shd w:val="clear" w:color="auto" w:fill="CFF0FC"/>
          </w:tcPr>
          <w:p>
            <w:pPr>
              <w:ind w:left="20"/>
              <w:spacing w:after="0" w:line="202" w:lineRule="exact"/>
              <w:rPr>
                <w:sz w:val="20"/>
                <w:szCs w:val="20"/>
                <w:color w:val="auto"/>
              </w:rPr>
            </w:pPr>
            <w:r>
              <w:rPr>
                <w:rFonts w:ascii="Arial" w:cs="Arial" w:eastAsia="Arial" w:hAnsi="Arial"/>
                <w:sz w:val="17"/>
                <w:szCs w:val="17"/>
                <w:color w:val="auto"/>
              </w:rPr>
              <w:t>Suppressed availability</w:t>
            </w:r>
            <w:r>
              <w:rPr>
                <w:rFonts w:ascii="Arial" w:cs="Arial" w:eastAsia="Arial" w:hAnsi="Arial"/>
                <w:sz w:val="23"/>
                <w:szCs w:val="23"/>
                <w:color w:val="auto"/>
                <w:vertAlign w:val="superscript"/>
              </w:rPr>
              <w:t>(1)</w:t>
            </w:r>
          </w:p>
        </w:tc>
        <w:tc>
          <w:tcPr>
            <w:tcW w:w="3120" w:type="dxa"/>
            <w:vAlign w:val="bottom"/>
            <w:tcBorders>
              <w:bottom w:val="single" w:sz="8" w:color="auto"/>
            </w:tcBorders>
            <w:shd w:val="clear" w:color="auto" w:fill="CFF0FC"/>
          </w:tcPr>
          <w:p>
            <w:pPr>
              <w:spacing w:after="0"/>
              <w:rPr>
                <w:sz w:val="17"/>
                <w:szCs w:val="17"/>
                <w:color w:val="auto"/>
              </w:rPr>
            </w:pPr>
          </w:p>
        </w:tc>
        <w:tc>
          <w:tcPr>
            <w:tcW w:w="1520" w:type="dxa"/>
            <w:vAlign w:val="bottom"/>
            <w:tcBorders>
              <w:bottom w:val="single" w:sz="8" w:color="auto"/>
            </w:tcBorders>
            <w:shd w:val="clear" w:color="auto" w:fill="CFF0FC"/>
          </w:tcPr>
          <w:p>
            <w:pPr>
              <w:jc w:val="right"/>
              <w:ind w:right="10"/>
              <w:spacing w:after="0" w:line="202" w:lineRule="exact"/>
              <w:rPr>
                <w:sz w:val="20"/>
                <w:szCs w:val="20"/>
                <w:color w:val="auto"/>
              </w:rPr>
            </w:pPr>
            <w:r>
              <w:rPr>
                <w:rFonts w:ascii="Arial" w:cs="Arial" w:eastAsia="Arial" w:hAnsi="Arial"/>
                <w:sz w:val="18"/>
                <w:szCs w:val="18"/>
                <w:b w:val="1"/>
                <w:bCs w:val="1"/>
                <w:color w:val="auto"/>
              </w:rPr>
              <w:t>(111.7 )</w:t>
            </w:r>
          </w:p>
        </w:tc>
        <w:tc>
          <w:tcPr>
            <w:tcW w:w="280" w:type="dxa"/>
            <w:vAlign w:val="bottom"/>
            <w:tcBorders>
              <w:bottom w:val="single" w:sz="8" w:color="auto"/>
            </w:tcBorders>
            <w:shd w:val="clear" w:color="auto" w:fill="CFF0FC"/>
          </w:tcPr>
          <w:p>
            <w:pPr>
              <w:spacing w:after="0"/>
              <w:rPr>
                <w:sz w:val="17"/>
                <w:szCs w:val="17"/>
                <w:color w:val="auto"/>
              </w:rPr>
            </w:pPr>
          </w:p>
        </w:tc>
        <w:tc>
          <w:tcPr>
            <w:tcW w:w="150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(143.5 )</w:t>
            </w:r>
          </w:p>
        </w:tc>
      </w:tr>
      <w:tr>
        <w:trPr>
          <w:trHeight w:val="196"/>
        </w:trPr>
        <w:tc>
          <w:tcPr>
            <w:tcW w:w="4820" w:type="dxa"/>
            <w:vAlign w:val="bottom"/>
          </w:tcPr>
          <w:p>
            <w:pPr>
              <w:ind w:left="20"/>
              <w:spacing w:after="0" w:line="196" w:lineRule="exact"/>
              <w:rPr>
                <w:sz w:val="20"/>
                <w:szCs w:val="20"/>
                <w:color w:val="auto"/>
              </w:rPr>
            </w:pPr>
            <w:r>
              <w:rPr>
                <w:rFonts w:ascii="Arial" w:cs="Arial" w:eastAsia="Arial" w:hAnsi="Arial"/>
                <w:sz w:val="18"/>
                <w:szCs w:val="18"/>
                <w:color w:val="auto"/>
              </w:rPr>
              <w:t>Availability</w:t>
            </w:r>
          </w:p>
        </w:tc>
        <w:tc>
          <w:tcPr>
            <w:tcW w:w="3120" w:type="dxa"/>
            <w:vAlign w:val="bottom"/>
          </w:tcPr>
          <w:p>
            <w:pPr>
              <w:spacing w:after="0"/>
              <w:rPr>
                <w:sz w:val="17"/>
                <w:szCs w:val="17"/>
                <w:color w:val="auto"/>
              </w:rPr>
            </w:pPr>
          </w:p>
        </w:tc>
        <w:tc>
          <w:tcPr>
            <w:tcW w:w="1520" w:type="dxa"/>
            <w:vAlign w:val="bottom"/>
          </w:tcPr>
          <w:p>
            <w:pPr>
              <w:jc w:val="right"/>
              <w:ind w:right="110"/>
              <w:spacing w:after="0" w:line="196" w:lineRule="exact"/>
              <w:rPr>
                <w:sz w:val="20"/>
                <w:szCs w:val="20"/>
                <w:color w:val="auto"/>
              </w:rPr>
            </w:pPr>
            <w:r>
              <w:rPr>
                <w:rFonts w:ascii="Arial" w:cs="Arial" w:eastAsia="Arial" w:hAnsi="Arial"/>
                <w:sz w:val="18"/>
                <w:szCs w:val="18"/>
                <w:b w:val="1"/>
                <w:bCs w:val="1"/>
                <w:color w:val="auto"/>
              </w:rPr>
              <w:t>288.3</w:t>
            </w:r>
          </w:p>
        </w:tc>
        <w:tc>
          <w:tcPr>
            <w:tcW w:w="280" w:type="dxa"/>
            <w:vAlign w:val="bottom"/>
          </w:tcPr>
          <w:p>
            <w:pPr>
              <w:spacing w:after="0"/>
              <w:rPr>
                <w:sz w:val="17"/>
                <w:szCs w:val="17"/>
                <w:color w:val="auto"/>
              </w:rPr>
            </w:pPr>
          </w:p>
        </w:tc>
        <w:tc>
          <w:tcPr>
            <w:tcW w:w="1500" w:type="dxa"/>
            <w:vAlign w:val="bottom"/>
          </w:tcPr>
          <w:p>
            <w:pPr>
              <w:jc w:val="right"/>
              <w:ind w:right="30"/>
              <w:spacing w:after="0" w:line="196" w:lineRule="exact"/>
              <w:rPr>
                <w:sz w:val="20"/>
                <w:szCs w:val="20"/>
                <w:color w:val="auto"/>
              </w:rPr>
            </w:pPr>
            <w:r>
              <w:rPr>
                <w:rFonts w:ascii="Arial" w:cs="Arial" w:eastAsia="Arial" w:hAnsi="Arial"/>
                <w:sz w:val="18"/>
                <w:szCs w:val="18"/>
                <w:color w:val="auto"/>
              </w:rPr>
              <w:t>256.5</w:t>
            </w:r>
          </w:p>
        </w:tc>
      </w:tr>
      <w:tr>
        <w:trPr>
          <w:trHeight w:val="203"/>
        </w:trPr>
        <w:tc>
          <w:tcPr>
            <w:tcW w:w="482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Amount borrowed</w:t>
            </w:r>
          </w:p>
        </w:tc>
        <w:tc>
          <w:tcPr>
            <w:tcW w:w="3120" w:type="dxa"/>
            <w:vAlign w:val="bottom"/>
            <w:shd w:val="clear" w:color="auto" w:fill="CFF0FC"/>
          </w:tcPr>
          <w:p>
            <w:pPr>
              <w:spacing w:after="0"/>
              <w:rPr>
                <w:sz w:val="17"/>
                <w:szCs w:val="17"/>
                <w:color w:val="auto"/>
              </w:rPr>
            </w:pPr>
          </w:p>
        </w:tc>
        <w:tc>
          <w:tcPr>
            <w:tcW w:w="1520" w:type="dxa"/>
            <w:vAlign w:val="bottom"/>
            <w:shd w:val="clear" w:color="auto" w:fill="CFF0FC"/>
          </w:tcPr>
          <w:p>
            <w:pPr>
              <w:jc w:val="right"/>
              <w:ind w:right="110"/>
              <w:spacing w:after="0" w:line="202" w:lineRule="exact"/>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FF0FC"/>
          </w:tcPr>
          <w:p>
            <w:pPr>
              <w:spacing w:after="0"/>
              <w:rPr>
                <w:sz w:val="17"/>
                <w:szCs w:val="17"/>
                <w:color w:val="auto"/>
              </w:rPr>
            </w:pPr>
          </w:p>
        </w:tc>
        <w:tc>
          <w:tcPr>
            <w:tcW w:w="1500" w:type="dxa"/>
            <w:vAlign w:val="bottom"/>
            <w:shd w:val="clear" w:color="auto" w:fill="CFF0FC"/>
          </w:tcPr>
          <w:p>
            <w:pPr>
              <w:jc w:val="right"/>
              <w:ind w:right="30"/>
              <w:spacing w:after="0" w:line="202" w:lineRule="exact"/>
              <w:rPr>
                <w:sz w:val="20"/>
                <w:szCs w:val="20"/>
                <w:color w:val="auto"/>
              </w:rPr>
            </w:pPr>
            <w:r>
              <w:rPr>
                <w:rFonts w:ascii="Arial" w:cs="Arial" w:eastAsia="Arial" w:hAnsi="Arial"/>
                <w:sz w:val="18"/>
                <w:szCs w:val="18"/>
                <w:color w:val="auto"/>
              </w:rPr>
              <w:t>—</w:t>
            </w:r>
          </w:p>
        </w:tc>
      </w:tr>
      <w:tr>
        <w:trPr>
          <w:trHeight w:val="203"/>
        </w:trPr>
        <w:tc>
          <w:tcPr>
            <w:tcW w:w="4820" w:type="dxa"/>
            <w:vAlign w:val="bottom"/>
            <w:tcBorders>
              <w:bottom w:val="single" w:sz="8" w:color="auto"/>
            </w:tcBorders>
          </w:tcPr>
          <w:p>
            <w:pPr>
              <w:ind w:left="20"/>
              <w:spacing w:after="0" w:line="202" w:lineRule="exact"/>
              <w:rPr>
                <w:sz w:val="20"/>
                <w:szCs w:val="20"/>
                <w:color w:val="auto"/>
              </w:rPr>
            </w:pPr>
            <w:r>
              <w:rPr>
                <w:rFonts w:ascii="Arial" w:cs="Arial" w:eastAsia="Arial" w:hAnsi="Arial"/>
                <w:sz w:val="18"/>
                <w:szCs w:val="18"/>
                <w:color w:val="auto"/>
              </w:rPr>
              <w:t>Letter of credit obligations</w:t>
            </w:r>
          </w:p>
        </w:tc>
        <w:tc>
          <w:tcPr>
            <w:tcW w:w="3120" w:type="dxa"/>
            <w:vAlign w:val="bottom"/>
            <w:tcBorders>
              <w:bottom w:val="single" w:sz="8" w:color="auto"/>
            </w:tcBorders>
          </w:tcPr>
          <w:p>
            <w:pPr>
              <w:spacing w:after="0"/>
              <w:rPr>
                <w:sz w:val="17"/>
                <w:szCs w:val="17"/>
                <w:color w:val="auto"/>
              </w:rPr>
            </w:pPr>
          </w:p>
        </w:tc>
        <w:tc>
          <w:tcPr>
            <w:tcW w:w="152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b w:val="1"/>
                <w:bCs w:val="1"/>
                <w:color w:val="auto"/>
              </w:rPr>
              <w:t>(5.4 )</w:t>
            </w:r>
          </w:p>
        </w:tc>
        <w:tc>
          <w:tcPr>
            <w:tcW w:w="28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(5.4 )</w:t>
            </w:r>
          </w:p>
        </w:tc>
      </w:tr>
      <w:tr>
        <w:trPr>
          <w:trHeight w:val="196"/>
        </w:trPr>
        <w:tc>
          <w:tcPr>
            <w:tcW w:w="482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Availability not borrowed</w:t>
            </w:r>
          </w:p>
        </w:tc>
        <w:tc>
          <w:tcPr>
            <w:tcW w:w="3120" w:type="dxa"/>
            <w:vAlign w:val="bottom"/>
            <w:shd w:val="clear" w:color="auto" w:fill="CFF0FC"/>
          </w:tcPr>
          <w:p>
            <w:pPr>
              <w:jc w:val="right"/>
              <w:ind w:right="50"/>
              <w:spacing w:after="0" w:line="196" w:lineRule="exact"/>
              <w:rPr>
                <w:sz w:val="20"/>
                <w:szCs w:val="20"/>
                <w:color w:val="auto"/>
              </w:rPr>
            </w:pPr>
            <w:r>
              <w:rPr>
                <w:rFonts w:ascii="Arial" w:cs="Arial" w:eastAsia="Arial" w:hAnsi="Arial"/>
                <w:sz w:val="18"/>
                <w:szCs w:val="18"/>
                <w:b w:val="1"/>
                <w:bCs w:val="1"/>
                <w:color w:val="auto"/>
              </w:rPr>
              <w:t>$</w:t>
            </w:r>
          </w:p>
        </w:tc>
        <w:tc>
          <w:tcPr>
            <w:tcW w:w="1520" w:type="dxa"/>
            <w:vAlign w:val="bottom"/>
            <w:shd w:val="clear" w:color="auto" w:fill="CFF0FC"/>
          </w:tcPr>
          <w:p>
            <w:pPr>
              <w:jc w:val="right"/>
              <w:ind w:right="110"/>
              <w:spacing w:after="0" w:line="196" w:lineRule="exact"/>
              <w:rPr>
                <w:sz w:val="20"/>
                <w:szCs w:val="20"/>
                <w:color w:val="auto"/>
              </w:rPr>
            </w:pPr>
            <w:r>
              <w:rPr>
                <w:rFonts w:ascii="Arial" w:cs="Arial" w:eastAsia="Arial" w:hAnsi="Arial"/>
                <w:sz w:val="18"/>
                <w:szCs w:val="18"/>
                <w:b w:val="1"/>
                <w:bCs w:val="1"/>
                <w:color w:val="auto"/>
              </w:rPr>
              <w:t>282.9</w:t>
            </w:r>
          </w:p>
        </w:tc>
        <w:tc>
          <w:tcPr>
            <w:tcW w:w="28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1500" w:type="dxa"/>
            <w:vAlign w:val="bottom"/>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251.1</w:t>
            </w:r>
          </w:p>
        </w:tc>
      </w:tr>
      <w:tr>
        <w:trPr>
          <w:trHeight w:val="203"/>
        </w:trPr>
        <w:tc>
          <w:tcPr>
            <w:tcW w:w="4820" w:type="dxa"/>
            <w:vAlign w:val="bottom"/>
            <w:tcBorders>
              <w:bottom w:val="single" w:sz="8" w:color="auto"/>
            </w:tcBorders>
          </w:tcPr>
          <w:p>
            <w:pPr>
              <w:spacing w:after="0"/>
              <w:rPr>
                <w:sz w:val="17"/>
                <w:szCs w:val="17"/>
                <w:color w:val="auto"/>
              </w:rPr>
            </w:pPr>
          </w:p>
        </w:tc>
        <w:tc>
          <w:tcPr>
            <w:tcW w:w="3120" w:type="dxa"/>
            <w:vAlign w:val="bottom"/>
            <w:tcBorders>
              <w:bottom w:val="single" w:sz="8" w:color="auto"/>
            </w:tcBorders>
          </w:tcPr>
          <w:p>
            <w:pPr>
              <w:spacing w:after="0"/>
              <w:rPr>
                <w:sz w:val="17"/>
                <w:szCs w:val="17"/>
                <w:color w:val="auto"/>
              </w:rPr>
            </w:pPr>
          </w:p>
        </w:tc>
        <w:tc>
          <w:tcPr>
            <w:tcW w:w="152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tcPr>
          <w:p>
            <w:pPr>
              <w:spacing w:after="0"/>
              <w:rPr>
                <w:sz w:val="17"/>
                <w:szCs w:val="17"/>
                <w:color w:val="auto"/>
              </w:rPr>
            </w:pPr>
          </w:p>
        </w:tc>
      </w:tr>
      <w:tr>
        <w:trPr>
          <w:trHeight w:val="196"/>
        </w:trPr>
        <w:tc>
          <w:tcPr>
            <w:tcW w:w="4820" w:type="dxa"/>
            <w:vAlign w:val="bottom"/>
            <w:tcBorders>
              <w:bottom w:val="single" w:sz="8" w:color="auto"/>
            </w:tcBorders>
            <w:shd w:val="clear" w:color="auto" w:fill="CFF0FC"/>
          </w:tcPr>
          <w:p>
            <w:pPr>
              <w:ind w:left="20"/>
              <w:spacing w:after="0" w:line="196" w:lineRule="exact"/>
              <w:rPr>
                <w:sz w:val="20"/>
                <w:szCs w:val="20"/>
                <w:color w:val="auto"/>
              </w:rPr>
            </w:pPr>
            <w:r>
              <w:rPr>
                <w:rFonts w:ascii="Arial" w:cs="Arial" w:eastAsia="Arial" w:hAnsi="Arial"/>
                <w:sz w:val="18"/>
                <w:szCs w:val="18"/>
                <w:color w:val="auto"/>
              </w:rPr>
              <w:t>Total liquidity</w:t>
            </w:r>
          </w:p>
        </w:tc>
        <w:tc>
          <w:tcPr>
            <w:tcW w:w="3120" w:type="dxa"/>
            <w:vAlign w:val="bottom"/>
            <w:tcBorders>
              <w:bottom w:val="single" w:sz="8" w:color="auto"/>
            </w:tcBorders>
            <w:shd w:val="clear" w:color="auto" w:fill="CFF0FC"/>
          </w:tcPr>
          <w:p>
            <w:pPr>
              <w:jc w:val="right"/>
              <w:ind w:right="50"/>
              <w:spacing w:after="0" w:line="196" w:lineRule="exact"/>
              <w:rPr>
                <w:sz w:val="20"/>
                <w:szCs w:val="20"/>
                <w:color w:val="auto"/>
              </w:rPr>
            </w:pPr>
            <w:r>
              <w:rPr>
                <w:rFonts w:ascii="Arial" w:cs="Arial" w:eastAsia="Arial" w:hAnsi="Arial"/>
                <w:sz w:val="18"/>
                <w:szCs w:val="18"/>
                <w:b w:val="1"/>
                <w:bCs w:val="1"/>
                <w:color w:val="auto"/>
              </w:rPr>
              <w:t>$</w:t>
            </w:r>
          </w:p>
        </w:tc>
        <w:tc>
          <w:tcPr>
            <w:tcW w:w="1520" w:type="dxa"/>
            <w:vAlign w:val="bottom"/>
            <w:tcBorders>
              <w:bottom w:val="single" w:sz="8" w:color="auto"/>
            </w:tcBorders>
            <w:shd w:val="clear" w:color="auto" w:fill="CFF0FC"/>
          </w:tcPr>
          <w:p>
            <w:pPr>
              <w:jc w:val="right"/>
              <w:ind w:right="110"/>
              <w:spacing w:after="0" w:line="196" w:lineRule="exact"/>
              <w:rPr>
                <w:sz w:val="20"/>
                <w:szCs w:val="20"/>
                <w:color w:val="auto"/>
              </w:rPr>
            </w:pPr>
            <w:r>
              <w:rPr>
                <w:rFonts w:ascii="Arial" w:cs="Arial" w:eastAsia="Arial" w:hAnsi="Arial"/>
                <w:sz w:val="18"/>
                <w:szCs w:val="18"/>
                <w:b w:val="1"/>
                <w:bCs w:val="1"/>
                <w:color w:val="auto"/>
              </w:rPr>
              <w:t>522.8</w:t>
            </w:r>
          </w:p>
        </w:tc>
        <w:tc>
          <w:tcPr>
            <w:tcW w:w="28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1500" w:type="dxa"/>
            <w:vAlign w:val="bottom"/>
            <w:tcBorders>
              <w:bottom w:val="single" w:sz="8" w:color="auto"/>
            </w:tcBorders>
            <w:shd w:val="clear" w:color="auto" w:fill="CFF0FC"/>
          </w:tcPr>
          <w:p>
            <w:pPr>
              <w:jc w:val="right"/>
              <w:ind w:right="30"/>
              <w:spacing w:after="0" w:line="196" w:lineRule="exact"/>
              <w:rPr>
                <w:sz w:val="20"/>
                <w:szCs w:val="20"/>
                <w:color w:val="auto"/>
              </w:rPr>
            </w:pPr>
            <w:r>
              <w:rPr>
                <w:rFonts w:ascii="Arial" w:cs="Arial" w:eastAsia="Arial" w:hAnsi="Arial"/>
                <w:sz w:val="18"/>
                <w:szCs w:val="18"/>
                <w:color w:val="auto"/>
              </w:rPr>
              <w:t>510.7</w:t>
            </w:r>
          </w:p>
        </w:tc>
      </w:tr>
    </w:tbl>
    <w:p>
      <w:pPr>
        <w:spacing w:after="0" w:line="33" w:lineRule="exact"/>
        <w:rPr>
          <w:sz w:val="20"/>
          <w:szCs w:val="20"/>
          <w:color w:val="auto"/>
        </w:rPr>
      </w:pPr>
    </w:p>
    <w:p>
      <w:pPr>
        <w:ind w:left="200" w:hanging="192"/>
        <w:spacing w:after="0"/>
        <w:tabs>
          <w:tab w:leader="none" w:pos="200" w:val="left"/>
        </w:tabs>
        <w:numPr>
          <w:ilvl w:val="0"/>
          <w:numId w:val="6"/>
        </w:numPr>
        <w:rPr>
          <w:rFonts w:ascii="Arial" w:cs="Arial" w:eastAsia="Arial" w:hAnsi="Arial"/>
          <w:sz w:val="23"/>
          <w:szCs w:val="23"/>
          <w:color w:val="auto"/>
          <w:vertAlign w:val="superscript"/>
        </w:rPr>
      </w:pPr>
      <w:r>
        <w:rPr>
          <w:rFonts w:ascii="Arial" w:cs="Arial" w:eastAsia="Arial" w:hAnsi="Arial"/>
          <w:sz w:val="17"/>
          <w:szCs w:val="17"/>
          <w:color w:val="auto"/>
        </w:rPr>
        <w:t>As of March 31, 2022, and December 31, 2021, TimkenSteel had less than $400 million in collateral assets to borrow against.</w:t>
      </w:r>
    </w:p>
    <w:p>
      <w:pPr>
        <w:spacing w:after="0" w:line="148" w:lineRule="exact"/>
        <w:rPr>
          <w:sz w:val="20"/>
          <w:szCs w:val="20"/>
          <w:color w:val="auto"/>
        </w:rPr>
      </w:pPr>
    </w:p>
    <w:p>
      <w:pPr>
        <w:ind w:right="100"/>
        <w:spacing w:after="0" w:line="279" w:lineRule="auto"/>
        <w:rPr>
          <w:sz w:val="20"/>
          <w:szCs w:val="20"/>
          <w:color w:val="auto"/>
        </w:rPr>
      </w:pPr>
      <w:r>
        <w:rPr>
          <w:rFonts w:ascii="Arial" w:cs="Arial" w:eastAsia="Arial" w:hAnsi="Arial"/>
          <w:sz w:val="16"/>
          <w:szCs w:val="16"/>
          <w:color w:val="auto"/>
        </w:rPr>
        <w:t>Our principal sources of liquidity are cash and cash equivalents, cash flows from operations and available borrowing capacity under our Amended Credit Agreement. As of March 31, 2022, taking into account our view of mobile, industrial, and energy market demand for our products, and our 2022 operating and long-range plan, we believe that our cash balance as of March 31, 2022, projected cash generated from operations, and borrowings available under the Amended Credit Agreement, will be sufficient to satisfy our working capital needs, capital expenditures and other liquidity requirements associated with our operations, including servicing our debt and pension and postretirement benefit obligations, for at least the next twelve months.</w:t>
      </w:r>
    </w:p>
    <w:p>
      <w:pPr>
        <w:spacing w:after="0" w:line="119" w:lineRule="exact"/>
        <w:rPr>
          <w:sz w:val="20"/>
          <w:szCs w:val="20"/>
          <w:color w:val="auto"/>
        </w:rPr>
      </w:pPr>
    </w:p>
    <w:p>
      <w:pPr>
        <w:ind w:right="120"/>
        <w:spacing w:after="0" w:line="243" w:lineRule="auto"/>
        <w:rPr>
          <w:sz w:val="20"/>
          <w:szCs w:val="20"/>
          <w:color w:val="auto"/>
        </w:rPr>
      </w:pPr>
      <w:r>
        <w:rPr>
          <w:rFonts w:ascii="Arial" w:cs="Arial" w:eastAsia="Arial" w:hAnsi="Arial"/>
          <w:sz w:val="18"/>
          <w:szCs w:val="18"/>
          <w:color w:val="auto"/>
        </w:rPr>
        <w:t>To the extent our liquidity needs prove to be greater than expected or cash generated from operations is less than anticipated, and cash on hand or credit availability is insufficient, we would seek additional financing to provide additional liquidity. We regularly evaluate our potential access to the equity and debt capital markets as sources of liquidity and we believe additional financing would likely be available if necessary, although we can make no assurance as to the form or terms of any such financing.</w:t>
      </w:r>
    </w:p>
    <w:p>
      <w:pPr>
        <w:spacing w:after="0" w:line="147" w:lineRule="exact"/>
        <w:rPr>
          <w:sz w:val="20"/>
          <w:szCs w:val="20"/>
          <w:color w:val="auto"/>
        </w:rPr>
      </w:pPr>
    </w:p>
    <w:p>
      <w:pPr>
        <w:ind w:right="20"/>
        <w:spacing w:after="0" w:line="248" w:lineRule="auto"/>
        <w:rPr>
          <w:sz w:val="20"/>
          <w:szCs w:val="20"/>
          <w:color w:val="auto"/>
        </w:rPr>
      </w:pPr>
      <w:r>
        <w:rPr>
          <w:rFonts w:ascii="Arial" w:cs="Arial" w:eastAsia="Arial" w:hAnsi="Arial"/>
          <w:sz w:val="18"/>
          <w:szCs w:val="18"/>
          <w:color w:val="auto"/>
        </w:rPr>
        <w:t>We continue to evaluate the best use of our liquidity which would allow us to invest in profitable growth, maintain a strong balance sheet, and return capital to shareholders. We continue to anticipate capital expenditures to be approximately $40 million in 2022, with over half of this budget allocated to profitability improvement projects.</w:t>
      </w:r>
    </w:p>
    <w:p>
      <w:pPr>
        <w:spacing w:after="0" w:line="141" w:lineRule="exact"/>
        <w:rPr>
          <w:sz w:val="20"/>
          <w:szCs w:val="20"/>
          <w:color w:val="auto"/>
        </w:rPr>
      </w:pPr>
    </w:p>
    <w:p>
      <w:pPr>
        <w:ind w:right="120"/>
        <w:spacing w:after="0" w:line="270" w:lineRule="auto"/>
        <w:rPr>
          <w:sz w:val="20"/>
          <w:szCs w:val="20"/>
          <w:color w:val="auto"/>
        </w:rPr>
      </w:pPr>
      <w:r>
        <w:rPr>
          <w:rFonts w:ascii="Arial" w:cs="Arial" w:eastAsia="Arial" w:hAnsi="Arial"/>
          <w:sz w:val="17"/>
          <w:szCs w:val="17"/>
          <w:color w:val="auto"/>
        </w:rPr>
        <w:t>During the first quarter of 2022, we privately negotiated the early repurchase of $10.0 million aggregate principal amount of our Convertible Senior Notes Due 2025. In addition to reducing outstanding debt and generating $0.6 million of annual interest savings, the convertible notes repurchase will have the effect of reducing diluted shares outstanding by a total of approximately 1.3 million shares beginning in the second quarter of 2022.</w:t>
      </w:r>
    </w:p>
    <w:p>
      <w:pPr>
        <w:spacing w:after="0" w:line="123" w:lineRule="exact"/>
        <w:rPr>
          <w:sz w:val="20"/>
          <w:szCs w:val="20"/>
          <w:color w:val="auto"/>
        </w:rPr>
      </w:pPr>
    </w:p>
    <w:p>
      <w:pPr>
        <w:ind w:right="40"/>
        <w:spacing w:after="0" w:line="250" w:lineRule="auto"/>
        <w:rPr>
          <w:sz w:val="20"/>
          <w:szCs w:val="20"/>
          <w:color w:val="auto"/>
        </w:rPr>
      </w:pPr>
      <w:r>
        <w:rPr>
          <w:rFonts w:ascii="Arial" w:cs="Arial" w:eastAsia="Arial" w:hAnsi="Arial"/>
          <w:sz w:val="17"/>
          <w:szCs w:val="17"/>
          <w:color w:val="auto"/>
        </w:rPr>
        <w:t>On December 20, 2021, TimkenSteel announced that its Board of Directors authorized a share repurchase program under which the Company may repurchase up to $50.0 million of its outstanding common shares. Our share repurchase program is intended to return capital to shareholders while also offsetting dilution from annual equity compensation awards. The Company may utilize various methods to repurchase shares, which could include open market repurchases, including repurchases through Rule 10b5-1 plans, privately-negotiated transactions or by other means. The actual timing, number and value of shares repurchased under the program will depend on a number of factors, including the price of the Company's shares, general market and economic conditions, capital needs and other factors. The share repurchase program does not require the Company to acquire any dollar amount or number of shares and may be modified, suspended, extended or terminated by the Company at any time without prior notice. For the three months ended March 31, 2022, the Company repurchased approximately 0.2 million common shares at an aggregate cost of $3.4 million in the open market, which equates to an average repurchase price of $20.27 per share. As of March 31, 2022, the Company had a balance of $46.6 million remaining on its previously approved $50.0 million share repurchase program.</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326390</wp:posOffset>
            </wp:positionV>
            <wp:extent cx="7157720" cy="425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5" w:name="page26"/>
    <w:bookmarkEnd w:id="2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810895" cy="8890"/>
                    </a:xfrm>
                    <a:prstGeom prst="rect">
                      <a:avLst/>
                    </a:prstGeom>
                    <a:noFill/>
                  </pic:spPr>
                </pic:pic>
              </a:graphicData>
            </a:graphic>
          </wp:anchor>
        </w:drawing>
      </w:r>
    </w:p>
    <w:p>
      <w:pPr>
        <w:spacing w:after="0" w:line="367" w:lineRule="exact"/>
        <w:rPr>
          <w:sz w:val="20"/>
          <w:szCs w:val="20"/>
          <w:color w:val="auto"/>
        </w:rPr>
      </w:pPr>
    </w:p>
    <w:p>
      <w:pPr>
        <w:ind w:right="260"/>
        <w:spacing w:after="0" w:line="248" w:lineRule="auto"/>
        <w:rPr>
          <w:sz w:val="20"/>
          <w:szCs w:val="20"/>
          <w:color w:val="auto"/>
        </w:rPr>
      </w:pPr>
      <w:r>
        <w:rPr>
          <w:rFonts w:ascii="Arial" w:cs="Arial" w:eastAsia="Arial" w:hAnsi="Arial"/>
          <w:sz w:val="18"/>
          <w:szCs w:val="18"/>
          <w:color w:val="auto"/>
        </w:rPr>
        <w:t>In April 2022, the Company repurchased approximately 0.1 million common shares at an aggregate cost of $3.0 million, which equates to an average repurchase price of $21.88 per share. As of April 30, 2022, the Company had $43.6 million remaining under its previously approved $50.0 million share repurchase program.</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Coronavirus Aid, Relief, and Economic Security Act</w:t>
      </w:r>
    </w:p>
    <w:p>
      <w:pPr>
        <w:spacing w:after="0" w:line="144" w:lineRule="exact"/>
        <w:rPr>
          <w:sz w:val="20"/>
          <w:szCs w:val="20"/>
          <w:color w:val="auto"/>
        </w:rPr>
      </w:pPr>
    </w:p>
    <w:p>
      <w:pPr>
        <w:ind w:right="60"/>
        <w:spacing w:after="0" w:line="241" w:lineRule="auto"/>
        <w:rPr>
          <w:sz w:val="20"/>
          <w:szCs w:val="20"/>
          <w:color w:val="auto"/>
        </w:rPr>
      </w:pPr>
      <w:r>
        <w:rPr>
          <w:rFonts w:ascii="Arial" w:cs="Arial" w:eastAsia="Arial" w:hAnsi="Arial"/>
          <w:sz w:val="18"/>
          <w:szCs w:val="18"/>
          <w:color w:val="auto"/>
        </w:rPr>
        <w:t>Due to a provision in the Coronavirus Aid, Relief, and Economic Security ("CARES") Act, the Company was able to defer the employer share of Social Security payroll taxes for a specified time during 2020. During the year ended December 31, 2020, the Company deferred $6.4 million in cash payments and recorded reserves for such deferred payroll taxes in salaries, wages and benefits on the Consolidated Balance Sheets, to be paid in two equal installments. The first installment in the amount of $3.2 million was paid during the fourth quarter of 2021. The second installment is due on December 31, 2022.</w:t>
      </w:r>
    </w:p>
    <w:p>
      <w:pPr>
        <w:spacing w:after="0" w:line="108" w:lineRule="exact"/>
        <w:rPr>
          <w:sz w:val="20"/>
          <w:szCs w:val="20"/>
          <w:color w:val="auto"/>
        </w:rPr>
      </w:pPr>
    </w:p>
    <w:p>
      <w:pPr>
        <w:ind w:right="60"/>
        <w:spacing w:after="0" w:line="279" w:lineRule="auto"/>
        <w:rPr>
          <w:sz w:val="20"/>
          <w:szCs w:val="20"/>
          <w:color w:val="auto"/>
        </w:rPr>
      </w:pPr>
      <w:r>
        <w:rPr>
          <w:rFonts w:ascii="Arial" w:cs="Arial" w:eastAsia="Arial" w:hAnsi="Arial"/>
          <w:sz w:val="16"/>
          <w:szCs w:val="16"/>
          <w:color w:val="auto"/>
        </w:rPr>
        <w:t>The CARES Act also provided for an employee retention credit (“Employee Retention Credit”), which is a refundable tax credit against certain employment taxes. The Company qualified for the tax credit in the second and third quarters of 2020 and accrued a benefit of $2.3 million in the fourth quarter of 2020 related to the Employee Retention Credit in other (income) expense, net on the Consolidated Statements of Operations. The Company filed for this credit in the second quarter of 2021 and received a portion of the proceeds from the Internal Revenue Service ("IRS") in the amount of $0.5 million during the fourth quarter of 2021. The Company received the remaining $1.8 million of cash proceeds in the first quarter of 2022.</w:t>
      </w:r>
    </w:p>
    <w:p>
      <w:pPr>
        <w:spacing w:after="0" w:line="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144" w:lineRule="exact"/>
        <w:rPr>
          <w:sz w:val="20"/>
          <w:szCs w:val="20"/>
          <w:color w:val="auto"/>
        </w:rPr>
      </w:pPr>
    </w:p>
    <w:p>
      <w:pPr>
        <w:ind w:right="120"/>
        <w:spacing w:after="0" w:line="261" w:lineRule="auto"/>
        <w:rPr>
          <w:sz w:val="20"/>
          <w:szCs w:val="20"/>
          <w:color w:val="auto"/>
        </w:rPr>
      </w:pPr>
      <w:r>
        <w:rPr>
          <w:rFonts w:ascii="Arial" w:cs="Arial" w:eastAsia="Arial" w:hAnsi="Arial"/>
          <w:sz w:val="18"/>
          <w:szCs w:val="18"/>
          <w:color w:val="auto"/>
        </w:rPr>
        <w:t>The following table reflects the major categories of cash flows for the three months ended March 31, 2022 and 2021. For additional details, please refer to the unaudited Consolidated Statements of Cash Flows included in this quarterly report.</w:t>
      </w:r>
    </w:p>
    <w:p>
      <w:pPr>
        <w:spacing w:after="0" w:line="8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880" w:type="dxa"/>
            <w:vAlign w:val="bottom"/>
          </w:tcPr>
          <w:p>
            <w:pPr>
              <w:spacing w:after="0"/>
              <w:rPr>
                <w:sz w:val="17"/>
                <w:szCs w:val="17"/>
                <w:color w:val="auto"/>
              </w:rPr>
            </w:pPr>
          </w:p>
        </w:tc>
        <w:tc>
          <w:tcPr>
            <w:tcW w:w="4860" w:type="dxa"/>
            <w:vAlign w:val="bottom"/>
            <w:gridSpan w:val="3"/>
          </w:tcPr>
          <w:p>
            <w:pPr>
              <w:jc w:val="right"/>
              <w:spacing w:after="0"/>
              <w:rPr>
                <w:sz w:val="20"/>
                <w:szCs w:val="20"/>
                <w:color w:val="auto"/>
              </w:rPr>
            </w:pPr>
            <w:r>
              <w:rPr>
                <w:rFonts w:ascii="Arial" w:cs="Arial" w:eastAsia="Arial" w:hAnsi="Arial"/>
                <w:sz w:val="18"/>
                <w:szCs w:val="18"/>
                <w:b w:val="1"/>
                <w:bCs w:val="1"/>
                <w:color w:val="auto"/>
              </w:rPr>
              <w:t>Three Months Ended March 31,</w:t>
            </w:r>
          </w:p>
        </w:tc>
        <w:tc>
          <w:tcPr>
            <w:tcW w:w="500" w:type="dxa"/>
            <w:vAlign w:val="bottom"/>
          </w:tcPr>
          <w:p>
            <w:pPr>
              <w:spacing w:after="0"/>
              <w:rPr>
                <w:sz w:val="17"/>
                <w:szCs w:val="17"/>
                <w:color w:val="auto"/>
              </w:rPr>
            </w:pPr>
          </w:p>
        </w:tc>
      </w:tr>
      <w:tr>
        <w:trPr>
          <w:trHeight w:val="221"/>
        </w:trPr>
        <w:tc>
          <w:tcPr>
            <w:tcW w:w="5880" w:type="dxa"/>
            <w:vAlign w:val="bottom"/>
            <w:tcBorders>
              <w:bottom w:val="single" w:sz="8" w:color="auto"/>
            </w:tcBorders>
          </w:tcPr>
          <w:p>
            <w:pPr>
              <w:spacing w:after="0"/>
              <w:rPr>
                <w:sz w:val="19"/>
                <w:szCs w:val="19"/>
                <w:color w:val="auto"/>
              </w:rPr>
            </w:pPr>
          </w:p>
        </w:tc>
        <w:tc>
          <w:tcPr>
            <w:tcW w:w="29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2022</w:t>
            </w:r>
          </w:p>
        </w:tc>
        <w:tc>
          <w:tcPr>
            <w:tcW w:w="68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rPr>
              <w:t>2021</w:t>
            </w:r>
          </w:p>
        </w:tc>
        <w:tc>
          <w:tcPr>
            <w:tcW w:w="500" w:type="dxa"/>
            <w:vAlign w:val="bottom"/>
            <w:tcBorders>
              <w:bottom w:val="single" w:sz="8" w:color="auto"/>
            </w:tcBorders>
          </w:tcPr>
          <w:p>
            <w:pPr>
              <w:spacing w:after="0"/>
              <w:rPr>
                <w:sz w:val="19"/>
                <w:szCs w:val="19"/>
                <w:color w:val="auto"/>
              </w:rPr>
            </w:pPr>
          </w:p>
        </w:tc>
      </w:tr>
      <w:tr>
        <w:trPr>
          <w:trHeight w:val="196"/>
        </w:trPr>
        <w:tc>
          <w:tcPr>
            <w:tcW w:w="588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Net cash provided (used) by operating activities</w:t>
            </w:r>
          </w:p>
        </w:tc>
        <w:tc>
          <w:tcPr>
            <w:tcW w:w="2900" w:type="dxa"/>
            <w:vAlign w:val="bottom"/>
            <w:shd w:val="clear" w:color="auto" w:fill="CFF0FC"/>
          </w:tcPr>
          <w:p>
            <w:pPr>
              <w:jc w:val="right"/>
              <w:ind w:right="890"/>
              <w:spacing w:after="0" w:line="196" w:lineRule="exact"/>
              <w:rPr>
                <w:sz w:val="20"/>
                <w:szCs w:val="20"/>
                <w:color w:val="auto"/>
              </w:rPr>
            </w:pPr>
            <w:r>
              <w:rPr>
                <w:rFonts w:ascii="Arial" w:cs="Arial" w:eastAsia="Arial" w:hAnsi="Arial"/>
                <w:sz w:val="18"/>
                <w:szCs w:val="18"/>
                <w:b w:val="1"/>
                <w:bCs w:val="1"/>
                <w:color w:val="auto"/>
              </w:rPr>
              <w:t>$</w:t>
            </w:r>
          </w:p>
        </w:tc>
        <w:tc>
          <w:tcPr>
            <w:tcW w:w="680" w:type="dxa"/>
            <w:vAlign w:val="bottom"/>
            <w:shd w:val="clear" w:color="auto" w:fill="CFF0FC"/>
          </w:tcPr>
          <w:p>
            <w:pPr>
              <w:jc w:val="right"/>
              <w:ind w:right="110"/>
              <w:spacing w:after="0" w:line="196" w:lineRule="exact"/>
              <w:rPr>
                <w:sz w:val="20"/>
                <w:szCs w:val="20"/>
                <w:color w:val="auto"/>
              </w:rPr>
            </w:pPr>
            <w:r>
              <w:rPr>
                <w:rFonts w:ascii="Arial" w:cs="Arial" w:eastAsia="Arial" w:hAnsi="Arial"/>
                <w:sz w:val="18"/>
                <w:szCs w:val="18"/>
                <w:b w:val="1"/>
                <w:bCs w:val="1"/>
                <w:color w:val="auto"/>
              </w:rPr>
              <w:t>13.3</w:t>
            </w:r>
          </w:p>
        </w:tc>
        <w:tc>
          <w:tcPr>
            <w:tcW w:w="1280" w:type="dxa"/>
            <w:vAlign w:val="bottom"/>
            <w:shd w:val="clear" w:color="auto" w:fill="CFF0FC"/>
          </w:tcPr>
          <w:p>
            <w:pPr>
              <w:jc w:val="right"/>
              <w:ind w:right="990"/>
              <w:spacing w:after="0" w:line="196" w:lineRule="exact"/>
              <w:rPr>
                <w:sz w:val="20"/>
                <w:szCs w:val="20"/>
                <w:color w:val="auto"/>
              </w:rPr>
            </w:pPr>
            <w:r>
              <w:rPr>
                <w:rFonts w:ascii="Arial" w:cs="Arial" w:eastAsia="Arial" w:hAnsi="Arial"/>
                <w:sz w:val="18"/>
                <w:szCs w:val="18"/>
                <w:color w:val="auto"/>
              </w:rPr>
              <w:t>$</w:t>
            </w:r>
          </w:p>
        </w:tc>
        <w:tc>
          <w:tcPr>
            <w:tcW w:w="50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rPr>
              <w:t>13.2</w:t>
            </w:r>
          </w:p>
        </w:tc>
      </w:tr>
      <w:tr>
        <w:trPr>
          <w:trHeight w:val="203"/>
        </w:trPr>
        <w:tc>
          <w:tcPr>
            <w:tcW w:w="5880" w:type="dxa"/>
            <w:vAlign w:val="bottom"/>
          </w:tcPr>
          <w:p>
            <w:pPr>
              <w:ind w:left="20"/>
              <w:spacing w:after="0" w:line="202" w:lineRule="exact"/>
              <w:rPr>
                <w:sz w:val="20"/>
                <w:szCs w:val="20"/>
                <w:color w:val="auto"/>
              </w:rPr>
            </w:pPr>
            <w:r>
              <w:rPr>
                <w:rFonts w:ascii="Arial" w:cs="Arial" w:eastAsia="Arial" w:hAnsi="Arial"/>
                <w:sz w:val="18"/>
                <w:szCs w:val="18"/>
                <w:color w:val="auto"/>
              </w:rPr>
              <w:t>Net cash provided (used) by investing activities</w:t>
            </w:r>
          </w:p>
        </w:tc>
        <w:tc>
          <w:tcPr>
            <w:tcW w:w="2900" w:type="dxa"/>
            <w:vAlign w:val="bottom"/>
          </w:tcPr>
          <w:p>
            <w:pPr>
              <w:spacing w:after="0"/>
              <w:rPr>
                <w:sz w:val="17"/>
                <w:szCs w:val="17"/>
                <w:color w:val="auto"/>
              </w:rPr>
            </w:pPr>
          </w:p>
        </w:tc>
        <w:tc>
          <w:tcPr>
            <w:tcW w:w="680" w:type="dxa"/>
            <w:vAlign w:val="bottom"/>
          </w:tcPr>
          <w:p>
            <w:pPr>
              <w:jc w:val="right"/>
              <w:ind w:right="10"/>
              <w:spacing w:after="0" w:line="202" w:lineRule="exact"/>
              <w:rPr>
                <w:sz w:val="20"/>
                <w:szCs w:val="20"/>
                <w:color w:val="auto"/>
              </w:rPr>
            </w:pPr>
            <w:r>
              <w:rPr>
                <w:rFonts w:ascii="Arial" w:cs="Arial" w:eastAsia="Arial" w:hAnsi="Arial"/>
                <w:sz w:val="18"/>
                <w:szCs w:val="18"/>
                <w:b w:val="1"/>
                <w:bCs w:val="1"/>
                <w:color w:val="auto"/>
              </w:rPr>
              <w:t>(6.5 )</w:t>
            </w:r>
          </w:p>
        </w:tc>
        <w:tc>
          <w:tcPr>
            <w:tcW w:w="1280" w:type="dxa"/>
            <w:vAlign w:val="bottom"/>
          </w:tcPr>
          <w:p>
            <w:pPr>
              <w:spacing w:after="0"/>
              <w:rPr>
                <w:sz w:val="17"/>
                <w:szCs w:val="17"/>
                <w:color w:val="auto"/>
              </w:rPr>
            </w:pPr>
          </w:p>
        </w:tc>
        <w:tc>
          <w:tcPr>
            <w:tcW w:w="500" w:type="dxa"/>
            <w:vAlign w:val="bottom"/>
          </w:tcPr>
          <w:p>
            <w:pPr>
              <w:jc w:val="right"/>
              <w:spacing w:after="0" w:line="202" w:lineRule="exact"/>
              <w:rPr>
                <w:sz w:val="20"/>
                <w:szCs w:val="20"/>
                <w:color w:val="auto"/>
              </w:rPr>
            </w:pPr>
            <w:r>
              <w:rPr>
                <w:rFonts w:ascii="Arial" w:cs="Arial" w:eastAsia="Arial" w:hAnsi="Arial"/>
                <w:sz w:val="18"/>
                <w:szCs w:val="18"/>
                <w:color w:val="auto"/>
              </w:rPr>
              <w:t>(2.3 )</w:t>
            </w:r>
          </w:p>
        </w:tc>
      </w:tr>
      <w:tr>
        <w:trPr>
          <w:trHeight w:val="203"/>
        </w:trPr>
        <w:tc>
          <w:tcPr>
            <w:tcW w:w="5880" w:type="dxa"/>
            <w:vAlign w:val="bottom"/>
            <w:tcBorders>
              <w:bottom w:val="single" w:sz="8" w:color="auto"/>
            </w:tcBorders>
            <w:shd w:val="clear" w:color="auto" w:fill="CFF0FC"/>
          </w:tcPr>
          <w:p>
            <w:pPr>
              <w:ind w:left="20"/>
              <w:spacing w:after="0" w:line="202" w:lineRule="exact"/>
              <w:rPr>
                <w:sz w:val="20"/>
                <w:szCs w:val="20"/>
                <w:color w:val="auto"/>
              </w:rPr>
            </w:pPr>
            <w:r>
              <w:rPr>
                <w:rFonts w:ascii="Arial" w:cs="Arial" w:eastAsia="Arial" w:hAnsi="Arial"/>
                <w:sz w:val="18"/>
                <w:szCs w:val="18"/>
                <w:color w:val="auto"/>
              </w:rPr>
              <w:t>Net cash provided (used) by financing activities</w:t>
            </w:r>
          </w:p>
        </w:tc>
        <w:tc>
          <w:tcPr>
            <w:tcW w:w="2900" w:type="dxa"/>
            <w:vAlign w:val="bottom"/>
            <w:tcBorders>
              <w:bottom w:val="single" w:sz="8" w:color="auto"/>
            </w:tcBorders>
            <w:shd w:val="clear" w:color="auto" w:fill="CFF0FC"/>
          </w:tcPr>
          <w:p>
            <w:pPr>
              <w:spacing w:after="0"/>
              <w:rPr>
                <w:sz w:val="17"/>
                <w:szCs w:val="17"/>
                <w:color w:val="auto"/>
              </w:rPr>
            </w:pPr>
          </w:p>
        </w:tc>
        <w:tc>
          <w:tcPr>
            <w:tcW w:w="680" w:type="dxa"/>
            <w:vAlign w:val="bottom"/>
            <w:tcBorders>
              <w:bottom w:val="single" w:sz="8" w:color="auto"/>
            </w:tcBorders>
            <w:shd w:val="clear" w:color="auto" w:fill="CFF0FC"/>
          </w:tcPr>
          <w:p>
            <w:pPr>
              <w:jc w:val="right"/>
              <w:ind w:right="10"/>
              <w:spacing w:after="0" w:line="202" w:lineRule="exact"/>
              <w:rPr>
                <w:sz w:val="20"/>
                <w:szCs w:val="20"/>
                <w:color w:val="auto"/>
              </w:rPr>
            </w:pPr>
            <w:r>
              <w:rPr>
                <w:rFonts w:ascii="Arial" w:cs="Arial" w:eastAsia="Arial" w:hAnsi="Arial"/>
                <w:sz w:val="18"/>
                <w:szCs w:val="18"/>
                <w:b w:val="1"/>
                <w:bCs w:val="1"/>
                <w:color w:val="auto"/>
              </w:rPr>
              <w:t>(25.5 )</w:t>
            </w:r>
          </w:p>
        </w:tc>
        <w:tc>
          <w:tcPr>
            <w:tcW w:w="1280" w:type="dxa"/>
            <w:vAlign w:val="bottom"/>
            <w:tcBorders>
              <w:bottom w:val="single" w:sz="8" w:color="auto"/>
            </w:tcBorders>
            <w:shd w:val="clear" w:color="auto" w:fill="CFF0FC"/>
          </w:tcPr>
          <w:p>
            <w:pPr>
              <w:spacing w:after="0"/>
              <w:rPr>
                <w:sz w:val="17"/>
                <w:szCs w:val="17"/>
                <w:color w:val="auto"/>
              </w:rPr>
            </w:pPr>
          </w:p>
        </w:tc>
        <w:tc>
          <w:tcPr>
            <w:tcW w:w="500" w:type="dxa"/>
            <w:vAlign w:val="bottom"/>
            <w:tcBorders>
              <w:bottom w:val="single" w:sz="8" w:color="auto"/>
            </w:tcBorders>
            <w:shd w:val="clear" w:color="auto" w:fill="CFF0FC"/>
          </w:tcPr>
          <w:p>
            <w:pPr>
              <w:jc w:val="right"/>
              <w:ind w:right="10"/>
              <w:spacing w:after="0" w:line="202" w:lineRule="exact"/>
              <w:rPr>
                <w:sz w:val="20"/>
                <w:szCs w:val="20"/>
                <w:color w:val="auto"/>
              </w:rPr>
            </w:pPr>
            <w:r>
              <w:rPr>
                <w:rFonts w:ascii="Arial" w:cs="Arial" w:eastAsia="Arial" w:hAnsi="Arial"/>
                <w:sz w:val="18"/>
                <w:szCs w:val="18"/>
                <w:color w:val="auto"/>
              </w:rPr>
              <w:t>2.0</w:t>
            </w:r>
          </w:p>
        </w:tc>
      </w:tr>
      <w:tr>
        <w:trPr>
          <w:trHeight w:val="196"/>
        </w:trPr>
        <w:tc>
          <w:tcPr>
            <w:tcW w:w="5880" w:type="dxa"/>
            <w:vAlign w:val="bottom"/>
            <w:tcBorders>
              <w:bottom w:val="single" w:sz="8" w:color="auto"/>
            </w:tcBorders>
          </w:tcPr>
          <w:p>
            <w:pPr>
              <w:ind w:left="200"/>
              <w:spacing w:after="0" w:line="196" w:lineRule="exact"/>
              <w:rPr>
                <w:sz w:val="20"/>
                <w:szCs w:val="20"/>
                <w:color w:val="auto"/>
              </w:rPr>
            </w:pPr>
            <w:r>
              <w:rPr>
                <w:rFonts w:ascii="Arial" w:cs="Arial" w:eastAsia="Arial" w:hAnsi="Arial"/>
                <w:sz w:val="18"/>
                <w:szCs w:val="18"/>
                <w:b w:val="1"/>
                <w:bCs w:val="1"/>
                <w:color w:val="auto"/>
              </w:rPr>
              <w:t>Increase (Decrease) in Cash and Cash Equivalents</w:t>
            </w:r>
          </w:p>
        </w:tc>
        <w:tc>
          <w:tcPr>
            <w:tcW w:w="2900" w:type="dxa"/>
            <w:vAlign w:val="bottom"/>
            <w:tcBorders>
              <w:bottom w:val="single" w:sz="8" w:color="auto"/>
            </w:tcBorders>
          </w:tcPr>
          <w:p>
            <w:pPr>
              <w:jc w:val="right"/>
              <w:ind w:right="890"/>
              <w:spacing w:after="0" w:line="196" w:lineRule="exact"/>
              <w:rPr>
                <w:sz w:val="20"/>
                <w:szCs w:val="20"/>
                <w:color w:val="auto"/>
              </w:rPr>
            </w:pPr>
            <w:r>
              <w:rPr>
                <w:rFonts w:ascii="Arial" w:cs="Arial" w:eastAsia="Arial" w:hAnsi="Arial"/>
                <w:sz w:val="18"/>
                <w:szCs w:val="18"/>
                <w:b w:val="1"/>
                <w:bCs w:val="1"/>
                <w:color w:val="auto"/>
              </w:rPr>
              <w:t>$</w:t>
            </w:r>
          </w:p>
        </w:tc>
        <w:tc>
          <w:tcPr>
            <w:tcW w:w="68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b w:val="1"/>
                <w:bCs w:val="1"/>
                <w:color w:val="auto"/>
              </w:rPr>
              <w:t>(18.7 )</w:t>
            </w:r>
          </w:p>
        </w:tc>
        <w:tc>
          <w:tcPr>
            <w:tcW w:w="1280" w:type="dxa"/>
            <w:vAlign w:val="bottom"/>
            <w:tcBorders>
              <w:bottom w:val="single" w:sz="8" w:color="auto"/>
            </w:tcBorders>
          </w:tcPr>
          <w:p>
            <w:pPr>
              <w:jc w:val="right"/>
              <w:ind w:right="990"/>
              <w:spacing w:after="0" w:line="196" w:lineRule="exact"/>
              <w:rPr>
                <w:sz w:val="20"/>
                <w:szCs w:val="20"/>
                <w:color w:val="auto"/>
              </w:rPr>
            </w:pPr>
            <w:r>
              <w:rPr>
                <w:rFonts w:ascii="Arial" w:cs="Arial" w:eastAsia="Arial" w:hAnsi="Arial"/>
                <w:sz w:val="18"/>
                <w:szCs w:val="18"/>
                <w:color w:val="auto"/>
              </w:rPr>
              <w:t>$</w:t>
            </w:r>
          </w:p>
        </w:tc>
        <w:tc>
          <w:tcPr>
            <w:tcW w:w="50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rPr>
              <w:t>12.9</w:t>
            </w: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activities</w:t>
      </w:r>
    </w:p>
    <w:p>
      <w:pPr>
        <w:spacing w:after="0" w:line="144" w:lineRule="exact"/>
        <w:rPr>
          <w:sz w:val="20"/>
          <w:szCs w:val="20"/>
          <w:color w:val="auto"/>
        </w:rPr>
      </w:pPr>
    </w:p>
    <w:p>
      <w:pPr>
        <w:ind w:right="40"/>
        <w:spacing w:after="0" w:line="284" w:lineRule="auto"/>
        <w:rPr>
          <w:sz w:val="20"/>
          <w:szCs w:val="20"/>
          <w:color w:val="auto"/>
        </w:rPr>
      </w:pPr>
      <w:r>
        <w:rPr>
          <w:rFonts w:ascii="Arial" w:cs="Arial" w:eastAsia="Arial" w:hAnsi="Arial"/>
          <w:sz w:val="16"/>
          <w:szCs w:val="16"/>
          <w:color w:val="auto"/>
        </w:rPr>
        <w:t>Net cash provided by operating activities for the three months ended March 31, 2022 was $13.3 million compared to net cash provided of $13.2 million for the three months ended March 31, 2021. The increase in net cash provided by operating activities is due to an increase in profitability during the first quarter of 2022 compared to the first quarter of 2021. This is partially offset by an increased use of cash for working capital purposes and an increase in the cash payment related to variable compensation earned in 2021 compared to 2020, which is paid out in the first quarter of the subsequent year.</w:t>
      </w:r>
    </w:p>
    <w:p>
      <w:pPr>
        <w:spacing w:after="0" w:line="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Investing activities</w:t>
      </w:r>
    </w:p>
    <w:p>
      <w:pPr>
        <w:spacing w:after="0" w:line="144" w:lineRule="exact"/>
        <w:rPr>
          <w:sz w:val="20"/>
          <w:szCs w:val="20"/>
          <w:color w:val="auto"/>
        </w:rPr>
      </w:pPr>
    </w:p>
    <w:p>
      <w:pPr>
        <w:ind w:right="200"/>
        <w:spacing w:after="0" w:line="324" w:lineRule="auto"/>
        <w:rPr>
          <w:sz w:val="20"/>
          <w:szCs w:val="20"/>
          <w:color w:val="auto"/>
        </w:rPr>
      </w:pPr>
      <w:r>
        <w:rPr>
          <w:rFonts w:ascii="Arial" w:cs="Arial" w:eastAsia="Arial" w:hAnsi="Arial"/>
          <w:sz w:val="16"/>
          <w:szCs w:val="16"/>
          <w:color w:val="auto"/>
        </w:rPr>
        <w:t>Net cash used by investing activities for the three months ended March 31, 2022 was $6.5 million compared to net cash used of $2.3 million for the three months ended March 31, 2021. The change was due to higher capital expenditures in the first quarter of 2022 compared to the first quarter of 2021.</w:t>
      </w:r>
    </w:p>
    <w:p>
      <w:pPr>
        <w:spacing w:after="0" w:line="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Financing activities</w:t>
      </w:r>
    </w:p>
    <w:p>
      <w:pPr>
        <w:spacing w:after="0" w:line="144" w:lineRule="exact"/>
        <w:rPr>
          <w:sz w:val="20"/>
          <w:szCs w:val="20"/>
          <w:color w:val="auto"/>
        </w:rPr>
      </w:pPr>
    </w:p>
    <w:p>
      <w:pPr>
        <w:ind w:right="80"/>
        <w:spacing w:after="0" w:line="241" w:lineRule="auto"/>
        <w:rPr>
          <w:sz w:val="20"/>
          <w:szCs w:val="20"/>
          <w:color w:val="auto"/>
        </w:rPr>
      </w:pPr>
      <w:r>
        <w:rPr>
          <w:rFonts w:ascii="Arial" w:cs="Arial" w:eastAsia="Arial" w:hAnsi="Arial"/>
          <w:sz w:val="18"/>
          <w:szCs w:val="18"/>
          <w:color w:val="auto"/>
        </w:rPr>
        <w:t>Net cash used by financing activities for the three months ended March 31, 2022 was $25.5 million compared to net cash provided of $2.0 million for the three months ended March 31, 2021. The change was due to the early repurchase of a portion of the Convertible Senior Notes due 2025 and the repurchase of common shares in the first quarter of 2022 under the share repurchase program, which is discussed in more detail in “Note 10 - Financing Arrangements”. This is partially offset by increased proceeds from the exercise of stock options in the first quarter of 2022 compared to the first quarter of 2021.</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color w:val="auto"/>
        </w:rPr>
        <w:t>Our financial statements are prepared in accordance with U.S. GAAP. The preparation of these financial statements requires management to make estimates and assumptions that affect the reported amounts of assets and liabilities at the date of the financial statements and the reported amounts of revenues and expenses during the periods presented. We review our critical accounting policies throughout the year.</w:t>
      </w:r>
    </w:p>
    <w:p>
      <w:pPr>
        <w:spacing w:after="0" w:line="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326390</wp:posOffset>
            </wp:positionV>
            <wp:extent cx="7157720" cy="425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6" w:name="page27"/>
    <w:bookmarkEnd w:id="2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810895" cy="8890"/>
                    </a:xfrm>
                    <a:prstGeom prst="rect">
                      <a:avLst/>
                    </a:prstGeom>
                    <a:noFill/>
                  </pic:spPr>
                </pic:pic>
              </a:graphicData>
            </a:graphic>
          </wp:anchor>
        </w:drawing>
      </w:r>
    </w:p>
    <w:p>
      <w:pPr>
        <w:spacing w:after="0" w:line="3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New Accounting Guidance</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See “Note 2 - Recent Accounting Pronouncements” in the Notes to the unaudited Consolidated Financial Statements.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75" w:lineRule="exact"/>
        <w:rPr>
          <w:sz w:val="20"/>
          <w:szCs w:val="20"/>
          <w:color w:val="auto"/>
        </w:rPr>
      </w:pPr>
    </w:p>
    <w:p>
      <w:pPr>
        <w:spacing w:after="0" w:line="254" w:lineRule="auto"/>
        <w:rPr>
          <w:sz w:val="20"/>
          <w:szCs w:val="20"/>
          <w:color w:val="auto"/>
        </w:rPr>
      </w:pPr>
      <w:r>
        <w:rPr>
          <w:rFonts w:ascii="Arial" w:cs="Arial" w:eastAsia="Arial" w:hAnsi="Arial"/>
          <w:sz w:val="17"/>
          <w:szCs w:val="17"/>
          <w:color w:val="auto"/>
        </w:rPr>
        <w:t>Certain statements set forth in this Quarterly Report on Form 10-Q (including our forecasts, beliefs and expectations) that are not historical in nature are “forward-looking” statements within the meaning of the Private Securities Litigation Reform Act of 1995. In particular, Management’s Discussion and Analysis of Financial Condition and Results of Operations contains numerous forward-looking statements. Forward-looking statements generally will be accompanied by words such as “anticipate,” ,“aspire,” “believe,” “could,” “estimate,” “expect,” “forecast,” “outlook,” “intend,” “may,” “plan,” “possible,” “potential,” “predict,” “project,” “seek,” “should,” “strategic direction,” “strategy,” “target,” “will,” “would,” or other similar words, phrases or expressions that convey the uncertainty of future events or outcomes. You are cautioned not to place undue reliance on forward-looking statements, which speak only as of the date of this Form 10-Q. We caution readers that actual results may differ materially from those expressed or implied in forward-looking statements made by or on behalf of us due to a variety of factors, such as:</w:t>
      </w:r>
    </w:p>
    <w:p>
      <w:pPr>
        <w:spacing w:after="0" w:line="140" w:lineRule="exact"/>
        <w:rPr>
          <w:sz w:val="20"/>
          <w:szCs w:val="20"/>
          <w:color w:val="auto"/>
        </w:rPr>
      </w:pPr>
    </w:p>
    <w:p>
      <w:pPr>
        <w:ind w:left="760" w:right="80" w:hanging="378"/>
        <w:spacing w:after="0" w:line="294" w:lineRule="auto"/>
        <w:tabs>
          <w:tab w:leader="none" w:pos="760" w:val="left"/>
        </w:tabs>
        <w:numPr>
          <w:ilvl w:val="0"/>
          <w:numId w:val="7"/>
        </w:numPr>
        <w:rPr>
          <w:rFonts w:ascii="Arial" w:cs="Arial" w:eastAsia="Arial" w:hAnsi="Arial"/>
          <w:sz w:val="16"/>
          <w:szCs w:val="16"/>
          <w:color w:val="auto"/>
        </w:rPr>
      </w:pPr>
      <w:r>
        <w:rPr>
          <w:rFonts w:ascii="Arial" w:cs="Arial" w:eastAsia="Arial" w:hAnsi="Arial"/>
          <w:sz w:val="16"/>
          <w:szCs w:val="16"/>
          <w:color w:val="auto"/>
        </w:rPr>
        <w:t>deterioration in world economic conditions, or in economic conditions in any of the geographic regions in which we conduct business, including additional adverse effects from global economic slowdown, terrorism or hostilities. This includes: political risks associated with the potential instability of governments and legal systems in countries in which we or our customers conduct business, and changes in currency valuations;</w:t>
      </w:r>
    </w:p>
    <w:p>
      <w:pPr>
        <w:spacing w:after="0" w:line="133" w:lineRule="exact"/>
        <w:rPr>
          <w:rFonts w:ascii="Arial" w:cs="Arial" w:eastAsia="Arial" w:hAnsi="Arial"/>
          <w:sz w:val="16"/>
          <w:szCs w:val="16"/>
          <w:color w:val="auto"/>
        </w:rPr>
      </w:pPr>
    </w:p>
    <w:p>
      <w:pPr>
        <w:ind w:left="760" w:right="800" w:hanging="378"/>
        <w:spacing w:after="0" w:line="261" w:lineRule="auto"/>
        <w:tabs>
          <w:tab w:leader="none" w:pos="760" w:val="left"/>
        </w:tabs>
        <w:numPr>
          <w:ilvl w:val="0"/>
          <w:numId w:val="7"/>
        </w:numPr>
        <w:rPr>
          <w:rFonts w:ascii="Arial" w:cs="Arial" w:eastAsia="Arial" w:hAnsi="Arial"/>
          <w:sz w:val="18"/>
          <w:szCs w:val="18"/>
          <w:color w:val="auto"/>
        </w:rPr>
      </w:pPr>
      <w:r>
        <w:rPr>
          <w:rFonts w:ascii="Arial" w:cs="Arial" w:eastAsia="Arial" w:hAnsi="Arial"/>
          <w:sz w:val="18"/>
          <w:szCs w:val="18"/>
          <w:color w:val="auto"/>
        </w:rPr>
        <w:t>climate-related risks, including environmental and severe weather caused by climate changes, and legislative and regulatory initiatives addressing global climate change or other environmental concerns;</w:t>
      </w:r>
    </w:p>
    <w:p>
      <w:pPr>
        <w:spacing w:after="0" w:line="130" w:lineRule="exact"/>
        <w:rPr>
          <w:rFonts w:ascii="Arial" w:cs="Arial" w:eastAsia="Arial" w:hAnsi="Arial"/>
          <w:sz w:val="18"/>
          <w:szCs w:val="18"/>
          <w:color w:val="auto"/>
        </w:rPr>
      </w:pPr>
    </w:p>
    <w:p>
      <w:pPr>
        <w:ind w:left="760" w:right="20" w:hanging="378"/>
        <w:spacing w:after="0" w:line="243" w:lineRule="auto"/>
        <w:tabs>
          <w:tab w:leader="none" w:pos="7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effects of fluctuations in customer demand on sales, product mix and prices in the industries in which we operate. This includes: our ability to respond to rapid changes in customer demand including but not limited to changes in customer operating schedules due to supply chain constraints; the effects of customer bankruptcies or liquidations; the impact of changes in industrial business cycles; and whether conditions of fair trade exist in the U.S. markets;</w:t>
      </w:r>
    </w:p>
    <w:p>
      <w:pPr>
        <w:spacing w:after="0" w:line="147" w:lineRule="exact"/>
        <w:rPr>
          <w:rFonts w:ascii="Arial" w:cs="Arial" w:eastAsia="Arial" w:hAnsi="Arial"/>
          <w:sz w:val="18"/>
          <w:szCs w:val="18"/>
          <w:color w:val="auto"/>
        </w:rPr>
      </w:pPr>
    </w:p>
    <w:p>
      <w:pPr>
        <w:ind w:left="760" w:hanging="378"/>
        <w:spacing w:after="0"/>
        <w:tabs>
          <w:tab w:leader="none" w:pos="7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potential impact of the COVID-19 pandemic on our operations and financial results, including cash flows and liquidity;</w:t>
      </w:r>
    </w:p>
    <w:p>
      <w:pPr>
        <w:spacing w:after="0" w:line="171" w:lineRule="exact"/>
        <w:rPr>
          <w:rFonts w:ascii="Arial" w:cs="Arial" w:eastAsia="Arial" w:hAnsi="Arial"/>
          <w:sz w:val="18"/>
          <w:szCs w:val="18"/>
          <w:color w:val="auto"/>
        </w:rPr>
      </w:pPr>
    </w:p>
    <w:p>
      <w:pPr>
        <w:ind w:left="760" w:right="100" w:hanging="378"/>
        <w:spacing w:after="0" w:line="261" w:lineRule="auto"/>
        <w:tabs>
          <w:tab w:leader="none" w:pos="760" w:val="left"/>
        </w:tabs>
        <w:numPr>
          <w:ilvl w:val="0"/>
          <w:numId w:val="7"/>
        </w:numPr>
        <w:rPr>
          <w:rFonts w:ascii="Arial" w:cs="Arial" w:eastAsia="Arial" w:hAnsi="Arial"/>
          <w:sz w:val="18"/>
          <w:szCs w:val="18"/>
          <w:color w:val="auto"/>
        </w:rPr>
      </w:pPr>
      <w:r>
        <w:rPr>
          <w:rFonts w:ascii="Arial" w:cs="Arial" w:eastAsia="Arial" w:hAnsi="Arial"/>
          <w:sz w:val="18"/>
          <w:szCs w:val="18"/>
          <w:color w:val="auto"/>
        </w:rPr>
        <w:t>whether we are able to successfully implement actions designed to improve profitability on anticipated terms and timetables and whether we are able to fully realize the expected benefits of such actions;</w:t>
      </w:r>
    </w:p>
    <w:p>
      <w:pPr>
        <w:spacing w:after="0" w:line="130" w:lineRule="exact"/>
        <w:rPr>
          <w:rFonts w:ascii="Arial" w:cs="Arial" w:eastAsia="Arial" w:hAnsi="Arial"/>
          <w:sz w:val="18"/>
          <w:szCs w:val="18"/>
          <w:color w:val="auto"/>
        </w:rPr>
      </w:pPr>
    </w:p>
    <w:p>
      <w:pPr>
        <w:ind w:left="760" w:right="100" w:hanging="378"/>
        <w:spacing w:after="0" w:line="248" w:lineRule="auto"/>
        <w:tabs>
          <w:tab w:leader="none" w:pos="76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competitive factors, including changes in market penetration; increasing price competition by existing or new foreign and domestic competitors; the introduction of new products by existing and new competitors; and new technology that may impact the way our products are sold or distributed;</w:t>
      </w:r>
    </w:p>
    <w:p>
      <w:pPr>
        <w:spacing w:after="0" w:line="141" w:lineRule="exact"/>
        <w:rPr>
          <w:rFonts w:ascii="Arial" w:cs="Arial" w:eastAsia="Arial" w:hAnsi="Arial"/>
          <w:sz w:val="18"/>
          <w:szCs w:val="18"/>
          <w:color w:val="auto"/>
        </w:rPr>
      </w:pPr>
    </w:p>
    <w:p>
      <w:pPr>
        <w:ind w:left="760" w:right="300" w:hanging="378"/>
        <w:spacing w:after="0" w:line="259" w:lineRule="auto"/>
        <w:tabs>
          <w:tab w:leader="none" w:pos="760" w:val="left"/>
        </w:tabs>
        <w:numPr>
          <w:ilvl w:val="0"/>
          <w:numId w:val="7"/>
        </w:numPr>
        <w:rPr>
          <w:rFonts w:ascii="Arial" w:cs="Arial" w:eastAsia="Arial" w:hAnsi="Arial"/>
          <w:sz w:val="17"/>
          <w:szCs w:val="17"/>
          <w:color w:val="auto"/>
        </w:rPr>
      </w:pPr>
      <w:r>
        <w:rPr>
          <w:rFonts w:ascii="Arial" w:cs="Arial" w:eastAsia="Arial" w:hAnsi="Arial"/>
          <w:sz w:val="17"/>
          <w:szCs w:val="17"/>
          <w:color w:val="auto"/>
        </w:rPr>
        <w:t>changes in operating costs, including the effect of changes in our manufacturing processes; changes in costs associated with varying levels of operations and manufacturing capacity; availability of raw materials and energy; our ability to mitigate the impact of fluctuations in raw materials and energy costs and the effectiveness of our surcharge mechanism; changes in the expected costs associated with product warranty claims; changes resulting from inventory management, cost reduction initiatives and different levels of customer demands; the effects of unplanned work stoppages; and changes in the cost of labor and benefits;</w:t>
      </w:r>
    </w:p>
    <w:p>
      <w:pPr>
        <w:spacing w:after="0" w:line="133" w:lineRule="exact"/>
        <w:rPr>
          <w:rFonts w:ascii="Arial" w:cs="Arial" w:eastAsia="Arial" w:hAnsi="Arial"/>
          <w:sz w:val="17"/>
          <w:szCs w:val="17"/>
          <w:color w:val="auto"/>
        </w:rPr>
      </w:pPr>
    </w:p>
    <w:p>
      <w:pPr>
        <w:ind w:left="760" w:right="20" w:hanging="378"/>
        <w:spacing w:after="0" w:line="261" w:lineRule="auto"/>
        <w:tabs>
          <w:tab w:leader="none" w:pos="7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success of our operating plans, announced programs, initiatives and capital investments; and our ability to maintain appropriate relations with the union that represents our associates in certain locations in order to avoid disruptions of business;</w:t>
      </w:r>
    </w:p>
    <w:p>
      <w:pPr>
        <w:spacing w:after="0" w:line="130" w:lineRule="exact"/>
        <w:rPr>
          <w:rFonts w:ascii="Arial" w:cs="Arial" w:eastAsia="Arial" w:hAnsi="Arial"/>
          <w:sz w:val="18"/>
          <w:szCs w:val="18"/>
          <w:color w:val="auto"/>
        </w:rPr>
      </w:pPr>
    </w:p>
    <w:p>
      <w:pPr>
        <w:ind w:left="760" w:right="600" w:hanging="378"/>
        <w:spacing w:after="0" w:line="261" w:lineRule="auto"/>
        <w:tabs>
          <w:tab w:leader="none" w:pos="760" w:val="left"/>
        </w:tabs>
        <w:numPr>
          <w:ilvl w:val="0"/>
          <w:numId w:val="7"/>
        </w:numPr>
        <w:rPr>
          <w:rFonts w:ascii="Arial" w:cs="Arial" w:eastAsia="Arial" w:hAnsi="Arial"/>
          <w:sz w:val="18"/>
          <w:szCs w:val="18"/>
          <w:color w:val="auto"/>
        </w:rPr>
      </w:pPr>
      <w:r>
        <w:rPr>
          <w:rFonts w:ascii="Arial" w:cs="Arial" w:eastAsia="Arial" w:hAnsi="Arial"/>
          <w:sz w:val="18"/>
          <w:szCs w:val="18"/>
          <w:color w:val="auto"/>
        </w:rPr>
        <w:t>unanticipated litigation, claims or assessments, including claims or problems related to intellectual property, product liability or warranty, employment matters, and environmental issues and taxes, among other matters;</w:t>
      </w:r>
    </w:p>
    <w:p>
      <w:pPr>
        <w:spacing w:after="0" w:line="130" w:lineRule="exact"/>
        <w:rPr>
          <w:rFonts w:ascii="Arial" w:cs="Arial" w:eastAsia="Arial" w:hAnsi="Arial"/>
          <w:sz w:val="18"/>
          <w:szCs w:val="18"/>
          <w:color w:val="auto"/>
        </w:rPr>
      </w:pPr>
    </w:p>
    <w:p>
      <w:pPr>
        <w:ind w:left="760" w:hanging="378"/>
        <w:spacing w:after="0"/>
        <w:tabs>
          <w:tab w:leader="none" w:pos="760" w:val="left"/>
        </w:tabs>
        <w:numPr>
          <w:ilvl w:val="0"/>
          <w:numId w:val="7"/>
        </w:numPr>
        <w:rPr>
          <w:rFonts w:ascii="Arial" w:cs="Arial" w:eastAsia="Arial" w:hAnsi="Arial"/>
          <w:sz w:val="18"/>
          <w:szCs w:val="18"/>
          <w:color w:val="auto"/>
        </w:rPr>
      </w:pPr>
      <w:r>
        <w:rPr>
          <w:rFonts w:ascii="Arial" w:cs="Arial" w:eastAsia="Arial" w:hAnsi="Arial"/>
          <w:sz w:val="18"/>
          <w:szCs w:val="18"/>
          <w:color w:val="auto"/>
        </w:rPr>
        <w:t>cyber-related risks, including information technology system failures, interruptions and security breaches;</w:t>
      </w:r>
    </w:p>
    <w:p>
      <w:pPr>
        <w:spacing w:after="0" w:line="171" w:lineRule="exact"/>
        <w:rPr>
          <w:rFonts w:ascii="Arial" w:cs="Arial" w:eastAsia="Arial" w:hAnsi="Arial"/>
          <w:sz w:val="18"/>
          <w:szCs w:val="18"/>
          <w:color w:val="auto"/>
        </w:rPr>
      </w:pPr>
    </w:p>
    <w:p>
      <w:pPr>
        <w:ind w:left="760" w:hanging="378"/>
        <w:spacing w:after="0"/>
        <w:tabs>
          <w:tab w:leader="none" w:pos="7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Company's ability to achieve its environmental, social, and governance ("ESG") goals, including its 2030 ESG goals;</w:t>
      </w:r>
    </w:p>
    <w:p>
      <w:pPr>
        <w:spacing w:after="0" w:line="171" w:lineRule="exact"/>
        <w:rPr>
          <w:rFonts w:ascii="Arial" w:cs="Arial" w:eastAsia="Arial" w:hAnsi="Arial"/>
          <w:sz w:val="18"/>
          <w:szCs w:val="18"/>
          <w:color w:val="auto"/>
        </w:rPr>
      </w:pPr>
    </w:p>
    <w:p>
      <w:pPr>
        <w:ind w:left="760" w:right="420" w:hanging="378"/>
        <w:spacing w:after="0" w:line="258" w:lineRule="auto"/>
        <w:tabs>
          <w:tab w:leader="none" w:pos="760" w:val="left"/>
        </w:tabs>
        <w:numPr>
          <w:ilvl w:val="0"/>
          <w:numId w:val="7"/>
        </w:numPr>
        <w:rPr>
          <w:rFonts w:ascii="Arial" w:cs="Arial" w:eastAsia="Arial" w:hAnsi="Arial"/>
          <w:sz w:val="17"/>
          <w:szCs w:val="17"/>
          <w:color w:val="auto"/>
        </w:rPr>
      </w:pPr>
      <w:r>
        <w:rPr>
          <w:rFonts w:ascii="Arial" w:cs="Arial" w:eastAsia="Arial" w:hAnsi="Arial"/>
          <w:sz w:val="17"/>
          <w:szCs w:val="17"/>
          <w:color w:val="auto"/>
        </w:rPr>
        <w:t>the availability of financing and interest rates, which affect our cost of funds and/or ability to raise capital, including our ability to refinance and/or repay prior to or at maturity the Convertible Notes due December 1, 2025; our pension obligations and investment</w:t>
      </w:r>
    </w:p>
    <w:p>
      <w:pPr>
        <w:spacing w:after="0" w:line="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326390</wp:posOffset>
            </wp:positionV>
            <wp:extent cx="7157720" cy="425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7" w:name="page28"/>
    <w:bookmarkEnd w:id="2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810895" cy="8255"/>
                    </a:xfrm>
                    <a:prstGeom prst="rect">
                      <a:avLst/>
                    </a:prstGeom>
                    <a:noFill/>
                  </pic:spPr>
                </pic:pic>
              </a:graphicData>
            </a:graphic>
          </wp:anchor>
        </w:drawing>
      </w:r>
    </w:p>
    <w:p>
      <w:pPr>
        <w:spacing w:after="0" w:line="367" w:lineRule="exact"/>
        <w:rPr>
          <w:sz w:val="20"/>
          <w:szCs w:val="20"/>
          <w:color w:val="auto"/>
        </w:rPr>
      </w:pPr>
    </w:p>
    <w:p>
      <w:pPr>
        <w:ind w:left="760" w:right="260"/>
        <w:spacing w:after="0" w:line="261" w:lineRule="auto"/>
        <w:rPr>
          <w:sz w:val="20"/>
          <w:szCs w:val="20"/>
          <w:color w:val="auto"/>
        </w:rPr>
      </w:pPr>
      <w:r>
        <w:rPr>
          <w:rFonts w:ascii="Arial" w:cs="Arial" w:eastAsia="Arial" w:hAnsi="Arial"/>
          <w:sz w:val="18"/>
          <w:szCs w:val="18"/>
          <w:color w:val="auto"/>
        </w:rPr>
        <w:t>performance; and/or customer demand and the ability of customers to obtain financing to purchase our products or equipment that contain our products;</w:t>
      </w:r>
    </w:p>
    <w:p>
      <w:pPr>
        <w:spacing w:after="0" w:line="130" w:lineRule="exact"/>
        <w:rPr>
          <w:sz w:val="20"/>
          <w:szCs w:val="20"/>
          <w:color w:val="auto"/>
        </w:rPr>
      </w:pPr>
    </w:p>
    <w:p>
      <w:pPr>
        <w:ind w:left="760" w:hanging="378"/>
        <w:spacing w:after="0"/>
        <w:tabs>
          <w:tab w:leader="none" w:pos="7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overall impact of the pension and postretirement mark-to-market accounting;</w:t>
      </w:r>
    </w:p>
    <w:p>
      <w:pPr>
        <w:spacing w:after="0" w:line="171" w:lineRule="exact"/>
        <w:rPr>
          <w:rFonts w:ascii="Arial" w:cs="Arial" w:eastAsia="Arial" w:hAnsi="Arial"/>
          <w:sz w:val="18"/>
          <w:szCs w:val="18"/>
          <w:color w:val="auto"/>
        </w:rPr>
      </w:pPr>
    </w:p>
    <w:p>
      <w:pPr>
        <w:jc w:val="both"/>
        <w:ind w:left="760" w:right="360" w:hanging="378"/>
        <w:spacing w:after="0" w:line="270" w:lineRule="auto"/>
        <w:tabs>
          <w:tab w:leader="none" w:pos="760"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effects of the conditional conversion feature of the Convertible Senior Notes due 2025, which, if triggered, entitles holders to convert the notes at any time during specified periods at their option and therefore could result in potential dilution if the holder elects to convert and the Company elects to satisfy a portion or all of the conversion obligation by delivering common shares instead of cash;</w:t>
      </w:r>
    </w:p>
    <w:p>
      <w:pPr>
        <w:spacing w:after="0" w:line="123" w:lineRule="exact"/>
        <w:rPr>
          <w:rFonts w:ascii="Arial" w:cs="Arial" w:eastAsia="Arial" w:hAnsi="Arial"/>
          <w:sz w:val="17"/>
          <w:szCs w:val="17"/>
          <w:color w:val="auto"/>
        </w:rPr>
      </w:pPr>
    </w:p>
    <w:p>
      <w:pPr>
        <w:ind w:left="760" w:hanging="378"/>
        <w:spacing w:after="0"/>
        <w:tabs>
          <w:tab w:leader="none" w:pos="7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impacts from any repurchases of our common shares, including the timing and amount of any repurchases; and</w:t>
      </w:r>
    </w:p>
    <w:p>
      <w:pPr>
        <w:spacing w:after="0" w:line="171" w:lineRule="exact"/>
        <w:rPr>
          <w:rFonts w:ascii="Arial" w:cs="Arial" w:eastAsia="Arial" w:hAnsi="Arial"/>
          <w:sz w:val="18"/>
          <w:szCs w:val="18"/>
          <w:color w:val="auto"/>
        </w:rPr>
      </w:pPr>
    </w:p>
    <w:p>
      <w:pPr>
        <w:ind w:left="760" w:hanging="378"/>
        <w:spacing w:after="0"/>
        <w:tabs>
          <w:tab w:leader="none" w:pos="7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those items identified under the caption Risk Factors in our Annual Report on Form 10-K for the year ended December 31, 2021.</w:t>
      </w:r>
    </w:p>
    <w:p>
      <w:pPr>
        <w:spacing w:after="0" w:line="171"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You are cautioned that it is not possible to predict or identify all of the risks, uncertainties and other factors that may affect future results, and that the above list should not be considered to be a complete list. Except as required by the federal securities laws, we undertake no obligation to publicly update or revise any forward-looking statement, whether as a result of new information, future events or otherwise. Further, this report includes our current policy and intent and is not intended to create legal rights or obligations. Certain standards of measurement and performance contained in this report are developing and based on assumptions, and no assurance can be given that any plan, objective, initiative, projection, goal, mission, commitment, expectation, or prospect set forth in this report can or will be achieved. Inclusion of information in this report is not an indication that the subject or information is material to our business or operating results.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Risk</w:t>
      </w:r>
    </w:p>
    <w:p>
      <w:pPr>
        <w:spacing w:after="0" w:line="175" w:lineRule="exact"/>
        <w:rPr>
          <w:sz w:val="20"/>
          <w:szCs w:val="20"/>
          <w:color w:val="auto"/>
        </w:rPr>
      </w:pPr>
    </w:p>
    <w:p>
      <w:pPr>
        <w:ind w:right="160"/>
        <w:spacing w:after="0" w:line="243" w:lineRule="auto"/>
        <w:rPr>
          <w:sz w:val="20"/>
          <w:szCs w:val="20"/>
          <w:color w:val="auto"/>
        </w:rPr>
      </w:pPr>
      <w:r>
        <w:rPr>
          <w:rFonts w:ascii="Arial" w:cs="Arial" w:eastAsia="Arial" w:hAnsi="Arial"/>
          <w:sz w:val="18"/>
          <w:szCs w:val="18"/>
          <w:color w:val="auto"/>
        </w:rPr>
        <w:t>Our borrowings include both fixed and variable-rate debt. The variable debt consists principally of borrowings under our Credit Agreement. We are exposed to the risk of rising interest rates to the extent we fund our operations with these variable-rate borrowings. As of March 31, 2022, we have $35.2 million of aggregate debt outstanding. None of our outstanding debt as of March 31, 2022 has variable interest rates, thus a rise in interest rates would not impact our interest expense at this point in time.</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Exchange Rate Risk</w:t>
      </w:r>
    </w:p>
    <w:p>
      <w:pPr>
        <w:spacing w:after="0" w:line="175" w:lineRule="exact"/>
        <w:rPr>
          <w:sz w:val="20"/>
          <w:szCs w:val="20"/>
          <w:color w:val="auto"/>
        </w:rPr>
      </w:pPr>
    </w:p>
    <w:p>
      <w:pPr>
        <w:jc w:val="both"/>
        <w:ind w:right="540"/>
        <w:spacing w:after="0" w:line="248" w:lineRule="auto"/>
        <w:rPr>
          <w:sz w:val="20"/>
          <w:szCs w:val="20"/>
          <w:color w:val="auto"/>
        </w:rPr>
      </w:pPr>
      <w:r>
        <w:rPr>
          <w:rFonts w:ascii="Arial" w:cs="Arial" w:eastAsia="Arial" w:hAnsi="Arial"/>
          <w:sz w:val="18"/>
          <w:szCs w:val="18"/>
          <w:color w:val="auto"/>
        </w:rPr>
        <w:t>Fluctuations in the value of the U.S. dollar compared to foreign currencies may impact our earnings. Geographically, our sales are primarily made to customers in the United States. Currency fluctuations could impact us to the extent they impact the currency or the price of raw materials in foreign countries in which our competitors operate or have significant sales.</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Commodity Price Risk</w:t>
      </w:r>
    </w:p>
    <w:p>
      <w:pPr>
        <w:spacing w:after="0" w:line="175" w:lineRule="exact"/>
        <w:rPr>
          <w:sz w:val="20"/>
          <w:szCs w:val="20"/>
          <w:color w:val="auto"/>
        </w:rPr>
      </w:pPr>
    </w:p>
    <w:p>
      <w:pPr>
        <w:spacing w:after="0" w:line="259" w:lineRule="auto"/>
        <w:rPr>
          <w:sz w:val="20"/>
          <w:szCs w:val="20"/>
          <w:color w:val="auto"/>
        </w:rPr>
      </w:pPr>
      <w:r>
        <w:rPr>
          <w:rFonts w:ascii="Arial" w:cs="Arial" w:eastAsia="Arial" w:hAnsi="Arial"/>
          <w:sz w:val="17"/>
          <w:szCs w:val="17"/>
          <w:color w:val="auto"/>
        </w:rPr>
        <w:t>In the ordinary course of business, we are exposed to market risk with respect to commodity price fluctuations, primarily related to our purchases of raw materials and energy, principally scrap steel, other ferrous and non-ferrous metals, alloys, natural gas and electricity. Additionally, the current Russia-Ukraine conflict could also exacerbate inflationary pressures throughout the global economy and lead to potential market disruptions, such as significant volatility in commodity prices and supply chain disruptions. Although our business has not been materially impacted by this conflict to date, it is difficult to predict the extent to which our operations, or those of our suppliers, will be impacted in the future.</w:t>
      </w:r>
    </w:p>
    <w:p>
      <w:pPr>
        <w:spacing w:after="0" w:line="133" w:lineRule="exact"/>
        <w:rPr>
          <w:sz w:val="20"/>
          <w:szCs w:val="20"/>
          <w:color w:val="auto"/>
        </w:rPr>
      </w:pPr>
    </w:p>
    <w:p>
      <w:pPr>
        <w:ind w:right="180"/>
        <w:spacing w:after="0" w:line="257" w:lineRule="auto"/>
        <w:rPr>
          <w:sz w:val="20"/>
          <w:szCs w:val="20"/>
          <w:color w:val="auto"/>
        </w:rPr>
      </w:pPr>
      <w:r>
        <w:rPr>
          <w:rFonts w:ascii="Arial" w:cs="Arial" w:eastAsia="Arial" w:hAnsi="Arial"/>
          <w:sz w:val="17"/>
          <w:szCs w:val="17"/>
          <w:color w:val="auto"/>
        </w:rPr>
        <w:t>Whenever possible, we manage our exposure to commodity risks primarily through the use of supplier pricing agreements that enable us to establish the purchase prices for certain inputs that are used in our manufacturing business. We utilize a raw material surcharge as a component of pricing steel to pass through the cost increases of scrap, alloys and other raw materials, as well as natural gas. From time to time, we may use financial instruments to hedge a portion of our exposure to commodity price risk. In periods of stable demand for our products, the surcharge mechanism has worked effectively to reduce the normal time lag in passing through higher raw material costs so that we can maintain our gross margins. When demand and cost of raw materials are lower, however, the surcharge impacts sales prices to a lesser extent.</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336550</wp:posOffset>
            </wp:positionV>
            <wp:extent cx="7157720" cy="425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8" w:name="page29"/>
    <w:bookmarkEnd w:id="2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810895" cy="8255"/>
                    </a:xfrm>
                    <a:prstGeom prst="rect">
                      <a:avLst/>
                    </a:prstGeom>
                    <a:noFill/>
                  </pic:spPr>
                </pic:pic>
              </a:graphicData>
            </a:graphic>
          </wp:anchor>
        </w:drawing>
      </w:r>
    </w:p>
    <w:p>
      <w:pPr>
        <w:spacing w:after="0" w:line="3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(a) Disclosure Controls and Procedures</w:t>
      </w:r>
    </w:p>
    <w:p>
      <w:pPr>
        <w:spacing w:after="0" w:line="171" w:lineRule="exact"/>
        <w:rPr>
          <w:sz w:val="20"/>
          <w:szCs w:val="20"/>
          <w:color w:val="auto"/>
        </w:rPr>
      </w:pPr>
    </w:p>
    <w:p>
      <w:pPr>
        <w:ind w:right="280"/>
        <w:spacing w:after="0" w:line="284" w:lineRule="auto"/>
        <w:rPr>
          <w:sz w:val="20"/>
          <w:szCs w:val="20"/>
          <w:color w:val="auto"/>
        </w:rPr>
      </w:pPr>
      <w:r>
        <w:rPr>
          <w:rFonts w:ascii="Arial" w:cs="Arial" w:eastAsia="Arial" w:hAnsi="Arial"/>
          <w:sz w:val="16"/>
          <w:szCs w:val="16"/>
          <w:color w:val="auto"/>
        </w:rPr>
        <w:t>As of the end of the period covered by this quarterly report, we carried out an evaluation, under the supervision and with the participation of our management, including our principal executive officer and principal financial officer, of the effectiveness of the design and operation of our disclosure controls and procedures (as defined in Exchange Act Rule 13a-15(e)). Based upon that evaluation, the principal executive officer and principal financial officer concluded that our disclosure controls and procedures were effective as of the end of the period covered by this quarterly report.</w:t>
      </w:r>
    </w:p>
    <w:p>
      <w:pPr>
        <w:spacing w:after="0" w:line="115" w:lineRule="exact"/>
        <w:rPr>
          <w:sz w:val="20"/>
          <w:szCs w:val="20"/>
          <w:color w:val="auto"/>
        </w:rPr>
      </w:pPr>
    </w:p>
    <w:p>
      <w:pPr>
        <w:spacing w:after="0"/>
        <w:rPr>
          <w:sz w:val="20"/>
          <w:szCs w:val="20"/>
          <w:color w:val="auto"/>
        </w:rPr>
      </w:pPr>
      <w:r>
        <w:rPr>
          <w:rFonts w:ascii="Arial" w:cs="Arial" w:eastAsia="Arial" w:hAnsi="Arial"/>
          <w:sz w:val="18"/>
          <w:szCs w:val="18"/>
          <w:color w:val="auto"/>
        </w:rPr>
        <w:t>(b) Changes in Internal Control Over Financial Reporting</w:t>
      </w:r>
    </w:p>
    <w:p>
      <w:pPr>
        <w:spacing w:after="0" w:line="171" w:lineRule="exact"/>
        <w:rPr>
          <w:sz w:val="20"/>
          <w:szCs w:val="20"/>
          <w:color w:val="auto"/>
        </w:rPr>
      </w:pPr>
    </w:p>
    <w:p>
      <w:pPr>
        <w:ind w:right="760"/>
        <w:spacing w:after="0" w:line="291" w:lineRule="auto"/>
        <w:rPr>
          <w:sz w:val="20"/>
          <w:szCs w:val="20"/>
          <w:color w:val="auto"/>
        </w:rPr>
      </w:pPr>
      <w:r>
        <w:rPr>
          <w:rFonts w:ascii="Arial" w:cs="Arial" w:eastAsia="Arial" w:hAnsi="Arial"/>
          <w:sz w:val="17"/>
          <w:szCs w:val="17"/>
          <w:color w:val="auto"/>
        </w:rPr>
        <w:t>During the Company’s most recent fiscal quarter, there have been no changes in the Company’s internal control over financial reporting that have materially affected, or are reasonably likely to materially affect, the Company’s internal control over financial reporting.</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 Other Information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175" w:lineRule="exact"/>
        <w:rPr>
          <w:sz w:val="20"/>
          <w:szCs w:val="20"/>
          <w:color w:val="auto"/>
        </w:rPr>
      </w:pPr>
    </w:p>
    <w:p>
      <w:pPr>
        <w:spacing w:after="0" w:line="261" w:lineRule="auto"/>
        <w:rPr>
          <w:sz w:val="20"/>
          <w:szCs w:val="20"/>
          <w:color w:val="auto"/>
        </w:rPr>
      </w:pPr>
      <w:r>
        <w:rPr>
          <w:rFonts w:ascii="Arial" w:cs="Arial" w:eastAsia="Arial" w:hAnsi="Arial"/>
          <w:sz w:val="18"/>
          <w:szCs w:val="18"/>
          <w:color w:val="auto"/>
        </w:rPr>
        <w:t>We are involved in various claims and legal actions arising in the ordinary course of business. In the opinion of our management, the ultimate disposition of these matters will not have a material adverse effect on our consolidated financial position, results of operations or cash flows.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75" w:lineRule="exact"/>
        <w:rPr>
          <w:sz w:val="20"/>
          <w:szCs w:val="20"/>
          <w:color w:val="auto"/>
        </w:rPr>
      </w:pPr>
    </w:p>
    <w:p>
      <w:pPr>
        <w:ind w:right="420"/>
        <w:spacing w:after="0" w:line="261" w:lineRule="auto"/>
        <w:rPr>
          <w:sz w:val="20"/>
          <w:szCs w:val="20"/>
          <w:color w:val="auto"/>
        </w:rPr>
      </w:pPr>
      <w:r>
        <w:rPr>
          <w:rFonts w:ascii="Arial" w:cs="Arial" w:eastAsia="Arial" w:hAnsi="Arial"/>
          <w:sz w:val="18"/>
          <w:szCs w:val="18"/>
          <w:color w:val="auto"/>
        </w:rPr>
        <w:t>We are subject to various risks and uncertainties in the course of our business. The discussion of such risks and uncertainties may be found under Risk Factors in our Annual Report on Form 10-K for the year ended December 31, 2021 filed with the SEC.</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The table below provides information concerning our repurchase of common shares for the three months ended March 31, 2022.</w:t>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760" w:type="dxa"/>
            <w:vAlign w:val="bottom"/>
          </w:tcPr>
          <w:p>
            <w:pPr>
              <w:spacing w:after="0"/>
              <w:rPr>
                <w:sz w:val="17"/>
                <w:szCs w:val="17"/>
                <w:color w:val="auto"/>
              </w:rPr>
            </w:pPr>
          </w:p>
        </w:tc>
        <w:tc>
          <w:tcPr>
            <w:tcW w:w="16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380" w:type="dxa"/>
            <w:vAlign w:val="bottom"/>
            <w:gridSpan w:val="2"/>
            <w:vMerge w:val="restart"/>
          </w:tcPr>
          <w:p>
            <w:pPr>
              <w:ind w:left="140"/>
              <w:spacing w:after="0"/>
              <w:rPr>
                <w:sz w:val="20"/>
                <w:szCs w:val="20"/>
                <w:color w:val="auto"/>
              </w:rPr>
            </w:pPr>
            <w:r>
              <w:rPr>
                <w:rFonts w:ascii="Arial" w:cs="Arial" w:eastAsia="Arial" w:hAnsi="Arial"/>
                <w:sz w:val="18"/>
                <w:szCs w:val="18"/>
                <w:b w:val="1"/>
                <w:bCs w:val="1"/>
                <w:color w:val="auto"/>
              </w:rPr>
              <w:t>Average price</w:t>
            </w:r>
          </w:p>
        </w:tc>
        <w:tc>
          <w:tcPr>
            <w:tcW w:w="2300" w:type="dxa"/>
            <w:vAlign w:val="bottom"/>
          </w:tcPr>
          <w:p>
            <w:pPr>
              <w:jc w:val="center"/>
              <w:spacing w:after="0"/>
              <w:rPr>
                <w:sz w:val="20"/>
                <w:szCs w:val="20"/>
                <w:color w:val="auto"/>
              </w:rPr>
            </w:pPr>
            <w:r>
              <w:rPr>
                <w:rFonts w:ascii="Arial" w:cs="Arial" w:eastAsia="Arial" w:hAnsi="Arial"/>
                <w:sz w:val="18"/>
                <w:szCs w:val="18"/>
                <w:b w:val="1"/>
                <w:bCs w:val="1"/>
                <w:color w:val="auto"/>
                <w:w w:val="89"/>
              </w:rPr>
              <w:t>Total number of shares</w:t>
            </w:r>
          </w:p>
        </w:tc>
        <w:tc>
          <w:tcPr>
            <w:tcW w:w="2820" w:type="dxa"/>
            <w:vAlign w:val="bottom"/>
            <w:gridSpan w:val="2"/>
            <w:vMerge w:val="restart"/>
          </w:tcPr>
          <w:p>
            <w:pPr>
              <w:jc w:val="center"/>
              <w:spacing w:after="0"/>
              <w:rPr>
                <w:sz w:val="20"/>
                <w:szCs w:val="20"/>
                <w:color w:val="auto"/>
              </w:rPr>
            </w:pPr>
            <w:r>
              <w:rPr>
                <w:rFonts w:ascii="Arial" w:cs="Arial" w:eastAsia="Arial" w:hAnsi="Arial"/>
                <w:sz w:val="18"/>
                <w:szCs w:val="18"/>
                <w:b w:val="1"/>
                <w:bCs w:val="1"/>
                <w:color w:val="auto"/>
                <w:w w:val="90"/>
              </w:rPr>
              <w:t>Maximum dollar value of shares</w:t>
            </w:r>
          </w:p>
        </w:tc>
        <w:tc>
          <w:tcPr>
            <w:tcW w:w="0" w:type="dxa"/>
            <w:vAlign w:val="bottom"/>
          </w:tcPr>
          <w:p>
            <w:pPr>
              <w:spacing w:after="0"/>
              <w:rPr>
                <w:sz w:val="1"/>
                <w:szCs w:val="1"/>
                <w:color w:val="auto"/>
              </w:rPr>
            </w:pPr>
          </w:p>
        </w:tc>
      </w:tr>
      <w:tr>
        <w:trPr>
          <w:trHeight w:val="175"/>
        </w:trPr>
        <w:tc>
          <w:tcPr>
            <w:tcW w:w="2760" w:type="dxa"/>
            <w:vAlign w:val="bottom"/>
            <w:vMerge w:val="restart"/>
          </w:tcPr>
          <w:p>
            <w:pPr>
              <w:ind w:left="20"/>
              <w:spacing w:after="0"/>
              <w:rPr>
                <w:sz w:val="20"/>
                <w:szCs w:val="20"/>
                <w:color w:val="auto"/>
              </w:rPr>
            </w:pPr>
            <w:r>
              <w:rPr>
                <w:rFonts w:ascii="Arial" w:cs="Arial" w:eastAsia="Arial" w:hAnsi="Arial"/>
                <w:sz w:val="18"/>
                <w:szCs w:val="18"/>
                <w:i w:val="1"/>
                <w:iCs w:val="1"/>
                <w:color w:val="auto"/>
              </w:rPr>
              <w:t>(Dollars in millions, except shares</w:t>
            </w:r>
          </w:p>
        </w:tc>
        <w:tc>
          <w:tcPr>
            <w:tcW w:w="1620" w:type="dxa"/>
            <w:vAlign w:val="bottom"/>
            <w:vMerge w:val="restart"/>
          </w:tcPr>
          <w:p>
            <w:pPr>
              <w:ind w:left="380"/>
              <w:spacing w:after="0"/>
              <w:rPr>
                <w:sz w:val="20"/>
                <w:szCs w:val="20"/>
                <w:color w:val="auto"/>
              </w:rPr>
            </w:pPr>
            <w:r>
              <w:rPr>
                <w:rFonts w:ascii="Arial" w:cs="Arial" w:eastAsia="Arial" w:hAnsi="Arial"/>
                <w:sz w:val="18"/>
                <w:szCs w:val="18"/>
                <w:b w:val="1"/>
                <w:bCs w:val="1"/>
                <w:color w:val="auto"/>
                <w:w w:val="89"/>
              </w:rPr>
              <w:t>Total number of</w:t>
            </w:r>
          </w:p>
        </w:tc>
        <w:tc>
          <w:tcPr>
            <w:tcW w:w="360" w:type="dxa"/>
            <w:vAlign w:val="bottom"/>
          </w:tcPr>
          <w:p>
            <w:pPr>
              <w:spacing w:after="0"/>
              <w:rPr>
                <w:sz w:val="15"/>
                <w:szCs w:val="15"/>
                <w:color w:val="auto"/>
              </w:rPr>
            </w:pPr>
          </w:p>
        </w:tc>
        <w:tc>
          <w:tcPr>
            <w:tcW w:w="1380" w:type="dxa"/>
            <w:vAlign w:val="bottom"/>
            <w:gridSpan w:val="2"/>
            <w:vMerge w:val="continue"/>
          </w:tcPr>
          <w:p>
            <w:pPr>
              <w:spacing w:after="0"/>
              <w:rPr>
                <w:sz w:val="15"/>
                <w:szCs w:val="15"/>
                <w:color w:val="auto"/>
              </w:rPr>
            </w:pPr>
          </w:p>
        </w:tc>
        <w:tc>
          <w:tcPr>
            <w:tcW w:w="230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89"/>
              </w:rPr>
              <w:t>purchased as part of</w:t>
            </w:r>
          </w:p>
        </w:tc>
        <w:tc>
          <w:tcPr>
            <w:tcW w:w="282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2760" w:type="dxa"/>
            <w:vAlign w:val="bottom"/>
            <w:vMerge w:val="continue"/>
          </w:tcPr>
          <w:p>
            <w:pPr>
              <w:spacing w:after="0"/>
              <w:rPr>
                <w:sz w:val="15"/>
                <w:szCs w:val="15"/>
                <w:color w:val="auto"/>
              </w:rPr>
            </w:pPr>
          </w:p>
        </w:tc>
        <w:tc>
          <w:tcPr>
            <w:tcW w:w="1620" w:type="dxa"/>
            <w:vAlign w:val="bottom"/>
            <w:vMerge w:val="continue"/>
          </w:tcPr>
          <w:p>
            <w:pPr>
              <w:spacing w:after="0"/>
              <w:rPr>
                <w:sz w:val="15"/>
                <w:szCs w:val="15"/>
                <w:color w:val="auto"/>
              </w:rPr>
            </w:pPr>
          </w:p>
        </w:tc>
        <w:tc>
          <w:tcPr>
            <w:tcW w:w="3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00" w:type="dxa"/>
            <w:vAlign w:val="bottom"/>
          </w:tcPr>
          <w:p>
            <w:pPr>
              <w:jc w:val="right"/>
              <w:ind w:right="310"/>
              <w:spacing w:after="0" w:line="176" w:lineRule="exact"/>
              <w:rPr>
                <w:sz w:val="20"/>
                <w:szCs w:val="20"/>
                <w:color w:val="auto"/>
              </w:rPr>
            </w:pPr>
            <w:r>
              <w:rPr>
                <w:rFonts w:ascii="Arial" w:cs="Arial" w:eastAsia="Arial" w:hAnsi="Arial"/>
                <w:sz w:val="18"/>
                <w:szCs w:val="18"/>
                <w:b w:val="1"/>
                <w:bCs w:val="1"/>
                <w:color w:val="auto"/>
                <w:w w:val="97"/>
              </w:rPr>
              <w:t>paid per</w:t>
            </w:r>
          </w:p>
        </w:tc>
        <w:tc>
          <w:tcPr>
            <w:tcW w:w="230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88"/>
              </w:rPr>
              <w:t>publicly announced plans</w:t>
            </w:r>
          </w:p>
        </w:tc>
        <w:tc>
          <w:tcPr>
            <w:tcW w:w="2820" w:type="dxa"/>
            <w:vAlign w:val="bottom"/>
            <w:gridSpan w:val="2"/>
          </w:tcPr>
          <w:p>
            <w:pPr>
              <w:jc w:val="center"/>
              <w:spacing w:after="0" w:line="176" w:lineRule="exact"/>
              <w:rPr>
                <w:sz w:val="20"/>
                <w:szCs w:val="20"/>
                <w:color w:val="auto"/>
              </w:rPr>
            </w:pPr>
            <w:r>
              <w:rPr>
                <w:rFonts w:ascii="Arial" w:cs="Arial" w:eastAsia="Arial" w:hAnsi="Arial"/>
                <w:sz w:val="18"/>
                <w:szCs w:val="18"/>
                <w:b w:val="1"/>
                <w:bCs w:val="1"/>
                <w:color w:val="auto"/>
                <w:w w:val="89"/>
              </w:rPr>
              <w:t>that may yet be purchased under</w:t>
            </w:r>
          </w:p>
        </w:tc>
        <w:tc>
          <w:tcPr>
            <w:tcW w:w="0" w:type="dxa"/>
            <w:vAlign w:val="bottom"/>
          </w:tcPr>
          <w:p>
            <w:pPr>
              <w:spacing w:after="0"/>
              <w:rPr>
                <w:sz w:val="1"/>
                <w:szCs w:val="1"/>
                <w:color w:val="auto"/>
              </w:rPr>
            </w:pPr>
          </w:p>
        </w:tc>
      </w:tr>
      <w:tr>
        <w:trPr>
          <w:trHeight w:val="216"/>
        </w:trPr>
        <w:tc>
          <w:tcPr>
            <w:tcW w:w="2760" w:type="dxa"/>
            <w:vAlign w:val="bottom"/>
            <w:tcBorders>
              <w:bottom w:val="single" w:sz="8" w:color="auto"/>
            </w:tcBorders>
          </w:tcPr>
          <w:p>
            <w:pPr>
              <w:ind w:left="20"/>
              <w:spacing w:after="0"/>
              <w:rPr>
                <w:sz w:val="20"/>
                <w:szCs w:val="20"/>
                <w:color w:val="auto"/>
              </w:rPr>
            </w:pPr>
            <w:r>
              <w:rPr>
                <w:rFonts w:ascii="Arial" w:cs="Arial" w:eastAsia="Arial" w:hAnsi="Arial"/>
                <w:sz w:val="18"/>
                <w:szCs w:val="18"/>
                <w:i w:val="1"/>
                <w:iCs w:val="1"/>
                <w:color w:val="auto"/>
              </w:rPr>
              <w:t>and per share data)</w:t>
            </w:r>
          </w:p>
        </w:tc>
        <w:tc>
          <w:tcPr>
            <w:tcW w:w="1620" w:type="dxa"/>
            <w:vAlign w:val="bottom"/>
            <w:tcBorders>
              <w:bottom w:val="single" w:sz="8" w:color="auto"/>
            </w:tcBorders>
          </w:tcPr>
          <w:p>
            <w:pPr>
              <w:ind w:left="280"/>
              <w:spacing w:after="0"/>
              <w:rPr>
                <w:sz w:val="20"/>
                <w:szCs w:val="20"/>
                <w:color w:val="auto"/>
              </w:rPr>
            </w:pPr>
            <w:r>
              <w:rPr>
                <w:rFonts w:ascii="Arial" w:cs="Arial" w:eastAsia="Arial" w:hAnsi="Arial"/>
                <w:sz w:val="18"/>
                <w:szCs w:val="18"/>
                <w:b w:val="1"/>
                <w:bCs w:val="1"/>
                <w:color w:val="auto"/>
                <w:w w:val="85"/>
              </w:rPr>
              <w:t>shares purchased</w:t>
            </w:r>
          </w:p>
        </w:tc>
        <w:tc>
          <w:tcPr>
            <w:tcW w:w="360" w:type="dxa"/>
            <w:vAlign w:val="bottom"/>
            <w:tcBorders>
              <w:bottom w:val="single" w:sz="8" w:color="auto"/>
            </w:tcBorders>
          </w:tcPr>
          <w:p>
            <w:pPr>
              <w:jc w:val="right"/>
              <w:ind w:right="120"/>
              <w:spacing w:after="0"/>
              <w:rPr>
                <w:sz w:val="20"/>
                <w:szCs w:val="20"/>
                <w:color w:val="auto"/>
              </w:rPr>
            </w:pPr>
            <w:r>
              <w:rPr>
                <w:rFonts w:ascii="Arial" w:cs="Arial" w:eastAsia="Arial" w:hAnsi="Arial"/>
                <w:sz w:val="12"/>
                <w:szCs w:val="12"/>
                <w:b w:val="1"/>
                <w:bCs w:val="1"/>
                <w:color w:val="auto"/>
                <w:w w:val="95"/>
              </w:rPr>
              <w:t>(1)</w:t>
            </w:r>
          </w:p>
        </w:tc>
        <w:tc>
          <w:tcPr>
            <w:tcW w:w="28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ind w:right="310"/>
              <w:spacing w:after="0" w:line="216" w:lineRule="exact"/>
              <w:rPr>
                <w:sz w:val="20"/>
                <w:szCs w:val="20"/>
                <w:color w:val="auto"/>
              </w:rPr>
            </w:pPr>
            <w:r>
              <w:rPr>
                <w:rFonts w:ascii="Arial" w:cs="Arial" w:eastAsia="Arial" w:hAnsi="Arial"/>
                <w:sz w:val="18"/>
                <w:szCs w:val="18"/>
                <w:b w:val="1"/>
                <w:bCs w:val="1"/>
                <w:color w:val="auto"/>
                <w:w w:val="93"/>
              </w:rPr>
              <w:t xml:space="preserve">share </w:t>
            </w:r>
            <w:r>
              <w:rPr>
                <w:rFonts w:ascii="Arial" w:cs="Arial" w:eastAsia="Arial" w:hAnsi="Arial"/>
                <w:sz w:val="24"/>
                <w:szCs w:val="24"/>
                <w:b w:val="1"/>
                <w:bCs w:val="1"/>
                <w:color w:val="auto"/>
                <w:w w:val="93"/>
                <w:vertAlign w:val="superscript"/>
              </w:rPr>
              <w:t>(3)</w:t>
            </w:r>
          </w:p>
        </w:tc>
        <w:tc>
          <w:tcPr>
            <w:tcW w:w="2300" w:type="dxa"/>
            <w:vAlign w:val="bottom"/>
            <w:tcBorders>
              <w:bottom w:val="single" w:sz="8" w:color="auto"/>
            </w:tcBorders>
          </w:tcPr>
          <w:p>
            <w:pPr>
              <w:jc w:val="center"/>
              <w:spacing w:after="0" w:line="216" w:lineRule="exact"/>
              <w:rPr>
                <w:sz w:val="20"/>
                <w:szCs w:val="20"/>
                <w:color w:val="auto"/>
              </w:rPr>
            </w:pPr>
            <w:r>
              <w:rPr>
                <w:rFonts w:ascii="Arial" w:cs="Arial" w:eastAsia="Arial" w:hAnsi="Arial"/>
                <w:sz w:val="18"/>
                <w:szCs w:val="18"/>
                <w:b w:val="1"/>
                <w:bCs w:val="1"/>
                <w:color w:val="auto"/>
                <w:w w:val="88"/>
              </w:rPr>
              <w:t xml:space="preserve">or programs </w:t>
            </w:r>
            <w:r>
              <w:rPr>
                <w:rFonts w:ascii="Arial" w:cs="Arial" w:eastAsia="Arial" w:hAnsi="Arial"/>
                <w:sz w:val="24"/>
                <w:szCs w:val="24"/>
                <w:b w:val="1"/>
                <w:bCs w:val="1"/>
                <w:color w:val="auto"/>
                <w:w w:val="88"/>
                <w:vertAlign w:val="superscript"/>
              </w:rPr>
              <w:t>(1)</w:t>
            </w:r>
          </w:p>
        </w:tc>
        <w:tc>
          <w:tcPr>
            <w:tcW w:w="340" w:type="dxa"/>
            <w:vAlign w:val="bottom"/>
            <w:tcBorders>
              <w:bottom w:val="single" w:sz="8" w:color="auto"/>
            </w:tcBorders>
          </w:tcPr>
          <w:p>
            <w:pPr>
              <w:spacing w:after="0"/>
              <w:rPr>
                <w:sz w:val="18"/>
                <w:szCs w:val="18"/>
                <w:color w:val="auto"/>
              </w:rPr>
            </w:pPr>
          </w:p>
        </w:tc>
        <w:tc>
          <w:tcPr>
            <w:tcW w:w="2480" w:type="dxa"/>
            <w:vAlign w:val="bottom"/>
            <w:tcBorders>
              <w:bottom w:val="single" w:sz="8" w:color="auto"/>
            </w:tcBorders>
          </w:tcPr>
          <w:p>
            <w:pPr>
              <w:jc w:val="center"/>
              <w:ind w:right="230"/>
              <w:spacing w:after="0" w:line="216" w:lineRule="exact"/>
              <w:rPr>
                <w:sz w:val="20"/>
                <w:szCs w:val="20"/>
                <w:color w:val="auto"/>
              </w:rPr>
            </w:pPr>
            <w:r>
              <w:rPr>
                <w:rFonts w:ascii="Arial" w:cs="Arial" w:eastAsia="Arial" w:hAnsi="Arial"/>
                <w:sz w:val="18"/>
                <w:szCs w:val="18"/>
                <w:b w:val="1"/>
                <w:bCs w:val="1"/>
                <w:color w:val="auto"/>
                <w:w w:val="87"/>
              </w:rPr>
              <w:t xml:space="preserve">the plans or programs </w:t>
            </w:r>
            <w:r>
              <w:rPr>
                <w:rFonts w:ascii="Arial" w:cs="Arial" w:eastAsia="Arial" w:hAnsi="Arial"/>
                <w:sz w:val="24"/>
                <w:szCs w:val="24"/>
                <w:b w:val="1"/>
                <w:bCs w:val="1"/>
                <w:color w:val="auto"/>
                <w:w w:val="87"/>
                <w:vertAlign w:val="superscript"/>
              </w:rPr>
              <w:t>(2)</w:t>
            </w:r>
          </w:p>
        </w:tc>
        <w:tc>
          <w:tcPr>
            <w:tcW w:w="0" w:type="dxa"/>
            <w:vAlign w:val="bottom"/>
          </w:tcPr>
          <w:p>
            <w:pPr>
              <w:spacing w:after="0"/>
              <w:rPr>
                <w:sz w:val="1"/>
                <w:szCs w:val="1"/>
                <w:color w:val="auto"/>
              </w:rPr>
            </w:pPr>
          </w:p>
        </w:tc>
      </w:tr>
      <w:tr>
        <w:trPr>
          <w:trHeight w:val="196"/>
        </w:trPr>
        <w:tc>
          <w:tcPr>
            <w:tcW w:w="276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Beginning shares available</w:t>
            </w:r>
          </w:p>
        </w:tc>
        <w:tc>
          <w:tcPr>
            <w:tcW w:w="162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1100" w:type="dxa"/>
            <w:vAlign w:val="bottom"/>
            <w:shd w:val="clear" w:color="auto" w:fill="CFF0FC"/>
          </w:tcPr>
          <w:p>
            <w:pPr>
              <w:spacing w:after="0"/>
              <w:rPr>
                <w:sz w:val="17"/>
                <w:szCs w:val="17"/>
                <w:color w:val="auto"/>
              </w:rPr>
            </w:pPr>
          </w:p>
        </w:tc>
        <w:tc>
          <w:tcPr>
            <w:tcW w:w="2300" w:type="dxa"/>
            <w:vAlign w:val="bottom"/>
            <w:shd w:val="clear" w:color="auto" w:fill="CFF0FC"/>
          </w:tcPr>
          <w:p>
            <w:pPr>
              <w:spacing w:after="0"/>
              <w:rPr>
                <w:sz w:val="17"/>
                <w:szCs w:val="17"/>
                <w:color w:val="auto"/>
              </w:rPr>
            </w:pPr>
          </w:p>
        </w:tc>
        <w:tc>
          <w:tcPr>
            <w:tcW w:w="340" w:type="dxa"/>
            <w:vAlign w:val="bottom"/>
            <w:shd w:val="clear" w:color="auto" w:fill="CFF0FC"/>
          </w:tcPr>
          <w:p>
            <w:pPr>
              <w:jc w:val="right"/>
              <w:ind w:right="50"/>
              <w:spacing w:after="0" w:line="196" w:lineRule="exact"/>
              <w:rPr>
                <w:sz w:val="20"/>
                <w:szCs w:val="20"/>
                <w:color w:val="auto"/>
              </w:rPr>
            </w:pPr>
            <w:r>
              <w:rPr>
                <w:rFonts w:ascii="Arial" w:cs="Arial" w:eastAsia="Arial" w:hAnsi="Arial"/>
                <w:sz w:val="18"/>
                <w:szCs w:val="18"/>
                <w:color w:val="auto"/>
              </w:rPr>
              <w:t>$</w:t>
            </w:r>
          </w:p>
        </w:tc>
        <w:tc>
          <w:tcPr>
            <w:tcW w:w="248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50.0</w:t>
            </w:r>
          </w:p>
        </w:tc>
        <w:tc>
          <w:tcPr>
            <w:tcW w:w="0" w:type="dxa"/>
            <w:vAlign w:val="bottom"/>
          </w:tcPr>
          <w:p>
            <w:pPr>
              <w:spacing w:after="0"/>
              <w:rPr>
                <w:sz w:val="1"/>
                <w:szCs w:val="1"/>
                <w:color w:val="auto"/>
              </w:rPr>
            </w:pPr>
          </w:p>
        </w:tc>
      </w:tr>
      <w:tr>
        <w:trPr>
          <w:trHeight w:val="203"/>
        </w:trPr>
        <w:tc>
          <w:tcPr>
            <w:tcW w:w="2760" w:type="dxa"/>
            <w:vAlign w:val="bottom"/>
          </w:tcPr>
          <w:p>
            <w:pPr>
              <w:ind w:left="20"/>
              <w:spacing w:after="0" w:line="202" w:lineRule="exact"/>
              <w:rPr>
                <w:sz w:val="20"/>
                <w:szCs w:val="20"/>
                <w:color w:val="auto"/>
              </w:rPr>
            </w:pPr>
            <w:r>
              <w:rPr>
                <w:rFonts w:ascii="Arial" w:cs="Arial" w:eastAsia="Arial" w:hAnsi="Arial"/>
                <w:sz w:val="18"/>
                <w:szCs w:val="18"/>
                <w:color w:val="auto"/>
              </w:rPr>
              <w:t>January, 2022</w:t>
            </w:r>
          </w:p>
        </w:tc>
        <w:tc>
          <w:tcPr>
            <w:tcW w:w="1620" w:type="dxa"/>
            <w:vAlign w:val="bottom"/>
          </w:tcPr>
          <w:p>
            <w:pPr>
              <w:spacing w:after="0"/>
              <w:rPr>
                <w:sz w:val="17"/>
                <w:szCs w:val="17"/>
                <w:color w:val="auto"/>
              </w:rPr>
            </w:pPr>
          </w:p>
        </w:tc>
        <w:tc>
          <w:tcPr>
            <w:tcW w:w="360" w:type="dxa"/>
            <w:vAlign w:val="bottom"/>
          </w:tcPr>
          <w:p>
            <w:pPr>
              <w:jc w:val="right"/>
              <w:ind w:right="40"/>
              <w:spacing w:after="0" w:line="202" w:lineRule="exact"/>
              <w:rPr>
                <w:sz w:val="20"/>
                <w:szCs w:val="20"/>
                <w:color w:val="auto"/>
              </w:rPr>
            </w:pPr>
            <w:r>
              <w:rPr>
                <w:rFonts w:ascii="Arial" w:cs="Arial" w:eastAsia="Arial" w:hAnsi="Arial"/>
                <w:sz w:val="18"/>
                <w:szCs w:val="18"/>
                <w:color w:val="auto"/>
              </w:rPr>
              <w:t>—</w:t>
            </w:r>
          </w:p>
        </w:tc>
        <w:tc>
          <w:tcPr>
            <w:tcW w:w="280" w:type="dxa"/>
            <w:vAlign w:val="bottom"/>
          </w:tcPr>
          <w:p>
            <w:pPr>
              <w:ind w:left="140"/>
              <w:spacing w:after="0" w:line="202" w:lineRule="exact"/>
              <w:rPr>
                <w:sz w:val="20"/>
                <w:szCs w:val="20"/>
                <w:color w:val="auto"/>
              </w:rPr>
            </w:pPr>
            <w:r>
              <w:rPr>
                <w:rFonts w:ascii="Arial" w:cs="Arial" w:eastAsia="Arial" w:hAnsi="Arial"/>
                <w:sz w:val="18"/>
                <w:szCs w:val="18"/>
                <w:color w:val="auto"/>
              </w:rPr>
              <w:t>$</w:t>
            </w:r>
          </w:p>
        </w:tc>
        <w:tc>
          <w:tcPr>
            <w:tcW w:w="1100" w:type="dxa"/>
            <w:vAlign w:val="bottom"/>
          </w:tcPr>
          <w:p>
            <w:pPr>
              <w:jc w:val="right"/>
              <w:ind w:right="50"/>
              <w:spacing w:after="0" w:line="202" w:lineRule="exact"/>
              <w:rPr>
                <w:sz w:val="20"/>
                <w:szCs w:val="20"/>
                <w:color w:val="auto"/>
              </w:rPr>
            </w:pPr>
            <w:r>
              <w:rPr>
                <w:rFonts w:ascii="Arial" w:cs="Arial" w:eastAsia="Arial" w:hAnsi="Arial"/>
                <w:sz w:val="18"/>
                <w:szCs w:val="18"/>
                <w:color w:val="auto"/>
              </w:rPr>
              <w:t>—</w:t>
            </w:r>
          </w:p>
        </w:tc>
        <w:tc>
          <w:tcPr>
            <w:tcW w:w="2300" w:type="dxa"/>
            <w:vAlign w:val="bottom"/>
          </w:tcPr>
          <w:p>
            <w:pPr>
              <w:jc w:val="right"/>
              <w:ind w:right="30"/>
              <w:spacing w:after="0" w:line="202" w:lineRule="exact"/>
              <w:rPr>
                <w:sz w:val="20"/>
                <w:szCs w:val="20"/>
                <w:color w:val="auto"/>
              </w:rPr>
            </w:pPr>
            <w:r>
              <w:rPr>
                <w:rFonts w:ascii="Arial" w:cs="Arial" w:eastAsia="Arial" w:hAnsi="Arial"/>
                <w:sz w:val="18"/>
                <w:szCs w:val="18"/>
                <w:color w:val="auto"/>
              </w:rPr>
              <w:t>—</w:t>
            </w:r>
          </w:p>
        </w:tc>
        <w:tc>
          <w:tcPr>
            <w:tcW w:w="340" w:type="dxa"/>
            <w:vAlign w:val="bottom"/>
          </w:tcPr>
          <w:p>
            <w:pPr>
              <w:jc w:val="right"/>
              <w:ind w:right="50"/>
              <w:spacing w:after="0" w:line="202" w:lineRule="exact"/>
              <w:rPr>
                <w:sz w:val="20"/>
                <w:szCs w:val="20"/>
                <w:color w:val="auto"/>
              </w:rPr>
            </w:pPr>
            <w:r>
              <w:rPr>
                <w:rFonts w:ascii="Arial" w:cs="Arial" w:eastAsia="Arial" w:hAnsi="Arial"/>
                <w:sz w:val="18"/>
                <w:szCs w:val="18"/>
                <w:color w:val="auto"/>
              </w:rPr>
              <w:t>$</w:t>
            </w:r>
          </w:p>
        </w:tc>
        <w:tc>
          <w:tcPr>
            <w:tcW w:w="2480" w:type="dxa"/>
            <w:vAlign w:val="bottom"/>
          </w:tcPr>
          <w:p>
            <w:pPr>
              <w:jc w:val="right"/>
              <w:spacing w:after="0" w:line="202" w:lineRule="exact"/>
              <w:rPr>
                <w:sz w:val="20"/>
                <w:szCs w:val="20"/>
                <w:color w:val="auto"/>
              </w:rPr>
            </w:pPr>
            <w:r>
              <w:rPr>
                <w:rFonts w:ascii="Arial" w:cs="Arial" w:eastAsia="Arial" w:hAnsi="Arial"/>
                <w:sz w:val="18"/>
                <w:szCs w:val="18"/>
                <w:color w:val="auto"/>
              </w:rPr>
              <w:t>50.0</w:t>
            </w:r>
          </w:p>
        </w:tc>
        <w:tc>
          <w:tcPr>
            <w:tcW w:w="0" w:type="dxa"/>
            <w:vAlign w:val="bottom"/>
          </w:tcPr>
          <w:p>
            <w:pPr>
              <w:spacing w:after="0"/>
              <w:rPr>
                <w:sz w:val="1"/>
                <w:szCs w:val="1"/>
                <w:color w:val="auto"/>
              </w:rPr>
            </w:pPr>
          </w:p>
        </w:tc>
      </w:tr>
      <w:tr>
        <w:trPr>
          <w:trHeight w:val="203"/>
        </w:trPr>
        <w:tc>
          <w:tcPr>
            <w:tcW w:w="276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February, 2022</w:t>
            </w:r>
          </w:p>
        </w:tc>
        <w:tc>
          <w:tcPr>
            <w:tcW w:w="1620" w:type="dxa"/>
            <w:vAlign w:val="bottom"/>
            <w:shd w:val="clear" w:color="auto" w:fill="CFF0FC"/>
          </w:tcPr>
          <w:p>
            <w:pPr>
              <w:spacing w:after="0"/>
              <w:rPr>
                <w:sz w:val="17"/>
                <w:szCs w:val="17"/>
                <w:color w:val="auto"/>
              </w:rPr>
            </w:pPr>
          </w:p>
        </w:tc>
        <w:tc>
          <w:tcPr>
            <w:tcW w:w="360" w:type="dxa"/>
            <w:vAlign w:val="bottom"/>
            <w:shd w:val="clear" w:color="auto" w:fill="CFF0FC"/>
          </w:tcPr>
          <w:p>
            <w:pPr>
              <w:jc w:val="right"/>
              <w:ind w:right="40"/>
              <w:spacing w:after="0" w:line="202" w:lineRule="exact"/>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ind w:left="140"/>
              <w:spacing w:after="0" w:line="202" w:lineRule="exact"/>
              <w:rPr>
                <w:sz w:val="20"/>
                <w:szCs w:val="20"/>
                <w:color w:val="auto"/>
              </w:rPr>
            </w:pPr>
            <w:r>
              <w:rPr>
                <w:rFonts w:ascii="Arial" w:cs="Arial" w:eastAsia="Arial" w:hAnsi="Arial"/>
                <w:sz w:val="18"/>
                <w:szCs w:val="18"/>
                <w:color w:val="auto"/>
              </w:rPr>
              <w:t>$</w:t>
            </w:r>
          </w:p>
        </w:tc>
        <w:tc>
          <w:tcPr>
            <w:tcW w:w="1100" w:type="dxa"/>
            <w:vAlign w:val="bottom"/>
            <w:shd w:val="clear" w:color="auto" w:fill="CFF0FC"/>
          </w:tcPr>
          <w:p>
            <w:pPr>
              <w:jc w:val="right"/>
              <w:ind w:right="50"/>
              <w:spacing w:after="0" w:line="202" w:lineRule="exact"/>
              <w:rPr>
                <w:sz w:val="20"/>
                <w:szCs w:val="20"/>
                <w:color w:val="auto"/>
              </w:rPr>
            </w:pPr>
            <w:r>
              <w:rPr>
                <w:rFonts w:ascii="Arial" w:cs="Arial" w:eastAsia="Arial" w:hAnsi="Arial"/>
                <w:sz w:val="18"/>
                <w:szCs w:val="18"/>
                <w:color w:val="auto"/>
              </w:rPr>
              <w:t>—</w:t>
            </w:r>
          </w:p>
        </w:tc>
        <w:tc>
          <w:tcPr>
            <w:tcW w:w="2300" w:type="dxa"/>
            <w:vAlign w:val="bottom"/>
            <w:shd w:val="clear" w:color="auto" w:fill="CFF0FC"/>
          </w:tcPr>
          <w:p>
            <w:pPr>
              <w:jc w:val="right"/>
              <w:ind w:right="30"/>
              <w:spacing w:after="0" w:line="202" w:lineRule="exact"/>
              <w:rPr>
                <w:sz w:val="20"/>
                <w:szCs w:val="20"/>
                <w:color w:val="auto"/>
              </w:rPr>
            </w:pPr>
            <w:r>
              <w:rPr>
                <w:rFonts w:ascii="Arial" w:cs="Arial" w:eastAsia="Arial" w:hAnsi="Arial"/>
                <w:sz w:val="18"/>
                <w:szCs w:val="18"/>
                <w:color w:val="auto"/>
              </w:rPr>
              <w:t>—</w:t>
            </w:r>
          </w:p>
        </w:tc>
        <w:tc>
          <w:tcPr>
            <w:tcW w:w="340" w:type="dxa"/>
            <w:vAlign w:val="bottom"/>
            <w:shd w:val="clear" w:color="auto" w:fill="CFF0FC"/>
          </w:tcPr>
          <w:p>
            <w:pPr>
              <w:jc w:val="right"/>
              <w:ind w:right="50"/>
              <w:spacing w:after="0" w:line="202" w:lineRule="exact"/>
              <w:rPr>
                <w:sz w:val="20"/>
                <w:szCs w:val="20"/>
                <w:color w:val="auto"/>
              </w:rPr>
            </w:pPr>
            <w:r>
              <w:rPr>
                <w:rFonts w:ascii="Arial" w:cs="Arial" w:eastAsia="Arial" w:hAnsi="Arial"/>
                <w:sz w:val="18"/>
                <w:szCs w:val="18"/>
                <w:color w:val="auto"/>
              </w:rPr>
              <w:t>$</w:t>
            </w:r>
          </w:p>
        </w:tc>
        <w:tc>
          <w:tcPr>
            <w:tcW w:w="24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50.0</w:t>
            </w:r>
          </w:p>
        </w:tc>
        <w:tc>
          <w:tcPr>
            <w:tcW w:w="0" w:type="dxa"/>
            <w:vAlign w:val="bottom"/>
          </w:tcPr>
          <w:p>
            <w:pPr>
              <w:spacing w:after="0"/>
              <w:rPr>
                <w:sz w:val="1"/>
                <w:szCs w:val="1"/>
                <w:color w:val="auto"/>
              </w:rPr>
            </w:pPr>
          </w:p>
        </w:tc>
      </w:tr>
      <w:tr>
        <w:trPr>
          <w:trHeight w:val="203"/>
        </w:trPr>
        <w:tc>
          <w:tcPr>
            <w:tcW w:w="2760" w:type="dxa"/>
            <w:vAlign w:val="bottom"/>
            <w:tcBorders>
              <w:bottom w:val="single" w:sz="8" w:color="auto"/>
            </w:tcBorders>
          </w:tcPr>
          <w:p>
            <w:pPr>
              <w:ind w:left="20"/>
              <w:spacing w:after="0" w:line="202" w:lineRule="exact"/>
              <w:rPr>
                <w:sz w:val="20"/>
                <w:szCs w:val="20"/>
                <w:color w:val="auto"/>
              </w:rPr>
            </w:pPr>
            <w:r>
              <w:rPr>
                <w:rFonts w:ascii="Arial" w:cs="Arial" w:eastAsia="Arial" w:hAnsi="Arial"/>
                <w:sz w:val="18"/>
                <w:szCs w:val="18"/>
                <w:color w:val="auto"/>
              </w:rPr>
              <w:t>March, 2022</w:t>
            </w:r>
          </w:p>
        </w:tc>
        <w:tc>
          <w:tcPr>
            <w:tcW w:w="1980" w:type="dxa"/>
            <w:vAlign w:val="bottom"/>
            <w:tcBorders>
              <w:bottom w:val="single" w:sz="8" w:color="auto"/>
            </w:tcBorders>
            <w:gridSpan w:val="2"/>
          </w:tcPr>
          <w:p>
            <w:pPr>
              <w:jc w:val="right"/>
              <w:ind w:right="40"/>
              <w:spacing w:after="0" w:line="202" w:lineRule="exact"/>
              <w:rPr>
                <w:sz w:val="20"/>
                <w:szCs w:val="20"/>
                <w:color w:val="auto"/>
              </w:rPr>
            </w:pPr>
            <w:r>
              <w:rPr>
                <w:rFonts w:ascii="Arial" w:cs="Arial" w:eastAsia="Arial" w:hAnsi="Arial"/>
                <w:sz w:val="18"/>
                <w:szCs w:val="18"/>
                <w:color w:val="auto"/>
              </w:rPr>
              <w:t>169,816</w:t>
            </w:r>
          </w:p>
        </w:tc>
        <w:tc>
          <w:tcPr>
            <w:tcW w:w="280" w:type="dxa"/>
            <w:vAlign w:val="bottom"/>
            <w:tcBorders>
              <w:bottom w:val="single" w:sz="8" w:color="auto"/>
            </w:tcBorders>
          </w:tcPr>
          <w:p>
            <w:pPr>
              <w:ind w:left="140"/>
              <w:spacing w:after="0" w:line="202" w:lineRule="exact"/>
              <w:rPr>
                <w:sz w:val="20"/>
                <w:szCs w:val="20"/>
                <w:color w:val="auto"/>
              </w:rPr>
            </w:pPr>
            <w:r>
              <w:rPr>
                <w:rFonts w:ascii="Arial" w:cs="Arial" w:eastAsia="Arial" w:hAnsi="Arial"/>
                <w:sz w:val="18"/>
                <w:szCs w:val="18"/>
                <w:color w:val="auto"/>
              </w:rPr>
              <w:t>$</w:t>
            </w:r>
          </w:p>
        </w:tc>
        <w:tc>
          <w:tcPr>
            <w:tcW w:w="1100" w:type="dxa"/>
            <w:vAlign w:val="bottom"/>
            <w:tcBorders>
              <w:bottom w:val="single" w:sz="8" w:color="auto"/>
            </w:tcBorders>
          </w:tcPr>
          <w:p>
            <w:pPr>
              <w:jc w:val="right"/>
              <w:ind w:right="50"/>
              <w:spacing w:after="0" w:line="202" w:lineRule="exact"/>
              <w:rPr>
                <w:sz w:val="20"/>
                <w:szCs w:val="20"/>
                <w:color w:val="auto"/>
              </w:rPr>
            </w:pPr>
            <w:r>
              <w:rPr>
                <w:rFonts w:ascii="Arial" w:cs="Arial" w:eastAsia="Arial" w:hAnsi="Arial"/>
                <w:sz w:val="18"/>
                <w:szCs w:val="18"/>
                <w:color w:val="auto"/>
              </w:rPr>
              <w:t>20.27</w:t>
            </w:r>
          </w:p>
        </w:tc>
        <w:tc>
          <w:tcPr>
            <w:tcW w:w="2300" w:type="dxa"/>
            <w:vAlign w:val="bottom"/>
            <w:tcBorders>
              <w:bottom w:val="single" w:sz="8" w:color="auto"/>
            </w:tcBorders>
          </w:tcPr>
          <w:p>
            <w:pPr>
              <w:jc w:val="right"/>
              <w:ind w:right="30"/>
              <w:spacing w:after="0" w:line="202" w:lineRule="exact"/>
              <w:rPr>
                <w:sz w:val="20"/>
                <w:szCs w:val="20"/>
                <w:color w:val="auto"/>
              </w:rPr>
            </w:pPr>
            <w:r>
              <w:rPr>
                <w:rFonts w:ascii="Arial" w:cs="Arial" w:eastAsia="Arial" w:hAnsi="Arial"/>
                <w:sz w:val="18"/>
                <w:szCs w:val="18"/>
                <w:color w:val="auto"/>
              </w:rPr>
              <w:t>169,816</w:t>
            </w:r>
          </w:p>
        </w:tc>
        <w:tc>
          <w:tcPr>
            <w:tcW w:w="340" w:type="dxa"/>
            <w:vAlign w:val="bottom"/>
            <w:tcBorders>
              <w:bottom w:val="single" w:sz="8" w:color="auto"/>
            </w:tcBorders>
          </w:tcPr>
          <w:p>
            <w:pPr>
              <w:jc w:val="right"/>
              <w:ind w:right="50"/>
              <w:spacing w:after="0" w:line="202" w:lineRule="exact"/>
              <w:rPr>
                <w:sz w:val="20"/>
                <w:szCs w:val="20"/>
                <w:color w:val="auto"/>
              </w:rPr>
            </w:pPr>
            <w:r>
              <w:rPr>
                <w:rFonts w:ascii="Arial" w:cs="Arial" w:eastAsia="Arial" w:hAnsi="Arial"/>
                <w:sz w:val="18"/>
                <w:szCs w:val="18"/>
                <w:color w:val="auto"/>
              </w:rPr>
              <w:t>$</w:t>
            </w:r>
          </w:p>
        </w:tc>
        <w:tc>
          <w:tcPr>
            <w:tcW w:w="24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46.6</w:t>
            </w:r>
          </w:p>
        </w:tc>
        <w:tc>
          <w:tcPr>
            <w:tcW w:w="0" w:type="dxa"/>
            <w:vAlign w:val="bottom"/>
          </w:tcPr>
          <w:p>
            <w:pPr>
              <w:spacing w:after="0"/>
              <w:rPr>
                <w:sz w:val="1"/>
                <w:szCs w:val="1"/>
                <w:color w:val="auto"/>
              </w:rPr>
            </w:pPr>
          </w:p>
        </w:tc>
      </w:tr>
      <w:tr>
        <w:trPr>
          <w:trHeight w:val="196"/>
        </w:trPr>
        <w:tc>
          <w:tcPr>
            <w:tcW w:w="2760" w:type="dxa"/>
            <w:vAlign w:val="bottom"/>
            <w:tcBorders>
              <w:bottom w:val="single" w:sz="8" w:color="auto"/>
            </w:tcBorders>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Quarter-to-date</w:t>
            </w:r>
          </w:p>
        </w:tc>
        <w:tc>
          <w:tcPr>
            <w:tcW w:w="1980" w:type="dxa"/>
            <w:vAlign w:val="bottom"/>
            <w:tcBorders>
              <w:bottom w:val="single" w:sz="8" w:color="auto"/>
            </w:tcBorders>
            <w:gridSpan w:val="2"/>
            <w:shd w:val="clear" w:color="auto" w:fill="CFF0FC"/>
          </w:tcPr>
          <w:p>
            <w:pPr>
              <w:jc w:val="right"/>
              <w:ind w:right="40"/>
              <w:spacing w:after="0" w:line="196" w:lineRule="exact"/>
              <w:rPr>
                <w:sz w:val="20"/>
                <w:szCs w:val="20"/>
                <w:color w:val="auto"/>
              </w:rPr>
            </w:pPr>
            <w:r>
              <w:rPr>
                <w:rFonts w:ascii="Arial" w:cs="Arial" w:eastAsia="Arial" w:hAnsi="Arial"/>
                <w:sz w:val="18"/>
                <w:szCs w:val="18"/>
                <w:b w:val="1"/>
                <w:bCs w:val="1"/>
                <w:color w:val="auto"/>
              </w:rPr>
              <w:t>169,816</w:t>
            </w:r>
          </w:p>
        </w:tc>
        <w:tc>
          <w:tcPr>
            <w:tcW w:w="280" w:type="dxa"/>
            <w:vAlign w:val="bottom"/>
            <w:tcBorders>
              <w:bottom w:val="single" w:sz="8" w:color="auto"/>
            </w:tcBorders>
            <w:shd w:val="clear" w:color="auto" w:fill="CFF0FC"/>
          </w:tcPr>
          <w:p>
            <w:pPr>
              <w:ind w:left="140"/>
              <w:spacing w:after="0" w:line="196" w:lineRule="exact"/>
              <w:rPr>
                <w:sz w:val="20"/>
                <w:szCs w:val="20"/>
                <w:color w:val="auto"/>
              </w:rPr>
            </w:pPr>
            <w:r>
              <w:rPr>
                <w:rFonts w:ascii="Arial" w:cs="Arial" w:eastAsia="Arial" w:hAnsi="Arial"/>
                <w:sz w:val="18"/>
                <w:szCs w:val="18"/>
                <w:b w:val="1"/>
                <w:bCs w:val="1"/>
                <w:color w:val="auto"/>
              </w:rPr>
              <w:t>$</w:t>
            </w:r>
          </w:p>
        </w:tc>
        <w:tc>
          <w:tcPr>
            <w:tcW w:w="1100" w:type="dxa"/>
            <w:vAlign w:val="bottom"/>
            <w:tcBorders>
              <w:bottom w:val="single" w:sz="8" w:color="auto"/>
            </w:tcBorders>
            <w:shd w:val="clear" w:color="auto" w:fill="CFF0FC"/>
          </w:tcPr>
          <w:p>
            <w:pPr>
              <w:jc w:val="right"/>
              <w:ind w:right="50"/>
              <w:spacing w:after="0" w:line="196" w:lineRule="exact"/>
              <w:rPr>
                <w:sz w:val="20"/>
                <w:szCs w:val="20"/>
                <w:color w:val="auto"/>
              </w:rPr>
            </w:pPr>
            <w:r>
              <w:rPr>
                <w:rFonts w:ascii="Arial" w:cs="Arial" w:eastAsia="Arial" w:hAnsi="Arial"/>
                <w:sz w:val="18"/>
                <w:szCs w:val="18"/>
                <w:b w:val="1"/>
                <w:bCs w:val="1"/>
                <w:color w:val="auto"/>
              </w:rPr>
              <w:t>20.27</w:t>
            </w:r>
          </w:p>
        </w:tc>
        <w:tc>
          <w:tcPr>
            <w:tcW w:w="2300" w:type="dxa"/>
            <w:vAlign w:val="bottom"/>
            <w:tcBorders>
              <w:bottom w:val="single" w:sz="8" w:color="auto"/>
            </w:tcBorders>
            <w:shd w:val="clear" w:color="auto" w:fill="CFF0FC"/>
          </w:tcPr>
          <w:p>
            <w:pPr>
              <w:jc w:val="right"/>
              <w:ind w:right="30"/>
              <w:spacing w:after="0" w:line="196" w:lineRule="exact"/>
              <w:rPr>
                <w:sz w:val="20"/>
                <w:szCs w:val="20"/>
                <w:color w:val="auto"/>
              </w:rPr>
            </w:pPr>
            <w:r>
              <w:rPr>
                <w:rFonts w:ascii="Arial" w:cs="Arial" w:eastAsia="Arial" w:hAnsi="Arial"/>
                <w:sz w:val="18"/>
                <w:szCs w:val="18"/>
                <w:b w:val="1"/>
                <w:bCs w:val="1"/>
                <w:color w:val="auto"/>
              </w:rPr>
              <w:t>169,816</w:t>
            </w:r>
          </w:p>
        </w:tc>
        <w:tc>
          <w:tcPr>
            <w:tcW w:w="340" w:type="dxa"/>
            <w:vAlign w:val="bottom"/>
            <w:tcBorders>
              <w:bottom w:val="single" w:sz="8" w:color="auto"/>
            </w:tcBorders>
            <w:shd w:val="clear" w:color="auto" w:fill="CFF0FC"/>
          </w:tcPr>
          <w:p>
            <w:pPr>
              <w:jc w:val="right"/>
              <w:ind w:right="50"/>
              <w:spacing w:after="0" w:line="196" w:lineRule="exact"/>
              <w:rPr>
                <w:sz w:val="20"/>
                <w:szCs w:val="20"/>
                <w:color w:val="auto"/>
              </w:rPr>
            </w:pPr>
            <w:r>
              <w:rPr>
                <w:rFonts w:ascii="Arial" w:cs="Arial" w:eastAsia="Arial" w:hAnsi="Arial"/>
                <w:sz w:val="18"/>
                <w:szCs w:val="18"/>
                <w:b w:val="1"/>
                <w:bCs w:val="1"/>
                <w:color w:val="auto"/>
              </w:rPr>
              <w:t>$</w:t>
            </w:r>
          </w:p>
        </w:tc>
        <w:tc>
          <w:tcPr>
            <w:tcW w:w="248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b w:val="1"/>
                <w:bCs w:val="1"/>
                <w:color w:val="auto"/>
              </w:rPr>
              <w:t>46.6</w:t>
            </w:r>
          </w:p>
        </w:tc>
        <w:tc>
          <w:tcPr>
            <w:tcW w:w="0" w:type="dxa"/>
            <w:vAlign w:val="bottom"/>
          </w:tcPr>
          <w:p>
            <w:pPr>
              <w:spacing w:after="0"/>
              <w:rPr>
                <w:sz w:val="1"/>
                <w:szCs w:val="1"/>
                <w:color w:val="auto"/>
              </w:rPr>
            </w:pPr>
          </w:p>
        </w:tc>
      </w:tr>
    </w:tbl>
    <w:p>
      <w:pPr>
        <w:spacing w:after="0" w:line="188" w:lineRule="exact"/>
        <w:rPr>
          <w:sz w:val="20"/>
          <w:szCs w:val="20"/>
          <w:color w:val="auto"/>
        </w:rPr>
      </w:pPr>
    </w:p>
    <w:p>
      <w:pPr>
        <w:ind w:right="500" w:firstLine="8"/>
        <w:spacing w:after="0" w:line="283" w:lineRule="auto"/>
        <w:tabs>
          <w:tab w:leader="none" w:pos="170" w:val="left"/>
        </w:tabs>
        <w:numPr>
          <w:ilvl w:val="0"/>
          <w:numId w:val="9"/>
        </w:numPr>
        <w:rPr>
          <w:rFonts w:ascii="Arial" w:cs="Arial" w:eastAsia="Arial" w:hAnsi="Arial"/>
          <w:sz w:val="19"/>
          <w:szCs w:val="19"/>
          <w:color w:val="auto"/>
          <w:vertAlign w:val="superscript"/>
        </w:rPr>
      </w:pPr>
      <w:r>
        <w:rPr>
          <w:rFonts w:ascii="Arial" w:cs="Arial" w:eastAsia="Arial" w:hAnsi="Arial"/>
          <w:sz w:val="15"/>
          <w:szCs w:val="15"/>
          <w:color w:val="auto"/>
        </w:rPr>
        <w:t>On December 20, 2021, TimkenSteel announced that its Board of Directors authorized a share repurchase program under which the Company may repurchase up to $50.0 million of its outstanding common shares. All of the shares purchased during the three months ended March 31, 2022 were purchased as of part of this share repurchase program. The share repurchase program does not require the Company to acquire any dollar amount or number of shares and does not have an expiration date.</w:t>
      </w:r>
    </w:p>
    <w:p>
      <w:pPr>
        <w:spacing w:after="0" w:line="144" w:lineRule="exact"/>
        <w:rPr>
          <w:rFonts w:ascii="Arial" w:cs="Arial" w:eastAsia="Arial" w:hAnsi="Arial"/>
          <w:sz w:val="19"/>
          <w:szCs w:val="19"/>
          <w:color w:val="auto"/>
          <w:vertAlign w:val="superscript"/>
        </w:rPr>
      </w:pPr>
    </w:p>
    <w:p>
      <w:pPr>
        <w:ind w:right="400" w:firstLine="8"/>
        <w:spacing w:after="0" w:line="254" w:lineRule="auto"/>
        <w:tabs>
          <w:tab w:leader="none" w:pos="185" w:val="left"/>
        </w:tabs>
        <w:numPr>
          <w:ilvl w:val="0"/>
          <w:numId w:val="9"/>
        </w:numPr>
        <w:rPr>
          <w:rFonts w:ascii="Arial" w:cs="Arial" w:eastAsia="Arial" w:hAnsi="Arial"/>
          <w:sz w:val="21"/>
          <w:szCs w:val="21"/>
          <w:color w:val="auto"/>
          <w:vertAlign w:val="superscript"/>
        </w:rPr>
      </w:pPr>
      <w:r>
        <w:rPr>
          <w:rFonts w:ascii="Arial" w:cs="Arial" w:eastAsia="Arial" w:hAnsi="Arial"/>
          <w:sz w:val="16"/>
          <w:szCs w:val="16"/>
          <w:color w:val="auto"/>
        </w:rPr>
        <w:t>The Company may utilize various methods to repurchase shares, which could include open market repurchases, including repurchases through Rule 10b5-1 plans, privately-negotiated transactions or by other means. The actual timing, number and value of shares repurchased under the program will depend on a number of factors, including the price of the Company's shares, general market and economic conditions, capital needs and other factors.</w:t>
      </w:r>
    </w:p>
    <w:p>
      <w:pPr>
        <w:spacing w:after="0" w:line="119" w:lineRule="exact"/>
        <w:rPr>
          <w:rFonts w:ascii="Arial" w:cs="Arial" w:eastAsia="Arial" w:hAnsi="Arial"/>
          <w:sz w:val="21"/>
          <w:szCs w:val="21"/>
          <w:color w:val="auto"/>
          <w:vertAlign w:val="superscript"/>
        </w:rPr>
      </w:pPr>
    </w:p>
    <w:p>
      <w:pPr>
        <w:ind w:left="200" w:hanging="192"/>
        <w:spacing w:after="0"/>
        <w:tabs>
          <w:tab w:leader="none" w:pos="200" w:val="left"/>
        </w:tabs>
        <w:numPr>
          <w:ilvl w:val="0"/>
          <w:numId w:val="9"/>
        </w:numPr>
        <w:rPr>
          <w:rFonts w:ascii="Arial" w:cs="Arial" w:eastAsia="Arial" w:hAnsi="Arial"/>
          <w:sz w:val="23"/>
          <w:szCs w:val="23"/>
          <w:color w:val="auto"/>
          <w:vertAlign w:val="superscript"/>
        </w:rPr>
      </w:pPr>
      <w:r>
        <w:rPr>
          <w:rFonts w:ascii="Arial" w:cs="Arial" w:eastAsia="Arial" w:hAnsi="Arial"/>
          <w:sz w:val="17"/>
          <w:szCs w:val="17"/>
          <w:color w:val="auto"/>
        </w:rPr>
        <w:t>The average price paid per share excludes any broker commissions.</w:t>
      </w: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326390</wp:posOffset>
            </wp:positionV>
            <wp:extent cx="7157720" cy="425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9" w:name="page30"/>
    <w:bookmarkEnd w:id="2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810895" cy="8255"/>
                    </a:xfrm>
                    <a:prstGeom prst="rect">
                      <a:avLst/>
                    </a:prstGeom>
                    <a:noFill/>
                  </pic:spPr>
                </pic:pic>
              </a:graphicData>
            </a:graphic>
          </wp:anchor>
        </w:drawing>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020" w:type="dxa"/>
            <w:vAlign w:val="bottom"/>
          </w:tcPr>
          <w:p>
            <w:pPr>
              <w:jc w:val="center"/>
              <w:spacing w:after="0"/>
              <w:rPr>
                <w:sz w:val="20"/>
                <w:szCs w:val="20"/>
                <w:color w:val="auto"/>
              </w:rPr>
            </w:pPr>
            <w:r>
              <w:rPr>
                <w:rFonts w:ascii="Arial" w:cs="Arial" w:eastAsia="Arial" w:hAnsi="Arial"/>
                <w:sz w:val="18"/>
                <w:szCs w:val="18"/>
                <w:b w:val="1"/>
                <w:bCs w:val="1"/>
                <w:color w:val="auto"/>
                <w:w w:val="96"/>
              </w:rPr>
              <w:t>Exhibit</w:t>
            </w:r>
          </w:p>
        </w:tc>
        <w:tc>
          <w:tcPr>
            <w:tcW w:w="140" w:type="dxa"/>
            <w:vAlign w:val="bottom"/>
          </w:tcPr>
          <w:p>
            <w:pPr>
              <w:spacing w:after="0"/>
              <w:rPr>
                <w:sz w:val="17"/>
                <w:szCs w:val="17"/>
                <w:color w:val="auto"/>
              </w:rPr>
            </w:pPr>
          </w:p>
        </w:tc>
        <w:tc>
          <w:tcPr>
            <w:tcW w:w="10080" w:type="dxa"/>
            <w:vAlign w:val="bottom"/>
            <w:gridSpan w:val="9"/>
            <w:vMerge w:val="restart"/>
          </w:tcPr>
          <w:p>
            <w:pPr>
              <w:spacing w:after="0"/>
              <w:rPr>
                <w:sz w:val="20"/>
                <w:szCs w:val="20"/>
                <w:color w:val="auto"/>
              </w:rPr>
            </w:pPr>
            <w:r>
              <w:rPr>
                <w:rFonts w:ascii="Arial" w:cs="Arial" w:eastAsia="Arial" w:hAnsi="Arial"/>
                <w:sz w:val="18"/>
                <w:szCs w:val="18"/>
                <w:b w:val="1"/>
                <w:bCs w:val="1"/>
                <w:color w:val="auto"/>
              </w:rPr>
              <w:t>Exhibit Description</w:t>
            </w:r>
          </w:p>
        </w:tc>
        <w:tc>
          <w:tcPr>
            <w:tcW w:w="0" w:type="dxa"/>
            <w:vAlign w:val="bottom"/>
          </w:tcPr>
          <w:p>
            <w:pPr>
              <w:spacing w:after="0"/>
              <w:rPr>
                <w:sz w:val="1"/>
                <w:szCs w:val="1"/>
                <w:color w:val="auto"/>
              </w:rPr>
            </w:pPr>
          </w:p>
        </w:tc>
      </w:tr>
      <w:tr>
        <w:trPr>
          <w:trHeight w:val="216"/>
        </w:trPr>
        <w:tc>
          <w:tcPr>
            <w:tcW w:w="1020" w:type="dxa"/>
            <w:vAlign w:val="bottom"/>
            <w:tcBorders>
              <w:bottom w:val="single" w:sz="8" w:color="auto"/>
            </w:tcBorders>
          </w:tcPr>
          <w:p>
            <w:pPr>
              <w:ind w:left="200"/>
              <w:spacing w:after="0"/>
              <w:rPr>
                <w:sz w:val="20"/>
                <w:szCs w:val="20"/>
                <w:color w:val="auto"/>
              </w:rPr>
            </w:pPr>
            <w:r>
              <w:rPr>
                <w:rFonts w:ascii="Arial" w:cs="Arial" w:eastAsia="Arial" w:hAnsi="Arial"/>
                <w:sz w:val="18"/>
                <w:szCs w:val="18"/>
                <w:b w:val="1"/>
                <w:bCs w:val="1"/>
                <w:color w:val="auto"/>
              </w:rPr>
              <w:t>Number</w:t>
            </w:r>
          </w:p>
        </w:tc>
        <w:tc>
          <w:tcPr>
            <w:tcW w:w="140" w:type="dxa"/>
            <w:vAlign w:val="bottom"/>
          </w:tcPr>
          <w:p>
            <w:pPr>
              <w:spacing w:after="0"/>
              <w:rPr>
                <w:sz w:val="18"/>
                <w:szCs w:val="18"/>
                <w:color w:val="auto"/>
              </w:rPr>
            </w:pPr>
          </w:p>
        </w:tc>
        <w:tc>
          <w:tcPr>
            <w:tcW w:w="10080" w:type="dxa"/>
            <w:vAlign w:val="bottom"/>
            <w:tcBorders>
              <w:bottom w:val="single" w:sz="8" w:color="auto"/>
            </w:tcBorders>
            <w:gridSpan w:val="9"/>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04"/>
        </w:trPr>
        <w:tc>
          <w:tcPr>
            <w:tcW w:w="1020" w:type="dxa"/>
            <w:vAlign w:val="bottom"/>
          </w:tcPr>
          <w:p>
            <w:pPr>
              <w:jc w:val="center"/>
              <w:spacing w:after="0"/>
              <w:rPr>
                <w:sz w:val="20"/>
                <w:szCs w:val="20"/>
                <w:color w:val="auto"/>
              </w:rPr>
            </w:pPr>
            <w:r>
              <w:rPr>
                <w:rFonts w:ascii="Arial" w:cs="Arial" w:eastAsia="Arial" w:hAnsi="Arial"/>
                <w:sz w:val="18"/>
                <w:szCs w:val="18"/>
                <w:color w:val="auto"/>
                <w:w w:val="95"/>
              </w:rPr>
              <w:t>10.1*</w:t>
            </w:r>
          </w:p>
        </w:tc>
        <w:tc>
          <w:tcPr>
            <w:tcW w:w="140" w:type="dxa"/>
            <w:vAlign w:val="bottom"/>
          </w:tcPr>
          <w:p>
            <w:pPr>
              <w:spacing w:after="0"/>
              <w:rPr>
                <w:sz w:val="24"/>
                <w:szCs w:val="24"/>
                <w:color w:val="auto"/>
              </w:rPr>
            </w:pPr>
          </w:p>
        </w:tc>
        <w:tc>
          <w:tcPr>
            <w:tcW w:w="10080" w:type="dxa"/>
            <w:vAlign w:val="bottom"/>
            <w:gridSpan w:val="9"/>
          </w:tcPr>
          <w:p>
            <w:pPr>
              <w:spacing w:after="0"/>
              <w:rPr>
                <w:rFonts w:ascii="Arial" w:cs="Arial" w:eastAsia="Arial" w:hAnsi="Arial"/>
                <w:sz w:val="18"/>
                <w:szCs w:val="18"/>
                <w:color w:val="0000FF"/>
              </w:rPr>
            </w:pPr>
            <w:hyperlink w:anchor="page32">
              <w:r>
                <w:rPr>
                  <w:rFonts w:ascii="Arial" w:cs="Arial" w:eastAsia="Arial" w:hAnsi="Arial"/>
                  <w:sz w:val="18"/>
                  <w:szCs w:val="18"/>
                  <w:color w:val="0000FF"/>
                </w:rPr>
                <w:t>Form of Performance-Based Restricted Share Unit Agreement</w:t>
              </w:r>
            </w:hyperlink>
          </w:p>
        </w:tc>
        <w:tc>
          <w:tcPr>
            <w:tcW w:w="0" w:type="dxa"/>
            <w:vAlign w:val="bottom"/>
          </w:tcPr>
          <w:p>
            <w:pPr>
              <w:spacing w:after="0"/>
              <w:rPr>
                <w:sz w:val="1"/>
                <w:szCs w:val="1"/>
                <w:color w:val="auto"/>
              </w:rPr>
            </w:pPr>
          </w:p>
        </w:tc>
      </w:tr>
      <w:tr>
        <w:trPr>
          <w:trHeight w:val="20"/>
        </w:trPr>
        <w:tc>
          <w:tcPr>
            <w:tcW w:w="1020" w:type="dxa"/>
            <w:vAlign w:val="bottom"/>
          </w:tcPr>
          <w:p>
            <w:pPr>
              <w:spacing w:after="0" w:line="20" w:lineRule="exact"/>
              <w:rPr>
                <w:sz w:val="1"/>
                <w:szCs w:val="1"/>
                <w:color w:val="auto"/>
              </w:rPr>
            </w:pPr>
          </w:p>
        </w:tc>
        <w:tc>
          <w:tcPr>
            <w:tcW w:w="140" w:type="dxa"/>
            <w:vAlign w:val="bottom"/>
            <w:tcBorders>
              <w:right w:val="single" w:sz="8" w:color="0000EE"/>
            </w:tcBorders>
          </w:tcPr>
          <w:p>
            <w:pPr>
              <w:spacing w:after="0" w:line="20" w:lineRule="exact"/>
              <w:rPr>
                <w:sz w:val="1"/>
                <w:szCs w:val="1"/>
                <w:color w:val="auto"/>
              </w:rPr>
            </w:pPr>
          </w:p>
        </w:tc>
        <w:tc>
          <w:tcPr>
            <w:tcW w:w="21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380" w:type="dxa"/>
            <w:vAlign w:val="bottom"/>
            <w:tcBorders>
              <w:right w:val="single" w:sz="8" w:color="0000EE"/>
            </w:tcBorders>
            <w:shd w:val="clear" w:color="auto" w:fill="0000FF"/>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5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020" w:type="dxa"/>
            <w:vAlign w:val="bottom"/>
          </w:tcPr>
          <w:p>
            <w:pPr>
              <w:jc w:val="center"/>
              <w:spacing w:after="0"/>
              <w:rPr>
                <w:sz w:val="20"/>
                <w:szCs w:val="20"/>
                <w:color w:val="auto"/>
              </w:rPr>
            </w:pPr>
            <w:r>
              <w:rPr>
                <w:rFonts w:ascii="Arial" w:cs="Arial" w:eastAsia="Arial" w:hAnsi="Arial"/>
                <w:sz w:val="18"/>
                <w:szCs w:val="18"/>
                <w:color w:val="auto"/>
                <w:w w:val="95"/>
              </w:rPr>
              <w:t>10.2*</w:t>
            </w:r>
          </w:p>
        </w:tc>
        <w:tc>
          <w:tcPr>
            <w:tcW w:w="140" w:type="dxa"/>
            <w:vAlign w:val="bottom"/>
          </w:tcPr>
          <w:p>
            <w:pPr>
              <w:spacing w:after="0"/>
              <w:rPr>
                <w:sz w:val="24"/>
                <w:szCs w:val="24"/>
                <w:color w:val="auto"/>
              </w:rPr>
            </w:pPr>
          </w:p>
        </w:tc>
        <w:tc>
          <w:tcPr>
            <w:tcW w:w="5960" w:type="dxa"/>
            <w:vAlign w:val="bottom"/>
            <w:tcBorders>
              <w:bottom w:val="single" w:sz="8" w:color="0000FF"/>
            </w:tcBorders>
            <w:gridSpan w:val="4"/>
          </w:tcPr>
          <w:p>
            <w:pPr>
              <w:spacing w:after="0"/>
              <w:rPr>
                <w:rFonts w:ascii="Arial" w:cs="Arial" w:eastAsia="Arial" w:hAnsi="Arial"/>
                <w:sz w:val="18"/>
                <w:szCs w:val="18"/>
                <w:color w:val="0000FF"/>
                <w:w w:val="90"/>
              </w:rPr>
            </w:pPr>
            <w:hyperlink w:anchor="page46">
              <w:r>
                <w:rPr>
                  <w:rFonts w:ascii="Arial" w:cs="Arial" w:eastAsia="Arial" w:hAnsi="Arial"/>
                  <w:sz w:val="18"/>
                  <w:szCs w:val="18"/>
                  <w:color w:val="0000FF"/>
                  <w:w w:val="90"/>
                </w:rPr>
                <w:t>TimkenSteel Corporation Amended and Restated Annual Performance Award Plan</w:t>
              </w:r>
            </w:hyperlink>
          </w:p>
        </w:tc>
        <w:tc>
          <w:tcPr>
            <w:tcW w:w="20" w:type="dxa"/>
            <w:vAlign w:val="bottom"/>
            <w:tcBorders>
              <w:bottom w:val="single" w:sz="8" w:color="0000EE"/>
            </w:tcBorders>
          </w:tcPr>
          <w:p>
            <w:pPr>
              <w:spacing w:after="0"/>
              <w:rPr>
                <w:sz w:val="24"/>
                <w:szCs w:val="24"/>
                <w:color w:val="auto"/>
              </w:rPr>
            </w:pPr>
          </w:p>
        </w:tc>
        <w:tc>
          <w:tcPr>
            <w:tcW w:w="4100" w:type="dxa"/>
            <w:vAlign w:val="bottom"/>
            <w:gridSpan w:val="4"/>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1020" w:type="dxa"/>
            <w:vAlign w:val="bottom"/>
          </w:tcPr>
          <w:p>
            <w:pPr>
              <w:jc w:val="center"/>
              <w:spacing w:after="0"/>
              <w:rPr>
                <w:sz w:val="20"/>
                <w:szCs w:val="20"/>
                <w:color w:val="auto"/>
              </w:rPr>
            </w:pPr>
            <w:r>
              <w:rPr>
                <w:rFonts w:ascii="Arial" w:cs="Arial" w:eastAsia="Arial" w:hAnsi="Arial"/>
                <w:sz w:val="18"/>
                <w:szCs w:val="18"/>
                <w:color w:val="auto"/>
                <w:w w:val="95"/>
              </w:rPr>
              <w:t>31.1*</w:t>
            </w:r>
          </w:p>
        </w:tc>
        <w:tc>
          <w:tcPr>
            <w:tcW w:w="140" w:type="dxa"/>
            <w:vAlign w:val="bottom"/>
          </w:tcPr>
          <w:p>
            <w:pPr>
              <w:spacing w:after="0"/>
              <w:rPr>
                <w:sz w:val="24"/>
                <w:szCs w:val="24"/>
                <w:color w:val="auto"/>
              </w:rPr>
            </w:pPr>
          </w:p>
        </w:tc>
        <w:tc>
          <w:tcPr>
            <w:tcW w:w="10080" w:type="dxa"/>
            <w:vAlign w:val="bottom"/>
            <w:gridSpan w:val="9"/>
          </w:tcPr>
          <w:p>
            <w:pPr>
              <w:spacing w:after="0"/>
              <w:rPr>
                <w:rFonts w:ascii="Arial" w:cs="Arial" w:eastAsia="Arial" w:hAnsi="Arial"/>
                <w:sz w:val="18"/>
                <w:szCs w:val="18"/>
                <w:color w:val="0000FF"/>
                <w:w w:val="96"/>
              </w:rPr>
            </w:pPr>
            <w:hyperlink w:anchor="page50">
              <w:r>
                <w:rPr>
                  <w:rFonts w:ascii="Arial" w:cs="Arial" w:eastAsia="Arial" w:hAnsi="Arial"/>
                  <w:sz w:val="18"/>
                  <w:szCs w:val="18"/>
                  <w:color w:val="0000FF"/>
                  <w:w w:val="96"/>
                </w:rPr>
                <w:t>Certification of the Chief Executive Officer pursuant to Rule 13a-14 of the Exchange Act, as adopted, pursuant to Section 302 of the</w:t>
              </w:r>
            </w:hyperlink>
          </w:p>
        </w:tc>
        <w:tc>
          <w:tcPr>
            <w:tcW w:w="0" w:type="dxa"/>
            <w:vAlign w:val="bottom"/>
          </w:tcPr>
          <w:p>
            <w:pPr>
              <w:spacing w:after="0"/>
              <w:rPr>
                <w:sz w:val="1"/>
                <w:szCs w:val="1"/>
                <w:color w:val="auto"/>
              </w:rPr>
            </w:pPr>
          </w:p>
        </w:tc>
      </w:tr>
      <w:tr>
        <w:trPr>
          <w:trHeight w:val="156"/>
        </w:trPr>
        <w:tc>
          <w:tcPr>
            <w:tcW w:w="10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100" w:type="dxa"/>
            <w:vAlign w:val="bottom"/>
            <w:tcBorders>
              <w:top w:val="single" w:sz="8" w:color="0000FF"/>
              <w:bottom w:val="single" w:sz="8" w:color="0000FF"/>
            </w:tcBorders>
          </w:tcPr>
          <w:p>
            <w:pPr>
              <w:spacing w:after="0" w:line="156" w:lineRule="exact"/>
              <w:rPr>
                <w:rFonts w:ascii="Arial" w:cs="Arial" w:eastAsia="Arial" w:hAnsi="Arial"/>
                <w:sz w:val="18"/>
                <w:szCs w:val="18"/>
                <w:color w:val="0000FF"/>
                <w:w w:val="90"/>
              </w:rPr>
            </w:pPr>
            <w:hyperlink w:anchor="page50">
              <w:r>
                <w:rPr>
                  <w:rFonts w:ascii="Arial" w:cs="Arial" w:eastAsia="Arial" w:hAnsi="Arial"/>
                  <w:sz w:val="18"/>
                  <w:szCs w:val="18"/>
                  <w:color w:val="0000FF"/>
                  <w:w w:val="90"/>
                </w:rPr>
                <w:t>Sarbanes-Oxley Act of 2002.</w:t>
              </w:r>
            </w:hyperlink>
          </w:p>
        </w:tc>
        <w:tc>
          <w:tcPr>
            <w:tcW w:w="20" w:type="dxa"/>
            <w:vAlign w:val="bottom"/>
            <w:tcBorders>
              <w:top w:val="single" w:sz="8" w:color="0000FF"/>
              <w:bottom w:val="single" w:sz="8" w:color="0000EE"/>
            </w:tcBorders>
          </w:tcPr>
          <w:p>
            <w:pPr>
              <w:spacing w:after="0"/>
              <w:rPr>
                <w:sz w:val="13"/>
                <w:szCs w:val="13"/>
                <w:color w:val="auto"/>
              </w:rPr>
            </w:pPr>
          </w:p>
        </w:tc>
        <w:tc>
          <w:tcPr>
            <w:tcW w:w="7460" w:type="dxa"/>
            <w:vAlign w:val="bottom"/>
            <w:tcBorders>
              <w:top w:val="single" w:sz="8" w:color="0000FF"/>
            </w:tcBorders>
            <w:gridSpan w:val="5"/>
          </w:tcPr>
          <w:p>
            <w:pPr>
              <w:spacing w:after="0"/>
              <w:rPr>
                <w:sz w:val="13"/>
                <w:szCs w:val="13"/>
                <w:color w:val="auto"/>
              </w:rPr>
            </w:pPr>
          </w:p>
        </w:tc>
        <w:tc>
          <w:tcPr>
            <w:tcW w:w="4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18"/>
        </w:trPr>
        <w:tc>
          <w:tcPr>
            <w:tcW w:w="1020" w:type="dxa"/>
            <w:vAlign w:val="bottom"/>
          </w:tcPr>
          <w:p>
            <w:pPr>
              <w:jc w:val="center"/>
              <w:spacing w:after="0"/>
              <w:rPr>
                <w:sz w:val="20"/>
                <w:szCs w:val="20"/>
                <w:color w:val="auto"/>
              </w:rPr>
            </w:pPr>
            <w:r>
              <w:rPr>
                <w:rFonts w:ascii="Arial" w:cs="Arial" w:eastAsia="Arial" w:hAnsi="Arial"/>
                <w:sz w:val="18"/>
                <w:szCs w:val="18"/>
                <w:color w:val="auto"/>
                <w:w w:val="95"/>
              </w:rPr>
              <w:t>31.2*</w:t>
            </w:r>
          </w:p>
        </w:tc>
        <w:tc>
          <w:tcPr>
            <w:tcW w:w="140" w:type="dxa"/>
            <w:vAlign w:val="bottom"/>
          </w:tcPr>
          <w:p>
            <w:pPr>
              <w:spacing w:after="0"/>
              <w:rPr>
                <w:sz w:val="24"/>
                <w:szCs w:val="24"/>
                <w:color w:val="auto"/>
              </w:rPr>
            </w:pPr>
          </w:p>
        </w:tc>
        <w:tc>
          <w:tcPr>
            <w:tcW w:w="10080" w:type="dxa"/>
            <w:vAlign w:val="bottom"/>
            <w:gridSpan w:val="9"/>
          </w:tcPr>
          <w:p>
            <w:pPr>
              <w:spacing w:after="0"/>
              <w:rPr>
                <w:rFonts w:ascii="Arial" w:cs="Arial" w:eastAsia="Arial" w:hAnsi="Arial"/>
                <w:sz w:val="18"/>
                <w:szCs w:val="18"/>
                <w:color w:val="0000FF"/>
                <w:w w:val="96"/>
              </w:rPr>
            </w:pPr>
            <w:hyperlink w:anchor="page51">
              <w:r>
                <w:rPr>
                  <w:rFonts w:ascii="Arial" w:cs="Arial" w:eastAsia="Arial" w:hAnsi="Arial"/>
                  <w:sz w:val="18"/>
                  <w:szCs w:val="18"/>
                  <w:color w:val="0000FF"/>
                  <w:w w:val="96"/>
                </w:rPr>
                <w:t>Certification of the Chief Financial Officer pursuant to Rule 13a-14 of the Exchange Act, as adopted, pursuant to Section 302 of the</w:t>
              </w:r>
            </w:hyperlink>
          </w:p>
        </w:tc>
        <w:tc>
          <w:tcPr>
            <w:tcW w:w="0" w:type="dxa"/>
            <w:vAlign w:val="bottom"/>
          </w:tcPr>
          <w:p>
            <w:pPr>
              <w:spacing w:after="0"/>
              <w:rPr>
                <w:sz w:val="1"/>
                <w:szCs w:val="1"/>
                <w:color w:val="auto"/>
              </w:rPr>
            </w:pPr>
          </w:p>
        </w:tc>
      </w:tr>
      <w:tr>
        <w:trPr>
          <w:trHeight w:val="155"/>
        </w:trPr>
        <w:tc>
          <w:tcPr>
            <w:tcW w:w="10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100" w:type="dxa"/>
            <w:vAlign w:val="bottom"/>
            <w:tcBorders>
              <w:top w:val="single" w:sz="8" w:color="0000FF"/>
              <w:bottom w:val="single" w:sz="8" w:color="0000FF"/>
            </w:tcBorders>
          </w:tcPr>
          <w:p>
            <w:pPr>
              <w:spacing w:after="0" w:line="156" w:lineRule="exact"/>
              <w:rPr>
                <w:rFonts w:ascii="Arial" w:cs="Arial" w:eastAsia="Arial" w:hAnsi="Arial"/>
                <w:sz w:val="18"/>
                <w:szCs w:val="18"/>
                <w:color w:val="0000FF"/>
                <w:w w:val="90"/>
              </w:rPr>
            </w:pPr>
            <w:hyperlink w:anchor="page51">
              <w:r>
                <w:rPr>
                  <w:rFonts w:ascii="Arial" w:cs="Arial" w:eastAsia="Arial" w:hAnsi="Arial"/>
                  <w:sz w:val="18"/>
                  <w:szCs w:val="18"/>
                  <w:color w:val="0000FF"/>
                  <w:w w:val="90"/>
                </w:rPr>
                <w:t>Sarbanes-Oxley Act of 2002.</w:t>
              </w:r>
            </w:hyperlink>
          </w:p>
        </w:tc>
        <w:tc>
          <w:tcPr>
            <w:tcW w:w="20" w:type="dxa"/>
            <w:vAlign w:val="bottom"/>
            <w:tcBorders>
              <w:top w:val="single" w:sz="8" w:color="0000FF"/>
              <w:bottom w:val="single" w:sz="8" w:color="0000EE"/>
            </w:tcBorders>
          </w:tcPr>
          <w:p>
            <w:pPr>
              <w:spacing w:after="0"/>
              <w:rPr>
                <w:sz w:val="13"/>
                <w:szCs w:val="13"/>
                <w:color w:val="auto"/>
              </w:rPr>
            </w:pPr>
          </w:p>
        </w:tc>
        <w:tc>
          <w:tcPr>
            <w:tcW w:w="7420" w:type="dxa"/>
            <w:vAlign w:val="bottom"/>
            <w:tcBorders>
              <w:top w:val="single" w:sz="8" w:color="0000FF"/>
            </w:tcBorders>
            <w:gridSpan w:val="4"/>
          </w:tcPr>
          <w:p>
            <w:pPr>
              <w:spacing w:after="0"/>
              <w:rPr>
                <w:sz w:val="13"/>
                <w:szCs w:val="13"/>
                <w:color w:val="auto"/>
              </w:rPr>
            </w:pPr>
          </w:p>
        </w:tc>
        <w:tc>
          <w:tcPr>
            <w:tcW w:w="520" w:type="dxa"/>
            <w:vAlign w:val="bottom"/>
            <w:gridSpan w:val="2"/>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18"/>
        </w:trPr>
        <w:tc>
          <w:tcPr>
            <w:tcW w:w="1020" w:type="dxa"/>
            <w:vAlign w:val="bottom"/>
          </w:tcPr>
          <w:p>
            <w:pPr>
              <w:jc w:val="center"/>
              <w:spacing w:after="0"/>
              <w:rPr>
                <w:sz w:val="20"/>
                <w:szCs w:val="20"/>
                <w:color w:val="auto"/>
              </w:rPr>
            </w:pPr>
            <w:r>
              <w:rPr>
                <w:rFonts w:ascii="Arial" w:cs="Arial" w:eastAsia="Arial" w:hAnsi="Arial"/>
                <w:sz w:val="18"/>
                <w:szCs w:val="18"/>
                <w:color w:val="auto"/>
              </w:rPr>
              <w:t>32.1**</w:t>
            </w:r>
          </w:p>
        </w:tc>
        <w:tc>
          <w:tcPr>
            <w:tcW w:w="140" w:type="dxa"/>
            <w:vAlign w:val="bottom"/>
          </w:tcPr>
          <w:p>
            <w:pPr>
              <w:spacing w:after="0"/>
              <w:rPr>
                <w:sz w:val="24"/>
                <w:szCs w:val="24"/>
                <w:color w:val="auto"/>
              </w:rPr>
            </w:pPr>
          </w:p>
        </w:tc>
        <w:tc>
          <w:tcPr>
            <w:tcW w:w="10080" w:type="dxa"/>
            <w:vAlign w:val="bottom"/>
            <w:gridSpan w:val="9"/>
          </w:tcPr>
          <w:p>
            <w:pPr>
              <w:spacing w:after="0"/>
              <w:rPr>
                <w:rFonts w:ascii="Arial" w:cs="Arial" w:eastAsia="Arial" w:hAnsi="Arial"/>
                <w:sz w:val="18"/>
                <w:szCs w:val="18"/>
                <w:color w:val="0000FF"/>
                <w:w w:val="91"/>
              </w:rPr>
            </w:pPr>
            <w:hyperlink w:anchor="page52">
              <w:r>
                <w:rPr>
                  <w:rFonts w:ascii="Arial" w:cs="Arial" w:eastAsia="Arial" w:hAnsi="Arial"/>
                  <w:sz w:val="18"/>
                  <w:szCs w:val="18"/>
                  <w:color w:val="0000FF"/>
                  <w:w w:val="91"/>
                </w:rPr>
                <w:t>Certifications of Chief Executive Officer and Chief Financial Officer pursuant to 18 U.S.C. 1350, as adopted pursuant to Section 906 of the</w:t>
              </w:r>
            </w:hyperlink>
          </w:p>
        </w:tc>
        <w:tc>
          <w:tcPr>
            <w:tcW w:w="0" w:type="dxa"/>
            <w:vAlign w:val="bottom"/>
          </w:tcPr>
          <w:p>
            <w:pPr>
              <w:spacing w:after="0"/>
              <w:rPr>
                <w:sz w:val="1"/>
                <w:szCs w:val="1"/>
                <w:color w:val="auto"/>
              </w:rPr>
            </w:pPr>
          </w:p>
        </w:tc>
      </w:tr>
      <w:tr>
        <w:trPr>
          <w:trHeight w:val="156"/>
        </w:trPr>
        <w:tc>
          <w:tcPr>
            <w:tcW w:w="10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100" w:type="dxa"/>
            <w:vAlign w:val="bottom"/>
            <w:tcBorders>
              <w:top w:val="single" w:sz="8" w:color="0000FF"/>
              <w:bottom w:val="single" w:sz="8" w:color="0000FF"/>
            </w:tcBorders>
          </w:tcPr>
          <w:p>
            <w:pPr>
              <w:spacing w:after="0" w:line="156" w:lineRule="exact"/>
              <w:rPr>
                <w:rFonts w:ascii="Arial" w:cs="Arial" w:eastAsia="Arial" w:hAnsi="Arial"/>
                <w:sz w:val="18"/>
                <w:szCs w:val="18"/>
                <w:color w:val="0000FF"/>
                <w:w w:val="90"/>
              </w:rPr>
            </w:pPr>
            <w:hyperlink w:anchor="page52">
              <w:r>
                <w:rPr>
                  <w:rFonts w:ascii="Arial" w:cs="Arial" w:eastAsia="Arial" w:hAnsi="Arial"/>
                  <w:sz w:val="18"/>
                  <w:szCs w:val="18"/>
                  <w:color w:val="0000FF"/>
                  <w:w w:val="90"/>
                </w:rPr>
                <w:t>Sarbanes-Oxley Act of 2002.</w:t>
              </w:r>
            </w:hyperlink>
          </w:p>
        </w:tc>
        <w:tc>
          <w:tcPr>
            <w:tcW w:w="20" w:type="dxa"/>
            <w:vAlign w:val="bottom"/>
            <w:tcBorders>
              <w:top w:val="single" w:sz="8" w:color="0000FF"/>
              <w:bottom w:val="single" w:sz="8" w:color="0000EE"/>
            </w:tcBorders>
          </w:tcPr>
          <w:p>
            <w:pPr>
              <w:spacing w:after="0"/>
              <w:rPr>
                <w:sz w:val="13"/>
                <w:szCs w:val="13"/>
                <w:color w:val="auto"/>
              </w:rPr>
            </w:pPr>
          </w:p>
        </w:tc>
        <w:tc>
          <w:tcPr>
            <w:tcW w:w="7940" w:type="dxa"/>
            <w:vAlign w:val="bottom"/>
            <w:tcBorders>
              <w:top w:val="single" w:sz="8" w:color="0000FF"/>
            </w:tcBorders>
            <w:gridSpan w:val="6"/>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58"/>
        </w:trPr>
        <w:tc>
          <w:tcPr>
            <w:tcW w:w="1020" w:type="dxa"/>
            <w:vAlign w:val="bottom"/>
          </w:tcPr>
          <w:p>
            <w:pPr>
              <w:ind w:left="220"/>
              <w:spacing w:after="0"/>
              <w:rPr>
                <w:sz w:val="20"/>
                <w:szCs w:val="20"/>
                <w:color w:val="auto"/>
              </w:rPr>
            </w:pPr>
            <w:r>
              <w:rPr>
                <w:rFonts w:ascii="Arial" w:cs="Arial" w:eastAsia="Arial" w:hAnsi="Arial"/>
                <w:sz w:val="18"/>
                <w:szCs w:val="18"/>
                <w:color w:val="auto"/>
              </w:rPr>
              <w:t>101.INS*</w:t>
            </w:r>
          </w:p>
        </w:tc>
        <w:tc>
          <w:tcPr>
            <w:tcW w:w="140" w:type="dxa"/>
            <w:vAlign w:val="bottom"/>
          </w:tcPr>
          <w:p>
            <w:pPr>
              <w:spacing w:after="0"/>
              <w:rPr>
                <w:sz w:val="24"/>
                <w:szCs w:val="24"/>
                <w:color w:val="auto"/>
              </w:rPr>
            </w:pPr>
          </w:p>
        </w:tc>
        <w:tc>
          <w:tcPr>
            <w:tcW w:w="10080" w:type="dxa"/>
            <w:vAlign w:val="bottom"/>
            <w:gridSpan w:val="9"/>
          </w:tcPr>
          <w:p>
            <w:pPr>
              <w:spacing w:after="0"/>
              <w:rPr>
                <w:sz w:val="20"/>
                <w:szCs w:val="20"/>
                <w:color w:val="auto"/>
              </w:rPr>
            </w:pPr>
            <w:r>
              <w:rPr>
                <w:rFonts w:ascii="Arial" w:cs="Arial" w:eastAsia="Arial" w:hAnsi="Arial"/>
                <w:sz w:val="18"/>
                <w:szCs w:val="18"/>
                <w:color w:val="auto"/>
              </w:rPr>
              <w:t>Inline XBRL Instance Document.</w:t>
            </w:r>
          </w:p>
        </w:tc>
        <w:tc>
          <w:tcPr>
            <w:tcW w:w="0" w:type="dxa"/>
            <w:vAlign w:val="bottom"/>
          </w:tcPr>
          <w:p>
            <w:pPr>
              <w:spacing w:after="0"/>
              <w:rPr>
                <w:sz w:val="1"/>
                <w:szCs w:val="1"/>
                <w:color w:val="auto"/>
              </w:rPr>
            </w:pPr>
          </w:p>
        </w:tc>
      </w:tr>
      <w:tr>
        <w:trPr>
          <w:trHeight w:val="338"/>
        </w:trPr>
        <w:tc>
          <w:tcPr>
            <w:tcW w:w="1020" w:type="dxa"/>
            <w:vAlign w:val="bottom"/>
          </w:tcPr>
          <w:p>
            <w:pPr>
              <w:ind w:left="180"/>
              <w:spacing w:after="0"/>
              <w:rPr>
                <w:sz w:val="20"/>
                <w:szCs w:val="20"/>
                <w:color w:val="auto"/>
              </w:rPr>
            </w:pPr>
            <w:r>
              <w:rPr>
                <w:rFonts w:ascii="Arial" w:cs="Arial" w:eastAsia="Arial" w:hAnsi="Arial"/>
                <w:sz w:val="18"/>
                <w:szCs w:val="18"/>
                <w:color w:val="auto"/>
              </w:rPr>
              <w:t>101.SCH*</w:t>
            </w:r>
          </w:p>
        </w:tc>
        <w:tc>
          <w:tcPr>
            <w:tcW w:w="140" w:type="dxa"/>
            <w:vAlign w:val="bottom"/>
          </w:tcPr>
          <w:p>
            <w:pPr>
              <w:spacing w:after="0"/>
              <w:rPr>
                <w:sz w:val="24"/>
                <w:szCs w:val="24"/>
                <w:color w:val="auto"/>
              </w:rPr>
            </w:pPr>
          </w:p>
        </w:tc>
        <w:tc>
          <w:tcPr>
            <w:tcW w:w="10080" w:type="dxa"/>
            <w:vAlign w:val="bottom"/>
            <w:gridSpan w:val="9"/>
          </w:tcPr>
          <w:p>
            <w:pPr>
              <w:spacing w:after="0"/>
              <w:rPr>
                <w:sz w:val="20"/>
                <w:szCs w:val="20"/>
                <w:color w:val="auto"/>
              </w:rPr>
            </w:pPr>
            <w:r>
              <w:rPr>
                <w:rFonts w:ascii="Arial" w:cs="Arial" w:eastAsia="Arial" w:hAnsi="Arial"/>
                <w:sz w:val="18"/>
                <w:szCs w:val="18"/>
                <w:color w:val="auto"/>
              </w:rPr>
              <w:t>Inline XBRL Taxonomy Extension Schema Document.</w:t>
            </w:r>
          </w:p>
        </w:tc>
        <w:tc>
          <w:tcPr>
            <w:tcW w:w="0" w:type="dxa"/>
            <w:vAlign w:val="bottom"/>
          </w:tcPr>
          <w:p>
            <w:pPr>
              <w:spacing w:after="0"/>
              <w:rPr>
                <w:sz w:val="1"/>
                <w:szCs w:val="1"/>
                <w:color w:val="auto"/>
              </w:rPr>
            </w:pPr>
          </w:p>
        </w:tc>
      </w:tr>
      <w:tr>
        <w:trPr>
          <w:trHeight w:val="338"/>
        </w:trPr>
        <w:tc>
          <w:tcPr>
            <w:tcW w:w="1020" w:type="dxa"/>
            <w:vAlign w:val="bottom"/>
          </w:tcPr>
          <w:p>
            <w:pPr>
              <w:ind w:left="200"/>
              <w:spacing w:after="0"/>
              <w:rPr>
                <w:sz w:val="20"/>
                <w:szCs w:val="20"/>
                <w:color w:val="auto"/>
              </w:rPr>
            </w:pPr>
            <w:r>
              <w:rPr>
                <w:rFonts w:ascii="Arial" w:cs="Arial" w:eastAsia="Arial" w:hAnsi="Arial"/>
                <w:sz w:val="18"/>
                <w:szCs w:val="18"/>
                <w:color w:val="auto"/>
              </w:rPr>
              <w:t>101.PRE*</w:t>
            </w:r>
          </w:p>
        </w:tc>
        <w:tc>
          <w:tcPr>
            <w:tcW w:w="140" w:type="dxa"/>
            <w:vAlign w:val="bottom"/>
          </w:tcPr>
          <w:p>
            <w:pPr>
              <w:spacing w:after="0"/>
              <w:rPr>
                <w:sz w:val="24"/>
                <w:szCs w:val="24"/>
                <w:color w:val="auto"/>
              </w:rPr>
            </w:pPr>
          </w:p>
        </w:tc>
        <w:tc>
          <w:tcPr>
            <w:tcW w:w="10080" w:type="dxa"/>
            <w:vAlign w:val="bottom"/>
            <w:gridSpan w:val="9"/>
          </w:tcPr>
          <w:p>
            <w:pPr>
              <w:spacing w:after="0"/>
              <w:rPr>
                <w:sz w:val="20"/>
                <w:szCs w:val="20"/>
                <w:color w:val="auto"/>
              </w:rPr>
            </w:pPr>
            <w:r>
              <w:rPr>
                <w:rFonts w:ascii="Arial" w:cs="Arial" w:eastAsia="Arial" w:hAnsi="Arial"/>
                <w:sz w:val="18"/>
                <w:szCs w:val="18"/>
                <w:color w:val="auto"/>
              </w:rPr>
              <w:t>Inline XBRL Taxonomy Extension Presentation Linkbase Document.</w:t>
            </w:r>
          </w:p>
        </w:tc>
        <w:tc>
          <w:tcPr>
            <w:tcW w:w="0" w:type="dxa"/>
            <w:vAlign w:val="bottom"/>
          </w:tcPr>
          <w:p>
            <w:pPr>
              <w:spacing w:after="0"/>
              <w:rPr>
                <w:sz w:val="1"/>
                <w:szCs w:val="1"/>
                <w:color w:val="auto"/>
              </w:rPr>
            </w:pPr>
          </w:p>
        </w:tc>
      </w:tr>
      <w:tr>
        <w:trPr>
          <w:trHeight w:val="338"/>
        </w:trPr>
        <w:tc>
          <w:tcPr>
            <w:tcW w:w="1020" w:type="dxa"/>
            <w:vAlign w:val="bottom"/>
          </w:tcPr>
          <w:p>
            <w:pPr>
              <w:ind w:left="180"/>
              <w:spacing w:after="0"/>
              <w:rPr>
                <w:sz w:val="20"/>
                <w:szCs w:val="20"/>
                <w:color w:val="auto"/>
              </w:rPr>
            </w:pPr>
            <w:r>
              <w:rPr>
                <w:rFonts w:ascii="Arial" w:cs="Arial" w:eastAsia="Arial" w:hAnsi="Arial"/>
                <w:sz w:val="18"/>
                <w:szCs w:val="18"/>
                <w:color w:val="auto"/>
              </w:rPr>
              <w:t>101.CAL*</w:t>
            </w:r>
          </w:p>
        </w:tc>
        <w:tc>
          <w:tcPr>
            <w:tcW w:w="140" w:type="dxa"/>
            <w:vAlign w:val="bottom"/>
          </w:tcPr>
          <w:p>
            <w:pPr>
              <w:spacing w:after="0"/>
              <w:rPr>
                <w:sz w:val="24"/>
                <w:szCs w:val="24"/>
                <w:color w:val="auto"/>
              </w:rPr>
            </w:pPr>
          </w:p>
        </w:tc>
        <w:tc>
          <w:tcPr>
            <w:tcW w:w="10080" w:type="dxa"/>
            <w:vAlign w:val="bottom"/>
            <w:gridSpan w:val="9"/>
          </w:tcPr>
          <w:p>
            <w:pPr>
              <w:spacing w:after="0"/>
              <w:rPr>
                <w:sz w:val="20"/>
                <w:szCs w:val="20"/>
                <w:color w:val="auto"/>
              </w:rPr>
            </w:pPr>
            <w:r>
              <w:rPr>
                <w:rFonts w:ascii="Arial" w:cs="Arial" w:eastAsia="Arial" w:hAnsi="Arial"/>
                <w:sz w:val="18"/>
                <w:szCs w:val="18"/>
                <w:color w:val="auto"/>
              </w:rPr>
              <w:t>Inline XBRL Taxonomy Extension Calculation Linkbase Document.</w:t>
            </w:r>
          </w:p>
        </w:tc>
        <w:tc>
          <w:tcPr>
            <w:tcW w:w="0" w:type="dxa"/>
            <w:vAlign w:val="bottom"/>
          </w:tcPr>
          <w:p>
            <w:pPr>
              <w:spacing w:after="0"/>
              <w:rPr>
                <w:sz w:val="1"/>
                <w:szCs w:val="1"/>
                <w:color w:val="auto"/>
              </w:rPr>
            </w:pPr>
          </w:p>
        </w:tc>
      </w:tr>
      <w:tr>
        <w:trPr>
          <w:trHeight w:val="338"/>
        </w:trPr>
        <w:tc>
          <w:tcPr>
            <w:tcW w:w="1020" w:type="dxa"/>
            <w:vAlign w:val="bottom"/>
          </w:tcPr>
          <w:p>
            <w:pPr>
              <w:ind w:left="180"/>
              <w:spacing w:after="0"/>
              <w:rPr>
                <w:sz w:val="20"/>
                <w:szCs w:val="20"/>
                <w:color w:val="auto"/>
              </w:rPr>
            </w:pPr>
            <w:r>
              <w:rPr>
                <w:rFonts w:ascii="Arial" w:cs="Arial" w:eastAsia="Arial" w:hAnsi="Arial"/>
                <w:sz w:val="18"/>
                <w:szCs w:val="18"/>
                <w:color w:val="auto"/>
              </w:rPr>
              <w:t>101.LAB*</w:t>
            </w:r>
          </w:p>
        </w:tc>
        <w:tc>
          <w:tcPr>
            <w:tcW w:w="140" w:type="dxa"/>
            <w:vAlign w:val="bottom"/>
          </w:tcPr>
          <w:p>
            <w:pPr>
              <w:spacing w:after="0"/>
              <w:rPr>
                <w:sz w:val="24"/>
                <w:szCs w:val="24"/>
                <w:color w:val="auto"/>
              </w:rPr>
            </w:pPr>
          </w:p>
        </w:tc>
        <w:tc>
          <w:tcPr>
            <w:tcW w:w="10080" w:type="dxa"/>
            <w:vAlign w:val="bottom"/>
            <w:gridSpan w:val="9"/>
          </w:tcPr>
          <w:p>
            <w:pPr>
              <w:spacing w:after="0"/>
              <w:rPr>
                <w:sz w:val="20"/>
                <w:szCs w:val="20"/>
                <w:color w:val="auto"/>
              </w:rPr>
            </w:pPr>
            <w:r>
              <w:rPr>
                <w:rFonts w:ascii="Arial" w:cs="Arial" w:eastAsia="Arial" w:hAnsi="Arial"/>
                <w:sz w:val="18"/>
                <w:szCs w:val="18"/>
                <w:color w:val="auto"/>
              </w:rPr>
              <w:t>Inline XBRL Taxonomy Extension Label Linkbase Document.</w:t>
            </w:r>
          </w:p>
        </w:tc>
        <w:tc>
          <w:tcPr>
            <w:tcW w:w="0" w:type="dxa"/>
            <w:vAlign w:val="bottom"/>
          </w:tcPr>
          <w:p>
            <w:pPr>
              <w:spacing w:after="0"/>
              <w:rPr>
                <w:sz w:val="1"/>
                <w:szCs w:val="1"/>
                <w:color w:val="auto"/>
              </w:rPr>
            </w:pPr>
          </w:p>
        </w:tc>
      </w:tr>
      <w:tr>
        <w:trPr>
          <w:trHeight w:val="338"/>
        </w:trPr>
        <w:tc>
          <w:tcPr>
            <w:tcW w:w="1020" w:type="dxa"/>
            <w:vAlign w:val="bottom"/>
          </w:tcPr>
          <w:p>
            <w:pPr>
              <w:ind w:left="180"/>
              <w:spacing w:after="0"/>
              <w:rPr>
                <w:sz w:val="20"/>
                <w:szCs w:val="20"/>
                <w:color w:val="auto"/>
              </w:rPr>
            </w:pPr>
            <w:r>
              <w:rPr>
                <w:rFonts w:ascii="Arial" w:cs="Arial" w:eastAsia="Arial" w:hAnsi="Arial"/>
                <w:sz w:val="18"/>
                <w:szCs w:val="18"/>
                <w:color w:val="auto"/>
              </w:rPr>
              <w:t>101.DEF*</w:t>
            </w:r>
          </w:p>
        </w:tc>
        <w:tc>
          <w:tcPr>
            <w:tcW w:w="140" w:type="dxa"/>
            <w:vAlign w:val="bottom"/>
          </w:tcPr>
          <w:p>
            <w:pPr>
              <w:spacing w:after="0"/>
              <w:rPr>
                <w:sz w:val="24"/>
                <w:szCs w:val="24"/>
                <w:color w:val="auto"/>
              </w:rPr>
            </w:pPr>
          </w:p>
        </w:tc>
        <w:tc>
          <w:tcPr>
            <w:tcW w:w="10080" w:type="dxa"/>
            <w:vAlign w:val="bottom"/>
            <w:gridSpan w:val="9"/>
          </w:tcPr>
          <w:p>
            <w:pPr>
              <w:spacing w:after="0"/>
              <w:rPr>
                <w:sz w:val="20"/>
                <w:szCs w:val="20"/>
                <w:color w:val="auto"/>
              </w:rPr>
            </w:pPr>
            <w:r>
              <w:rPr>
                <w:rFonts w:ascii="Arial" w:cs="Arial" w:eastAsia="Arial" w:hAnsi="Arial"/>
                <w:sz w:val="18"/>
                <w:szCs w:val="18"/>
                <w:color w:val="auto"/>
              </w:rPr>
              <w:t>Inline XBRL Taxonomy Extension Definition Linkbase Document.</w:t>
            </w:r>
          </w:p>
        </w:tc>
        <w:tc>
          <w:tcPr>
            <w:tcW w:w="0" w:type="dxa"/>
            <w:vAlign w:val="bottom"/>
          </w:tcPr>
          <w:p>
            <w:pPr>
              <w:spacing w:after="0"/>
              <w:rPr>
                <w:sz w:val="1"/>
                <w:szCs w:val="1"/>
                <w:color w:val="auto"/>
              </w:rPr>
            </w:pPr>
          </w:p>
        </w:tc>
      </w:tr>
    </w:tbl>
    <w:p>
      <w:pPr>
        <w:spacing w:after="0" w:line="121" w:lineRule="exact"/>
        <w:rPr>
          <w:sz w:val="20"/>
          <w:szCs w:val="20"/>
          <w:color w:val="auto"/>
        </w:rPr>
      </w:pPr>
    </w:p>
    <w:p>
      <w:pPr>
        <w:ind w:right="3500" w:firstLine="379"/>
        <w:spacing w:after="0" w:line="500" w:lineRule="auto"/>
        <w:tabs>
          <w:tab w:leader="none" w:pos="1147" w:val="left"/>
        </w:tabs>
        <w:numPr>
          <w:ilvl w:val="1"/>
          <w:numId w:val="10"/>
        </w:numPr>
        <w:rPr>
          <w:rFonts w:ascii="Arial" w:cs="Arial" w:eastAsia="Arial" w:hAnsi="Arial"/>
          <w:sz w:val="18"/>
          <w:szCs w:val="18"/>
          <w:color w:val="auto"/>
        </w:rPr>
      </w:pPr>
      <w:r>
        <w:rPr>
          <w:rFonts w:ascii="Arial" w:cs="Arial" w:eastAsia="Arial" w:hAnsi="Arial"/>
          <w:sz w:val="18"/>
          <w:szCs w:val="18"/>
          <w:color w:val="auto"/>
        </w:rPr>
        <w:t>Cover Page Interactive Data File (formatted as Inline XBRL and contained in Exhibit 101). * Filed herewith.</w:t>
      </w:r>
    </w:p>
    <w:p>
      <w:pPr>
        <w:spacing w:after="0" w:line="1" w:lineRule="exact"/>
        <w:rPr>
          <w:rFonts w:ascii="Arial" w:cs="Arial" w:eastAsia="Arial" w:hAnsi="Arial"/>
          <w:sz w:val="18"/>
          <w:szCs w:val="18"/>
          <w:color w:val="auto"/>
        </w:rPr>
      </w:pPr>
    </w:p>
    <w:p>
      <w:pPr>
        <w:ind w:left="240" w:hanging="232"/>
        <w:spacing w:after="0"/>
        <w:tabs>
          <w:tab w:leader="none" w:pos="2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Furnished herewith.</w:t>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326390</wp:posOffset>
            </wp:positionV>
            <wp:extent cx="7157720" cy="425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30" w:name="page31"/>
    <w:bookmarkEnd w:id="3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810895" cy="82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810895" cy="8255"/>
                    </a:xfrm>
                    <a:prstGeom prst="rect">
                      <a:avLst/>
                    </a:prstGeom>
                    <a:noFill/>
                  </pic:spPr>
                </pic:pic>
              </a:graphicData>
            </a:graphic>
          </wp:anchor>
        </w:drawing>
      </w:r>
    </w:p>
    <w:p>
      <w:pPr>
        <w:spacing w:after="0" w:line="188"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216" w:lineRule="exact"/>
        <w:rPr>
          <w:sz w:val="20"/>
          <w:szCs w:val="20"/>
          <w:color w:val="auto"/>
        </w:rPr>
      </w:pPr>
    </w:p>
    <w:p>
      <w:pPr>
        <w:spacing w:after="0" w:line="261"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38"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TIMKENSTEEL CORPORATION</w:t>
      </w:r>
    </w:p>
    <w:p>
      <w:pPr>
        <w:spacing w:after="0" w:line="200" w:lineRule="exact"/>
        <w:rPr>
          <w:sz w:val="20"/>
          <w:szCs w:val="20"/>
          <w:color w:val="auto"/>
        </w:rPr>
      </w:pPr>
    </w:p>
    <w:p>
      <w:pPr>
        <w:spacing w:after="0" w:line="201" w:lineRule="exact"/>
        <w:rPr>
          <w:sz w:val="20"/>
          <w:szCs w:val="20"/>
          <w:color w:val="auto"/>
        </w:rPr>
      </w:pPr>
    </w:p>
    <w:p>
      <w:pPr>
        <w:ind w:left="20"/>
        <w:spacing w:after="0"/>
        <w:tabs>
          <w:tab w:leader="none" w:pos="560" w:val="left"/>
          <w:tab w:leader="none" w:pos="5620" w:val="left"/>
        </w:tabs>
        <w:rPr>
          <w:sz w:val="20"/>
          <w:szCs w:val="20"/>
          <w:color w:val="auto"/>
        </w:rPr>
      </w:pPr>
      <w:r>
        <w:rPr>
          <w:rFonts w:ascii="Arial" w:cs="Arial" w:eastAsia="Arial" w:hAnsi="Arial"/>
          <w:sz w:val="18"/>
          <w:szCs w:val="18"/>
          <w:color w:val="auto"/>
        </w:rPr>
        <w:t>Date:</w:t>
        <w:tab/>
        <w:t>May 4, 2022</w:t>
      </w:r>
      <w:r>
        <w:rPr>
          <w:sz w:val="20"/>
          <w:szCs w:val="20"/>
          <w:color w:val="auto"/>
        </w:rPr>
        <w:tab/>
      </w:r>
      <w:r>
        <w:rPr>
          <w:rFonts w:ascii="Arial" w:cs="Arial" w:eastAsia="Arial" w:hAnsi="Arial"/>
          <w:sz w:val="16"/>
          <w:szCs w:val="16"/>
          <w:color w:val="auto"/>
        </w:rPr>
        <w:t>/s/Kristopher R. Westbrooks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6350</wp:posOffset>
            </wp:positionV>
            <wp:extent cx="356616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3566160" cy="8890"/>
                    </a:xfrm>
                    <a:prstGeom prst="rect">
                      <a:avLst/>
                    </a:prstGeom>
                    <a:noFill/>
                  </pic:spPr>
                </pic:pic>
              </a:graphicData>
            </a:graphic>
          </wp:anchor>
        </w:drawing>
      </w:r>
    </w:p>
    <w:p>
      <w:pPr>
        <w:ind w:left="5640"/>
        <w:spacing w:after="0" w:line="232" w:lineRule="auto"/>
        <w:rPr>
          <w:sz w:val="20"/>
          <w:szCs w:val="20"/>
          <w:color w:val="auto"/>
        </w:rPr>
      </w:pPr>
      <w:r>
        <w:rPr>
          <w:rFonts w:ascii="Arial" w:cs="Arial" w:eastAsia="Arial" w:hAnsi="Arial"/>
          <w:sz w:val="18"/>
          <w:szCs w:val="18"/>
          <w:color w:val="auto"/>
        </w:rPr>
        <w:t>Kristopher R. Westbrooks</w:t>
      </w:r>
    </w:p>
    <w:p>
      <w:pPr>
        <w:ind w:left="5640"/>
        <w:spacing w:after="0" w:line="203" w:lineRule="auto"/>
        <w:rPr>
          <w:sz w:val="20"/>
          <w:szCs w:val="20"/>
          <w:color w:val="auto"/>
        </w:rPr>
      </w:pPr>
      <w:r>
        <w:rPr>
          <w:rFonts w:ascii="Arial" w:cs="Arial" w:eastAsia="Arial" w:hAnsi="Arial"/>
          <w:sz w:val="18"/>
          <w:szCs w:val="18"/>
          <w:color w:val="auto"/>
        </w:rPr>
        <w:t>Executive Vice President and Chief Financial Officer</w:t>
      </w:r>
    </w:p>
    <w:p>
      <w:pPr>
        <w:spacing w:after="0" w:line="1"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(Principal Financial Officer)</w:t>
      </w:r>
    </w:p>
    <w:p>
      <w:pPr>
        <w:spacing w:after="0" w:line="18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336550</wp:posOffset>
            </wp:positionV>
            <wp:extent cx="7157720" cy="425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125" w:right="379" w:bottom="1440" w:gutter="0" w:footer="0" w:header="0"/>
        </w:sectPr>
      </w:pPr>
    </w:p>
    <w:bookmarkStart w:id="31" w:name="page32"/>
    <w:bookmarkEnd w:id="31"/>
    <w:p>
      <w:pPr>
        <w:jc w:val="right"/>
        <w:spacing w:after="0"/>
        <w:rPr>
          <w:sz w:val="20"/>
          <w:szCs w:val="20"/>
          <w:color w:val="auto"/>
        </w:rPr>
      </w:pPr>
      <w:r>
        <w:rPr>
          <w:rFonts w:ascii="Arial" w:cs="Arial" w:eastAsia="Arial" w:hAnsi="Arial"/>
          <w:sz w:val="18"/>
          <w:szCs w:val="18"/>
          <w:b w:val="1"/>
          <w:bCs w:val="1"/>
          <w:color w:val="auto"/>
        </w:rPr>
        <w:t>Exhibit 10.1</w:t>
      </w: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TIMKENSTEEL CORPORATION</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Performance-Based Restricted Share Unit Agreement</w:t>
      </w:r>
    </w:p>
    <w:p>
      <w:pPr>
        <w:spacing w:after="0" w:line="200" w:lineRule="exact"/>
        <w:rPr>
          <w:sz w:val="20"/>
          <w:szCs w:val="20"/>
          <w:color w:val="auto"/>
        </w:rPr>
      </w:pPr>
    </w:p>
    <w:p>
      <w:pPr>
        <w:spacing w:after="0" w:line="286" w:lineRule="exact"/>
        <w:rPr>
          <w:sz w:val="20"/>
          <w:szCs w:val="20"/>
          <w:color w:val="auto"/>
        </w:rPr>
      </w:pPr>
    </w:p>
    <w:p>
      <w:pPr>
        <w:ind w:left="360"/>
        <w:spacing w:after="0"/>
        <w:rPr>
          <w:sz w:val="20"/>
          <w:szCs w:val="20"/>
          <w:color w:val="auto"/>
        </w:rPr>
      </w:pPr>
      <w:r>
        <w:rPr>
          <w:rFonts w:ascii="Arial" w:cs="Arial" w:eastAsia="Arial" w:hAnsi="Arial"/>
          <w:sz w:val="17"/>
          <w:szCs w:val="17"/>
          <w:color w:val="auto"/>
        </w:rPr>
        <w:t>WHEREAS, __________________ (“</w:t>
      </w:r>
      <w:r>
        <w:rPr>
          <w:rFonts w:ascii="Arial" w:cs="Arial" w:eastAsia="Arial" w:hAnsi="Arial"/>
          <w:sz w:val="17"/>
          <w:szCs w:val="17"/>
          <w:b w:val="1"/>
          <w:bCs w:val="1"/>
          <w:i w:val="1"/>
          <w:iCs w:val="1"/>
          <w:color w:val="auto"/>
        </w:rPr>
        <w:t>Grantee</w:t>
      </w:r>
      <w:r>
        <w:rPr>
          <w:rFonts w:ascii="Arial" w:cs="Arial" w:eastAsia="Arial" w:hAnsi="Arial"/>
          <w:sz w:val="17"/>
          <w:szCs w:val="17"/>
          <w:color w:val="auto"/>
        </w:rPr>
        <w:t>”) is an employee of TimkenSteel Corporation (the “</w:t>
      </w:r>
      <w:r>
        <w:rPr>
          <w:rFonts w:ascii="Arial" w:cs="Arial" w:eastAsia="Arial" w:hAnsi="Arial"/>
          <w:sz w:val="17"/>
          <w:szCs w:val="17"/>
          <w:b w:val="1"/>
          <w:bCs w:val="1"/>
          <w:i w:val="1"/>
          <w:iCs w:val="1"/>
          <w:color w:val="auto"/>
        </w:rPr>
        <w:t>Company</w:t>
      </w:r>
      <w:r>
        <w:rPr>
          <w:rFonts w:ascii="Arial" w:cs="Arial" w:eastAsia="Arial" w:hAnsi="Arial"/>
          <w:sz w:val="17"/>
          <w:szCs w:val="17"/>
          <w:color w:val="auto"/>
        </w:rPr>
        <w:t>”) or a Subsidiary thereof; and</w:t>
      </w:r>
    </w:p>
    <w:p>
      <w:pPr>
        <w:spacing w:after="0" w:line="264"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8"/>
          <w:szCs w:val="18"/>
          <w:color w:val="auto"/>
        </w:rPr>
        <w:t>WHEREAS, the grant of performance-based Restricted Share Units evidenced hereby was authorized by a resolution of the Compensation Committee (the “</w:t>
      </w:r>
      <w:r>
        <w:rPr>
          <w:rFonts w:ascii="Arial" w:cs="Arial" w:eastAsia="Arial" w:hAnsi="Arial"/>
          <w:sz w:val="18"/>
          <w:szCs w:val="18"/>
          <w:b w:val="1"/>
          <w:bCs w:val="1"/>
          <w:i w:val="1"/>
          <w:iCs w:val="1"/>
          <w:color w:val="auto"/>
        </w:rPr>
        <w:t>Committee</w:t>
      </w:r>
      <w:r>
        <w:rPr>
          <w:rFonts w:ascii="Arial" w:cs="Arial" w:eastAsia="Arial" w:hAnsi="Arial"/>
          <w:sz w:val="18"/>
          <w:szCs w:val="18"/>
          <w:color w:val="auto"/>
        </w:rPr>
        <w:t>”) of the Board and the execution of a performance-based Restricted Share Unit agreement in the form hereof (this “</w:t>
      </w:r>
      <w:r>
        <w:rPr>
          <w:rFonts w:ascii="Arial" w:cs="Arial" w:eastAsia="Arial" w:hAnsi="Arial"/>
          <w:sz w:val="18"/>
          <w:szCs w:val="18"/>
          <w:b w:val="1"/>
          <w:bCs w:val="1"/>
          <w:i w:val="1"/>
          <w:iCs w:val="1"/>
          <w:color w:val="auto"/>
        </w:rPr>
        <w:t>Agreement</w:t>
      </w:r>
      <w:r>
        <w:rPr>
          <w:rFonts w:ascii="Arial" w:cs="Arial" w:eastAsia="Arial" w:hAnsi="Arial"/>
          <w:sz w:val="18"/>
          <w:szCs w:val="18"/>
          <w:color w:val="auto"/>
        </w:rPr>
        <w:t>”) was authorized by a resolution of the Committee.</w:t>
      </w:r>
    </w:p>
    <w:p>
      <w:pPr>
        <w:spacing w:after="0" w:line="196" w:lineRule="exact"/>
        <w:rPr>
          <w:sz w:val="20"/>
          <w:szCs w:val="20"/>
          <w:color w:val="auto"/>
        </w:rPr>
      </w:pPr>
    </w:p>
    <w:p>
      <w:pPr>
        <w:jc w:val="both"/>
        <w:ind w:firstLine="360"/>
        <w:spacing w:after="0" w:line="299" w:lineRule="auto"/>
        <w:rPr>
          <w:sz w:val="20"/>
          <w:szCs w:val="20"/>
          <w:color w:val="auto"/>
        </w:rPr>
      </w:pPr>
      <w:r>
        <w:rPr>
          <w:rFonts w:ascii="Arial" w:cs="Arial" w:eastAsia="Arial" w:hAnsi="Arial"/>
          <w:sz w:val="16"/>
          <w:szCs w:val="16"/>
          <w:color w:val="auto"/>
        </w:rPr>
        <w:t>NOW, THEREFORE, pursuant to the TimkenSteel Corporation Amended and Restated 2020 Equity and Incentive Compensation Plan (the “</w:t>
      </w:r>
      <w:r>
        <w:rPr>
          <w:rFonts w:ascii="Arial" w:cs="Arial" w:eastAsia="Arial" w:hAnsi="Arial"/>
          <w:sz w:val="16"/>
          <w:szCs w:val="16"/>
          <w:b w:val="1"/>
          <w:bCs w:val="1"/>
          <w:i w:val="1"/>
          <w:iCs w:val="1"/>
          <w:color w:val="auto"/>
        </w:rPr>
        <w:t>Plan</w:t>
      </w:r>
      <w:r>
        <w:rPr>
          <w:rFonts w:ascii="Arial" w:cs="Arial" w:eastAsia="Arial" w:hAnsi="Arial"/>
          <w:sz w:val="16"/>
          <w:szCs w:val="16"/>
          <w:color w:val="auto"/>
        </w:rPr>
        <w:t>”) and subject to the terms and conditions thereof and the terms and conditions hereinafter set forth, the Company hereby confirms to Grantee the grant, effective _____, 2022 (the “</w:t>
      </w:r>
      <w:r>
        <w:rPr>
          <w:rFonts w:ascii="Arial" w:cs="Arial" w:eastAsia="Arial" w:hAnsi="Arial"/>
          <w:sz w:val="16"/>
          <w:szCs w:val="16"/>
          <w:b w:val="1"/>
          <w:bCs w:val="1"/>
          <w:i w:val="1"/>
          <w:iCs w:val="1"/>
          <w:color w:val="auto"/>
        </w:rPr>
        <w:t>Date of Grant</w:t>
      </w:r>
      <w:r>
        <w:rPr>
          <w:rFonts w:ascii="Arial" w:cs="Arial" w:eastAsia="Arial" w:hAnsi="Arial"/>
          <w:sz w:val="16"/>
          <w:szCs w:val="16"/>
          <w:color w:val="auto"/>
        </w:rPr>
        <w:t>”), of _____ performance-based Restricted Share Units (the “</w:t>
      </w:r>
      <w:r>
        <w:rPr>
          <w:rFonts w:ascii="Arial" w:cs="Arial" w:eastAsia="Arial" w:hAnsi="Arial"/>
          <w:sz w:val="16"/>
          <w:szCs w:val="16"/>
          <w:b w:val="1"/>
          <w:bCs w:val="1"/>
          <w:i w:val="1"/>
          <w:iCs w:val="1"/>
          <w:color w:val="auto"/>
        </w:rPr>
        <w:t>PRSUs</w:t>
      </w:r>
      <w:r>
        <w:rPr>
          <w:rFonts w:ascii="Arial" w:cs="Arial" w:eastAsia="Arial" w:hAnsi="Arial"/>
          <w:sz w:val="16"/>
          <w:szCs w:val="16"/>
          <w:color w:val="auto"/>
        </w:rPr>
        <w:t>”). All terms used in this Agreement with</w:t>
      </w:r>
    </w:p>
    <w:p>
      <w:pPr>
        <w:spacing w:after="0" w:line="2" w:lineRule="exact"/>
        <w:rPr>
          <w:sz w:val="20"/>
          <w:szCs w:val="20"/>
          <w:color w:val="auto"/>
        </w:rPr>
      </w:pPr>
    </w:p>
    <w:p>
      <w:pPr>
        <w:jc w:val="both"/>
        <w:spacing w:after="0" w:line="358" w:lineRule="auto"/>
        <w:rPr>
          <w:sz w:val="20"/>
          <w:szCs w:val="20"/>
          <w:color w:val="auto"/>
        </w:rPr>
      </w:pPr>
      <w:r>
        <w:rPr>
          <w:rFonts w:ascii="Arial" w:cs="Arial" w:eastAsia="Arial" w:hAnsi="Arial"/>
          <w:sz w:val="16"/>
          <w:szCs w:val="16"/>
          <w:color w:val="auto"/>
        </w:rPr>
        <w:t xml:space="preserve">initial capital letters that are defined in the Plan and not otherwise defined herein will have the meanings assigned to them in the Plan. Subject to the attainment of the Management Objectives described in </w:t>
      </w:r>
      <w:r>
        <w:rPr>
          <w:rFonts w:ascii="Arial" w:cs="Arial" w:eastAsia="Arial" w:hAnsi="Arial"/>
          <w:sz w:val="16"/>
          <w:szCs w:val="16"/>
          <w:b w:val="1"/>
          <w:bCs w:val="1"/>
          <w:u w:val="single" w:color="auto"/>
          <w:color w:val="auto"/>
        </w:rPr>
        <w:t>Section 3</w:t>
      </w:r>
      <w:r>
        <w:rPr>
          <w:rFonts w:ascii="Arial" w:cs="Arial" w:eastAsia="Arial" w:hAnsi="Arial"/>
          <w:sz w:val="16"/>
          <w:szCs w:val="16"/>
          <w:color w:val="auto"/>
        </w:rPr>
        <w:t xml:space="preserve"> and </w:t>
      </w:r>
      <w:r>
        <w:rPr>
          <w:rFonts w:ascii="Arial" w:cs="Arial" w:eastAsia="Arial" w:hAnsi="Arial"/>
          <w:sz w:val="16"/>
          <w:szCs w:val="16"/>
          <w:b w:val="1"/>
          <w:bCs w:val="1"/>
          <w:u w:val="single" w:color="auto"/>
          <w:color w:val="auto"/>
        </w:rPr>
        <w:t>Exhibit A</w:t>
      </w:r>
      <w:r>
        <w:rPr>
          <w:rFonts w:ascii="Arial" w:cs="Arial" w:eastAsia="Arial" w:hAnsi="Arial"/>
          <w:sz w:val="16"/>
          <w:szCs w:val="16"/>
          <w:color w:val="auto"/>
        </w:rPr>
        <w:t xml:space="preserve"> of this Agreement, Grantee may earn from 0% to 200% of the PRSUs.</w:t>
      </w:r>
    </w:p>
    <w:p>
      <w:pPr>
        <w:spacing w:after="0" w:line="121" w:lineRule="exact"/>
        <w:rPr>
          <w:sz w:val="20"/>
          <w:szCs w:val="20"/>
          <w:color w:val="auto"/>
        </w:rPr>
      </w:pPr>
    </w:p>
    <w:p>
      <w:pPr>
        <w:jc w:val="both"/>
        <w:ind w:left="1500" w:hanging="743"/>
        <w:spacing w:after="0" w:line="250" w:lineRule="auto"/>
        <w:tabs>
          <w:tab w:leader="none" w:pos="1500" w:val="left"/>
        </w:tabs>
        <w:numPr>
          <w:ilvl w:val="0"/>
          <w:numId w:val="12"/>
        </w:numPr>
        <w:rPr>
          <w:rFonts w:ascii="Arial" w:cs="Arial" w:eastAsia="Arial" w:hAnsi="Arial"/>
          <w:sz w:val="18"/>
          <w:szCs w:val="18"/>
          <w:color w:val="auto"/>
        </w:rPr>
      </w:pPr>
      <w:r>
        <w:rPr>
          <w:rFonts w:ascii="Arial" w:cs="Arial" w:eastAsia="Arial" w:hAnsi="Arial"/>
          <w:sz w:val="18"/>
          <w:szCs w:val="18"/>
          <w:u w:val="single" w:color="auto"/>
          <w:color w:val="auto"/>
        </w:rPr>
        <w:t>Payment of PRSUs</w:t>
      </w:r>
      <w:r>
        <w:rPr>
          <w:rFonts w:ascii="Arial" w:cs="Arial" w:eastAsia="Arial" w:hAnsi="Arial"/>
          <w:sz w:val="18"/>
          <w:szCs w:val="18"/>
          <w:color w:val="auto"/>
        </w:rPr>
        <w:t xml:space="preserve">. The PRSUs will become payable in accordance with the provisions of </w:t>
      </w:r>
      <w:r>
        <w:rPr>
          <w:rFonts w:ascii="Arial" w:cs="Arial" w:eastAsia="Arial" w:hAnsi="Arial"/>
          <w:sz w:val="18"/>
          <w:szCs w:val="18"/>
          <w:b w:val="1"/>
          <w:bCs w:val="1"/>
          <w:u w:val="single" w:color="auto"/>
          <w:color w:val="auto"/>
        </w:rPr>
        <w:t>Section 6</w:t>
      </w:r>
      <w:r>
        <w:rPr>
          <w:rFonts w:ascii="Arial" w:cs="Arial" w:eastAsia="Arial" w:hAnsi="Arial"/>
          <w:sz w:val="18"/>
          <w:szCs w:val="18"/>
          <w:color w:val="auto"/>
        </w:rPr>
        <w:t xml:space="preserve"> of this Agreement if the Restriction Period lapses and Grantee’s right to receive payment for the PRSUs becomes nonforfeitable (“</w:t>
      </w:r>
      <w:r>
        <w:rPr>
          <w:rFonts w:ascii="Arial" w:cs="Arial" w:eastAsia="Arial" w:hAnsi="Arial"/>
          <w:sz w:val="18"/>
          <w:szCs w:val="18"/>
          <w:b w:val="1"/>
          <w:bCs w:val="1"/>
          <w:i w:val="1"/>
          <w:iCs w:val="1"/>
          <w:color w:val="auto"/>
        </w:rPr>
        <w:t>Vest</w:t>
      </w:r>
      <w:r>
        <w:rPr>
          <w:rFonts w:ascii="Arial" w:cs="Arial" w:eastAsia="Arial" w:hAnsi="Arial"/>
          <w:sz w:val="18"/>
          <w:szCs w:val="18"/>
          <w:color w:val="auto"/>
        </w:rPr>
        <w:t>,” “</w:t>
      </w:r>
      <w:r>
        <w:rPr>
          <w:rFonts w:ascii="Arial" w:cs="Arial" w:eastAsia="Arial" w:hAnsi="Arial"/>
          <w:sz w:val="18"/>
          <w:szCs w:val="18"/>
          <w:b w:val="1"/>
          <w:bCs w:val="1"/>
          <w:i w:val="1"/>
          <w:iCs w:val="1"/>
          <w:color w:val="auto"/>
        </w:rPr>
        <w:t>Vesting</w:t>
      </w:r>
      <w:r>
        <w:rPr>
          <w:rFonts w:ascii="Arial" w:cs="Arial" w:eastAsia="Arial" w:hAnsi="Arial"/>
          <w:sz w:val="18"/>
          <w:szCs w:val="18"/>
          <w:color w:val="auto"/>
        </w:rPr>
        <w:t>” or “</w:t>
      </w:r>
      <w:r>
        <w:rPr>
          <w:rFonts w:ascii="Arial" w:cs="Arial" w:eastAsia="Arial" w:hAnsi="Arial"/>
          <w:sz w:val="18"/>
          <w:szCs w:val="18"/>
          <w:b w:val="1"/>
          <w:bCs w:val="1"/>
          <w:i w:val="1"/>
          <w:iCs w:val="1"/>
          <w:color w:val="auto"/>
        </w:rPr>
        <w:t>Vested</w:t>
      </w:r>
      <w:r>
        <w:rPr>
          <w:rFonts w:ascii="Arial" w:cs="Arial" w:eastAsia="Arial" w:hAnsi="Arial"/>
          <w:sz w:val="18"/>
          <w:szCs w:val="18"/>
          <w:color w:val="auto"/>
        </w:rPr>
        <w:t xml:space="preserve">”) in accordance with </w:t>
      </w:r>
      <w:r>
        <w:rPr>
          <w:rFonts w:ascii="Arial" w:cs="Arial" w:eastAsia="Arial" w:hAnsi="Arial"/>
          <w:sz w:val="18"/>
          <w:szCs w:val="18"/>
          <w:b w:val="1"/>
          <w:bCs w:val="1"/>
          <w:u w:val="single" w:color="auto"/>
          <w:color w:val="auto"/>
        </w:rPr>
        <w:t>Section 3</w:t>
      </w:r>
      <w:r>
        <w:rPr>
          <w:rFonts w:ascii="Arial" w:cs="Arial" w:eastAsia="Arial" w:hAnsi="Arial"/>
          <w:sz w:val="18"/>
          <w:szCs w:val="18"/>
          <w:color w:val="auto"/>
        </w:rPr>
        <w:t xml:space="preserve"> and </w:t>
      </w:r>
      <w:r>
        <w:rPr>
          <w:rFonts w:ascii="Arial" w:cs="Arial" w:eastAsia="Arial" w:hAnsi="Arial"/>
          <w:sz w:val="18"/>
          <w:szCs w:val="18"/>
          <w:b w:val="1"/>
          <w:bCs w:val="1"/>
          <w:u w:val="single" w:color="auto"/>
          <w:color w:val="auto"/>
        </w:rPr>
        <w:t>Section 4</w:t>
      </w:r>
      <w:r>
        <w:rPr>
          <w:rFonts w:ascii="Arial" w:cs="Arial" w:eastAsia="Arial" w:hAnsi="Arial"/>
          <w:sz w:val="18"/>
          <w:szCs w:val="18"/>
          <w:color w:val="auto"/>
        </w:rPr>
        <w:t xml:space="preserve"> of this Agreement.</w:t>
      </w:r>
    </w:p>
    <w:p>
      <w:pPr>
        <w:spacing w:after="0" w:line="180" w:lineRule="exact"/>
        <w:rPr>
          <w:rFonts w:ascii="Arial" w:cs="Arial" w:eastAsia="Arial" w:hAnsi="Arial"/>
          <w:sz w:val="18"/>
          <w:szCs w:val="18"/>
          <w:color w:val="auto"/>
        </w:rPr>
      </w:pPr>
    </w:p>
    <w:p>
      <w:pPr>
        <w:ind w:left="1500" w:right="20" w:hanging="743"/>
        <w:spacing w:after="0" w:line="261" w:lineRule="auto"/>
        <w:tabs>
          <w:tab w:leader="none" w:pos="1500" w:val="left"/>
        </w:tabs>
        <w:numPr>
          <w:ilvl w:val="0"/>
          <w:numId w:val="12"/>
        </w:numPr>
        <w:rPr>
          <w:rFonts w:ascii="Arial" w:cs="Arial" w:eastAsia="Arial" w:hAnsi="Arial"/>
          <w:sz w:val="18"/>
          <w:szCs w:val="18"/>
          <w:color w:val="auto"/>
        </w:rPr>
      </w:pPr>
      <w:r>
        <w:rPr>
          <w:rFonts w:ascii="Arial" w:cs="Arial" w:eastAsia="Arial" w:hAnsi="Arial"/>
          <w:sz w:val="18"/>
          <w:szCs w:val="18"/>
          <w:u w:val="single" w:color="auto"/>
          <w:color w:val="auto"/>
        </w:rPr>
        <w:t>PRSUs Not Transferrable</w:t>
      </w:r>
      <w:r>
        <w:rPr>
          <w:rFonts w:ascii="Arial" w:cs="Arial" w:eastAsia="Arial" w:hAnsi="Arial"/>
          <w:sz w:val="18"/>
          <w:szCs w:val="18"/>
          <w:color w:val="auto"/>
        </w:rPr>
        <w:t>. None of the PRSUs nor any interest therein or in any Common Shares underlying such PRSUs is transferable prior to payment other than by will or the laws of descent and distribution upon the death of the Grantee.</w:t>
      </w:r>
    </w:p>
    <w:p>
      <w:pPr>
        <w:spacing w:after="0" w:line="170" w:lineRule="exact"/>
        <w:rPr>
          <w:rFonts w:ascii="Arial" w:cs="Arial" w:eastAsia="Arial" w:hAnsi="Arial"/>
          <w:sz w:val="18"/>
          <w:szCs w:val="18"/>
          <w:color w:val="auto"/>
        </w:rPr>
      </w:pPr>
    </w:p>
    <w:p>
      <w:pPr>
        <w:ind w:left="1500" w:hanging="743"/>
        <w:spacing w:after="0"/>
        <w:tabs>
          <w:tab w:leader="none" w:pos="1500" w:val="left"/>
        </w:tabs>
        <w:numPr>
          <w:ilvl w:val="0"/>
          <w:numId w:val="12"/>
        </w:numPr>
        <w:rPr>
          <w:rFonts w:ascii="Arial" w:cs="Arial" w:eastAsia="Arial" w:hAnsi="Arial"/>
          <w:sz w:val="18"/>
          <w:szCs w:val="18"/>
          <w:color w:val="auto"/>
        </w:rPr>
      </w:pPr>
      <w:r>
        <w:rPr>
          <w:rFonts w:ascii="Arial" w:cs="Arial" w:eastAsia="Arial" w:hAnsi="Arial"/>
          <w:sz w:val="18"/>
          <w:szCs w:val="18"/>
          <w:u w:val="single" w:color="auto"/>
          <w:color w:val="auto"/>
        </w:rPr>
        <w:t>Vesting of PRSUs</w:t>
      </w:r>
      <w:r>
        <w:rPr>
          <w:rFonts w:ascii="Arial" w:cs="Arial" w:eastAsia="Arial" w:hAnsi="Arial"/>
          <w:sz w:val="18"/>
          <w:szCs w:val="18"/>
          <w:color w:val="auto"/>
        </w:rPr>
        <w:t>.</w:t>
      </w:r>
    </w:p>
    <w:p>
      <w:pPr>
        <w:spacing w:after="0" w:line="207" w:lineRule="exact"/>
        <w:rPr>
          <w:rFonts w:ascii="Arial" w:cs="Arial" w:eastAsia="Arial" w:hAnsi="Arial"/>
          <w:sz w:val="18"/>
          <w:szCs w:val="18"/>
          <w:color w:val="auto"/>
        </w:rPr>
      </w:pPr>
    </w:p>
    <w:p>
      <w:pPr>
        <w:jc w:val="both"/>
        <w:ind w:left="2260" w:hanging="755"/>
        <w:spacing w:after="0" w:line="258" w:lineRule="auto"/>
        <w:tabs>
          <w:tab w:leader="none" w:pos="2260" w:val="left"/>
        </w:tabs>
        <w:numPr>
          <w:ilvl w:val="1"/>
          <w:numId w:val="12"/>
        </w:numPr>
        <w:rPr>
          <w:rFonts w:ascii="Arial" w:cs="Arial" w:eastAsia="Arial" w:hAnsi="Arial"/>
          <w:sz w:val="17"/>
          <w:szCs w:val="17"/>
          <w:color w:val="auto"/>
        </w:rPr>
      </w:pPr>
      <w:r>
        <w:rPr>
          <w:rFonts w:ascii="Arial" w:cs="Arial" w:eastAsia="Arial" w:hAnsi="Arial"/>
          <w:sz w:val="17"/>
          <w:szCs w:val="17"/>
          <w:color w:val="auto"/>
        </w:rPr>
        <w:t xml:space="preserve">Subject to the terms and conditions of </w:t>
      </w:r>
      <w:r>
        <w:rPr>
          <w:rFonts w:ascii="Arial" w:cs="Arial" w:eastAsia="Arial" w:hAnsi="Arial"/>
          <w:sz w:val="17"/>
          <w:szCs w:val="17"/>
          <w:b w:val="1"/>
          <w:bCs w:val="1"/>
          <w:u w:val="single" w:color="auto"/>
          <w:color w:val="auto"/>
        </w:rPr>
        <w:t>Section 4</w:t>
      </w:r>
      <w:r>
        <w:rPr>
          <w:rFonts w:ascii="Arial" w:cs="Arial" w:eastAsia="Arial" w:hAnsi="Arial"/>
          <w:sz w:val="17"/>
          <w:szCs w:val="17"/>
          <w:color w:val="auto"/>
        </w:rPr>
        <w:t xml:space="preserve"> and </w:t>
      </w:r>
      <w:r>
        <w:rPr>
          <w:rFonts w:ascii="Arial" w:cs="Arial" w:eastAsia="Arial" w:hAnsi="Arial"/>
          <w:sz w:val="17"/>
          <w:szCs w:val="17"/>
          <w:b w:val="1"/>
          <w:bCs w:val="1"/>
          <w:u w:val="single" w:color="auto"/>
          <w:color w:val="auto"/>
        </w:rPr>
        <w:t>Section 5</w:t>
      </w:r>
      <w:r>
        <w:rPr>
          <w:rFonts w:ascii="Arial" w:cs="Arial" w:eastAsia="Arial" w:hAnsi="Arial"/>
          <w:sz w:val="17"/>
          <w:szCs w:val="17"/>
          <w:color w:val="auto"/>
        </w:rPr>
        <w:t xml:space="preserve"> of this Agreement, the PRSUs will be earned and Vest on the basis of the relative achievement of the Management Objectives approved by the Committee on or before the Date of Grant (the “</w:t>
      </w:r>
      <w:r>
        <w:rPr>
          <w:rFonts w:ascii="Arial" w:cs="Arial" w:eastAsia="Arial" w:hAnsi="Arial"/>
          <w:sz w:val="17"/>
          <w:szCs w:val="17"/>
          <w:b w:val="1"/>
          <w:bCs w:val="1"/>
          <w:i w:val="1"/>
          <w:iCs w:val="1"/>
          <w:color w:val="auto"/>
        </w:rPr>
        <w:t>Performance Metrics</w:t>
      </w:r>
      <w:r>
        <w:rPr>
          <w:rFonts w:ascii="Arial" w:cs="Arial" w:eastAsia="Arial" w:hAnsi="Arial"/>
          <w:sz w:val="17"/>
          <w:szCs w:val="17"/>
          <w:color w:val="auto"/>
        </w:rPr>
        <w:t>”) for the period from January 1, 2022 through December 31, 2024, inclusive (the “</w:t>
      </w:r>
      <w:r>
        <w:rPr>
          <w:rFonts w:ascii="Arial" w:cs="Arial" w:eastAsia="Arial" w:hAnsi="Arial"/>
          <w:sz w:val="17"/>
          <w:szCs w:val="17"/>
          <w:b w:val="1"/>
          <w:bCs w:val="1"/>
          <w:i w:val="1"/>
          <w:iCs w:val="1"/>
          <w:color w:val="auto"/>
        </w:rPr>
        <w:t>Performance</w:t>
      </w:r>
      <w:r>
        <w:rPr>
          <w:rFonts w:ascii="Arial" w:cs="Arial" w:eastAsia="Arial" w:hAnsi="Arial"/>
          <w:sz w:val="17"/>
          <w:szCs w:val="17"/>
          <w:color w:val="auto"/>
        </w:rPr>
        <w:t xml:space="preserve"> </w:t>
      </w:r>
      <w:r>
        <w:rPr>
          <w:rFonts w:ascii="Arial" w:cs="Arial" w:eastAsia="Arial" w:hAnsi="Arial"/>
          <w:sz w:val="17"/>
          <w:szCs w:val="17"/>
          <w:b w:val="1"/>
          <w:bCs w:val="1"/>
          <w:i w:val="1"/>
          <w:iCs w:val="1"/>
          <w:color w:val="auto"/>
        </w:rPr>
        <w:t>Period</w:t>
      </w:r>
      <w:r>
        <w:rPr>
          <w:rFonts w:ascii="Arial" w:cs="Arial" w:eastAsia="Arial" w:hAnsi="Arial"/>
          <w:sz w:val="17"/>
          <w:szCs w:val="17"/>
          <w:color w:val="auto"/>
        </w:rPr>
        <w:t>”), as set forth on</w:t>
      </w:r>
      <w:r>
        <w:rPr>
          <w:rFonts w:ascii="Arial" w:cs="Arial" w:eastAsia="Arial" w:hAnsi="Arial"/>
          <w:sz w:val="17"/>
          <w:szCs w:val="17"/>
          <w:b w:val="1"/>
          <w:bCs w:val="1"/>
          <w:i w:val="1"/>
          <w:iCs w:val="1"/>
          <w:color w:val="auto"/>
        </w:rPr>
        <w:t xml:space="preserve"> </w:t>
      </w:r>
      <w:r>
        <w:rPr>
          <w:rFonts w:ascii="Arial" w:cs="Arial" w:eastAsia="Arial" w:hAnsi="Arial"/>
          <w:sz w:val="17"/>
          <w:szCs w:val="17"/>
          <w:b w:val="1"/>
          <w:bCs w:val="1"/>
          <w:u w:val="single" w:color="auto"/>
          <w:color w:val="auto"/>
        </w:rPr>
        <w:t>Exhibit A</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of this Agreement. The Vesting of the PRSUs pursuant to this</w:t>
      </w:r>
      <w:r>
        <w:rPr>
          <w:rFonts w:ascii="Arial" w:cs="Arial" w:eastAsia="Arial" w:hAnsi="Arial"/>
          <w:sz w:val="17"/>
          <w:szCs w:val="17"/>
          <w:b w:val="1"/>
          <w:bCs w:val="1"/>
          <w:i w:val="1"/>
          <w:iCs w:val="1"/>
          <w:color w:val="auto"/>
        </w:rPr>
        <w:t xml:space="preserve"> </w:t>
      </w:r>
      <w:r>
        <w:rPr>
          <w:rFonts w:ascii="Arial" w:cs="Arial" w:eastAsia="Arial" w:hAnsi="Arial"/>
          <w:sz w:val="17"/>
          <w:szCs w:val="17"/>
          <w:b w:val="1"/>
          <w:bCs w:val="1"/>
          <w:u w:val="single" w:color="auto"/>
          <w:color w:val="auto"/>
        </w:rPr>
        <w:t>Section 3</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or pursuant to</w:t>
      </w:r>
      <w:r>
        <w:rPr>
          <w:rFonts w:ascii="Arial" w:cs="Arial" w:eastAsia="Arial" w:hAnsi="Arial"/>
          <w:sz w:val="17"/>
          <w:szCs w:val="17"/>
          <w:b w:val="1"/>
          <w:bCs w:val="1"/>
          <w:i w:val="1"/>
          <w:iCs w:val="1"/>
          <w:color w:val="auto"/>
        </w:rPr>
        <w:t xml:space="preserve"> </w:t>
      </w:r>
      <w:r>
        <w:rPr>
          <w:rFonts w:ascii="Arial" w:cs="Arial" w:eastAsia="Arial" w:hAnsi="Arial"/>
          <w:sz w:val="17"/>
          <w:szCs w:val="17"/>
          <w:b w:val="1"/>
          <w:bCs w:val="1"/>
          <w:u w:val="single" w:color="auto"/>
          <w:color w:val="auto"/>
        </w:rPr>
        <w:t>Section 4</w:t>
      </w:r>
      <w:r>
        <w:rPr>
          <w:rFonts w:ascii="Arial" w:cs="Arial" w:eastAsia="Arial" w:hAnsi="Arial"/>
          <w:sz w:val="17"/>
          <w:szCs w:val="17"/>
          <w:b w:val="1"/>
          <w:bCs w:val="1"/>
          <w:color w:val="auto"/>
        </w:rPr>
        <w:t xml:space="preserve"> </w:t>
      </w:r>
      <w:r>
        <w:rPr>
          <w:rFonts w:ascii="Arial" w:cs="Arial" w:eastAsia="Arial" w:hAnsi="Arial"/>
          <w:sz w:val="17"/>
          <w:szCs w:val="17"/>
          <w:color w:val="auto"/>
        </w:rPr>
        <w:t>is contingent upon a determination of the Committee that the Performance Metrics have been satisfied and the</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PRSUs have been earned, as described in this </w:t>
      </w:r>
      <w:r>
        <w:rPr>
          <w:rFonts w:ascii="Arial" w:cs="Arial" w:eastAsia="Arial" w:hAnsi="Arial"/>
          <w:sz w:val="17"/>
          <w:szCs w:val="17"/>
          <w:b w:val="1"/>
          <w:bCs w:val="1"/>
          <w:u w:val="single" w:color="auto"/>
          <w:color w:val="auto"/>
        </w:rPr>
        <w:t>Section 3</w:t>
      </w:r>
      <w:r>
        <w:rPr>
          <w:rFonts w:ascii="Arial" w:cs="Arial" w:eastAsia="Arial" w:hAnsi="Arial"/>
          <w:sz w:val="17"/>
          <w:szCs w:val="17"/>
          <w:color w:val="auto"/>
        </w:rPr>
        <w:t xml:space="preserve"> and set forth in </w:t>
      </w:r>
      <w:r>
        <w:rPr>
          <w:rFonts w:ascii="Arial" w:cs="Arial" w:eastAsia="Arial" w:hAnsi="Arial"/>
          <w:sz w:val="17"/>
          <w:szCs w:val="17"/>
          <w:b w:val="1"/>
          <w:bCs w:val="1"/>
          <w:u w:val="single" w:color="auto"/>
          <w:color w:val="auto"/>
        </w:rPr>
        <w:t>Exhibit A</w:t>
      </w:r>
      <w:r>
        <w:rPr>
          <w:rFonts w:ascii="Arial" w:cs="Arial" w:eastAsia="Arial" w:hAnsi="Arial"/>
          <w:sz w:val="17"/>
          <w:szCs w:val="17"/>
          <w:color w:val="auto"/>
        </w:rPr>
        <w:t>.</w:t>
      </w:r>
    </w:p>
    <w:p>
      <w:pPr>
        <w:spacing w:after="0" w:line="174" w:lineRule="exact"/>
        <w:rPr>
          <w:rFonts w:ascii="Arial" w:cs="Arial" w:eastAsia="Arial" w:hAnsi="Arial"/>
          <w:sz w:val="17"/>
          <w:szCs w:val="17"/>
          <w:color w:val="auto"/>
        </w:rPr>
      </w:pPr>
    </w:p>
    <w:p>
      <w:pPr>
        <w:jc w:val="both"/>
        <w:ind w:left="2260" w:hanging="755"/>
        <w:spacing w:after="0" w:line="284" w:lineRule="auto"/>
        <w:tabs>
          <w:tab w:leader="none" w:pos="2260" w:val="left"/>
        </w:tabs>
        <w:numPr>
          <w:ilvl w:val="1"/>
          <w:numId w:val="12"/>
        </w:numPr>
        <w:rPr>
          <w:rFonts w:ascii="Arial" w:cs="Arial" w:eastAsia="Arial" w:hAnsi="Arial"/>
          <w:sz w:val="16"/>
          <w:szCs w:val="16"/>
          <w:color w:val="auto"/>
        </w:rPr>
      </w:pPr>
      <w:r>
        <w:rPr>
          <w:rFonts w:ascii="Arial" w:cs="Arial" w:eastAsia="Arial" w:hAnsi="Arial"/>
          <w:sz w:val="16"/>
          <w:szCs w:val="16"/>
          <w:color w:val="auto"/>
        </w:rPr>
        <w:t xml:space="preserve">If the Committee determines that a change in the business, operations, corporate structure or capital structure of the Company, the manner in which it conducts business or other events or circumstances render the Performance Metrics specified in this </w:t>
      </w:r>
      <w:r>
        <w:rPr>
          <w:rFonts w:ascii="Arial" w:cs="Arial" w:eastAsia="Arial" w:hAnsi="Arial"/>
          <w:sz w:val="16"/>
          <w:szCs w:val="16"/>
          <w:b w:val="1"/>
          <w:bCs w:val="1"/>
          <w:u w:val="single" w:color="auto"/>
          <w:color w:val="auto"/>
        </w:rPr>
        <w:t>Section 3</w:t>
      </w:r>
      <w:r>
        <w:rPr>
          <w:rFonts w:ascii="Arial" w:cs="Arial" w:eastAsia="Arial" w:hAnsi="Arial"/>
          <w:sz w:val="16"/>
          <w:szCs w:val="16"/>
          <w:color w:val="auto"/>
        </w:rPr>
        <w:t xml:space="preserve"> to be unsuitable, the Committee may modify such Performance Metrics or the goals or actual levels of achievement regarding the Performance Metrics, in whole or in part, as the Committee deems appropriate.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274955</wp:posOffset>
            </wp:positionV>
            <wp:extent cx="7157720" cy="425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32" w:name="page33"/>
    <w:bookmarkEnd w:id="32"/>
    <w:p>
      <w:pPr>
        <w:jc w:val="both"/>
        <w:ind w:left="1503" w:hanging="755"/>
        <w:spacing w:after="0" w:line="277" w:lineRule="auto"/>
        <w:tabs>
          <w:tab w:leader="none" w:pos="1503" w:val="left"/>
        </w:tabs>
        <w:numPr>
          <w:ilvl w:val="1"/>
          <w:numId w:val="13"/>
        </w:numPr>
        <w:rPr>
          <w:rFonts w:ascii="Arial" w:cs="Arial" w:eastAsia="Arial" w:hAnsi="Arial"/>
          <w:sz w:val="16"/>
          <w:szCs w:val="16"/>
          <w:color w:val="auto"/>
        </w:rPr>
      </w:pPr>
      <w:r>
        <w:rPr>
          <w:rFonts w:ascii="Arial" w:cs="Arial" w:eastAsia="Arial" w:hAnsi="Arial"/>
          <w:sz w:val="16"/>
          <w:szCs w:val="16"/>
          <w:color w:val="auto"/>
        </w:rPr>
        <w:t xml:space="preserve">Subject to </w:t>
      </w:r>
      <w:r>
        <w:rPr>
          <w:rFonts w:ascii="Arial" w:cs="Arial" w:eastAsia="Arial" w:hAnsi="Arial"/>
          <w:sz w:val="16"/>
          <w:szCs w:val="16"/>
          <w:b w:val="1"/>
          <w:bCs w:val="1"/>
          <w:u w:val="single" w:color="auto"/>
          <w:color w:val="auto"/>
        </w:rPr>
        <w:t>Section 3(a)</w:t>
      </w:r>
      <w:r>
        <w:rPr>
          <w:rFonts w:ascii="Arial" w:cs="Arial" w:eastAsia="Arial" w:hAnsi="Arial"/>
          <w:sz w:val="16"/>
          <w:szCs w:val="16"/>
          <w:color w:val="auto"/>
        </w:rPr>
        <w:t xml:space="preserve"> and </w:t>
      </w:r>
      <w:r>
        <w:rPr>
          <w:rFonts w:ascii="Arial" w:cs="Arial" w:eastAsia="Arial" w:hAnsi="Arial"/>
          <w:sz w:val="16"/>
          <w:szCs w:val="16"/>
          <w:b w:val="1"/>
          <w:bCs w:val="1"/>
          <w:u w:val="single" w:color="auto"/>
          <w:color w:val="auto"/>
        </w:rPr>
        <w:t>Section 3(b)</w:t>
      </w:r>
      <w:r>
        <w:rPr>
          <w:rFonts w:ascii="Arial" w:cs="Arial" w:eastAsia="Arial" w:hAnsi="Arial"/>
          <w:sz w:val="16"/>
          <w:szCs w:val="16"/>
          <w:color w:val="auto"/>
        </w:rPr>
        <w:t>, the PRSUs earned with respect to the Performance Period will Vest if Grantee is in the continuous employ of the Company or a Subsidiary from the Date of Grant through the last day of the Performance Period. For purposes of this Agreement, the continuous employment of Grantee with the Company or a Subsidiary will not be deemed to have been interrupted, and Grantee will not be deemed to have ceased to be an employee of the Company or a Subsidiary, by reason of the transfer of Grantee’s employment among the Company and its Subsidiaries or if Grantee is absent on leave approved by a duly constituted officer of the Company or its Subsidiaries.</w:t>
      </w:r>
    </w:p>
    <w:p>
      <w:pPr>
        <w:spacing w:after="0" w:line="156" w:lineRule="exact"/>
        <w:rPr>
          <w:rFonts w:ascii="Arial" w:cs="Arial" w:eastAsia="Arial" w:hAnsi="Arial"/>
          <w:sz w:val="16"/>
          <w:szCs w:val="16"/>
          <w:color w:val="auto"/>
        </w:rPr>
      </w:pPr>
    </w:p>
    <w:p>
      <w:pPr>
        <w:ind w:left="743" w:hanging="743"/>
        <w:spacing w:after="0" w:line="266" w:lineRule="auto"/>
        <w:tabs>
          <w:tab w:leader="none" w:pos="743" w:val="left"/>
        </w:tabs>
        <w:numPr>
          <w:ilvl w:val="0"/>
          <w:numId w:val="14"/>
        </w:numPr>
        <w:rPr>
          <w:rFonts w:ascii="Arial" w:cs="Arial" w:eastAsia="Arial" w:hAnsi="Arial"/>
          <w:sz w:val="18"/>
          <w:szCs w:val="18"/>
          <w:color w:val="auto"/>
        </w:rPr>
      </w:pPr>
      <w:r>
        <w:rPr>
          <w:rFonts w:ascii="Arial" w:cs="Arial" w:eastAsia="Arial" w:hAnsi="Arial"/>
          <w:sz w:val="18"/>
          <w:szCs w:val="18"/>
          <w:u w:val="single" w:color="auto"/>
          <w:color w:val="auto"/>
        </w:rPr>
        <w:t>Alternative Vesting of PRSUs</w:t>
      </w:r>
      <w:r>
        <w:rPr>
          <w:rFonts w:ascii="Arial" w:cs="Arial" w:eastAsia="Arial" w:hAnsi="Arial"/>
          <w:sz w:val="18"/>
          <w:szCs w:val="18"/>
          <w:color w:val="auto"/>
        </w:rPr>
        <w:t xml:space="preserve">. Notwithstanding the provisions of </w:t>
      </w:r>
      <w:r>
        <w:rPr>
          <w:rFonts w:ascii="Arial" w:cs="Arial" w:eastAsia="Arial" w:hAnsi="Arial"/>
          <w:sz w:val="18"/>
          <w:szCs w:val="18"/>
          <w:b w:val="1"/>
          <w:bCs w:val="1"/>
          <w:u w:val="single" w:color="auto"/>
          <w:color w:val="auto"/>
        </w:rPr>
        <w:t>Section 3</w:t>
      </w:r>
      <w:r>
        <w:rPr>
          <w:rFonts w:ascii="Arial" w:cs="Arial" w:eastAsia="Arial" w:hAnsi="Arial"/>
          <w:sz w:val="18"/>
          <w:szCs w:val="18"/>
          <w:color w:val="auto"/>
        </w:rPr>
        <w:t xml:space="preserve"> of this Agreement, and subject to the payment provisions of </w:t>
      </w:r>
      <w:r>
        <w:rPr>
          <w:rFonts w:ascii="Arial" w:cs="Arial" w:eastAsia="Arial" w:hAnsi="Arial"/>
          <w:sz w:val="18"/>
          <w:szCs w:val="18"/>
          <w:b w:val="1"/>
          <w:bCs w:val="1"/>
          <w:u w:val="single" w:color="auto"/>
          <w:color w:val="auto"/>
        </w:rPr>
        <w:t>Section 6</w:t>
      </w:r>
      <w:r>
        <w:rPr>
          <w:rFonts w:ascii="Arial" w:cs="Arial" w:eastAsia="Arial" w:hAnsi="Arial"/>
          <w:sz w:val="18"/>
          <w:szCs w:val="18"/>
          <w:color w:val="auto"/>
        </w:rPr>
        <w:t xml:space="preserve"> hereof, some or all of the PRSUs will Vest under the following circumstances:</w:t>
      </w:r>
    </w:p>
    <w:p>
      <w:pPr>
        <w:spacing w:after="0" w:line="166" w:lineRule="exact"/>
        <w:rPr>
          <w:rFonts w:ascii="Arial" w:cs="Arial" w:eastAsia="Arial" w:hAnsi="Arial"/>
          <w:sz w:val="18"/>
          <w:szCs w:val="18"/>
          <w:color w:val="auto"/>
        </w:rPr>
      </w:pPr>
    </w:p>
    <w:p>
      <w:pPr>
        <w:jc w:val="both"/>
        <w:ind w:left="1503" w:hanging="755"/>
        <w:spacing w:after="0" w:line="251" w:lineRule="auto"/>
        <w:tabs>
          <w:tab w:leader="none" w:pos="1503" w:val="left"/>
        </w:tabs>
        <w:numPr>
          <w:ilvl w:val="1"/>
          <w:numId w:val="14"/>
        </w:numPr>
        <w:rPr>
          <w:rFonts w:ascii="Arial" w:cs="Arial" w:eastAsia="Arial" w:hAnsi="Arial"/>
          <w:sz w:val="17"/>
          <w:szCs w:val="17"/>
          <w:color w:val="auto"/>
        </w:rPr>
      </w:pPr>
      <w:r>
        <w:rPr>
          <w:rFonts w:ascii="Arial" w:cs="Arial" w:eastAsia="Arial" w:hAnsi="Arial"/>
          <w:sz w:val="17"/>
          <w:szCs w:val="17"/>
          <w:u w:val="single" w:color="auto"/>
          <w:color w:val="auto"/>
        </w:rPr>
        <w:t>Death or Disability</w:t>
      </w:r>
      <w:r>
        <w:rPr>
          <w:rFonts w:ascii="Arial" w:cs="Arial" w:eastAsia="Arial" w:hAnsi="Arial"/>
          <w:sz w:val="17"/>
          <w:szCs w:val="17"/>
          <w:color w:val="auto"/>
        </w:rPr>
        <w:t xml:space="preserve">: If Grantee dies or become permanently disabled while in the employ of the Company or a Subsidiary, then Grantee will Vest in a number of PRSUs equal to the product of (i) the number of PRSUs in which Grantee would have Vested in accordance with the terms and conditions of </w:t>
      </w:r>
      <w:r>
        <w:rPr>
          <w:rFonts w:ascii="Arial" w:cs="Arial" w:eastAsia="Arial" w:hAnsi="Arial"/>
          <w:sz w:val="17"/>
          <w:szCs w:val="17"/>
          <w:b w:val="1"/>
          <w:bCs w:val="1"/>
          <w:u w:val="single" w:color="auto"/>
          <w:color w:val="auto"/>
        </w:rPr>
        <w:t>Section 3</w:t>
      </w:r>
      <w:r>
        <w:rPr>
          <w:rFonts w:ascii="Arial" w:cs="Arial" w:eastAsia="Arial" w:hAnsi="Arial"/>
          <w:sz w:val="17"/>
          <w:szCs w:val="17"/>
          <w:color w:val="auto"/>
        </w:rPr>
        <w:t xml:space="preserve"> if Grantee had remained in the continuous employ of the Company or a Subsidiary from the Date of Grant until the end of the Performance Period or the occurrence of a Change in Control to the extent a Replacement Award is not provided, whichever occurs first, multiplied by (ii) a fraction (in no case greater than 1) the numerator of which is the number of whole months from the first day of the Performance Period through the date of such death or permanent disability and the denominator of which is 36. PRSUs that Vest in accordance with this </w:t>
      </w:r>
      <w:r>
        <w:rPr>
          <w:rFonts w:ascii="Arial" w:cs="Arial" w:eastAsia="Arial" w:hAnsi="Arial"/>
          <w:sz w:val="17"/>
          <w:szCs w:val="17"/>
          <w:b w:val="1"/>
          <w:bCs w:val="1"/>
          <w:u w:val="single" w:color="auto"/>
          <w:color w:val="auto"/>
        </w:rPr>
        <w:t>Section 4(a)</w:t>
      </w:r>
      <w:r>
        <w:rPr>
          <w:rFonts w:ascii="Arial" w:cs="Arial" w:eastAsia="Arial" w:hAnsi="Arial"/>
          <w:sz w:val="17"/>
          <w:szCs w:val="17"/>
          <w:b w:val="1"/>
          <w:bCs w:val="1"/>
          <w:color w:val="auto"/>
        </w:rPr>
        <w:t xml:space="preserve"> </w:t>
      </w:r>
      <w:r>
        <w:rPr>
          <w:rFonts w:ascii="Arial" w:cs="Arial" w:eastAsia="Arial" w:hAnsi="Arial"/>
          <w:sz w:val="17"/>
          <w:szCs w:val="17"/>
          <w:color w:val="auto"/>
        </w:rPr>
        <w:t>will be paid as provided for in</w:t>
      </w:r>
      <w:r>
        <w:rPr>
          <w:rFonts w:ascii="Arial" w:cs="Arial" w:eastAsia="Arial" w:hAnsi="Arial"/>
          <w:sz w:val="17"/>
          <w:szCs w:val="17"/>
          <w:b w:val="1"/>
          <w:bCs w:val="1"/>
          <w:color w:val="auto"/>
        </w:rPr>
        <w:t xml:space="preserve"> </w:t>
      </w:r>
      <w:r>
        <w:rPr>
          <w:rFonts w:ascii="Arial" w:cs="Arial" w:eastAsia="Arial" w:hAnsi="Arial"/>
          <w:sz w:val="17"/>
          <w:szCs w:val="17"/>
          <w:b w:val="1"/>
          <w:bCs w:val="1"/>
          <w:u w:val="single" w:color="auto"/>
          <w:color w:val="auto"/>
        </w:rPr>
        <w:t>Section 6</w:t>
      </w:r>
      <w:r>
        <w:rPr>
          <w:rFonts w:ascii="Arial" w:cs="Arial" w:eastAsia="Arial" w:hAnsi="Arial"/>
          <w:sz w:val="17"/>
          <w:szCs w:val="17"/>
          <w:b w:val="1"/>
          <w:bCs w:val="1"/>
          <w:color w:val="auto"/>
        </w:rPr>
        <w:t xml:space="preserve"> </w:t>
      </w:r>
      <w:r>
        <w:rPr>
          <w:rFonts w:ascii="Arial" w:cs="Arial" w:eastAsia="Arial" w:hAnsi="Arial"/>
          <w:sz w:val="17"/>
          <w:szCs w:val="17"/>
          <w:color w:val="auto"/>
        </w:rPr>
        <w:t>of this Agreement. As used herein, “</w:t>
      </w:r>
      <w:r>
        <w:rPr>
          <w:rFonts w:ascii="Arial" w:cs="Arial" w:eastAsia="Arial" w:hAnsi="Arial"/>
          <w:sz w:val="17"/>
          <w:szCs w:val="17"/>
          <w:b w:val="1"/>
          <w:bCs w:val="1"/>
          <w:i w:val="1"/>
          <w:iCs w:val="1"/>
          <w:color w:val="auto"/>
        </w:rPr>
        <w:t>permanently disabled</w:t>
      </w:r>
      <w:r>
        <w:rPr>
          <w:rFonts w:ascii="Arial" w:cs="Arial" w:eastAsia="Arial" w:hAnsi="Arial"/>
          <w:sz w:val="17"/>
          <w:szCs w:val="17"/>
          <w:color w:val="auto"/>
        </w:rPr>
        <w:t>” means</w:t>
      </w:r>
      <w:r>
        <w:rPr>
          <w:rFonts w:ascii="Arial" w:cs="Arial" w:eastAsia="Arial" w:hAnsi="Arial"/>
          <w:sz w:val="17"/>
          <w:szCs w:val="17"/>
          <w:b w:val="1"/>
          <w:bCs w:val="1"/>
          <w:color w:val="auto"/>
        </w:rPr>
        <w:t xml:space="preserve"> </w:t>
      </w:r>
      <w:r>
        <w:rPr>
          <w:rFonts w:ascii="Arial" w:cs="Arial" w:eastAsia="Arial" w:hAnsi="Arial"/>
          <w:sz w:val="17"/>
          <w:szCs w:val="17"/>
          <w:color w:val="auto"/>
        </w:rPr>
        <w:t>that Grantee has qualified for long-term disability benefits under a disability plan or program of the Company or a Subsidiary or, in the absence of a disability plan or program of the Company or a Subsidiary, under a government-sponsored disability program, and is “</w:t>
      </w:r>
      <w:r>
        <w:rPr>
          <w:rFonts w:ascii="Arial" w:cs="Arial" w:eastAsia="Arial" w:hAnsi="Arial"/>
          <w:sz w:val="17"/>
          <w:szCs w:val="17"/>
          <w:b w:val="1"/>
          <w:bCs w:val="1"/>
          <w:i w:val="1"/>
          <w:iCs w:val="1"/>
          <w:color w:val="auto"/>
        </w:rPr>
        <w:t>disabled</w:t>
      </w:r>
      <w:r>
        <w:rPr>
          <w:rFonts w:ascii="Arial" w:cs="Arial" w:eastAsia="Arial" w:hAnsi="Arial"/>
          <w:sz w:val="17"/>
          <w:szCs w:val="17"/>
          <w:color w:val="auto"/>
        </w:rPr>
        <w:t>” within the meaning of Section 409A(a)(2)(C) of the Code. As used in this Agreement, “</w:t>
      </w:r>
      <w:r>
        <w:rPr>
          <w:rFonts w:ascii="Arial" w:cs="Arial" w:eastAsia="Arial" w:hAnsi="Arial"/>
          <w:sz w:val="17"/>
          <w:szCs w:val="17"/>
          <w:b w:val="1"/>
          <w:bCs w:val="1"/>
          <w:i w:val="1"/>
          <w:iCs w:val="1"/>
          <w:color w:val="auto"/>
        </w:rPr>
        <w:t>Code</w:t>
      </w:r>
      <w:r>
        <w:rPr>
          <w:rFonts w:ascii="Arial" w:cs="Arial" w:eastAsia="Arial" w:hAnsi="Arial"/>
          <w:sz w:val="17"/>
          <w:szCs w:val="17"/>
          <w:color w:val="auto"/>
        </w:rPr>
        <w:t>” means the Internal Revenue Code of 1986, as amended, including any regulations or any other formal guidance promulgated by the U.S. Department of the Treasury or the Internal Revenue Service with respect to the Sections of the Code referenced in this Agreement.</w:t>
      </w:r>
    </w:p>
    <w:p>
      <w:pPr>
        <w:spacing w:after="0" w:line="188" w:lineRule="exact"/>
        <w:rPr>
          <w:rFonts w:ascii="Arial" w:cs="Arial" w:eastAsia="Arial" w:hAnsi="Arial"/>
          <w:sz w:val="17"/>
          <w:szCs w:val="17"/>
          <w:color w:val="auto"/>
        </w:rPr>
      </w:pPr>
    </w:p>
    <w:p>
      <w:pPr>
        <w:jc w:val="both"/>
        <w:ind w:left="1503" w:hanging="755"/>
        <w:spacing w:after="0" w:line="270" w:lineRule="auto"/>
        <w:tabs>
          <w:tab w:leader="none" w:pos="1503" w:val="left"/>
        </w:tabs>
        <w:numPr>
          <w:ilvl w:val="1"/>
          <w:numId w:val="14"/>
        </w:numPr>
        <w:rPr>
          <w:rFonts w:ascii="Arial" w:cs="Arial" w:eastAsia="Arial" w:hAnsi="Arial"/>
          <w:sz w:val="16"/>
          <w:szCs w:val="16"/>
          <w:color w:val="auto"/>
        </w:rPr>
      </w:pPr>
      <w:r>
        <w:rPr>
          <w:rFonts w:ascii="Arial" w:cs="Arial" w:eastAsia="Arial" w:hAnsi="Arial"/>
          <w:sz w:val="16"/>
          <w:szCs w:val="16"/>
          <w:u w:val="single" w:color="auto"/>
          <w:color w:val="auto"/>
        </w:rPr>
        <w:t>Retirement</w:t>
      </w:r>
      <w:r>
        <w:rPr>
          <w:rFonts w:ascii="Arial" w:cs="Arial" w:eastAsia="Arial" w:hAnsi="Arial"/>
          <w:sz w:val="16"/>
          <w:szCs w:val="16"/>
          <w:color w:val="auto"/>
        </w:rPr>
        <w:t xml:space="preserve">: If Grantee retires with the Company’s consent, then Grantee will Vest in a number of PRSUs equal to the product of (i) the number of PRSUs in which Grantee would have Vested in accordance with the terms and conditions of </w:t>
      </w:r>
      <w:r>
        <w:rPr>
          <w:rFonts w:ascii="Arial" w:cs="Arial" w:eastAsia="Arial" w:hAnsi="Arial"/>
          <w:sz w:val="16"/>
          <w:szCs w:val="16"/>
          <w:b w:val="1"/>
          <w:bCs w:val="1"/>
          <w:u w:val="single" w:color="auto"/>
          <w:color w:val="auto"/>
        </w:rPr>
        <w:t>Section 3</w:t>
      </w:r>
      <w:r>
        <w:rPr>
          <w:rFonts w:ascii="Arial" w:cs="Arial" w:eastAsia="Arial" w:hAnsi="Arial"/>
          <w:sz w:val="16"/>
          <w:szCs w:val="16"/>
          <w:b w:val="1"/>
          <w:bCs w:val="1"/>
          <w:color w:val="auto"/>
        </w:rPr>
        <w:t xml:space="preserve"> </w:t>
      </w:r>
      <w:r>
        <w:rPr>
          <w:rFonts w:ascii="Arial" w:cs="Arial" w:eastAsia="Arial" w:hAnsi="Arial"/>
          <w:sz w:val="16"/>
          <w:szCs w:val="16"/>
          <w:color w:val="auto"/>
        </w:rPr>
        <w:t>if Grantee had remained in the continuous employ of the Company or a Subsidiary from the Date of Grant until</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the end of the Performance Period or the occurrence of a Change in Control to the extent a Replacement Award is not provided, whichever occurs first, multiplied by (ii) a fraction (in no case greater than 1) the numerator of which is the number of whole months from the first day of the Performance Period through the date of such retirement and the denominator of which is 36. PRSUs that Vest in accordance with this </w:t>
      </w:r>
      <w:r>
        <w:rPr>
          <w:rFonts w:ascii="Arial" w:cs="Arial" w:eastAsia="Arial" w:hAnsi="Arial"/>
          <w:sz w:val="16"/>
          <w:szCs w:val="16"/>
          <w:b w:val="1"/>
          <w:bCs w:val="1"/>
          <w:u w:val="single" w:color="auto"/>
          <w:color w:val="auto"/>
        </w:rPr>
        <w:t>Section 4(b)</w:t>
      </w:r>
      <w:r>
        <w:rPr>
          <w:rFonts w:ascii="Arial" w:cs="Arial" w:eastAsia="Arial" w:hAnsi="Arial"/>
          <w:sz w:val="16"/>
          <w:szCs w:val="16"/>
          <w:color w:val="auto"/>
        </w:rPr>
        <w:t xml:space="preserve"> will be paid as provided for in </w:t>
      </w:r>
      <w:r>
        <w:rPr>
          <w:rFonts w:ascii="Arial" w:cs="Arial" w:eastAsia="Arial" w:hAnsi="Arial"/>
          <w:sz w:val="16"/>
          <w:szCs w:val="16"/>
          <w:b w:val="1"/>
          <w:bCs w:val="1"/>
          <w:u w:val="single" w:color="auto"/>
          <w:color w:val="auto"/>
        </w:rPr>
        <w:t>Section 6</w:t>
      </w:r>
      <w:r>
        <w:rPr>
          <w:rFonts w:ascii="Arial" w:cs="Arial" w:eastAsia="Arial" w:hAnsi="Arial"/>
          <w:sz w:val="16"/>
          <w:szCs w:val="16"/>
          <w:color w:val="auto"/>
        </w:rPr>
        <w:t xml:space="preserve"> of this Agreement. As used herein, “</w:t>
      </w:r>
      <w:r>
        <w:rPr>
          <w:rFonts w:ascii="Arial" w:cs="Arial" w:eastAsia="Arial" w:hAnsi="Arial"/>
          <w:sz w:val="16"/>
          <w:szCs w:val="16"/>
          <w:b w:val="1"/>
          <w:bCs w:val="1"/>
          <w:i w:val="1"/>
          <w:iCs w:val="1"/>
          <w:color w:val="auto"/>
        </w:rPr>
        <w:t>retire with the Company’s consent</w:t>
      </w:r>
      <w:r>
        <w:rPr>
          <w:rFonts w:ascii="Arial" w:cs="Arial" w:eastAsia="Arial" w:hAnsi="Arial"/>
          <w:sz w:val="16"/>
          <w:szCs w:val="16"/>
          <w:color w:val="auto"/>
        </w:rPr>
        <w:t>” means: (i) the retirement of Grantee prior to age 62 and when eligible to retire under a retirement plan of the Company or a Subsidiary, if the Board or the Committee determines that his or her retirement is for the convenience of the Company or a Subsidiary; or (ii) the retirement of Grantee at or after age 62 and when eligible to retire under a retirement plan of the Company or a Subsidiary.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-487680</wp:posOffset>
            </wp:positionH>
            <wp:positionV relativeFrom="paragraph">
              <wp:posOffset>410845</wp:posOffset>
            </wp:positionV>
            <wp:extent cx="7157720" cy="425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83"/>
          </w:cols>
          <w:pgMar w:left="1077" w:top="324" w:right="339" w:bottom="1440" w:gutter="0" w:footer="0" w:header="0"/>
        </w:sectPr>
      </w:pPr>
    </w:p>
    <w:bookmarkStart w:id="33" w:name="page34"/>
    <w:bookmarkEnd w:id="33"/>
    <w:p>
      <w:pPr>
        <w:ind w:left="1140" w:hanging="755"/>
        <w:spacing w:after="0"/>
        <w:tabs>
          <w:tab w:leader="none" w:pos="1140" w:val="left"/>
        </w:tabs>
        <w:numPr>
          <w:ilvl w:val="0"/>
          <w:numId w:val="15"/>
        </w:numPr>
        <w:rPr>
          <w:rFonts w:ascii="Arial" w:cs="Arial" w:eastAsia="Arial" w:hAnsi="Arial"/>
          <w:sz w:val="18"/>
          <w:szCs w:val="18"/>
          <w:color w:val="auto"/>
        </w:rPr>
      </w:pPr>
      <w:r>
        <w:rPr>
          <w:rFonts w:ascii="Arial" w:cs="Arial" w:eastAsia="Arial" w:hAnsi="Arial"/>
          <w:sz w:val="18"/>
          <w:szCs w:val="18"/>
          <w:u w:val="single" w:color="auto"/>
          <w:color w:val="auto"/>
        </w:rPr>
        <w:t>Change in Control</w:t>
      </w:r>
      <w:r>
        <w:rPr>
          <w:rFonts w:ascii="Arial" w:cs="Arial" w:eastAsia="Arial" w:hAnsi="Arial"/>
          <w:sz w:val="18"/>
          <w:szCs w:val="18"/>
          <w:color w:val="auto"/>
        </w:rPr>
        <w:t>:</w:t>
      </w:r>
    </w:p>
    <w:p>
      <w:pPr>
        <w:spacing w:after="0" w:line="211" w:lineRule="exact"/>
        <w:rPr>
          <w:rFonts w:ascii="Arial" w:cs="Arial" w:eastAsia="Arial" w:hAnsi="Arial"/>
          <w:sz w:val="18"/>
          <w:szCs w:val="18"/>
          <w:color w:val="auto"/>
        </w:rPr>
      </w:pPr>
    </w:p>
    <w:p>
      <w:pPr>
        <w:jc w:val="both"/>
        <w:ind w:left="1880" w:hanging="746"/>
        <w:spacing w:after="0" w:line="268" w:lineRule="auto"/>
        <w:tabs>
          <w:tab w:leader="none" w:pos="1880" w:val="left"/>
        </w:tabs>
        <w:numPr>
          <w:ilvl w:val="1"/>
          <w:numId w:val="15"/>
        </w:numPr>
        <w:rPr>
          <w:rFonts w:ascii="Arial" w:cs="Arial" w:eastAsia="Arial" w:hAnsi="Arial"/>
          <w:sz w:val="16"/>
          <w:szCs w:val="16"/>
          <w:color w:val="auto"/>
        </w:rPr>
      </w:pPr>
      <w:r>
        <w:rPr>
          <w:rFonts w:ascii="Arial" w:cs="Arial" w:eastAsia="Arial" w:hAnsi="Arial"/>
          <w:sz w:val="16"/>
          <w:szCs w:val="16"/>
          <w:color w:val="auto"/>
        </w:rPr>
        <w:t xml:space="preserve">Upon a Change in Control occurring during the Restriction Period while Grantee is an employee of the Company or a Subsidiary or during the period that Grantee is deemed to be in the continuous employ of the Company or a Subsidiary pursuant to </w:t>
      </w:r>
      <w:r>
        <w:rPr>
          <w:rFonts w:ascii="Arial" w:cs="Arial" w:eastAsia="Arial" w:hAnsi="Arial"/>
          <w:sz w:val="16"/>
          <w:szCs w:val="16"/>
          <w:b w:val="1"/>
          <w:bCs w:val="1"/>
          <w:u w:val="single" w:color="auto"/>
          <w:color w:val="auto"/>
        </w:rPr>
        <w:t>Section 4(a)</w:t>
      </w:r>
      <w:r>
        <w:rPr>
          <w:rFonts w:ascii="Arial" w:cs="Arial" w:eastAsia="Arial" w:hAnsi="Arial"/>
          <w:sz w:val="16"/>
          <w:szCs w:val="16"/>
          <w:color w:val="auto"/>
        </w:rPr>
        <w:t xml:space="preserve">, </w:t>
      </w:r>
      <w:r>
        <w:rPr>
          <w:rFonts w:ascii="Arial" w:cs="Arial" w:eastAsia="Arial" w:hAnsi="Arial"/>
          <w:sz w:val="16"/>
          <w:szCs w:val="16"/>
          <w:b w:val="1"/>
          <w:bCs w:val="1"/>
          <w:u w:val="single" w:color="auto"/>
          <w:color w:val="auto"/>
        </w:rPr>
        <w:t>4(b)</w:t>
      </w:r>
      <w:r>
        <w:rPr>
          <w:rFonts w:ascii="Arial" w:cs="Arial" w:eastAsia="Arial" w:hAnsi="Arial"/>
          <w:sz w:val="16"/>
          <w:szCs w:val="16"/>
          <w:color w:val="auto"/>
        </w:rPr>
        <w:t xml:space="preserve">, </w:t>
      </w:r>
      <w:r>
        <w:rPr>
          <w:rFonts w:ascii="Arial" w:cs="Arial" w:eastAsia="Arial" w:hAnsi="Arial"/>
          <w:sz w:val="16"/>
          <w:szCs w:val="16"/>
          <w:b w:val="1"/>
          <w:bCs w:val="1"/>
          <w:u w:val="single" w:color="auto"/>
          <w:color w:val="auto"/>
        </w:rPr>
        <w:t>4(d)</w:t>
      </w:r>
      <w:r>
        <w:rPr>
          <w:rFonts w:ascii="Arial" w:cs="Arial" w:eastAsia="Arial" w:hAnsi="Arial"/>
          <w:sz w:val="16"/>
          <w:szCs w:val="16"/>
          <w:color w:val="auto"/>
        </w:rPr>
        <w:t xml:space="preserve"> or </w:t>
      </w:r>
      <w:r>
        <w:rPr>
          <w:rFonts w:ascii="Arial" w:cs="Arial" w:eastAsia="Arial" w:hAnsi="Arial"/>
          <w:sz w:val="16"/>
          <w:szCs w:val="16"/>
          <w:b w:val="1"/>
          <w:bCs w:val="1"/>
          <w:u w:val="single" w:color="auto"/>
          <w:color w:val="auto"/>
        </w:rPr>
        <w:t>4(e)</w:t>
      </w:r>
      <w:r>
        <w:rPr>
          <w:rFonts w:ascii="Arial" w:cs="Arial" w:eastAsia="Arial" w:hAnsi="Arial"/>
          <w:sz w:val="16"/>
          <w:szCs w:val="16"/>
          <w:color w:val="auto"/>
        </w:rPr>
        <w:t xml:space="preserve">, to the extent the PRSUs have not been forfeited, then, notwithstanding any provision of this Agreement (including </w:t>
      </w:r>
      <w:r>
        <w:rPr>
          <w:rFonts w:ascii="Arial" w:cs="Arial" w:eastAsia="Arial" w:hAnsi="Arial"/>
          <w:sz w:val="16"/>
          <w:szCs w:val="16"/>
          <w:b w:val="1"/>
          <w:bCs w:val="1"/>
          <w:u w:val="single" w:color="auto"/>
          <w:color w:val="auto"/>
        </w:rPr>
        <w:t>Exhibit A</w:t>
      </w:r>
      <w:r>
        <w:rPr>
          <w:rFonts w:ascii="Arial" w:cs="Arial" w:eastAsia="Arial" w:hAnsi="Arial"/>
          <w:sz w:val="16"/>
          <w:szCs w:val="16"/>
          <w:color w:val="auto"/>
        </w:rPr>
        <w:t xml:space="preserve">) to the contrary, (A) the Committee as constituted immediately before such Change in Control will determine and certify the number of earned PRSUs in accordance with </w:t>
      </w:r>
      <w:r>
        <w:rPr>
          <w:rFonts w:ascii="Arial" w:cs="Arial" w:eastAsia="Arial" w:hAnsi="Arial"/>
          <w:sz w:val="16"/>
          <w:szCs w:val="16"/>
          <w:b w:val="1"/>
          <w:bCs w:val="1"/>
          <w:u w:val="single" w:color="auto"/>
          <w:color w:val="auto"/>
        </w:rPr>
        <w:t>Exhibit A</w:t>
      </w:r>
      <w:r>
        <w:rPr>
          <w:rFonts w:ascii="Arial" w:cs="Arial" w:eastAsia="Arial" w:hAnsi="Arial"/>
          <w:sz w:val="16"/>
          <w:szCs w:val="16"/>
          <w:color w:val="auto"/>
        </w:rPr>
        <w:t xml:space="preserve"> to this Agreement which will be equal to the greater of (I) the actual achievement of the Performance Metrics as of the date of the Change in Control or (II) the target performance level of the PRSUs (the greater of clause (I) or (II), the “</w:t>
      </w:r>
      <w:r>
        <w:rPr>
          <w:rFonts w:ascii="Arial" w:cs="Arial" w:eastAsia="Arial" w:hAnsi="Arial"/>
          <w:sz w:val="16"/>
          <w:szCs w:val="16"/>
          <w:b w:val="1"/>
          <w:bCs w:val="1"/>
          <w:i w:val="1"/>
          <w:iCs w:val="1"/>
          <w:color w:val="auto"/>
        </w:rPr>
        <w:t>Change in Control Payout Level</w:t>
      </w:r>
      <w:r>
        <w:rPr>
          <w:rFonts w:ascii="Arial" w:cs="Arial" w:eastAsia="Arial" w:hAnsi="Arial"/>
          <w:sz w:val="16"/>
          <w:szCs w:val="16"/>
          <w:color w:val="auto"/>
        </w:rPr>
        <w:t xml:space="preserve">”), and (B) a number of the PRSUs will Vest (except to the extent that a Replacement Award is provided to Grantee for the PRSUs to continue, replace or assume the PRSUs covered by this Agreement) equal to the number of PRSUs earned at the Change in Control Payout Level, but in no event may negative discretion be exercised with respect to the number of PRSUs Vested. Any PRSUs that are not earned and do not Vest in accordance with this </w:t>
      </w:r>
      <w:r>
        <w:rPr>
          <w:rFonts w:ascii="Arial" w:cs="Arial" w:eastAsia="Arial" w:hAnsi="Arial"/>
          <w:sz w:val="16"/>
          <w:szCs w:val="16"/>
          <w:b w:val="1"/>
          <w:bCs w:val="1"/>
          <w:u w:val="single" w:color="auto"/>
          <w:color w:val="auto"/>
        </w:rPr>
        <w:t>Section 4(c)(i)</w:t>
      </w:r>
      <w:r>
        <w:rPr>
          <w:rFonts w:ascii="Arial" w:cs="Arial" w:eastAsia="Arial" w:hAnsi="Arial"/>
          <w:sz w:val="16"/>
          <w:szCs w:val="16"/>
          <w:color w:val="auto"/>
        </w:rPr>
        <w:t xml:space="preserve"> will terminate and be forfeited (except to the extent that a Replacement Award is provided). PRSUs that Vest in accordance with this </w:t>
      </w:r>
      <w:r>
        <w:rPr>
          <w:rFonts w:ascii="Arial" w:cs="Arial" w:eastAsia="Arial" w:hAnsi="Arial"/>
          <w:sz w:val="16"/>
          <w:szCs w:val="16"/>
          <w:b w:val="1"/>
          <w:bCs w:val="1"/>
          <w:u w:val="single" w:color="auto"/>
          <w:color w:val="auto"/>
        </w:rPr>
        <w:t>Section 4(c)(i)</w:t>
      </w:r>
      <w:r>
        <w:rPr>
          <w:rFonts w:ascii="Arial" w:cs="Arial" w:eastAsia="Arial" w:hAnsi="Arial"/>
          <w:sz w:val="16"/>
          <w:szCs w:val="16"/>
          <w:b w:val="1"/>
          <w:bCs w:val="1"/>
          <w:color w:val="auto"/>
        </w:rPr>
        <w:t xml:space="preserve"> </w:t>
      </w:r>
      <w:r>
        <w:rPr>
          <w:rFonts w:ascii="Arial" w:cs="Arial" w:eastAsia="Arial" w:hAnsi="Arial"/>
          <w:sz w:val="16"/>
          <w:szCs w:val="16"/>
          <w:color w:val="auto"/>
        </w:rPr>
        <w:t>will be paid as provided for in</w:t>
      </w:r>
      <w:r>
        <w:rPr>
          <w:rFonts w:ascii="Arial" w:cs="Arial" w:eastAsia="Arial" w:hAnsi="Arial"/>
          <w:sz w:val="16"/>
          <w:szCs w:val="16"/>
          <w:b w:val="1"/>
          <w:bCs w:val="1"/>
          <w:color w:val="auto"/>
        </w:rPr>
        <w:t xml:space="preserve"> </w:t>
      </w:r>
      <w:r>
        <w:rPr>
          <w:rFonts w:ascii="Arial" w:cs="Arial" w:eastAsia="Arial" w:hAnsi="Arial"/>
          <w:sz w:val="16"/>
          <w:szCs w:val="16"/>
          <w:b w:val="1"/>
          <w:bCs w:val="1"/>
          <w:u w:val="single" w:color="auto"/>
          <w:color w:val="auto"/>
        </w:rPr>
        <w:t>Section 6</w:t>
      </w:r>
      <w:r>
        <w:rPr>
          <w:rFonts w:ascii="Arial" w:cs="Arial" w:eastAsia="Arial" w:hAnsi="Arial"/>
          <w:sz w:val="16"/>
          <w:szCs w:val="16"/>
          <w:b w:val="1"/>
          <w:bCs w:val="1"/>
          <w:color w:val="auto"/>
        </w:rPr>
        <w:t xml:space="preserve"> </w:t>
      </w:r>
      <w:r>
        <w:rPr>
          <w:rFonts w:ascii="Arial" w:cs="Arial" w:eastAsia="Arial" w:hAnsi="Arial"/>
          <w:sz w:val="16"/>
          <w:szCs w:val="16"/>
          <w:color w:val="auto"/>
        </w:rPr>
        <w:t>of this Agreement.</w:t>
      </w:r>
    </w:p>
    <w:p>
      <w:pPr>
        <w:spacing w:after="0" w:line="174" w:lineRule="exact"/>
        <w:rPr>
          <w:rFonts w:ascii="Arial" w:cs="Arial" w:eastAsia="Arial" w:hAnsi="Arial"/>
          <w:sz w:val="16"/>
          <w:szCs w:val="16"/>
          <w:color w:val="auto"/>
        </w:rPr>
      </w:pPr>
    </w:p>
    <w:p>
      <w:pPr>
        <w:ind w:left="1880" w:right="20" w:hanging="746"/>
        <w:spacing w:after="0" w:line="265" w:lineRule="auto"/>
        <w:tabs>
          <w:tab w:leader="none" w:pos="1880" w:val="left"/>
        </w:tabs>
        <w:numPr>
          <w:ilvl w:val="1"/>
          <w:numId w:val="15"/>
        </w:numPr>
        <w:rPr>
          <w:rFonts w:ascii="Arial" w:cs="Arial" w:eastAsia="Arial" w:hAnsi="Arial"/>
          <w:sz w:val="16"/>
          <w:szCs w:val="16"/>
          <w:color w:val="auto"/>
        </w:rPr>
      </w:pPr>
      <w:r>
        <w:rPr>
          <w:rFonts w:ascii="Arial" w:cs="Arial" w:eastAsia="Arial" w:hAnsi="Arial"/>
          <w:sz w:val="16"/>
          <w:szCs w:val="16"/>
          <w:color w:val="auto"/>
        </w:rPr>
        <w:t>As used in this Agreement, a “</w:t>
      </w:r>
      <w:r>
        <w:rPr>
          <w:rFonts w:ascii="Arial" w:cs="Arial" w:eastAsia="Arial" w:hAnsi="Arial"/>
          <w:sz w:val="16"/>
          <w:szCs w:val="16"/>
          <w:b w:val="1"/>
          <w:bCs w:val="1"/>
          <w:i w:val="1"/>
          <w:iCs w:val="1"/>
          <w:color w:val="auto"/>
        </w:rPr>
        <w:t>Replacement Award</w:t>
      </w:r>
      <w:r>
        <w:rPr>
          <w:rFonts w:ascii="Arial" w:cs="Arial" w:eastAsia="Arial" w:hAnsi="Arial"/>
          <w:sz w:val="16"/>
          <w:szCs w:val="16"/>
          <w:color w:val="auto"/>
        </w:rPr>
        <w:t>” means an award (A) of service-based restricted share units with no performance-based vesting requirements, (B) that has a value at least equal to the value of the PRSUs earned at the Change in Control Payout Level, (C) that relates to publicly traded equity securities of the Company or its successor in the Change in Control (or another entity that is affiliated with the Company or its successor following the Change in Control), (D) the tax consequences of which, under the Code, if Grantee is subject to U.S. federal income tax under the Code, are not less favorable to Grantee than the tax consequences relative to the PRSUs, (E) that Vests in full (i.e., in a number that is no less than the Change in Control Payout Level) upon a termination of Grantee’s employment with the Company or a Subsidiary or their successors in the Change in Control (or another entity that is affiliated with the Company or a Subsidiary or their successors following the Change in Control) (as applicable, the “</w:t>
      </w:r>
      <w:r>
        <w:rPr>
          <w:rFonts w:ascii="Arial" w:cs="Arial" w:eastAsia="Arial" w:hAnsi="Arial"/>
          <w:sz w:val="16"/>
          <w:szCs w:val="16"/>
          <w:b w:val="1"/>
          <w:bCs w:val="1"/>
          <w:i w:val="1"/>
          <w:iCs w:val="1"/>
          <w:color w:val="auto"/>
        </w:rPr>
        <w:t>Successor</w:t>
      </w:r>
      <w:r>
        <w:rPr>
          <w:rFonts w:ascii="Arial" w:cs="Arial" w:eastAsia="Arial" w:hAnsi="Arial"/>
          <w:sz w:val="16"/>
          <w:szCs w:val="16"/>
          <w:color w:val="auto"/>
        </w:rPr>
        <w:t xml:space="preserve">”) for Good Reason by Grantee or without Cause by such employer or upon the death of Grantee or Grantee becoming permanently disabled (as defined in </w:t>
      </w:r>
      <w:r>
        <w:rPr>
          <w:rFonts w:ascii="Arial" w:cs="Arial" w:eastAsia="Arial" w:hAnsi="Arial"/>
          <w:sz w:val="16"/>
          <w:szCs w:val="16"/>
          <w:b w:val="1"/>
          <w:bCs w:val="1"/>
          <w:u w:val="single" w:color="auto"/>
          <w:color w:val="auto"/>
        </w:rPr>
        <w:t>Section 4(a)</w:t>
      </w:r>
      <w:r>
        <w:rPr>
          <w:rFonts w:ascii="Arial" w:cs="Arial" w:eastAsia="Arial" w:hAnsi="Arial"/>
          <w:sz w:val="16"/>
          <w:szCs w:val="16"/>
          <w:color w:val="auto"/>
        </w:rPr>
        <w:t>), in each case prior to the end of the Performance Period and within a period of two years after the Change in Control, and (F) the other terms and conditions of which are not less favorable to Grantee than the terms and conditions of the PRSUs (including the provisions that would apply in the event of a subsequent Change in Control). A Replacement Award may be granted only to the extent it conforms to the requirements of Treasury Regulation</w:t>
      </w:r>
    </w:p>
    <w:p>
      <w:pPr>
        <w:spacing w:after="0" w:line="6" w:lineRule="exact"/>
        <w:rPr>
          <w:rFonts w:ascii="Arial" w:cs="Arial" w:eastAsia="Arial" w:hAnsi="Arial"/>
          <w:sz w:val="16"/>
          <w:szCs w:val="16"/>
          <w:color w:val="auto"/>
        </w:rPr>
      </w:pPr>
    </w:p>
    <w:p>
      <w:pPr>
        <w:ind w:left="1880" w:right="80"/>
        <w:spacing w:after="0" w:line="254" w:lineRule="auto"/>
        <w:rPr>
          <w:rFonts w:ascii="Arial" w:cs="Arial" w:eastAsia="Arial" w:hAnsi="Arial"/>
          <w:sz w:val="16"/>
          <w:szCs w:val="16"/>
          <w:color w:val="auto"/>
        </w:rPr>
      </w:pPr>
      <w:r>
        <w:rPr>
          <w:rFonts w:ascii="Arial" w:cs="Arial" w:eastAsia="Arial" w:hAnsi="Arial"/>
          <w:sz w:val="17"/>
          <w:szCs w:val="17"/>
          <w:color w:val="auto"/>
        </w:rPr>
        <w:t xml:space="preserve">1.409A-3(i)(5)(iv)(B) or otherwise does not result in the PRSUs or Replacement Award failing to comply with or be exempt from Section 409A of the Code. Without limiting the generality of the foregoing, the Replacement Award may take the form of a continuation of the PRSUs if the requirements of the preceding sentence are satisfied. The determination of whether the conditions of this </w:t>
      </w:r>
      <w:r>
        <w:rPr>
          <w:rFonts w:ascii="Arial" w:cs="Arial" w:eastAsia="Arial" w:hAnsi="Arial"/>
          <w:sz w:val="17"/>
          <w:szCs w:val="17"/>
          <w:b w:val="1"/>
          <w:bCs w:val="1"/>
          <w:u w:val="single" w:color="auto"/>
          <w:color w:val="auto"/>
        </w:rPr>
        <w:t>Section 4(c)(ii)</w:t>
      </w:r>
      <w:r>
        <w:rPr>
          <w:rFonts w:ascii="Arial" w:cs="Arial" w:eastAsia="Arial" w:hAnsi="Arial"/>
          <w:sz w:val="17"/>
          <w:szCs w:val="17"/>
          <w:color w:val="auto"/>
        </w:rPr>
        <w:t xml:space="preserve"> are satisfied will be made by the Committee, as constituted immediately before the Change in Control, in its sole discretion.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-718185</wp:posOffset>
            </wp:positionH>
            <wp:positionV relativeFrom="paragraph">
              <wp:posOffset>289560</wp:posOffset>
            </wp:positionV>
            <wp:extent cx="7157720" cy="425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20"/>
          </w:cols>
          <w:pgMar w:left="1440" w:top="328" w:right="339" w:bottom="1440" w:gutter="0" w:footer="0" w:header="0"/>
        </w:sectPr>
      </w:pPr>
    </w:p>
    <w:bookmarkStart w:id="34" w:name="page35"/>
    <w:bookmarkEnd w:id="34"/>
    <w:p>
      <w:pPr>
        <w:ind w:left="1880" w:right="20" w:hanging="746"/>
        <w:spacing w:after="0" w:line="252" w:lineRule="auto"/>
        <w:tabs>
          <w:tab w:leader="none" w:pos="1880" w:val="left"/>
        </w:tabs>
        <w:numPr>
          <w:ilvl w:val="1"/>
          <w:numId w:val="16"/>
        </w:numPr>
        <w:rPr>
          <w:rFonts w:ascii="Arial" w:cs="Arial" w:eastAsia="Arial" w:hAnsi="Arial"/>
          <w:sz w:val="17"/>
          <w:szCs w:val="17"/>
          <w:color w:val="auto"/>
        </w:rPr>
      </w:pPr>
      <w:r>
        <w:rPr>
          <w:rFonts w:ascii="Arial" w:cs="Arial" w:eastAsia="Arial" w:hAnsi="Arial"/>
          <w:sz w:val="17"/>
          <w:szCs w:val="17"/>
          <w:color w:val="auto"/>
        </w:rPr>
        <w:t xml:space="preserve">For purposes of </w:t>
      </w:r>
      <w:r>
        <w:rPr>
          <w:rFonts w:ascii="Arial" w:cs="Arial" w:eastAsia="Arial" w:hAnsi="Arial"/>
          <w:sz w:val="17"/>
          <w:szCs w:val="17"/>
          <w:b w:val="1"/>
          <w:bCs w:val="1"/>
          <w:u w:val="single" w:color="auto"/>
          <w:color w:val="auto"/>
        </w:rPr>
        <w:t>Section 4(c)(ii)</w:t>
      </w:r>
      <w:r>
        <w:rPr>
          <w:rFonts w:ascii="Arial" w:cs="Arial" w:eastAsia="Arial" w:hAnsi="Arial"/>
          <w:sz w:val="17"/>
          <w:szCs w:val="17"/>
          <w:color w:val="auto"/>
        </w:rPr>
        <w:t>, “</w:t>
      </w:r>
      <w:r>
        <w:rPr>
          <w:rFonts w:ascii="Arial" w:cs="Arial" w:eastAsia="Arial" w:hAnsi="Arial"/>
          <w:sz w:val="17"/>
          <w:szCs w:val="17"/>
          <w:b w:val="1"/>
          <w:bCs w:val="1"/>
          <w:i w:val="1"/>
          <w:iCs w:val="1"/>
          <w:color w:val="auto"/>
        </w:rPr>
        <w:t>Cause</w:t>
      </w:r>
      <w:r>
        <w:rPr>
          <w:rFonts w:ascii="Arial" w:cs="Arial" w:eastAsia="Arial" w:hAnsi="Arial"/>
          <w:sz w:val="17"/>
          <w:szCs w:val="17"/>
          <w:color w:val="auto"/>
        </w:rPr>
        <w:t>” will be defined not less favorably with respect to Grantee than: any intentional act of fraud, embezzlement or theft in connection with the Grantee’s duties with the Successor, any intentional wrongful disclosure of secret processes or confidential information of the Successor, or any intentional wrongful engagement in any competitive activity that would constitute a material breach of Grantee’s duty of loyalty to the Successor, and no act, or failure to act, on the part of Grantee will be deemed “</w:t>
      </w:r>
      <w:r>
        <w:rPr>
          <w:rFonts w:ascii="Arial" w:cs="Arial" w:eastAsia="Arial" w:hAnsi="Arial"/>
          <w:sz w:val="17"/>
          <w:szCs w:val="17"/>
          <w:b w:val="1"/>
          <w:bCs w:val="1"/>
          <w:i w:val="1"/>
          <w:iCs w:val="1"/>
          <w:color w:val="auto"/>
        </w:rPr>
        <w:t>intentional</w:t>
      </w:r>
      <w:r>
        <w:rPr>
          <w:rFonts w:ascii="Arial" w:cs="Arial" w:eastAsia="Arial" w:hAnsi="Arial"/>
          <w:sz w:val="17"/>
          <w:szCs w:val="17"/>
          <w:color w:val="auto"/>
        </w:rPr>
        <w:t xml:space="preserve">” unless done or omitted to be done by Grantee not in good faith and without reasonable belief that Grantee’s action or omission was in or not opposed to the best interest of the Successor; </w:t>
      </w:r>
      <w:r>
        <w:rPr>
          <w:rFonts w:ascii="Arial" w:cs="Arial" w:eastAsia="Arial" w:hAnsi="Arial"/>
          <w:sz w:val="17"/>
          <w:szCs w:val="17"/>
          <w:u w:val="single" w:color="auto"/>
          <w:color w:val="auto"/>
        </w:rPr>
        <w:t>provided</w:t>
      </w:r>
      <w:r>
        <w:rPr>
          <w:rFonts w:ascii="Arial" w:cs="Arial" w:eastAsia="Arial" w:hAnsi="Arial"/>
          <w:sz w:val="17"/>
          <w:szCs w:val="17"/>
          <w:color w:val="auto"/>
        </w:rPr>
        <w:t>, that for any Grantee who is party to an individual severance or employment agreement defining Cause, “</w:t>
      </w:r>
      <w:r>
        <w:rPr>
          <w:rFonts w:ascii="Arial" w:cs="Arial" w:eastAsia="Arial" w:hAnsi="Arial"/>
          <w:sz w:val="17"/>
          <w:szCs w:val="17"/>
          <w:b w:val="1"/>
          <w:bCs w:val="1"/>
          <w:i w:val="1"/>
          <w:iCs w:val="1"/>
          <w:color w:val="auto"/>
        </w:rPr>
        <w:t>Cause</w:t>
      </w:r>
      <w:r>
        <w:rPr>
          <w:rFonts w:ascii="Arial" w:cs="Arial" w:eastAsia="Arial" w:hAnsi="Arial"/>
          <w:sz w:val="17"/>
          <w:szCs w:val="17"/>
          <w:color w:val="auto"/>
        </w:rPr>
        <w:t xml:space="preserve">” will have the meaning set forth in such agreement. Also for purposes of </w:t>
      </w:r>
      <w:r>
        <w:rPr>
          <w:rFonts w:ascii="Arial" w:cs="Arial" w:eastAsia="Arial" w:hAnsi="Arial"/>
          <w:sz w:val="17"/>
          <w:szCs w:val="17"/>
          <w:b w:val="1"/>
          <w:bCs w:val="1"/>
          <w:u w:val="single" w:color="auto"/>
          <w:color w:val="auto"/>
        </w:rPr>
        <w:t>Section 4(c)(ii)</w:t>
      </w:r>
      <w:r>
        <w:rPr>
          <w:rFonts w:ascii="Arial" w:cs="Arial" w:eastAsia="Arial" w:hAnsi="Arial"/>
          <w:sz w:val="17"/>
          <w:szCs w:val="17"/>
          <w:color w:val="auto"/>
        </w:rPr>
        <w:t>, “</w:t>
      </w:r>
      <w:r>
        <w:rPr>
          <w:rFonts w:ascii="Arial" w:cs="Arial" w:eastAsia="Arial" w:hAnsi="Arial"/>
          <w:sz w:val="17"/>
          <w:szCs w:val="17"/>
          <w:b w:val="1"/>
          <w:bCs w:val="1"/>
          <w:i w:val="1"/>
          <w:iCs w:val="1"/>
          <w:color w:val="auto"/>
        </w:rPr>
        <w:t>Good Reason</w:t>
      </w:r>
      <w:r>
        <w:rPr>
          <w:rFonts w:ascii="Arial" w:cs="Arial" w:eastAsia="Arial" w:hAnsi="Arial"/>
          <w:sz w:val="17"/>
          <w:szCs w:val="17"/>
          <w:color w:val="auto"/>
        </w:rPr>
        <w:t xml:space="preserve">” means: a material reduction in the nature or scope of the responsibilities, authorities or duties of Grantee attached to Grantee’s position held immediately prior to the Change in Control, or a change of more than 60 miles in the location of Grantee’s principal office immediately prior to the Change in Control, or a material reduction in Grantee’s remuneration upon or after the Change in Control; </w:t>
      </w:r>
      <w:r>
        <w:rPr>
          <w:rFonts w:ascii="Arial" w:cs="Arial" w:eastAsia="Arial" w:hAnsi="Arial"/>
          <w:sz w:val="17"/>
          <w:szCs w:val="17"/>
          <w:u w:val="single" w:color="auto"/>
          <w:color w:val="auto"/>
        </w:rPr>
        <w:t>provided</w:t>
      </w:r>
      <w:r>
        <w:rPr>
          <w:rFonts w:ascii="Arial" w:cs="Arial" w:eastAsia="Arial" w:hAnsi="Arial"/>
          <w:sz w:val="17"/>
          <w:szCs w:val="17"/>
          <w:color w:val="auto"/>
        </w:rPr>
        <w:t>, that, no later than 90 days following an event constituting Good Reason, Grantee gives notice to the Successor of the occurrence of such event and the Successor fails to cure the event within 30 days following the receipt of such notice.</w:t>
      </w:r>
    </w:p>
    <w:p>
      <w:pPr>
        <w:spacing w:after="0" w:line="178" w:lineRule="exact"/>
        <w:rPr>
          <w:rFonts w:ascii="Arial" w:cs="Arial" w:eastAsia="Arial" w:hAnsi="Arial"/>
          <w:sz w:val="17"/>
          <w:szCs w:val="17"/>
          <w:color w:val="auto"/>
        </w:rPr>
      </w:pPr>
    </w:p>
    <w:p>
      <w:pPr>
        <w:jc w:val="both"/>
        <w:ind w:left="1880" w:hanging="746"/>
        <w:spacing w:after="0" w:line="243" w:lineRule="auto"/>
        <w:tabs>
          <w:tab w:leader="none" w:pos="1880" w:val="left"/>
        </w:tabs>
        <w:numPr>
          <w:ilvl w:val="1"/>
          <w:numId w:val="16"/>
        </w:numPr>
        <w:rPr>
          <w:rFonts w:ascii="Arial" w:cs="Arial" w:eastAsia="Arial" w:hAnsi="Arial"/>
          <w:sz w:val="18"/>
          <w:szCs w:val="18"/>
          <w:color w:val="auto"/>
        </w:rPr>
      </w:pPr>
      <w:r>
        <w:rPr>
          <w:rFonts w:ascii="Arial" w:cs="Arial" w:eastAsia="Arial" w:hAnsi="Arial"/>
          <w:sz w:val="18"/>
          <w:szCs w:val="18"/>
          <w:color w:val="auto"/>
        </w:rPr>
        <w:t xml:space="preserve">If a Replacement Award is provided, notwithstanding anything in this Agreement to the contrary, any outstanding PRSUs which at the time of the Change in Control are not subject to a “substantial risk of forfeiture” (within the meaning of Section 409A of the Code) will be deemed to be Vested at the time of such Change in Control and will be paid as provided for in </w:t>
      </w:r>
      <w:r>
        <w:rPr>
          <w:rFonts w:ascii="Arial" w:cs="Arial" w:eastAsia="Arial" w:hAnsi="Arial"/>
          <w:sz w:val="18"/>
          <w:szCs w:val="18"/>
          <w:b w:val="1"/>
          <w:bCs w:val="1"/>
          <w:u w:val="single" w:color="auto"/>
          <w:color w:val="auto"/>
        </w:rPr>
        <w:t>Section 6</w:t>
      </w:r>
      <w:r>
        <w:rPr>
          <w:rFonts w:ascii="Arial" w:cs="Arial" w:eastAsia="Arial" w:hAnsi="Arial"/>
          <w:sz w:val="18"/>
          <w:szCs w:val="18"/>
          <w:color w:val="auto"/>
        </w:rPr>
        <w:t xml:space="preserve"> of this Agreement.</w:t>
      </w:r>
    </w:p>
    <w:p>
      <w:pPr>
        <w:spacing w:after="0" w:line="187" w:lineRule="exact"/>
        <w:rPr>
          <w:rFonts w:ascii="Arial" w:cs="Arial" w:eastAsia="Arial" w:hAnsi="Arial"/>
          <w:sz w:val="18"/>
          <w:szCs w:val="18"/>
          <w:color w:val="auto"/>
        </w:rPr>
      </w:pPr>
    </w:p>
    <w:p>
      <w:pPr>
        <w:jc w:val="both"/>
        <w:ind w:left="1140" w:hanging="755"/>
        <w:spacing w:after="0" w:line="252" w:lineRule="auto"/>
        <w:tabs>
          <w:tab w:leader="none" w:pos="1140" w:val="left"/>
        </w:tabs>
        <w:numPr>
          <w:ilvl w:val="0"/>
          <w:numId w:val="17"/>
        </w:numPr>
        <w:rPr>
          <w:rFonts w:ascii="Arial" w:cs="Arial" w:eastAsia="Arial" w:hAnsi="Arial"/>
          <w:sz w:val="17"/>
          <w:szCs w:val="17"/>
          <w:color w:val="auto"/>
        </w:rPr>
      </w:pPr>
      <w:r>
        <w:rPr>
          <w:rFonts w:ascii="Arial" w:cs="Arial" w:eastAsia="Arial" w:hAnsi="Arial"/>
          <w:sz w:val="17"/>
          <w:szCs w:val="17"/>
          <w:u w:val="single" w:color="auto"/>
          <w:color w:val="auto"/>
        </w:rPr>
        <w:t>Divestiture</w:t>
      </w:r>
      <w:r>
        <w:rPr>
          <w:rFonts w:ascii="Arial" w:cs="Arial" w:eastAsia="Arial" w:hAnsi="Arial"/>
          <w:sz w:val="17"/>
          <w:szCs w:val="17"/>
          <w:color w:val="auto"/>
        </w:rPr>
        <w:t xml:space="preserve">: If Grantee’s employment with the Company or a Subsidiary terminates as the result of a divestiture, then Grantee will Vest in a number of PRSUs equal to the product of (i) the number of PRSUs in which Grantee would have Vested in accordance with the terms and conditions of </w:t>
      </w:r>
      <w:r>
        <w:rPr>
          <w:rFonts w:ascii="Arial" w:cs="Arial" w:eastAsia="Arial" w:hAnsi="Arial"/>
          <w:sz w:val="17"/>
          <w:szCs w:val="17"/>
          <w:b w:val="1"/>
          <w:bCs w:val="1"/>
          <w:u w:val="single" w:color="auto"/>
          <w:color w:val="auto"/>
        </w:rPr>
        <w:t>Section 3</w:t>
      </w:r>
      <w:r>
        <w:rPr>
          <w:rFonts w:ascii="Arial" w:cs="Arial" w:eastAsia="Arial" w:hAnsi="Arial"/>
          <w:sz w:val="17"/>
          <w:szCs w:val="17"/>
          <w:color w:val="auto"/>
        </w:rPr>
        <w:t xml:space="preserve"> if Grantee had remained in the continuous employ of the Company or a Subsidiary from the Date of Grant until the end of the Performance Period or the occurrence of a Change in Control to the extent a Replacement Award is not provided, whichever occurs first, multiplied by (ii) a fraction (in no case greater than 1) the numerator of which is the number of whole months from the first day of the Performance Period through the date of such termination and the denominator of which is 36. PRSUs that Vest in accordance with this </w:t>
      </w:r>
      <w:r>
        <w:rPr>
          <w:rFonts w:ascii="Arial" w:cs="Arial" w:eastAsia="Arial" w:hAnsi="Arial"/>
          <w:sz w:val="17"/>
          <w:szCs w:val="17"/>
          <w:b w:val="1"/>
          <w:bCs w:val="1"/>
          <w:u w:val="single" w:color="auto"/>
          <w:color w:val="auto"/>
        </w:rPr>
        <w:t>Section 4(d)</w:t>
      </w:r>
      <w:r>
        <w:rPr>
          <w:rFonts w:ascii="Arial" w:cs="Arial" w:eastAsia="Arial" w:hAnsi="Arial"/>
          <w:sz w:val="17"/>
          <w:szCs w:val="17"/>
          <w:color w:val="auto"/>
        </w:rPr>
        <w:t xml:space="preserve"> will be paid as provided for in </w:t>
      </w:r>
      <w:r>
        <w:rPr>
          <w:rFonts w:ascii="Arial" w:cs="Arial" w:eastAsia="Arial" w:hAnsi="Arial"/>
          <w:sz w:val="17"/>
          <w:szCs w:val="17"/>
          <w:b w:val="1"/>
          <w:bCs w:val="1"/>
          <w:u w:val="single" w:color="auto"/>
          <w:color w:val="auto"/>
        </w:rPr>
        <w:t>Section 6</w:t>
      </w:r>
      <w:r>
        <w:rPr>
          <w:rFonts w:ascii="Arial" w:cs="Arial" w:eastAsia="Arial" w:hAnsi="Arial"/>
          <w:sz w:val="17"/>
          <w:szCs w:val="17"/>
          <w:color w:val="auto"/>
        </w:rPr>
        <w:t xml:space="preserve"> of this Agreement. As used herein, the term “</w:t>
      </w:r>
      <w:r>
        <w:rPr>
          <w:rFonts w:ascii="Arial" w:cs="Arial" w:eastAsia="Arial" w:hAnsi="Arial"/>
          <w:sz w:val="17"/>
          <w:szCs w:val="17"/>
          <w:b w:val="1"/>
          <w:bCs w:val="1"/>
          <w:i w:val="1"/>
          <w:iCs w:val="1"/>
          <w:color w:val="auto"/>
        </w:rPr>
        <w:t>divestiture</w:t>
      </w:r>
      <w:r>
        <w:rPr>
          <w:rFonts w:ascii="Arial" w:cs="Arial" w:eastAsia="Arial" w:hAnsi="Arial"/>
          <w:sz w:val="17"/>
          <w:szCs w:val="17"/>
          <w:color w:val="auto"/>
        </w:rPr>
        <w:t>” means a permanent disposition to a Person other than the Company or any Subsidiary of a plant or other facility or property at which Grantee performs a majority of Grantee’s services, whether such disposition is effected by means of a sale of assets, a sale of Subsidiary stock or otherwise.</w:t>
      </w:r>
    </w:p>
    <w:p>
      <w:pPr>
        <w:spacing w:after="0" w:line="185" w:lineRule="exact"/>
        <w:rPr>
          <w:rFonts w:ascii="Arial" w:cs="Arial" w:eastAsia="Arial" w:hAnsi="Arial"/>
          <w:sz w:val="17"/>
          <w:szCs w:val="17"/>
          <w:color w:val="auto"/>
        </w:rPr>
      </w:pPr>
    </w:p>
    <w:p>
      <w:pPr>
        <w:jc w:val="both"/>
        <w:ind w:left="1140" w:hanging="755"/>
        <w:spacing w:after="0" w:line="255" w:lineRule="auto"/>
        <w:tabs>
          <w:tab w:leader="none" w:pos="1140" w:val="left"/>
        </w:tabs>
        <w:numPr>
          <w:ilvl w:val="0"/>
          <w:numId w:val="17"/>
        </w:numPr>
        <w:rPr>
          <w:rFonts w:ascii="Arial" w:cs="Arial" w:eastAsia="Arial" w:hAnsi="Arial"/>
          <w:sz w:val="17"/>
          <w:szCs w:val="17"/>
          <w:color w:val="auto"/>
        </w:rPr>
      </w:pPr>
      <w:r>
        <w:rPr>
          <w:rFonts w:ascii="Arial" w:cs="Arial" w:eastAsia="Arial" w:hAnsi="Arial"/>
          <w:sz w:val="17"/>
          <w:szCs w:val="17"/>
          <w:u w:val="single" w:color="auto"/>
          <w:color w:val="auto"/>
        </w:rPr>
        <w:t>Layoff</w:t>
      </w:r>
      <w:r>
        <w:rPr>
          <w:rFonts w:ascii="Arial" w:cs="Arial" w:eastAsia="Arial" w:hAnsi="Arial"/>
          <w:sz w:val="17"/>
          <w:szCs w:val="17"/>
          <w:color w:val="auto"/>
        </w:rPr>
        <w:t xml:space="preserve">: If (i) Grantee’s employment with the Company or a Subsidiary terminates as the result of a layoff and (ii) Grantee is entitled to receive severance pay pursuant to the terms of any severance pay plan of the Company in effect at the time of Grantee’s termination of employment that provides for severance pay calculated by multiplying Grantee’s base compensation by a specified severance period, then Grantee will Vest in a number of PRSUs equal to the product of (x) the number of PRSUs in which Grantee would have Vested in accordance with the terms and conditions of </w:t>
      </w:r>
      <w:r>
        <w:rPr>
          <w:rFonts w:ascii="Arial" w:cs="Arial" w:eastAsia="Arial" w:hAnsi="Arial"/>
          <w:sz w:val="17"/>
          <w:szCs w:val="17"/>
          <w:b w:val="1"/>
          <w:bCs w:val="1"/>
          <w:u w:val="single" w:color="auto"/>
          <w:color w:val="auto"/>
        </w:rPr>
        <w:t>Section 3</w:t>
      </w:r>
      <w:r>
        <w:rPr>
          <w:rFonts w:ascii="Arial" w:cs="Arial" w:eastAsia="Arial" w:hAnsi="Arial"/>
          <w:sz w:val="17"/>
          <w:szCs w:val="17"/>
          <w:color w:val="auto"/>
        </w:rPr>
        <w:t xml:space="preserve"> if Grantee had remained in the continuous employ of the Company or a Subsidiary from the Date of Grant until the end of the Performance Period or the occurrence of a Change in Control to the extent 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-718185</wp:posOffset>
            </wp:positionH>
            <wp:positionV relativeFrom="paragraph">
              <wp:posOffset>290830</wp:posOffset>
            </wp:positionV>
            <wp:extent cx="7157720" cy="425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20"/>
          </w:cols>
          <w:pgMar w:left="1440" w:top="324" w:right="339" w:bottom="1440" w:gutter="0" w:footer="0" w:header="0"/>
        </w:sectPr>
      </w:pPr>
    </w:p>
    <w:bookmarkStart w:id="35" w:name="page36"/>
    <w:bookmarkEnd w:id="35"/>
    <w:p>
      <w:pPr>
        <w:jc w:val="both"/>
        <w:ind w:left="1503"/>
        <w:spacing w:after="0" w:line="252" w:lineRule="auto"/>
        <w:rPr>
          <w:sz w:val="20"/>
          <w:szCs w:val="20"/>
          <w:color w:val="auto"/>
        </w:rPr>
      </w:pPr>
      <w:r>
        <w:rPr>
          <w:rFonts w:ascii="Arial" w:cs="Arial" w:eastAsia="Arial" w:hAnsi="Arial"/>
          <w:sz w:val="17"/>
          <w:szCs w:val="17"/>
          <w:color w:val="auto"/>
        </w:rPr>
        <w:t xml:space="preserve">Replacement Award is not provided, whichever occurs first, multiplied by (y) a fraction (in no case greater than 1) the numerator of which is the number of whole months from the first day of the Performance Period through the end of the specified severance period and the denominator of which is 36. PRSUs that Vest in accordance with this </w:t>
      </w:r>
      <w:r>
        <w:rPr>
          <w:rFonts w:ascii="Arial" w:cs="Arial" w:eastAsia="Arial" w:hAnsi="Arial"/>
          <w:sz w:val="17"/>
          <w:szCs w:val="17"/>
          <w:b w:val="1"/>
          <w:bCs w:val="1"/>
          <w:u w:val="single" w:color="auto"/>
          <w:color w:val="auto"/>
        </w:rPr>
        <w:t>Section 4(e)</w:t>
      </w:r>
      <w:r>
        <w:rPr>
          <w:rFonts w:ascii="Arial" w:cs="Arial" w:eastAsia="Arial" w:hAnsi="Arial"/>
          <w:sz w:val="17"/>
          <w:szCs w:val="17"/>
          <w:color w:val="auto"/>
        </w:rPr>
        <w:t xml:space="preserve"> will be paid as provided for in </w:t>
      </w:r>
      <w:r>
        <w:rPr>
          <w:rFonts w:ascii="Arial" w:cs="Arial" w:eastAsia="Arial" w:hAnsi="Arial"/>
          <w:sz w:val="17"/>
          <w:szCs w:val="17"/>
          <w:b w:val="1"/>
          <w:bCs w:val="1"/>
          <w:u w:val="single" w:color="auto"/>
          <w:color w:val="auto"/>
        </w:rPr>
        <w:t>Section 6</w:t>
      </w:r>
      <w:r>
        <w:rPr>
          <w:rFonts w:ascii="Arial" w:cs="Arial" w:eastAsia="Arial" w:hAnsi="Arial"/>
          <w:sz w:val="17"/>
          <w:szCs w:val="17"/>
          <w:color w:val="auto"/>
        </w:rPr>
        <w:t xml:space="preserve"> of this Agreement. As used herein, “</w:t>
      </w:r>
      <w:r>
        <w:rPr>
          <w:rFonts w:ascii="Arial" w:cs="Arial" w:eastAsia="Arial" w:hAnsi="Arial"/>
          <w:sz w:val="17"/>
          <w:szCs w:val="17"/>
          <w:b w:val="1"/>
          <w:bCs w:val="1"/>
          <w:i w:val="1"/>
          <w:iCs w:val="1"/>
          <w:color w:val="auto"/>
        </w:rPr>
        <w:t>layoff</w:t>
      </w:r>
      <w:r>
        <w:rPr>
          <w:rFonts w:ascii="Arial" w:cs="Arial" w:eastAsia="Arial" w:hAnsi="Arial"/>
          <w:sz w:val="17"/>
          <w:szCs w:val="17"/>
          <w:color w:val="auto"/>
        </w:rPr>
        <w:t>” means the involuntary termination by the Company or any Subsidiary of Grantee’s employment with the Company or any Subsidiary due to (A) a reduction in force leading to a permanent downsizing of the salaried workforce, (B) a permanent shutdown of the plant, department or subdivision in which Grantee works, (C) an elimination of position; or (D) any or no reason, except for Cause, at the Company’s discretion; provided that a termination under clause (D) will constitute a “</w:t>
      </w:r>
      <w:r>
        <w:rPr>
          <w:rFonts w:ascii="Arial" w:cs="Arial" w:eastAsia="Arial" w:hAnsi="Arial"/>
          <w:sz w:val="17"/>
          <w:szCs w:val="17"/>
          <w:b w:val="1"/>
          <w:bCs w:val="1"/>
          <w:i w:val="1"/>
          <w:iCs w:val="1"/>
          <w:color w:val="auto"/>
        </w:rPr>
        <w:t>layoff</w:t>
      </w:r>
      <w:r>
        <w:rPr>
          <w:rFonts w:ascii="Arial" w:cs="Arial" w:eastAsia="Arial" w:hAnsi="Arial"/>
          <w:sz w:val="17"/>
          <w:szCs w:val="17"/>
          <w:color w:val="auto"/>
        </w:rPr>
        <w:t>” for purposes of this Agreement only (i) upon the prior approval of the Compensation Committee in the case of an executive officer, or (ii) upon the prior approval of the Executive Vice President—Human Resources and Corporate Relations or the Executive Vice President, General Counsel and Secretary in the case of any other terminated Grantee.</w:t>
      </w:r>
    </w:p>
    <w:p>
      <w:pPr>
        <w:spacing w:after="0" w:line="182" w:lineRule="exact"/>
        <w:rPr>
          <w:sz w:val="20"/>
          <w:szCs w:val="20"/>
          <w:color w:val="auto"/>
        </w:rPr>
      </w:pPr>
    </w:p>
    <w:p>
      <w:pPr>
        <w:jc w:val="both"/>
        <w:ind w:left="743" w:hanging="743"/>
        <w:spacing w:after="0" w:line="245" w:lineRule="auto"/>
        <w:tabs>
          <w:tab w:leader="none" w:pos="743" w:val="left"/>
        </w:tabs>
        <w:numPr>
          <w:ilvl w:val="0"/>
          <w:numId w:val="18"/>
        </w:numPr>
        <w:rPr>
          <w:rFonts w:ascii="Arial" w:cs="Arial" w:eastAsia="Arial" w:hAnsi="Arial"/>
          <w:sz w:val="18"/>
          <w:szCs w:val="18"/>
          <w:color w:val="auto"/>
        </w:rPr>
      </w:pPr>
      <w:r>
        <w:rPr>
          <w:rFonts w:ascii="Arial" w:cs="Arial" w:eastAsia="Arial" w:hAnsi="Arial"/>
          <w:sz w:val="18"/>
          <w:szCs w:val="18"/>
          <w:u w:val="single" w:color="auto"/>
          <w:color w:val="auto"/>
        </w:rPr>
        <w:t>Forfeiture of PRSUs</w:t>
      </w:r>
      <w:r>
        <w:rPr>
          <w:rFonts w:ascii="Arial" w:cs="Arial" w:eastAsia="Arial" w:hAnsi="Arial"/>
          <w:sz w:val="18"/>
          <w:szCs w:val="18"/>
          <w:color w:val="auto"/>
        </w:rPr>
        <w:t xml:space="preserve">. Any PRSUs that have not Vested pursuant to </w:t>
      </w:r>
      <w:r>
        <w:rPr>
          <w:rFonts w:ascii="Arial" w:cs="Arial" w:eastAsia="Arial" w:hAnsi="Arial"/>
          <w:sz w:val="18"/>
          <w:szCs w:val="18"/>
          <w:b w:val="1"/>
          <w:bCs w:val="1"/>
          <w:u w:val="single" w:color="auto"/>
          <w:color w:val="auto"/>
        </w:rPr>
        <w:t>Section 3</w:t>
      </w:r>
      <w:r>
        <w:rPr>
          <w:rFonts w:ascii="Arial" w:cs="Arial" w:eastAsia="Arial" w:hAnsi="Arial"/>
          <w:sz w:val="18"/>
          <w:szCs w:val="18"/>
          <w:color w:val="auto"/>
        </w:rPr>
        <w:t xml:space="preserve"> or </w:t>
      </w:r>
      <w:r>
        <w:rPr>
          <w:rFonts w:ascii="Arial" w:cs="Arial" w:eastAsia="Arial" w:hAnsi="Arial"/>
          <w:sz w:val="18"/>
          <w:szCs w:val="18"/>
          <w:b w:val="1"/>
          <w:bCs w:val="1"/>
          <w:u w:val="single" w:color="auto"/>
          <w:color w:val="auto"/>
        </w:rPr>
        <w:t>Section 4</w:t>
      </w:r>
      <w:r>
        <w:rPr>
          <w:rFonts w:ascii="Arial" w:cs="Arial" w:eastAsia="Arial" w:hAnsi="Arial"/>
          <w:sz w:val="18"/>
          <w:szCs w:val="18"/>
          <w:color w:val="auto"/>
        </w:rPr>
        <w:t xml:space="preserve"> at the end of the Performance Period will be forfeited automatically and without further notice after the end of the Performance Period (or earlier if, and on such date that, Grantee ceases to be an employee of the Company or a Subsidiary prior to the end of the Performance Period for any reason other than as described in </w:t>
      </w:r>
      <w:r>
        <w:rPr>
          <w:rFonts w:ascii="Arial" w:cs="Arial" w:eastAsia="Arial" w:hAnsi="Arial"/>
          <w:sz w:val="18"/>
          <w:szCs w:val="18"/>
          <w:b w:val="1"/>
          <w:bCs w:val="1"/>
          <w:u w:val="single" w:color="auto"/>
          <w:color w:val="auto"/>
        </w:rPr>
        <w:t>Section 4</w:t>
      </w:r>
      <w:r>
        <w:rPr>
          <w:rFonts w:ascii="Arial" w:cs="Arial" w:eastAsia="Arial" w:hAnsi="Arial"/>
          <w:sz w:val="18"/>
          <w:szCs w:val="18"/>
          <w:color w:val="auto"/>
        </w:rPr>
        <w:t>).</w:t>
      </w:r>
    </w:p>
    <w:p>
      <w:pPr>
        <w:spacing w:after="0" w:line="184" w:lineRule="exact"/>
        <w:rPr>
          <w:rFonts w:ascii="Arial" w:cs="Arial" w:eastAsia="Arial" w:hAnsi="Arial"/>
          <w:sz w:val="18"/>
          <w:szCs w:val="18"/>
          <w:color w:val="auto"/>
        </w:rPr>
      </w:pPr>
    </w:p>
    <w:p>
      <w:pPr>
        <w:ind w:left="743" w:hanging="743"/>
        <w:spacing w:after="0"/>
        <w:tabs>
          <w:tab w:leader="none" w:pos="743" w:val="left"/>
        </w:tabs>
        <w:numPr>
          <w:ilvl w:val="0"/>
          <w:numId w:val="18"/>
        </w:numPr>
        <w:rPr>
          <w:rFonts w:ascii="Arial" w:cs="Arial" w:eastAsia="Arial" w:hAnsi="Arial"/>
          <w:sz w:val="18"/>
          <w:szCs w:val="18"/>
          <w:color w:val="auto"/>
        </w:rPr>
      </w:pPr>
      <w:r>
        <w:rPr>
          <w:rFonts w:ascii="Arial" w:cs="Arial" w:eastAsia="Arial" w:hAnsi="Arial"/>
          <w:sz w:val="18"/>
          <w:szCs w:val="18"/>
          <w:u w:val="single" w:color="auto"/>
          <w:color w:val="auto"/>
        </w:rPr>
        <w:t>Form and Time of Payment of PRSUs</w:t>
      </w:r>
      <w:r>
        <w:rPr>
          <w:rFonts w:ascii="Arial" w:cs="Arial" w:eastAsia="Arial" w:hAnsi="Arial"/>
          <w:sz w:val="18"/>
          <w:szCs w:val="18"/>
          <w:color w:val="auto"/>
        </w:rPr>
        <w:t>.</w:t>
      </w:r>
    </w:p>
    <w:p>
      <w:pPr>
        <w:spacing w:after="0" w:line="207" w:lineRule="exact"/>
        <w:rPr>
          <w:rFonts w:ascii="Arial" w:cs="Arial" w:eastAsia="Arial" w:hAnsi="Arial"/>
          <w:sz w:val="18"/>
          <w:szCs w:val="18"/>
          <w:color w:val="auto"/>
        </w:rPr>
      </w:pPr>
    </w:p>
    <w:p>
      <w:pPr>
        <w:jc w:val="both"/>
        <w:ind w:left="1503" w:hanging="755"/>
        <w:spacing w:after="0" w:line="250" w:lineRule="auto"/>
        <w:tabs>
          <w:tab w:leader="none" w:pos="1503" w:val="left"/>
        </w:tabs>
        <w:numPr>
          <w:ilvl w:val="1"/>
          <w:numId w:val="18"/>
        </w:numPr>
        <w:rPr>
          <w:rFonts w:ascii="Arial" w:cs="Arial" w:eastAsia="Arial" w:hAnsi="Arial"/>
          <w:sz w:val="18"/>
          <w:szCs w:val="18"/>
          <w:color w:val="auto"/>
        </w:rPr>
      </w:pPr>
      <w:r>
        <w:rPr>
          <w:rFonts w:ascii="Arial" w:cs="Arial" w:eastAsia="Arial" w:hAnsi="Arial"/>
          <w:sz w:val="18"/>
          <w:szCs w:val="18"/>
          <w:u w:val="single" w:color="auto"/>
          <w:color w:val="auto"/>
        </w:rPr>
        <w:t>General</w:t>
      </w:r>
      <w:r>
        <w:rPr>
          <w:rFonts w:ascii="Arial" w:cs="Arial" w:eastAsia="Arial" w:hAnsi="Arial"/>
          <w:sz w:val="18"/>
          <w:szCs w:val="18"/>
          <w:color w:val="auto"/>
        </w:rPr>
        <w:t xml:space="preserve">. Subject to </w:t>
      </w:r>
      <w:r>
        <w:rPr>
          <w:rFonts w:ascii="Arial" w:cs="Arial" w:eastAsia="Arial" w:hAnsi="Arial"/>
          <w:sz w:val="18"/>
          <w:szCs w:val="18"/>
          <w:b w:val="1"/>
          <w:bCs w:val="1"/>
          <w:u w:val="single" w:color="auto"/>
          <w:color w:val="auto"/>
        </w:rPr>
        <w:t>Section 5</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Section 6(b)</w:t>
      </w:r>
      <w:r>
        <w:rPr>
          <w:rFonts w:ascii="Arial" w:cs="Arial" w:eastAsia="Arial" w:hAnsi="Arial"/>
          <w:sz w:val="18"/>
          <w:szCs w:val="18"/>
          <w:color w:val="auto"/>
        </w:rPr>
        <w:t xml:space="preserve">, and </w:t>
      </w:r>
      <w:r>
        <w:rPr>
          <w:rFonts w:ascii="Arial" w:cs="Arial" w:eastAsia="Arial" w:hAnsi="Arial"/>
          <w:sz w:val="18"/>
          <w:szCs w:val="18"/>
          <w:b w:val="1"/>
          <w:bCs w:val="1"/>
          <w:u w:val="single" w:color="auto"/>
          <w:color w:val="auto"/>
        </w:rPr>
        <w:t>Section 6(c)</w:t>
      </w:r>
      <w:r>
        <w:rPr>
          <w:rFonts w:ascii="Arial" w:cs="Arial" w:eastAsia="Arial" w:hAnsi="Arial"/>
          <w:sz w:val="18"/>
          <w:szCs w:val="18"/>
          <w:color w:val="auto"/>
        </w:rPr>
        <w:t>, payment for Vested PRSUs will be made in cash or Common Shares (as determined by the Committee) in the year following the last day of the Performance Period but in no event later than March 15 of that year.</w:t>
      </w:r>
    </w:p>
    <w:p>
      <w:pPr>
        <w:spacing w:after="0" w:line="176" w:lineRule="exact"/>
        <w:rPr>
          <w:rFonts w:ascii="Arial" w:cs="Arial" w:eastAsia="Arial" w:hAnsi="Arial"/>
          <w:sz w:val="18"/>
          <w:szCs w:val="18"/>
          <w:color w:val="auto"/>
        </w:rPr>
      </w:pPr>
    </w:p>
    <w:p>
      <w:pPr>
        <w:jc w:val="both"/>
        <w:ind w:left="1503" w:hanging="755"/>
        <w:spacing w:after="0" w:line="280" w:lineRule="auto"/>
        <w:tabs>
          <w:tab w:leader="none" w:pos="1503" w:val="left"/>
        </w:tabs>
        <w:numPr>
          <w:ilvl w:val="1"/>
          <w:numId w:val="18"/>
        </w:numPr>
        <w:rPr>
          <w:rFonts w:ascii="Arial" w:cs="Arial" w:eastAsia="Arial" w:hAnsi="Arial"/>
          <w:sz w:val="16"/>
          <w:szCs w:val="16"/>
          <w:color w:val="auto"/>
        </w:rPr>
      </w:pPr>
      <w:r>
        <w:rPr>
          <w:rFonts w:ascii="Arial" w:cs="Arial" w:eastAsia="Arial" w:hAnsi="Arial"/>
          <w:sz w:val="16"/>
          <w:szCs w:val="16"/>
          <w:u w:val="single" w:color="auto"/>
          <w:color w:val="auto"/>
        </w:rPr>
        <w:t>Change in Control</w:t>
      </w:r>
      <w:r>
        <w:rPr>
          <w:rFonts w:ascii="Arial" w:cs="Arial" w:eastAsia="Arial" w:hAnsi="Arial"/>
          <w:sz w:val="16"/>
          <w:szCs w:val="16"/>
          <w:color w:val="auto"/>
        </w:rPr>
        <w:t xml:space="preserve">. Notwithstanding </w:t>
      </w:r>
      <w:r>
        <w:rPr>
          <w:rFonts w:ascii="Arial" w:cs="Arial" w:eastAsia="Arial" w:hAnsi="Arial"/>
          <w:sz w:val="16"/>
          <w:szCs w:val="16"/>
          <w:b w:val="1"/>
          <w:bCs w:val="1"/>
          <w:u w:val="single" w:color="auto"/>
          <w:color w:val="auto"/>
        </w:rPr>
        <w:t>Section 6(a)</w:t>
      </w:r>
      <w:r>
        <w:rPr>
          <w:rFonts w:ascii="Arial" w:cs="Arial" w:eastAsia="Arial" w:hAnsi="Arial"/>
          <w:sz w:val="16"/>
          <w:szCs w:val="16"/>
          <w:color w:val="auto"/>
        </w:rPr>
        <w:t xml:space="preserve">, to the extent PRSUs are Vested on the date of a Change in Control, Grantee will receive payment for Vested PRSUs in cash or Common Shares (as determined by the Committee) on the date of the Change in Control;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if such Change in Control would not qualify as a permissible date of distribution under Section 409A(a)(2)(A) of the Code, and where Section 409A of the Code applies to such distribution, Grantee will receive the corresponding payment on the date that would have otherwise applied pursuant to this </w:t>
      </w:r>
      <w:r>
        <w:rPr>
          <w:rFonts w:ascii="Arial" w:cs="Arial" w:eastAsia="Arial" w:hAnsi="Arial"/>
          <w:sz w:val="16"/>
          <w:szCs w:val="16"/>
          <w:b w:val="1"/>
          <w:bCs w:val="1"/>
          <w:u w:val="single" w:color="auto"/>
          <w:color w:val="auto"/>
        </w:rPr>
        <w:t>Section 6</w:t>
      </w:r>
      <w:r>
        <w:rPr>
          <w:rFonts w:ascii="Arial" w:cs="Arial" w:eastAsia="Arial" w:hAnsi="Arial"/>
          <w:sz w:val="16"/>
          <w:szCs w:val="16"/>
          <w:color w:val="auto"/>
        </w:rPr>
        <w:t>.</w:t>
      </w:r>
    </w:p>
    <w:p>
      <w:pPr>
        <w:spacing w:after="0" w:line="155" w:lineRule="exact"/>
        <w:rPr>
          <w:rFonts w:ascii="Arial" w:cs="Arial" w:eastAsia="Arial" w:hAnsi="Arial"/>
          <w:sz w:val="16"/>
          <w:szCs w:val="16"/>
          <w:color w:val="auto"/>
        </w:rPr>
      </w:pPr>
    </w:p>
    <w:p>
      <w:pPr>
        <w:ind w:left="1503" w:right="120" w:hanging="755"/>
        <w:spacing w:after="0" w:line="275" w:lineRule="auto"/>
        <w:tabs>
          <w:tab w:leader="none" w:pos="1503" w:val="left"/>
        </w:tabs>
        <w:numPr>
          <w:ilvl w:val="1"/>
          <w:numId w:val="18"/>
        </w:numPr>
        <w:rPr>
          <w:rFonts w:ascii="Arial" w:cs="Arial" w:eastAsia="Arial" w:hAnsi="Arial"/>
          <w:sz w:val="16"/>
          <w:szCs w:val="16"/>
          <w:color w:val="auto"/>
        </w:rPr>
      </w:pPr>
      <w:r>
        <w:rPr>
          <w:rFonts w:ascii="Arial" w:cs="Arial" w:eastAsia="Arial" w:hAnsi="Arial"/>
          <w:sz w:val="16"/>
          <w:szCs w:val="16"/>
          <w:u w:val="single" w:color="auto"/>
          <w:color w:val="auto"/>
        </w:rPr>
        <w:t>Payment Following a Change in Control</w:t>
      </w:r>
      <w:r>
        <w:rPr>
          <w:rFonts w:ascii="Arial" w:cs="Arial" w:eastAsia="Arial" w:hAnsi="Arial"/>
          <w:sz w:val="16"/>
          <w:szCs w:val="16"/>
          <w:color w:val="auto"/>
        </w:rPr>
        <w:t xml:space="preserve">. Notwithstanding </w:t>
      </w:r>
      <w:r>
        <w:rPr>
          <w:rFonts w:ascii="Arial" w:cs="Arial" w:eastAsia="Arial" w:hAnsi="Arial"/>
          <w:sz w:val="16"/>
          <w:szCs w:val="16"/>
          <w:b w:val="1"/>
          <w:bCs w:val="1"/>
          <w:u w:val="single" w:color="auto"/>
          <w:color w:val="auto"/>
        </w:rPr>
        <w:t>Section 6(a)</w:t>
      </w:r>
      <w:r>
        <w:rPr>
          <w:rFonts w:ascii="Arial" w:cs="Arial" w:eastAsia="Arial" w:hAnsi="Arial"/>
          <w:sz w:val="16"/>
          <w:szCs w:val="16"/>
          <w:color w:val="auto"/>
        </w:rPr>
        <w:t xml:space="preserve">, if, during the two-year period following a Change in Control, Grantee experiences a “separation from service” (within the meaning of Treasury Regulation section 1.409A-1(h)), the PRSUs that are Vested as of the date of such separation from service will be paid in cash or Common Shares (as determined by the Committee) within 10 days of the separation from service to the extent they have not been previously paid to Grantee; provided, however, that if such Change in Control would not qualify as a permissible date of distribution under Section 409A(a)(2)(A) of the Code, and where Section 409A of the Code applies to such distribution, Grantee will receive the corresponding payment on the date that would have otherwise applied pursuant to this </w:t>
      </w:r>
      <w:r>
        <w:rPr>
          <w:rFonts w:ascii="Arial" w:cs="Arial" w:eastAsia="Arial" w:hAnsi="Arial"/>
          <w:sz w:val="16"/>
          <w:szCs w:val="16"/>
          <w:b w:val="1"/>
          <w:bCs w:val="1"/>
          <w:u w:val="single" w:color="auto"/>
          <w:color w:val="auto"/>
        </w:rPr>
        <w:t>Section 6</w:t>
      </w:r>
      <w:r>
        <w:rPr>
          <w:rFonts w:ascii="Arial" w:cs="Arial" w:eastAsia="Arial" w:hAnsi="Arial"/>
          <w:sz w:val="16"/>
          <w:szCs w:val="16"/>
          <w:color w:val="auto"/>
        </w:rPr>
        <w:t>.</w:t>
      </w:r>
    </w:p>
    <w:p>
      <w:pPr>
        <w:spacing w:after="0" w:line="161" w:lineRule="exact"/>
        <w:rPr>
          <w:rFonts w:ascii="Arial" w:cs="Arial" w:eastAsia="Arial" w:hAnsi="Arial"/>
          <w:sz w:val="16"/>
          <w:szCs w:val="16"/>
          <w:color w:val="auto"/>
        </w:rPr>
      </w:pPr>
    </w:p>
    <w:p>
      <w:pPr>
        <w:ind w:left="743" w:right="120" w:hanging="743"/>
        <w:spacing w:after="0" w:line="243" w:lineRule="auto"/>
        <w:tabs>
          <w:tab w:leader="none" w:pos="743" w:val="left"/>
        </w:tabs>
        <w:numPr>
          <w:ilvl w:val="0"/>
          <w:numId w:val="18"/>
        </w:numPr>
        <w:rPr>
          <w:rFonts w:ascii="Arial" w:cs="Arial" w:eastAsia="Arial" w:hAnsi="Arial"/>
          <w:sz w:val="18"/>
          <w:szCs w:val="18"/>
          <w:color w:val="auto"/>
        </w:rPr>
      </w:pPr>
      <w:r>
        <w:rPr>
          <w:rFonts w:ascii="Arial" w:cs="Arial" w:eastAsia="Arial" w:hAnsi="Arial"/>
          <w:sz w:val="18"/>
          <w:szCs w:val="18"/>
          <w:u w:val="single" w:color="auto"/>
          <w:color w:val="auto"/>
        </w:rPr>
        <w:t>Dividend Equivalents</w:t>
      </w:r>
      <w:r>
        <w:rPr>
          <w:rFonts w:ascii="Arial" w:cs="Arial" w:eastAsia="Arial" w:hAnsi="Arial"/>
          <w:sz w:val="18"/>
          <w:szCs w:val="18"/>
          <w:color w:val="auto"/>
        </w:rPr>
        <w:t xml:space="preserve">. Grantee will be credited with cash per PRSU equal to the amount of each cash dividend paid by the Company (if any) to holders of Common Shares generally with a record date occurring on or after the Date of Grant and prior to the time when the PRSUs are paid in accordance with </w:t>
      </w:r>
      <w:r>
        <w:rPr>
          <w:rFonts w:ascii="Arial" w:cs="Arial" w:eastAsia="Arial" w:hAnsi="Arial"/>
          <w:sz w:val="18"/>
          <w:szCs w:val="18"/>
          <w:b w:val="1"/>
          <w:bCs w:val="1"/>
          <w:u w:val="single" w:color="auto"/>
          <w:color w:val="auto"/>
        </w:rPr>
        <w:t>Section 6</w:t>
      </w:r>
      <w:r>
        <w:rPr>
          <w:rFonts w:ascii="Arial" w:cs="Arial" w:eastAsia="Arial" w:hAnsi="Arial"/>
          <w:sz w:val="18"/>
          <w:szCs w:val="18"/>
          <w:color w:val="auto"/>
        </w:rPr>
        <w:t xml:space="preserve"> hereof. Any amounts credited pursuant to the immediately preceding sentence will be subject to the same applicable terms and conditions (including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-487680</wp:posOffset>
            </wp:positionH>
            <wp:positionV relativeFrom="paragraph">
              <wp:posOffset>295910</wp:posOffset>
            </wp:positionV>
            <wp:extent cx="7157720" cy="425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83"/>
          </w:cols>
          <w:pgMar w:left="1077" w:top="328" w:right="339" w:bottom="1440" w:gutter="0" w:footer="0" w:header="0"/>
        </w:sectPr>
      </w:pPr>
    </w:p>
    <w:bookmarkStart w:id="36" w:name="page37"/>
    <w:bookmarkEnd w:id="36"/>
    <w:p>
      <w:pPr>
        <w:jc w:val="both"/>
        <w:ind w:left="743" w:right="120"/>
        <w:spacing w:after="0" w:line="284" w:lineRule="auto"/>
        <w:rPr>
          <w:sz w:val="20"/>
          <w:szCs w:val="20"/>
          <w:color w:val="auto"/>
        </w:rPr>
      </w:pPr>
      <w:r>
        <w:rPr>
          <w:rFonts w:ascii="Arial" w:cs="Arial" w:eastAsia="Arial" w:hAnsi="Arial"/>
          <w:sz w:val="16"/>
          <w:szCs w:val="16"/>
          <w:color w:val="auto"/>
        </w:rPr>
        <w:t>earning, Vesting, payment, and forfeitability) as apply to the PRSUs based on which the dividend equivalents were credited, and such amounts will be paid in either cash or Common Shares, as determined by the Committee in its sole discretion, at the same time as the PRSUs to which they relate. If such amounts are paid in Common Shares, the number of shares so paid will be rounded down to the nearest whole number and will be determined by dividing such credited amounts by the Market Value per Share on the payment date.</w:t>
      </w:r>
    </w:p>
    <w:p>
      <w:pPr>
        <w:spacing w:after="0" w:line="155" w:lineRule="exact"/>
        <w:rPr>
          <w:sz w:val="20"/>
          <w:szCs w:val="20"/>
          <w:color w:val="auto"/>
        </w:rPr>
      </w:pPr>
    </w:p>
    <w:p>
      <w:pPr>
        <w:ind w:left="743" w:hanging="743"/>
        <w:spacing w:after="0"/>
        <w:tabs>
          <w:tab w:leader="none" w:pos="743" w:val="left"/>
        </w:tabs>
        <w:numPr>
          <w:ilvl w:val="0"/>
          <w:numId w:val="19"/>
        </w:numPr>
        <w:rPr>
          <w:rFonts w:ascii="Arial" w:cs="Arial" w:eastAsia="Arial" w:hAnsi="Arial"/>
          <w:sz w:val="18"/>
          <w:szCs w:val="18"/>
          <w:color w:val="auto"/>
        </w:rPr>
      </w:pPr>
      <w:r>
        <w:rPr>
          <w:rFonts w:ascii="Arial" w:cs="Arial" w:eastAsia="Arial" w:hAnsi="Arial"/>
          <w:sz w:val="18"/>
          <w:szCs w:val="18"/>
          <w:u w:val="single" w:color="auto"/>
          <w:color w:val="auto"/>
        </w:rPr>
        <w:t>Detrimental Activity and Recapture</w:t>
      </w:r>
      <w:r>
        <w:rPr>
          <w:rFonts w:ascii="Arial" w:cs="Arial" w:eastAsia="Arial" w:hAnsi="Arial"/>
          <w:sz w:val="18"/>
          <w:szCs w:val="18"/>
          <w:color w:val="auto"/>
        </w:rPr>
        <w:t>.</w:t>
      </w:r>
    </w:p>
    <w:p>
      <w:pPr>
        <w:spacing w:after="0" w:line="211" w:lineRule="exact"/>
        <w:rPr>
          <w:rFonts w:ascii="Arial" w:cs="Arial" w:eastAsia="Arial" w:hAnsi="Arial"/>
          <w:sz w:val="18"/>
          <w:szCs w:val="18"/>
          <w:color w:val="auto"/>
        </w:rPr>
      </w:pPr>
    </w:p>
    <w:p>
      <w:pPr>
        <w:jc w:val="both"/>
        <w:ind w:left="1503" w:right="20" w:hanging="755"/>
        <w:spacing w:after="0" w:line="294" w:lineRule="auto"/>
        <w:tabs>
          <w:tab w:leader="none" w:pos="1503" w:val="left"/>
        </w:tabs>
        <w:numPr>
          <w:ilvl w:val="1"/>
          <w:numId w:val="19"/>
        </w:numPr>
        <w:rPr>
          <w:rFonts w:ascii="Arial" w:cs="Arial" w:eastAsia="Arial" w:hAnsi="Arial"/>
          <w:sz w:val="16"/>
          <w:szCs w:val="16"/>
          <w:color w:val="auto"/>
        </w:rPr>
      </w:pPr>
      <w:r>
        <w:rPr>
          <w:rFonts w:ascii="Arial" w:cs="Arial" w:eastAsia="Arial" w:hAnsi="Arial"/>
          <w:sz w:val="16"/>
          <w:szCs w:val="16"/>
          <w:color w:val="auto"/>
        </w:rPr>
        <w:t>Notwithstanding anything in this Agreement to the contrary, in the event that, as determined by the Committee, Grantee engages in Detrimental Activity during employment with the Company or a Subsidiary, the PRSUs will be forfeited automatically and without further notice at the time of that determination. As used herein, “</w:t>
      </w:r>
      <w:r>
        <w:rPr>
          <w:rFonts w:ascii="Arial" w:cs="Arial" w:eastAsia="Arial" w:hAnsi="Arial"/>
          <w:sz w:val="16"/>
          <w:szCs w:val="16"/>
          <w:b w:val="1"/>
          <w:bCs w:val="1"/>
          <w:i w:val="1"/>
          <w:iCs w:val="1"/>
          <w:color w:val="auto"/>
        </w:rPr>
        <w:t>Detrimental Activity</w:t>
      </w:r>
      <w:r>
        <w:rPr>
          <w:rFonts w:ascii="Arial" w:cs="Arial" w:eastAsia="Arial" w:hAnsi="Arial"/>
          <w:sz w:val="16"/>
          <w:szCs w:val="16"/>
          <w:color w:val="auto"/>
        </w:rPr>
        <w:t>” means:</w:t>
      </w:r>
    </w:p>
    <w:p>
      <w:pPr>
        <w:spacing w:after="0" w:line="147" w:lineRule="exact"/>
        <w:rPr>
          <w:rFonts w:ascii="Arial" w:cs="Arial" w:eastAsia="Arial" w:hAnsi="Arial"/>
          <w:sz w:val="16"/>
          <w:szCs w:val="16"/>
          <w:color w:val="auto"/>
        </w:rPr>
      </w:pPr>
    </w:p>
    <w:p>
      <w:pPr>
        <w:jc w:val="both"/>
        <w:ind w:left="2243" w:hanging="746"/>
        <w:spacing w:after="0" w:line="259" w:lineRule="auto"/>
        <w:tabs>
          <w:tab w:leader="none" w:pos="2243" w:val="left"/>
        </w:tabs>
        <w:numPr>
          <w:ilvl w:val="2"/>
          <w:numId w:val="19"/>
        </w:numPr>
        <w:rPr>
          <w:rFonts w:ascii="Arial" w:cs="Arial" w:eastAsia="Arial" w:hAnsi="Arial"/>
          <w:sz w:val="17"/>
          <w:szCs w:val="17"/>
          <w:color w:val="auto"/>
        </w:rPr>
      </w:pPr>
      <w:r>
        <w:rPr>
          <w:rFonts w:ascii="Arial" w:cs="Arial" w:eastAsia="Arial" w:hAnsi="Arial"/>
          <w:sz w:val="17"/>
          <w:szCs w:val="17"/>
          <w:color w:val="auto"/>
        </w:rPr>
        <w:t>engaging in any activity, as an employee, principal, agent, or consultant, for another entity that competes with the Company in any actual, researched, or prospective product, service, system, or business activity for which Grantee has had any direct responsibility during the last two years of his or her employment with the Company or a Subsidiary, in any territory in which the Company or a Subsidiary manufactures, sells, markets, services, or installs such product, service, or system, or engages in such business activity;</w:t>
      </w:r>
    </w:p>
    <w:p>
      <w:pPr>
        <w:spacing w:after="0" w:line="173" w:lineRule="exact"/>
        <w:rPr>
          <w:rFonts w:ascii="Arial" w:cs="Arial" w:eastAsia="Arial" w:hAnsi="Arial"/>
          <w:sz w:val="17"/>
          <w:szCs w:val="17"/>
          <w:color w:val="auto"/>
        </w:rPr>
      </w:pPr>
    </w:p>
    <w:p>
      <w:pPr>
        <w:ind w:left="2243" w:hanging="746"/>
        <w:spacing w:after="0" w:line="261" w:lineRule="auto"/>
        <w:tabs>
          <w:tab w:leader="none" w:pos="2243" w:val="left"/>
        </w:tabs>
        <w:numPr>
          <w:ilvl w:val="2"/>
          <w:numId w:val="19"/>
        </w:numPr>
        <w:rPr>
          <w:rFonts w:ascii="Arial" w:cs="Arial" w:eastAsia="Arial" w:hAnsi="Arial"/>
          <w:sz w:val="18"/>
          <w:szCs w:val="18"/>
          <w:color w:val="auto"/>
        </w:rPr>
      </w:pPr>
      <w:r>
        <w:rPr>
          <w:rFonts w:ascii="Arial" w:cs="Arial" w:eastAsia="Arial" w:hAnsi="Arial"/>
          <w:sz w:val="18"/>
          <w:szCs w:val="18"/>
          <w:color w:val="auto"/>
        </w:rPr>
        <w:t>soliciting any employee of the Company or a Subsidiary to terminate his or her employment with the Company or a Subsidiary;</w:t>
      </w:r>
    </w:p>
    <w:p>
      <w:pPr>
        <w:spacing w:after="0" w:line="170" w:lineRule="exact"/>
        <w:rPr>
          <w:rFonts w:ascii="Arial" w:cs="Arial" w:eastAsia="Arial" w:hAnsi="Arial"/>
          <w:sz w:val="18"/>
          <w:szCs w:val="18"/>
          <w:color w:val="auto"/>
        </w:rPr>
      </w:pPr>
    </w:p>
    <w:p>
      <w:pPr>
        <w:jc w:val="both"/>
        <w:ind w:left="2243" w:hanging="746"/>
        <w:spacing w:after="0" w:line="241" w:lineRule="auto"/>
        <w:tabs>
          <w:tab w:leader="none" w:pos="2243" w:val="left"/>
        </w:tabs>
        <w:numPr>
          <w:ilvl w:val="2"/>
          <w:numId w:val="19"/>
        </w:numPr>
        <w:rPr>
          <w:rFonts w:ascii="Arial" w:cs="Arial" w:eastAsia="Arial" w:hAnsi="Arial"/>
          <w:sz w:val="18"/>
          <w:szCs w:val="18"/>
          <w:color w:val="auto"/>
        </w:rPr>
      </w:pPr>
      <w:r>
        <w:rPr>
          <w:rFonts w:ascii="Arial" w:cs="Arial" w:eastAsia="Arial" w:hAnsi="Arial"/>
          <w:sz w:val="18"/>
          <w:szCs w:val="18"/>
          <w:color w:val="auto"/>
        </w:rPr>
        <w:t>the disclosure to anyone outside the Company or a Subsidiary, or the use in other than the Company’s or one of its Subsidiary’s business, without prior written authorization from the Company, of any confidential, proprietary or trade secret information or material relating to the business of the Company and its Subsidiaries, acquired by Grantee during his or her employment with the Company or its Subsidiaries or while acting as a director of or consultant for the Company or its Subsidiaries thereafter;</w:t>
      </w:r>
    </w:p>
    <w:p>
      <w:pPr>
        <w:spacing w:after="0" w:line="189" w:lineRule="exact"/>
        <w:rPr>
          <w:rFonts w:ascii="Arial" w:cs="Arial" w:eastAsia="Arial" w:hAnsi="Arial"/>
          <w:sz w:val="18"/>
          <w:szCs w:val="18"/>
          <w:color w:val="auto"/>
        </w:rPr>
      </w:pPr>
    </w:p>
    <w:p>
      <w:pPr>
        <w:jc w:val="both"/>
        <w:ind w:left="2243" w:hanging="746"/>
        <w:spacing w:after="0" w:line="279" w:lineRule="auto"/>
        <w:tabs>
          <w:tab w:leader="none" w:pos="2243" w:val="left"/>
        </w:tabs>
        <w:numPr>
          <w:ilvl w:val="2"/>
          <w:numId w:val="19"/>
        </w:numPr>
        <w:rPr>
          <w:rFonts w:ascii="Arial" w:cs="Arial" w:eastAsia="Arial" w:hAnsi="Arial"/>
          <w:sz w:val="16"/>
          <w:szCs w:val="16"/>
          <w:color w:val="auto"/>
        </w:rPr>
      </w:pPr>
      <w:r>
        <w:rPr>
          <w:rFonts w:ascii="Arial" w:cs="Arial" w:eastAsia="Arial" w:hAnsi="Arial"/>
          <w:sz w:val="16"/>
          <w:szCs w:val="16"/>
          <w:color w:val="auto"/>
        </w:rPr>
        <w:t>the failure or refusal to disclose promptly and to assign to the Company upon request all right, title and interest in any invention or idea, patentable or not, made or conceived by Grantee during employment by the Company and any Subsidiary, relating in any manner to the actual or anticipated business, research or development work of the Company or any Subsidiary or the failure or refusal to do anything reasonably necessary to enable the Company or any Subsidiary to secure a patent where appropriate in the United States and in other countries;</w:t>
      </w:r>
    </w:p>
    <w:p>
      <w:pPr>
        <w:spacing w:after="0" w:line="155" w:lineRule="exact"/>
        <w:rPr>
          <w:rFonts w:ascii="Arial" w:cs="Arial" w:eastAsia="Arial" w:hAnsi="Arial"/>
          <w:sz w:val="16"/>
          <w:szCs w:val="16"/>
          <w:color w:val="auto"/>
        </w:rPr>
      </w:pPr>
    </w:p>
    <w:p>
      <w:pPr>
        <w:jc w:val="both"/>
        <w:ind w:left="2243" w:hanging="746"/>
        <w:spacing w:after="0" w:line="242" w:lineRule="auto"/>
        <w:tabs>
          <w:tab w:leader="none" w:pos="2243" w:val="left"/>
        </w:tabs>
        <w:numPr>
          <w:ilvl w:val="2"/>
          <w:numId w:val="19"/>
        </w:numPr>
        <w:rPr>
          <w:rFonts w:ascii="Arial" w:cs="Arial" w:eastAsia="Arial" w:hAnsi="Arial"/>
          <w:sz w:val="18"/>
          <w:szCs w:val="18"/>
          <w:color w:val="auto"/>
        </w:rPr>
      </w:pPr>
      <w:r>
        <w:rPr>
          <w:rFonts w:ascii="Arial" w:cs="Arial" w:eastAsia="Arial" w:hAnsi="Arial"/>
          <w:sz w:val="18"/>
          <w:szCs w:val="18"/>
          <w:color w:val="auto"/>
        </w:rPr>
        <w:t xml:space="preserve">activity that results in Termination for Cause. For purposes of this </w:t>
      </w:r>
      <w:r>
        <w:rPr>
          <w:rFonts w:ascii="Arial" w:cs="Arial" w:eastAsia="Arial" w:hAnsi="Arial"/>
          <w:sz w:val="18"/>
          <w:szCs w:val="18"/>
          <w:b w:val="1"/>
          <w:bCs w:val="1"/>
          <w:u w:val="single" w:color="auto"/>
          <w:color w:val="auto"/>
        </w:rPr>
        <w:t>Section 8(a)(v)</w:t>
      </w:r>
      <w:r>
        <w:rPr>
          <w:rFonts w:ascii="Arial" w:cs="Arial" w:eastAsia="Arial" w:hAnsi="Arial"/>
          <w:sz w:val="18"/>
          <w:szCs w:val="18"/>
          <w:color w:val="auto"/>
        </w:rPr>
        <w:t>, “</w:t>
      </w:r>
      <w:r>
        <w:rPr>
          <w:rFonts w:ascii="Arial" w:cs="Arial" w:eastAsia="Arial" w:hAnsi="Arial"/>
          <w:sz w:val="18"/>
          <w:szCs w:val="18"/>
          <w:b w:val="1"/>
          <w:bCs w:val="1"/>
          <w:i w:val="1"/>
          <w:iCs w:val="1"/>
          <w:color w:val="auto"/>
        </w:rPr>
        <w:t>Termination for Cause</w:t>
      </w:r>
      <w:r>
        <w:rPr>
          <w:rFonts w:ascii="Arial" w:cs="Arial" w:eastAsia="Arial" w:hAnsi="Arial"/>
          <w:sz w:val="18"/>
          <w:szCs w:val="18"/>
          <w:color w:val="auto"/>
        </w:rPr>
        <w:t>” means a termination: (A) due to Grantee’s willful and continuous gross neglect of his or her duties for which he or she is employed; or (B) due to an act of dishonesty on the part of Grantee constituting a felony resulting or intended to result, directly or indirectly, in his or her gain for personal enrichment at the expense of the Company or a Subsidiary; or</w:t>
      </w:r>
    </w:p>
    <w:p>
      <w:pPr>
        <w:spacing w:after="0" w:line="188" w:lineRule="exact"/>
        <w:rPr>
          <w:rFonts w:ascii="Arial" w:cs="Arial" w:eastAsia="Arial" w:hAnsi="Arial"/>
          <w:sz w:val="18"/>
          <w:szCs w:val="18"/>
          <w:color w:val="auto"/>
        </w:rPr>
      </w:pPr>
    </w:p>
    <w:p>
      <w:pPr>
        <w:jc w:val="both"/>
        <w:ind w:left="2243" w:hanging="746"/>
        <w:spacing w:after="0" w:line="248" w:lineRule="auto"/>
        <w:tabs>
          <w:tab w:leader="none" w:pos="2243" w:val="left"/>
        </w:tabs>
        <w:numPr>
          <w:ilvl w:val="2"/>
          <w:numId w:val="19"/>
        </w:numPr>
        <w:rPr>
          <w:rFonts w:ascii="Arial" w:cs="Arial" w:eastAsia="Arial" w:hAnsi="Arial"/>
          <w:sz w:val="18"/>
          <w:szCs w:val="18"/>
          <w:color w:val="auto"/>
        </w:rPr>
      </w:pPr>
      <w:r>
        <w:rPr>
          <w:rFonts w:ascii="Arial" w:cs="Arial" w:eastAsia="Arial" w:hAnsi="Arial"/>
          <w:sz w:val="18"/>
          <w:szCs w:val="18"/>
          <w:color w:val="auto"/>
        </w:rPr>
        <w:t>any other conduct or act determined to be injurious, detrimental or prejudicial to any significant interest of the Company or any Subsidiary unless Grantee acted in good faith and in a manner he or she reasonably believed to be in or not opposed to the best interests of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-487680</wp:posOffset>
            </wp:positionH>
            <wp:positionV relativeFrom="paragraph">
              <wp:posOffset>292100</wp:posOffset>
            </wp:positionV>
            <wp:extent cx="7157720" cy="425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83"/>
          </w:cols>
          <w:pgMar w:left="1077" w:top="328" w:right="339" w:bottom="1440" w:gutter="0" w:footer="0" w:header="0"/>
        </w:sectPr>
      </w:pPr>
    </w:p>
    <w:bookmarkStart w:id="37" w:name="page38"/>
    <w:bookmarkEnd w:id="37"/>
    <w:p>
      <w:pPr>
        <w:ind w:left="1503" w:right="200"/>
        <w:spacing w:after="0" w:line="241" w:lineRule="auto"/>
        <w:rPr>
          <w:sz w:val="20"/>
          <w:szCs w:val="20"/>
          <w:color w:val="auto"/>
        </w:rPr>
      </w:pPr>
      <w:r>
        <w:rPr>
          <w:rFonts w:ascii="Arial" w:cs="Arial" w:eastAsia="Arial" w:hAnsi="Arial"/>
          <w:sz w:val="18"/>
          <w:szCs w:val="18"/>
          <w:color w:val="auto"/>
        </w:rPr>
        <w:t>Nothing in this Agreement prevents Grantee from providing, without prior notice to the Company, information to governmental authorities regarding possible legal violations or otherwise testifying or participating in any investigation or proceeding by any governmental authorities regarding possible legal violations, and for purpose of clarity, Grantee is not prohibited from providing information voluntarily to the Securities and Exchange Commission pursuant to Section 21F of the Exchange Act.</w:t>
      </w:r>
    </w:p>
    <w:p>
      <w:pPr>
        <w:spacing w:after="0" w:line="81" w:lineRule="exact"/>
        <w:rPr>
          <w:sz w:val="20"/>
          <w:szCs w:val="20"/>
          <w:color w:val="auto"/>
        </w:rPr>
      </w:pPr>
    </w:p>
    <w:p>
      <w:pPr>
        <w:jc w:val="both"/>
        <w:ind w:left="1503" w:hanging="755"/>
        <w:spacing w:after="0" w:line="266" w:lineRule="auto"/>
        <w:tabs>
          <w:tab w:leader="none" w:pos="1503" w:val="left"/>
        </w:tabs>
        <w:numPr>
          <w:ilvl w:val="1"/>
          <w:numId w:val="20"/>
        </w:numPr>
        <w:rPr>
          <w:rFonts w:ascii="Arial" w:cs="Arial" w:eastAsia="Arial" w:hAnsi="Arial"/>
          <w:sz w:val="16"/>
          <w:szCs w:val="16"/>
          <w:color w:val="auto"/>
        </w:rPr>
      </w:pPr>
      <w:r>
        <w:rPr>
          <w:rFonts w:ascii="Arial" w:cs="Arial" w:eastAsia="Arial" w:hAnsi="Arial"/>
          <w:sz w:val="16"/>
          <w:szCs w:val="16"/>
          <w:color w:val="auto"/>
        </w:rPr>
        <w:t xml:space="preserve">If a Restatement occurs and the Committee determines that Grantee is personally responsible in whole or in part for causing the Restatement as a result of Grantee’s personal misconduct or any fraudulent activity on the part of Grantee, then the Committee has discretion to, based on applicable facts and circumstances and subject to applicable law, cause the Company to recover all or any portion (but no more than 100%) of the PRSUs (plus dividend equivalent payments) earned or payable to Grantee for some or all of the years covered by the Restatement. The amount of any earned or payable PRSUs (and dividend equivalent payments) recovered by the Company will be limited to the amount by which such earned or payable PRSUs (and dividend equivalent payments) exceeded the amount that would have been earned by or paid to Grantee had the Company’s financial statements for the applicable restated fiscal year or years been initially filed as restated, as reasonably determined by the Committee. The Committee also will determine whether the Company will effect any recovery under this </w:t>
      </w:r>
      <w:r>
        <w:rPr>
          <w:rFonts w:ascii="Arial" w:cs="Arial" w:eastAsia="Arial" w:hAnsi="Arial"/>
          <w:sz w:val="16"/>
          <w:szCs w:val="16"/>
          <w:b w:val="1"/>
          <w:bCs w:val="1"/>
          <w:u w:val="single" w:color="auto"/>
          <w:color w:val="auto"/>
        </w:rPr>
        <w:t>Section 8(b)</w:t>
      </w:r>
      <w:r>
        <w:rPr>
          <w:rFonts w:ascii="Arial" w:cs="Arial" w:eastAsia="Arial" w:hAnsi="Arial"/>
          <w:sz w:val="16"/>
          <w:szCs w:val="16"/>
          <w:b w:val="1"/>
          <w:bCs w:val="1"/>
          <w:color w:val="auto"/>
        </w:rPr>
        <w:t xml:space="preserve"> </w:t>
      </w:r>
      <w:r>
        <w:rPr>
          <w:rFonts w:ascii="Arial" w:cs="Arial" w:eastAsia="Arial" w:hAnsi="Arial"/>
          <w:sz w:val="16"/>
          <w:szCs w:val="16"/>
          <w:color w:val="auto"/>
        </w:rPr>
        <w:t>by: (i) seeking repayment from Grantee; (ii) reducing, except with respect to any non-qualified deferred</w:t>
      </w:r>
      <w:r>
        <w:rPr>
          <w:rFonts w:ascii="Arial" w:cs="Arial" w:eastAsia="Arial" w:hAnsi="Arial"/>
          <w:sz w:val="16"/>
          <w:szCs w:val="16"/>
          <w:b w:val="1"/>
          <w:bCs w:val="1"/>
          <w:color w:val="auto"/>
        </w:rPr>
        <w:t xml:space="preserve"> </w:t>
      </w:r>
      <w:r>
        <w:rPr>
          <w:rFonts w:ascii="Arial" w:cs="Arial" w:eastAsia="Arial" w:hAnsi="Arial"/>
          <w:sz w:val="16"/>
          <w:szCs w:val="16"/>
          <w:color w:val="auto"/>
        </w:rPr>
        <w:t>compensation under Section 409A of the Code, the amount that would otherwise be payable to Grantee under any compensatory plan, program or arrangement maintained by the Company (subject to applicable law and the terms and conditions of such plan, program or arrangement); (iii) by withholding, except with respect to any non-qualified deferred compensation under Section 409A of the Code, payment of future increases in compensation (including the payment of any discretionary bonus amount) that would otherwise have been made to Grantee in accordance with the Company’s compensation practices; or (iv) by any combination of these alternatives. As used herein, “</w:t>
      </w:r>
      <w:r>
        <w:rPr>
          <w:rFonts w:ascii="Arial" w:cs="Arial" w:eastAsia="Arial" w:hAnsi="Arial"/>
          <w:sz w:val="16"/>
          <w:szCs w:val="16"/>
          <w:b w:val="1"/>
          <w:bCs w:val="1"/>
          <w:i w:val="1"/>
          <w:iCs w:val="1"/>
          <w:color w:val="auto"/>
        </w:rPr>
        <w:t>Restatement</w:t>
      </w:r>
      <w:r>
        <w:rPr>
          <w:rFonts w:ascii="Arial" w:cs="Arial" w:eastAsia="Arial" w:hAnsi="Arial"/>
          <w:sz w:val="16"/>
          <w:szCs w:val="16"/>
          <w:color w:val="auto"/>
        </w:rPr>
        <w:t>” means a restatement (made within 24 months of the publication of the financial statements that are required to be restated) of any part of the Company’s financial statements for any fiscal year or years beginning with the year in which the Date of Grant occurs due to material noncompliance with any financial reporting requirement under the U.S. securities laws applicable to such fiscal year or years. Notwithstanding anything in this Agreement to the contrary, Grantee acknowledges and agrees that this Agreement and the award described herein (and any settlement thereof) are subject to the terms and conditions of the Company’s clawback policy (if any) as may be in effect from time to time, including specifically to implement Section 10D of the Exchange Act and any applicable rules or regulations promulgated thereunder (including applicable rules and regulations of any national securities exchange on which the Common Shares are traded) (the “</w:t>
      </w:r>
      <w:r>
        <w:rPr>
          <w:rFonts w:ascii="Arial" w:cs="Arial" w:eastAsia="Arial" w:hAnsi="Arial"/>
          <w:sz w:val="16"/>
          <w:szCs w:val="16"/>
          <w:b w:val="1"/>
          <w:bCs w:val="1"/>
          <w:i w:val="1"/>
          <w:iCs w:val="1"/>
          <w:color w:val="auto"/>
        </w:rPr>
        <w:t>Compensation Recovery</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Policy</w:t>
      </w:r>
      <w:r>
        <w:rPr>
          <w:rFonts w:ascii="Arial" w:cs="Arial" w:eastAsia="Arial" w:hAnsi="Arial"/>
          <w:sz w:val="16"/>
          <w:szCs w:val="16"/>
          <w:color w:val="auto"/>
        </w:rPr>
        <w:t>”), and that this</w:t>
      </w:r>
      <w:r>
        <w:rPr>
          <w:rFonts w:ascii="Arial" w:cs="Arial" w:eastAsia="Arial" w:hAnsi="Arial"/>
          <w:sz w:val="16"/>
          <w:szCs w:val="16"/>
          <w:b w:val="1"/>
          <w:bCs w:val="1"/>
          <w:i w:val="1"/>
          <w:iCs w:val="1"/>
          <w:color w:val="auto"/>
        </w:rPr>
        <w:t xml:space="preserve"> </w:t>
      </w:r>
      <w:r>
        <w:rPr>
          <w:rFonts w:ascii="Arial" w:cs="Arial" w:eastAsia="Arial" w:hAnsi="Arial"/>
          <w:sz w:val="16"/>
          <w:szCs w:val="16"/>
          <w:b w:val="1"/>
          <w:bCs w:val="1"/>
          <w:u w:val="single" w:color="auto"/>
          <w:color w:val="auto"/>
        </w:rPr>
        <w:t>Section 8</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will be deemed superseded by and subject to the terms and conditions of the Compensation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Recovery Policy from and after the effective date thereof.</w:t>
      </w:r>
    </w:p>
    <w:p>
      <w:pPr>
        <w:spacing w:after="0" w:line="383" w:lineRule="exact"/>
        <w:rPr>
          <w:rFonts w:ascii="Arial" w:cs="Arial" w:eastAsia="Arial" w:hAnsi="Arial"/>
          <w:sz w:val="16"/>
          <w:szCs w:val="16"/>
          <w:color w:val="auto"/>
        </w:rPr>
      </w:pPr>
    </w:p>
    <w:p>
      <w:pPr>
        <w:ind w:left="743" w:right="20" w:hanging="743"/>
        <w:spacing w:after="0" w:line="261" w:lineRule="auto"/>
        <w:tabs>
          <w:tab w:leader="none" w:pos="743" w:val="left"/>
        </w:tabs>
        <w:numPr>
          <w:ilvl w:val="0"/>
          <w:numId w:val="21"/>
        </w:numPr>
        <w:rPr>
          <w:rFonts w:ascii="Arial" w:cs="Arial" w:eastAsia="Arial" w:hAnsi="Arial"/>
          <w:sz w:val="18"/>
          <w:szCs w:val="18"/>
          <w:color w:val="auto"/>
        </w:rPr>
      </w:pPr>
      <w:r>
        <w:rPr>
          <w:rFonts w:ascii="Arial" w:cs="Arial" w:eastAsia="Arial" w:hAnsi="Arial"/>
          <w:sz w:val="18"/>
          <w:szCs w:val="18"/>
          <w:u w:val="single" w:color="auto"/>
          <w:color w:val="auto"/>
        </w:rPr>
        <w:t>Compliance with Law</w:t>
      </w:r>
      <w:r>
        <w:rPr>
          <w:rFonts w:ascii="Arial" w:cs="Arial" w:eastAsia="Arial" w:hAnsi="Arial"/>
          <w:sz w:val="18"/>
          <w:szCs w:val="18"/>
          <w:color w:val="auto"/>
        </w:rPr>
        <w:t>. The Company will not be obligated to issue any of the Common Shares covered by this Agreement if the issuance thereof would result in violation of any law or regulation to which the Company is subject.</w:t>
      </w:r>
    </w:p>
    <w:p>
      <w:pPr>
        <w:spacing w:after="0" w:line="166" w:lineRule="exact"/>
        <w:rPr>
          <w:rFonts w:ascii="Arial" w:cs="Arial" w:eastAsia="Arial" w:hAnsi="Arial"/>
          <w:sz w:val="18"/>
          <w:szCs w:val="18"/>
          <w:color w:val="auto"/>
        </w:rPr>
      </w:pPr>
    </w:p>
    <w:p>
      <w:pPr>
        <w:ind w:left="743" w:right="180" w:hanging="743"/>
        <w:spacing w:after="0" w:line="245" w:lineRule="auto"/>
        <w:tabs>
          <w:tab w:leader="none" w:pos="743" w:val="left"/>
        </w:tabs>
        <w:numPr>
          <w:ilvl w:val="0"/>
          <w:numId w:val="21"/>
        </w:numPr>
        <w:rPr>
          <w:rFonts w:ascii="Arial" w:cs="Arial" w:eastAsia="Arial" w:hAnsi="Arial"/>
          <w:sz w:val="18"/>
          <w:szCs w:val="18"/>
          <w:color w:val="auto"/>
        </w:rPr>
      </w:pPr>
      <w:r>
        <w:rPr>
          <w:rFonts w:ascii="Arial" w:cs="Arial" w:eastAsia="Arial" w:hAnsi="Arial"/>
          <w:sz w:val="18"/>
          <w:szCs w:val="18"/>
          <w:u w:val="single" w:color="auto"/>
          <w:color w:val="auto"/>
        </w:rPr>
        <w:t>Adjustments</w:t>
      </w:r>
      <w:r>
        <w:rPr>
          <w:rFonts w:ascii="Arial" w:cs="Arial" w:eastAsia="Arial" w:hAnsi="Arial"/>
          <w:sz w:val="18"/>
          <w:szCs w:val="18"/>
          <w:color w:val="auto"/>
        </w:rPr>
        <w:t xml:space="preserve">. Subject to </w:t>
      </w:r>
      <w:r>
        <w:rPr>
          <w:rFonts w:ascii="Arial" w:cs="Arial" w:eastAsia="Arial" w:hAnsi="Arial"/>
          <w:sz w:val="18"/>
          <w:szCs w:val="18"/>
          <w:b w:val="1"/>
          <w:bCs w:val="1"/>
          <w:u w:val="single" w:color="auto"/>
          <w:color w:val="auto"/>
        </w:rPr>
        <w:t>Section 11</w:t>
      </w:r>
      <w:r>
        <w:rPr>
          <w:rFonts w:ascii="Arial" w:cs="Arial" w:eastAsia="Arial" w:hAnsi="Arial"/>
          <w:sz w:val="18"/>
          <w:szCs w:val="18"/>
          <w:color w:val="auto"/>
        </w:rPr>
        <w:t xml:space="preserve"> of the Plan, the Committee will make or provide for such adjustments in the number of and kind of Common Shares covered by the PRSUs, or in other award terms, as the Committee, in its sole discretion, exercised in good faith, determines is equitably required to prevent dilution or enlargement of Grantee’s rights under this Agreement that otherwise would result from any (a) extraordinary cash dividend, stock dividend, stock split,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-487680</wp:posOffset>
            </wp:positionH>
            <wp:positionV relativeFrom="paragraph">
              <wp:posOffset>294005</wp:posOffset>
            </wp:positionV>
            <wp:extent cx="7157720" cy="425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83"/>
          </w:cols>
          <w:pgMar w:left="1077" w:top="328" w:right="339" w:bottom="1440" w:gutter="0" w:footer="0" w:header="0"/>
        </w:sectPr>
      </w:pPr>
    </w:p>
    <w:bookmarkStart w:id="38" w:name="page39"/>
    <w:bookmarkEnd w:id="38"/>
    <w:p>
      <w:pPr>
        <w:ind w:left="743" w:right="80"/>
        <w:spacing w:after="0" w:line="243" w:lineRule="auto"/>
        <w:rPr>
          <w:sz w:val="20"/>
          <w:szCs w:val="20"/>
          <w:color w:val="auto"/>
        </w:rPr>
      </w:pPr>
      <w:r>
        <w:rPr>
          <w:rFonts w:ascii="Arial" w:cs="Arial" w:eastAsia="Arial" w:hAnsi="Arial"/>
          <w:sz w:val="18"/>
          <w:szCs w:val="18"/>
          <w:color w:val="auto"/>
        </w:rPr>
        <w:t xml:space="preserve">combination of shares, recapitalization or other change in the capital structure of the Company, (b) merger, consolidation, spin-off, split-off, spin-out, split-up, reorganization, partial or complete liquidation or other distribution of assets, issuance of rights or warrants to purchase securities involving the Company or (c) any other transaction or event having an effect similar to any of those referred to in </w:t>
      </w:r>
      <w:r>
        <w:rPr>
          <w:rFonts w:ascii="Arial" w:cs="Arial" w:eastAsia="Arial" w:hAnsi="Arial"/>
          <w:sz w:val="18"/>
          <w:szCs w:val="18"/>
          <w:b w:val="1"/>
          <w:bCs w:val="1"/>
          <w:u w:val="single" w:color="auto"/>
          <w:color w:val="auto"/>
        </w:rPr>
        <w:t>Section 10(a)</w:t>
      </w:r>
      <w:r>
        <w:rPr>
          <w:rFonts w:ascii="Arial" w:cs="Arial" w:eastAsia="Arial" w:hAnsi="Arial"/>
          <w:sz w:val="18"/>
          <w:szCs w:val="18"/>
          <w:color w:val="auto"/>
        </w:rPr>
        <w:t xml:space="preserve"> or </w:t>
      </w:r>
      <w:r>
        <w:rPr>
          <w:rFonts w:ascii="Arial" w:cs="Arial" w:eastAsia="Arial" w:hAnsi="Arial"/>
          <w:sz w:val="18"/>
          <w:szCs w:val="18"/>
          <w:b w:val="1"/>
          <w:bCs w:val="1"/>
          <w:u w:val="single" w:color="auto"/>
          <w:color w:val="auto"/>
        </w:rPr>
        <w:t>10(b)</w:t>
      </w:r>
      <w:r>
        <w:rPr>
          <w:rFonts w:ascii="Arial" w:cs="Arial" w:eastAsia="Arial" w:hAnsi="Arial"/>
          <w:sz w:val="18"/>
          <w:szCs w:val="18"/>
          <w:color w:val="auto"/>
        </w:rPr>
        <w:t xml:space="preserve"> hereof.</w:t>
      </w:r>
    </w:p>
    <w:p>
      <w:pPr>
        <w:spacing w:after="0" w:line="188" w:lineRule="exact"/>
        <w:rPr>
          <w:sz w:val="20"/>
          <w:szCs w:val="20"/>
          <w:color w:val="auto"/>
        </w:rPr>
      </w:pPr>
    </w:p>
    <w:p>
      <w:pPr>
        <w:ind w:left="743" w:right="20" w:hanging="743"/>
        <w:spacing w:after="0" w:line="267" w:lineRule="auto"/>
        <w:tabs>
          <w:tab w:leader="none" w:pos="743" w:val="left"/>
        </w:tabs>
        <w:numPr>
          <w:ilvl w:val="0"/>
          <w:numId w:val="22"/>
        </w:numPr>
        <w:rPr>
          <w:rFonts w:ascii="Arial" w:cs="Arial" w:eastAsia="Arial" w:hAnsi="Arial"/>
          <w:sz w:val="16"/>
          <w:szCs w:val="16"/>
          <w:color w:val="auto"/>
        </w:rPr>
      </w:pPr>
      <w:r>
        <w:rPr>
          <w:rFonts w:ascii="Arial" w:cs="Arial" w:eastAsia="Arial" w:hAnsi="Arial"/>
          <w:sz w:val="16"/>
          <w:szCs w:val="16"/>
          <w:u w:val="single" w:color="auto"/>
          <w:color w:val="auto"/>
        </w:rPr>
        <w:t>Withholding Taxes</w:t>
      </w:r>
      <w:r>
        <w:rPr>
          <w:rFonts w:ascii="Arial" w:cs="Arial" w:eastAsia="Arial" w:hAnsi="Arial"/>
          <w:sz w:val="16"/>
          <w:szCs w:val="16"/>
          <w:color w:val="auto"/>
        </w:rPr>
        <w:t>. If the Company is required to withhold federal, state, local or foreign taxes or other amounts in connection with Grantee’s right to receive Common Shares or cash under this Agreement, and the amounts available to the Company for such withholding are insufficient, it will be a condition to the receipt of any such Common Shares or cash (or the realization of any other benefit provided for under this Agreement) that Grantee make arrangements satisfactory to the Company for payment of the balance of such taxes or other amounts. Grantee may satisfy such tax obligation by paying the Company cash via personal check. Alternatively, unless otherwise determined by the Committee, Grantee may elect that all or any part of such tax obligation be satisfied by the Company’s retention of a portion of the Common Shares provided for under this Agreement or by Grantee’s surrender of a portion of the Common Shares that he or she has owned. In no event, however, shall the Company accept Common Shares for payment of taxes in excess of required tax withholding rates (unless such higher withholding amounts would not result in adverse accounting implications for the Company and the additional withholding amount is authorized by the Committee). If Grantee’s benefit is to be received in the form of Common Shares, and Grantee fails to make arrangements for the payment of required taxes or other amounts, then, unless otherwise determined by the Committee, the Company will withhold Common Shares having a value equal to the amount required to be withheld. Further, notwithstanding anything in this Section 11 to the contrary, if at any time (a) Grantee is subject to reporting as a Director or an “officer” for purposes of Section 16 of the Exchange Act, (b) withholding is required with respect to the award evidenced by this Agreement, and (c) Grantee is subject to trading restrictions pursuant to a periodic or special closed trading window for the Company under its insider trading policies, then the Company shall withhold Common Shares otherwise payable to Grantee under this award in order to satisfy such withholding, with the number of Common Shares withheld having a value equal to the amount required to be withheld. The Common Shares used for tax withholding will be valued at an amount equal to the fair market value of such Common Shares on the date the applicable benefit is to be included in Grantee’s income.</w:t>
      </w:r>
    </w:p>
    <w:p>
      <w:pPr>
        <w:spacing w:after="0" w:line="174" w:lineRule="exact"/>
        <w:rPr>
          <w:rFonts w:ascii="Arial" w:cs="Arial" w:eastAsia="Arial" w:hAnsi="Arial"/>
          <w:sz w:val="16"/>
          <w:szCs w:val="16"/>
          <w:color w:val="auto"/>
        </w:rPr>
      </w:pPr>
    </w:p>
    <w:p>
      <w:pPr>
        <w:jc w:val="both"/>
        <w:ind w:left="743" w:hanging="743"/>
        <w:spacing w:after="0" w:line="248" w:lineRule="auto"/>
        <w:tabs>
          <w:tab w:leader="none" w:pos="743" w:val="left"/>
        </w:tabs>
        <w:numPr>
          <w:ilvl w:val="0"/>
          <w:numId w:val="22"/>
        </w:numPr>
        <w:rPr>
          <w:rFonts w:ascii="Arial" w:cs="Arial" w:eastAsia="Arial" w:hAnsi="Arial"/>
          <w:sz w:val="18"/>
          <w:szCs w:val="18"/>
          <w:color w:val="auto"/>
        </w:rPr>
      </w:pPr>
      <w:r>
        <w:rPr>
          <w:rFonts w:ascii="Arial" w:cs="Arial" w:eastAsia="Arial" w:hAnsi="Arial"/>
          <w:sz w:val="18"/>
          <w:szCs w:val="18"/>
          <w:u w:val="single" w:color="auto"/>
          <w:color w:val="auto"/>
        </w:rPr>
        <w:t>Rights as a Shareholder</w:t>
      </w:r>
      <w:r>
        <w:rPr>
          <w:rFonts w:ascii="Arial" w:cs="Arial" w:eastAsia="Arial" w:hAnsi="Arial"/>
          <w:sz w:val="18"/>
          <w:szCs w:val="18"/>
          <w:color w:val="auto"/>
        </w:rPr>
        <w:t>. Grantee will not have any rights as a Shareholder with respect to any Common Shares granted to him or her under this Agreement prior to the date as of which he or she is actually recorded as the holder of such Common Shares upon the share records of the Company.</w:t>
      </w:r>
    </w:p>
    <w:p>
      <w:pPr>
        <w:spacing w:after="0" w:line="181" w:lineRule="exact"/>
        <w:rPr>
          <w:rFonts w:ascii="Arial" w:cs="Arial" w:eastAsia="Arial" w:hAnsi="Arial"/>
          <w:sz w:val="18"/>
          <w:szCs w:val="18"/>
          <w:color w:val="auto"/>
        </w:rPr>
      </w:pPr>
    </w:p>
    <w:p>
      <w:pPr>
        <w:ind w:left="743" w:hanging="743"/>
        <w:spacing w:after="0" w:line="261" w:lineRule="auto"/>
        <w:tabs>
          <w:tab w:leader="none" w:pos="743" w:val="left"/>
        </w:tabs>
        <w:numPr>
          <w:ilvl w:val="0"/>
          <w:numId w:val="22"/>
        </w:numPr>
        <w:rPr>
          <w:rFonts w:ascii="Arial" w:cs="Arial" w:eastAsia="Arial" w:hAnsi="Arial"/>
          <w:sz w:val="18"/>
          <w:szCs w:val="18"/>
          <w:color w:val="auto"/>
        </w:rPr>
      </w:pPr>
      <w:r>
        <w:rPr>
          <w:rFonts w:ascii="Arial" w:cs="Arial" w:eastAsia="Arial" w:hAnsi="Arial"/>
          <w:sz w:val="18"/>
          <w:szCs w:val="18"/>
          <w:u w:val="single" w:color="auto"/>
          <w:color w:val="auto"/>
        </w:rPr>
        <w:t>Right to Terminate Employment</w:t>
      </w:r>
      <w:r>
        <w:rPr>
          <w:rFonts w:ascii="Arial" w:cs="Arial" w:eastAsia="Arial" w:hAnsi="Arial"/>
          <w:sz w:val="18"/>
          <w:szCs w:val="18"/>
          <w:color w:val="auto"/>
        </w:rPr>
        <w:t>. Nothing in this Agreement limits in any way whatsoever any right the Company or a Subsidiary may otherwise have to terminate the employment of Grantee at any time.</w:t>
      </w:r>
    </w:p>
    <w:p>
      <w:pPr>
        <w:spacing w:after="0" w:line="170" w:lineRule="exact"/>
        <w:rPr>
          <w:rFonts w:ascii="Arial" w:cs="Arial" w:eastAsia="Arial" w:hAnsi="Arial"/>
          <w:sz w:val="18"/>
          <w:szCs w:val="18"/>
          <w:color w:val="auto"/>
        </w:rPr>
      </w:pPr>
    </w:p>
    <w:p>
      <w:pPr>
        <w:jc w:val="both"/>
        <w:ind w:left="743" w:hanging="743"/>
        <w:spacing w:after="0" w:line="210" w:lineRule="exact"/>
        <w:tabs>
          <w:tab w:leader="none" w:pos="743" w:val="left"/>
        </w:tabs>
        <w:numPr>
          <w:ilvl w:val="0"/>
          <w:numId w:val="22"/>
        </w:numPr>
        <w:rPr>
          <w:rFonts w:ascii="Arial" w:cs="Arial" w:eastAsia="Arial" w:hAnsi="Arial"/>
          <w:sz w:val="17"/>
          <w:szCs w:val="17"/>
          <w:color w:val="auto"/>
        </w:rPr>
      </w:pPr>
      <w:r>
        <w:rPr>
          <w:rFonts w:ascii="Arial" w:cs="Arial" w:eastAsia="Arial" w:hAnsi="Arial"/>
          <w:sz w:val="17"/>
          <w:szCs w:val="17"/>
          <w:u w:val="single" w:color="auto"/>
          <w:color w:val="auto"/>
        </w:rPr>
        <w:t>Relation to Other Benefits</w:t>
      </w:r>
      <w:r>
        <w:rPr>
          <w:rFonts w:ascii="Arial" w:cs="Arial" w:eastAsia="Arial" w:hAnsi="Arial"/>
          <w:sz w:val="17"/>
          <w:szCs w:val="17"/>
          <w:color w:val="auto"/>
        </w:rPr>
        <w:t>. Any economic or other benefit to Grantee under this Agreement or the Plan will not be taken into account in determining any benefits to which Grantee may be entitled under any profit</w:t>
      </w:r>
      <w:r>
        <w:rPr>
          <w:rFonts w:ascii="MS PGothic" w:cs="MS PGothic" w:eastAsia="MS PGothic" w:hAnsi="MS PGothic"/>
          <w:sz w:val="17"/>
          <w:szCs w:val="17"/>
          <w:color w:val="auto"/>
        </w:rPr>
        <w:t>‑</w:t>
      </w:r>
      <w:r>
        <w:rPr>
          <w:rFonts w:ascii="Arial" w:cs="Arial" w:eastAsia="Arial" w:hAnsi="Arial"/>
          <w:sz w:val="17"/>
          <w:szCs w:val="17"/>
          <w:color w:val="auto"/>
        </w:rPr>
        <w:t>sharing, retirement or other benefit or compensation plan maintained by the Company or a Subsidiary and will not affect the amount of any life insurance coverage available to any beneficiary under any life insurance plan covering employees of the Company or a Subsidiary.</w:t>
      </w:r>
    </w:p>
    <w:p>
      <w:pPr>
        <w:spacing w:after="0" w:line="188" w:lineRule="exact"/>
        <w:rPr>
          <w:rFonts w:ascii="Arial" w:cs="Arial" w:eastAsia="Arial" w:hAnsi="Arial"/>
          <w:sz w:val="17"/>
          <w:szCs w:val="17"/>
          <w:color w:val="auto"/>
        </w:rPr>
      </w:pPr>
    </w:p>
    <w:p>
      <w:pPr>
        <w:jc w:val="both"/>
        <w:ind w:left="743" w:hanging="743"/>
        <w:spacing w:after="0" w:line="248" w:lineRule="auto"/>
        <w:tabs>
          <w:tab w:leader="none" w:pos="743" w:val="left"/>
        </w:tabs>
        <w:numPr>
          <w:ilvl w:val="0"/>
          <w:numId w:val="22"/>
        </w:numPr>
        <w:rPr>
          <w:rFonts w:ascii="Arial" w:cs="Arial" w:eastAsia="Arial" w:hAnsi="Arial"/>
          <w:sz w:val="18"/>
          <w:szCs w:val="18"/>
          <w:color w:val="auto"/>
        </w:rPr>
      </w:pPr>
      <w:r>
        <w:rPr>
          <w:rFonts w:ascii="Arial" w:cs="Arial" w:eastAsia="Arial" w:hAnsi="Arial"/>
          <w:sz w:val="18"/>
          <w:szCs w:val="18"/>
          <w:u w:val="single" w:color="auto"/>
          <w:color w:val="auto"/>
        </w:rPr>
        <w:t>Amendments</w:t>
      </w:r>
      <w:r>
        <w:rPr>
          <w:rFonts w:ascii="Arial" w:cs="Arial" w:eastAsia="Arial" w:hAnsi="Arial"/>
          <w:sz w:val="18"/>
          <w:szCs w:val="18"/>
          <w:color w:val="auto"/>
        </w:rPr>
        <w:t>. Any amendment to the Plan will be deemed to be an amendment to this Agreement to the extent the amendment is applicable to this Agreement; provided, however, that (a) no amendment will adversely affect in a material manner the rights of Grantee with respect to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-487680</wp:posOffset>
            </wp:positionH>
            <wp:positionV relativeFrom="paragraph">
              <wp:posOffset>292100</wp:posOffset>
            </wp:positionV>
            <wp:extent cx="7157720" cy="425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83"/>
          </w:cols>
          <w:pgMar w:left="1077" w:top="328" w:right="339" w:bottom="1440" w:gutter="0" w:footer="0" w:header="0"/>
        </w:sectPr>
      </w:pPr>
    </w:p>
    <w:bookmarkStart w:id="39" w:name="page40"/>
    <w:bookmarkEnd w:id="39"/>
    <w:p>
      <w:pPr>
        <w:jc w:val="both"/>
        <w:ind w:left="743"/>
        <w:spacing w:after="0" w:line="262" w:lineRule="auto"/>
        <w:rPr>
          <w:sz w:val="20"/>
          <w:szCs w:val="20"/>
          <w:color w:val="auto"/>
        </w:rPr>
      </w:pPr>
      <w:r>
        <w:rPr>
          <w:rFonts w:ascii="Arial" w:cs="Arial" w:eastAsia="Arial" w:hAnsi="Arial"/>
          <w:sz w:val="17"/>
          <w:szCs w:val="17"/>
          <w:color w:val="auto"/>
        </w:rPr>
        <w:t>Common Shares or other securities covered by this Agreement without Grantee’s consent and (b) Grantee’s consent will not be required to an amendment that is deemed necessary by the Company to ensure compliance with Section 10D of the Exchange Act. Notwithstanding the foregoing, the limitation requiring the consent of Grantee to certain amendments will not apply to any amendment that is deemed necessary by the Company to ensure compliance with Section 409A of the Code.</w:t>
      </w:r>
    </w:p>
    <w:p>
      <w:pPr>
        <w:spacing w:after="0" w:line="172" w:lineRule="exact"/>
        <w:rPr>
          <w:sz w:val="20"/>
          <w:szCs w:val="20"/>
          <w:color w:val="auto"/>
        </w:rPr>
      </w:pPr>
    </w:p>
    <w:p>
      <w:pPr>
        <w:jc w:val="both"/>
        <w:ind w:left="743" w:hanging="743"/>
        <w:spacing w:after="0" w:line="262" w:lineRule="auto"/>
        <w:tabs>
          <w:tab w:leader="none" w:pos="743" w:val="left"/>
        </w:tabs>
        <w:numPr>
          <w:ilvl w:val="0"/>
          <w:numId w:val="23"/>
        </w:numPr>
        <w:rPr>
          <w:rFonts w:ascii="Arial" w:cs="Arial" w:eastAsia="Arial" w:hAnsi="Arial"/>
          <w:sz w:val="17"/>
          <w:szCs w:val="17"/>
          <w:color w:val="auto"/>
        </w:rPr>
      </w:pPr>
      <w:r>
        <w:rPr>
          <w:rFonts w:ascii="Arial" w:cs="Arial" w:eastAsia="Arial" w:hAnsi="Arial"/>
          <w:sz w:val="17"/>
          <w:szCs w:val="17"/>
          <w:u w:val="single" w:color="auto"/>
          <w:color w:val="auto"/>
        </w:rPr>
        <w:t>Severability</w:t>
      </w:r>
      <w:r>
        <w:rPr>
          <w:rFonts w:ascii="Arial" w:cs="Arial" w:eastAsia="Arial" w:hAnsi="Arial"/>
          <w:sz w:val="17"/>
          <w:szCs w:val="17"/>
          <w:color w:val="auto"/>
        </w:rPr>
        <w:t>. In the event one or more of the provisions of this Agreement is unenforceable or is invalidated for any reason by a court of competent jurisdiction, such provision will be deemed to be separable from the other provisions of this Agreement, construed or deemed amended or limited in scope to confirm to the applicable laws or, in the discretion of the Committee, such provision will be stricken and the remaining provisions of this Agreement will continue to be valid and fully enforceable.</w:t>
      </w:r>
    </w:p>
    <w:p>
      <w:pPr>
        <w:spacing w:after="0" w:line="172" w:lineRule="exact"/>
        <w:rPr>
          <w:rFonts w:ascii="Arial" w:cs="Arial" w:eastAsia="Arial" w:hAnsi="Arial"/>
          <w:sz w:val="17"/>
          <w:szCs w:val="17"/>
          <w:color w:val="auto"/>
        </w:rPr>
      </w:pPr>
    </w:p>
    <w:p>
      <w:pPr>
        <w:ind w:left="743" w:hanging="743"/>
        <w:spacing w:after="0" w:line="261" w:lineRule="auto"/>
        <w:tabs>
          <w:tab w:leader="none" w:pos="743" w:val="left"/>
        </w:tabs>
        <w:numPr>
          <w:ilvl w:val="0"/>
          <w:numId w:val="23"/>
        </w:numPr>
        <w:rPr>
          <w:rFonts w:ascii="Arial" w:cs="Arial" w:eastAsia="Arial" w:hAnsi="Arial"/>
          <w:sz w:val="18"/>
          <w:szCs w:val="18"/>
          <w:color w:val="auto"/>
        </w:rPr>
      </w:pPr>
      <w:r>
        <w:rPr>
          <w:rFonts w:ascii="Arial" w:cs="Arial" w:eastAsia="Arial" w:hAnsi="Arial"/>
          <w:sz w:val="18"/>
          <w:szCs w:val="18"/>
          <w:u w:val="single" w:color="auto"/>
          <w:color w:val="auto"/>
        </w:rPr>
        <w:t>Governing Law</w:t>
      </w:r>
      <w:r>
        <w:rPr>
          <w:rFonts w:ascii="Arial" w:cs="Arial" w:eastAsia="Arial" w:hAnsi="Arial"/>
          <w:sz w:val="18"/>
          <w:szCs w:val="18"/>
          <w:color w:val="auto"/>
        </w:rPr>
        <w:t>. This Agreement is made under, and will be construed in accordance with, the internal substantive laws of the State of Ohio.</w:t>
      </w:r>
    </w:p>
    <w:p>
      <w:pPr>
        <w:spacing w:after="0" w:line="170" w:lineRule="exact"/>
        <w:rPr>
          <w:rFonts w:ascii="Arial" w:cs="Arial" w:eastAsia="Arial" w:hAnsi="Arial"/>
          <w:sz w:val="18"/>
          <w:szCs w:val="18"/>
          <w:color w:val="auto"/>
        </w:rPr>
      </w:pPr>
    </w:p>
    <w:p>
      <w:pPr>
        <w:ind w:left="743" w:right="80" w:hanging="743"/>
        <w:spacing w:after="0" w:line="269" w:lineRule="auto"/>
        <w:tabs>
          <w:tab w:leader="none" w:pos="743" w:val="left"/>
        </w:tabs>
        <w:numPr>
          <w:ilvl w:val="0"/>
          <w:numId w:val="23"/>
        </w:numPr>
        <w:rPr>
          <w:rFonts w:ascii="Arial" w:cs="Arial" w:eastAsia="Arial" w:hAnsi="Arial"/>
          <w:sz w:val="16"/>
          <w:szCs w:val="16"/>
          <w:color w:val="auto"/>
        </w:rPr>
      </w:pPr>
      <w:r>
        <w:rPr>
          <w:rFonts w:ascii="Arial" w:cs="Arial" w:eastAsia="Arial" w:hAnsi="Arial"/>
          <w:sz w:val="16"/>
          <w:szCs w:val="16"/>
          <w:u w:val="single" w:color="auto"/>
          <w:color w:val="auto"/>
        </w:rPr>
        <w:t>Compliance with Section 409A of the Code.</w:t>
      </w:r>
      <w:r>
        <w:rPr>
          <w:rFonts w:ascii="Arial" w:cs="Arial" w:eastAsia="Arial" w:hAnsi="Arial"/>
          <w:sz w:val="16"/>
          <w:szCs w:val="16"/>
          <w:color w:val="auto"/>
        </w:rPr>
        <w:t xml:space="preserve"> To the extent applicable, it is intended that this Agreement and the Plan comply with the provisions of Section 409A of the Code, so that the income inclusion provisions of Section 409A(a)(1) of the Code do not apply to Grantee. This Agreement and the Plan will be administered in a manner consistent with this intent. Notwithstanding any provision of the Agreement to the contrary, if, at the time of Grantee’s separation from service (within the meaning of Section 409A of the Code),</w:t>
      </w:r>
    </w:p>
    <w:p>
      <w:pPr>
        <w:spacing w:after="0" w:line="1" w:lineRule="exact"/>
        <w:rPr>
          <w:rFonts w:ascii="Arial" w:cs="Arial" w:eastAsia="Arial" w:hAnsi="Arial"/>
          <w:sz w:val="16"/>
          <w:szCs w:val="16"/>
          <w:color w:val="auto"/>
        </w:rPr>
      </w:pPr>
    </w:p>
    <w:p>
      <w:pPr>
        <w:ind w:left="743" w:right="40"/>
        <w:spacing w:after="0" w:line="253" w:lineRule="auto"/>
        <w:rPr>
          <w:rFonts w:ascii="Arial" w:cs="Arial" w:eastAsia="Arial" w:hAnsi="Arial"/>
          <w:sz w:val="16"/>
          <w:szCs w:val="16"/>
          <w:color w:val="auto"/>
        </w:rPr>
      </w:pPr>
      <w:r>
        <w:rPr>
          <w:rFonts w:ascii="Arial" w:cs="Arial" w:eastAsia="Arial" w:hAnsi="Arial"/>
          <w:sz w:val="17"/>
          <w:szCs w:val="17"/>
          <w:color w:val="auto"/>
        </w:rPr>
        <w:t>(a) Grantee is a specified employee (within the meaning of Section 409A of the Code and using the identification methodology selected by the Company from time to time) and (b) the Company makes a good faith determination that an amount payable hereunder constitutes deferred compensation (within the meaning of Section 409A of the Code) the payment of which is required to be delayed pursuant to the six-month delay rule set forth in Section 409A of the Code in order to avoid taxes or penalties under Section 409A of the Code, then the Company will not pay such amount on the otherwise scheduled payment date but will instead pay it, without interest, on the first business day of the seventh month after Grantee’s separation from service.</w:t>
      </w:r>
    </w:p>
    <w:p>
      <w:pPr>
        <w:spacing w:after="0" w:line="200" w:lineRule="exact"/>
        <w:rPr>
          <w:sz w:val="20"/>
          <w:szCs w:val="20"/>
          <w:color w:val="auto"/>
        </w:rPr>
      </w:pPr>
    </w:p>
    <w:p>
      <w:pPr>
        <w:spacing w:after="0" w:line="285" w:lineRule="exact"/>
        <w:rPr>
          <w:sz w:val="20"/>
          <w:szCs w:val="20"/>
          <w:color w:val="auto"/>
        </w:rPr>
      </w:pPr>
    </w:p>
    <w:p>
      <w:pPr>
        <w:ind w:left="3203"/>
        <w:spacing w:after="0"/>
        <w:rPr>
          <w:sz w:val="20"/>
          <w:szCs w:val="20"/>
          <w:color w:val="auto"/>
        </w:rPr>
      </w:pPr>
      <w:r>
        <w:rPr>
          <w:rFonts w:ascii="Arial" w:cs="Arial" w:eastAsia="Arial" w:hAnsi="Arial"/>
          <w:sz w:val="18"/>
          <w:szCs w:val="18"/>
          <w:b w:val="1"/>
          <w:bCs w:val="1"/>
          <w:color w:val="auto"/>
        </w:rPr>
        <w:t>[SIGNATURES ON FOLLOWING 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-487680</wp:posOffset>
            </wp:positionH>
            <wp:positionV relativeFrom="paragraph">
              <wp:posOffset>390525</wp:posOffset>
            </wp:positionV>
            <wp:extent cx="7157720" cy="425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83"/>
          </w:cols>
          <w:pgMar w:left="1077" w:top="328" w:right="339" w:bottom="1440" w:gutter="0" w:footer="0" w:header="0"/>
        </w:sectPr>
      </w:pPr>
    </w:p>
    <w:bookmarkStart w:id="40" w:name="page41"/>
    <w:bookmarkEnd w:id="40"/>
    <w:p>
      <w:pPr>
        <w:ind w:firstLine="373"/>
        <w:spacing w:after="0" w:line="293" w:lineRule="auto"/>
        <w:rPr>
          <w:sz w:val="20"/>
          <w:szCs w:val="20"/>
          <w:color w:val="auto"/>
        </w:rPr>
      </w:pPr>
      <w:r>
        <w:rPr>
          <w:rFonts w:ascii="Arial" w:cs="Arial" w:eastAsia="Arial" w:hAnsi="Arial"/>
          <w:sz w:val="18"/>
          <w:szCs w:val="18"/>
          <w:color w:val="auto"/>
        </w:rPr>
        <w:t>The undersigned Grantee hereby acknowledges receipt of an executed original of this Agreement and accepts the award of PRSUs covered hereby, subject to the terms and conditions of the Plan and the terms and conditions herein above set forth.</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_________________________________</w:t>
      </w:r>
    </w:p>
    <w:p>
      <w:pPr>
        <w:spacing w:after="0" w:line="23" w:lineRule="exact"/>
        <w:rPr>
          <w:sz w:val="20"/>
          <w:szCs w:val="20"/>
          <w:color w:val="auto"/>
        </w:rPr>
      </w:pPr>
    </w:p>
    <w:p>
      <w:pPr>
        <w:ind w:left="2120"/>
        <w:spacing w:after="0"/>
        <w:rPr>
          <w:sz w:val="20"/>
          <w:szCs w:val="20"/>
          <w:color w:val="auto"/>
        </w:rPr>
      </w:pPr>
      <w:r>
        <w:rPr>
          <w:rFonts w:ascii="Arial" w:cs="Arial" w:eastAsia="Arial" w:hAnsi="Arial"/>
          <w:sz w:val="18"/>
          <w:szCs w:val="18"/>
          <w:color w:val="auto"/>
        </w:rPr>
        <w:t>Grantee</w:t>
      </w:r>
    </w:p>
    <w:p>
      <w:pPr>
        <w:spacing w:after="0" w:line="251"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Date:  ___________________________</w:t>
      </w:r>
    </w:p>
    <w:p>
      <w:pPr>
        <w:spacing w:after="0" w:line="200" w:lineRule="exact"/>
        <w:rPr>
          <w:sz w:val="20"/>
          <w:szCs w:val="20"/>
          <w:color w:val="auto"/>
        </w:rPr>
      </w:pPr>
    </w:p>
    <w:p>
      <w:pPr>
        <w:spacing w:after="0" w:line="28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This Agreement is executed by the Company on this ___ day of ____________, 20__.</w:t>
      </w:r>
    </w:p>
    <w:p>
      <w:pPr>
        <w:spacing w:after="0" w:line="252" w:lineRule="exact"/>
        <w:rPr>
          <w:sz w:val="20"/>
          <w:szCs w:val="20"/>
          <w:color w:val="auto"/>
        </w:rPr>
      </w:pPr>
    </w:p>
    <w:p>
      <w:pPr>
        <w:ind w:left="720"/>
        <w:spacing w:after="0"/>
        <w:rPr>
          <w:sz w:val="20"/>
          <w:szCs w:val="20"/>
          <w:color w:val="auto"/>
        </w:rPr>
      </w:pPr>
      <w:r>
        <w:rPr>
          <w:rFonts w:ascii="Arial" w:cs="Arial" w:eastAsia="Arial" w:hAnsi="Arial"/>
          <w:sz w:val="18"/>
          <w:szCs w:val="18"/>
          <w:color w:val="auto"/>
        </w:rPr>
        <w:t>TimkenSteel Corporation</w:t>
      </w:r>
    </w:p>
    <w:p>
      <w:pPr>
        <w:spacing w:after="0" w:line="200" w:lineRule="exact"/>
        <w:rPr>
          <w:sz w:val="20"/>
          <w:szCs w:val="20"/>
          <w:color w:val="auto"/>
        </w:rPr>
      </w:pPr>
    </w:p>
    <w:p>
      <w:pPr>
        <w:spacing w:after="0" w:line="282" w:lineRule="exact"/>
        <w:rPr>
          <w:sz w:val="20"/>
          <w:szCs w:val="20"/>
          <w:color w:val="auto"/>
        </w:rPr>
      </w:pPr>
    </w:p>
    <w:p>
      <w:pPr>
        <w:ind w:left="720"/>
        <w:spacing w:after="0"/>
        <w:rPr>
          <w:sz w:val="20"/>
          <w:szCs w:val="20"/>
          <w:color w:val="auto"/>
        </w:rPr>
      </w:pPr>
      <w:r>
        <w:rPr>
          <w:rFonts w:ascii="Arial" w:cs="Arial" w:eastAsia="Arial" w:hAnsi="Arial"/>
          <w:sz w:val="18"/>
          <w:szCs w:val="18"/>
          <w:color w:val="auto"/>
        </w:rPr>
        <w:t>By ___________________________________</w:t>
      </w:r>
    </w:p>
    <w:p>
      <w:pPr>
        <w:spacing w:after="0" w:line="23" w:lineRule="exact"/>
        <w:rPr>
          <w:sz w:val="20"/>
          <w:szCs w:val="20"/>
          <w:color w:val="auto"/>
        </w:rPr>
      </w:pPr>
    </w:p>
    <w:p>
      <w:pPr>
        <w:ind w:left="1000"/>
        <w:spacing w:after="0"/>
        <w:rPr>
          <w:sz w:val="20"/>
          <w:szCs w:val="20"/>
          <w:color w:val="auto"/>
        </w:rPr>
      </w:pPr>
      <w:r>
        <w:rPr>
          <w:rFonts w:ascii="Arial" w:cs="Arial" w:eastAsia="Arial" w:hAnsi="Arial"/>
          <w:sz w:val="18"/>
          <w:szCs w:val="18"/>
          <w:color w:val="auto"/>
        </w:rPr>
        <w:t>Kristine C. Syrvalin</w:t>
      </w:r>
    </w:p>
    <w:p>
      <w:pPr>
        <w:spacing w:after="0" w:line="23" w:lineRule="exact"/>
        <w:rPr>
          <w:sz w:val="20"/>
          <w:szCs w:val="20"/>
          <w:color w:val="auto"/>
        </w:rPr>
      </w:pPr>
    </w:p>
    <w:p>
      <w:pPr>
        <w:ind w:left="1000"/>
        <w:spacing w:after="0"/>
        <w:rPr>
          <w:sz w:val="20"/>
          <w:szCs w:val="20"/>
          <w:color w:val="auto"/>
        </w:rPr>
      </w:pPr>
      <w:r>
        <w:rPr>
          <w:rFonts w:ascii="Arial" w:cs="Arial" w:eastAsia="Arial" w:hAnsi="Arial"/>
          <w:sz w:val="18"/>
          <w:szCs w:val="18"/>
          <w:color w:val="auto"/>
        </w:rPr>
        <w:t>Executive Vice President, General Counsel &amp; 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310515</wp:posOffset>
            </wp:positionV>
            <wp:extent cx="7157720" cy="425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41" w:name="page42"/>
    <w:bookmarkEnd w:id="41"/>
    <w:p>
      <w:pPr>
        <w:jc w:val="center"/>
        <w:spacing w:after="0"/>
        <w:rPr>
          <w:sz w:val="20"/>
          <w:szCs w:val="20"/>
          <w:color w:val="auto"/>
        </w:rPr>
      </w:pPr>
      <w:r>
        <w:rPr>
          <w:rFonts w:ascii="Arial" w:cs="Arial" w:eastAsia="Arial" w:hAnsi="Arial"/>
          <w:sz w:val="18"/>
          <w:szCs w:val="18"/>
          <w:b w:val="1"/>
          <w:bCs w:val="1"/>
          <w:u w:val="single" w:color="auto"/>
          <w:color w:val="auto"/>
        </w:rPr>
        <w:t>Exhibit A</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Statement of Management Objectives</w:t>
      </w:r>
    </w:p>
    <w:p>
      <w:pPr>
        <w:spacing w:after="0" w:line="212"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This Statement of Management Objectives applies to the PRSUs granted to the Grantee on the Date of Grant memorialized the Agreement. Capitalized terms used in the Agreement that are not specifically defined in this Statement of Management Objectives have the meanings assigned to them in the Agreement or in the Plan, as applicable.</w:t>
      </w:r>
    </w:p>
    <w:p>
      <w:pPr>
        <w:spacing w:after="0" w:line="182" w:lineRule="exact"/>
        <w:rPr>
          <w:sz w:val="20"/>
          <w:szCs w:val="20"/>
          <w:color w:val="auto"/>
        </w:rPr>
      </w:pPr>
    </w:p>
    <w:p>
      <w:pPr>
        <w:spacing w:after="0"/>
        <w:tabs>
          <w:tab w:leader="none" w:pos="1060" w:val="left"/>
        </w:tabs>
        <w:rPr>
          <w:sz w:val="20"/>
          <w:szCs w:val="20"/>
          <w:color w:val="auto"/>
        </w:rPr>
      </w:pPr>
      <w:r>
        <w:rPr>
          <w:rFonts w:ascii="Arial" w:cs="Arial" w:eastAsia="Arial" w:hAnsi="Arial"/>
          <w:sz w:val="18"/>
          <w:szCs w:val="18"/>
          <w:color w:val="auto"/>
        </w:rPr>
        <w:t>Section 1.</w:t>
      </w:r>
      <w:r>
        <w:rPr>
          <w:sz w:val="20"/>
          <w:szCs w:val="20"/>
          <w:color w:val="auto"/>
        </w:rPr>
        <w:tab/>
      </w:r>
      <w:r>
        <w:rPr>
          <w:rFonts w:ascii="Arial" w:cs="Arial" w:eastAsia="Arial" w:hAnsi="Arial"/>
          <w:sz w:val="16"/>
          <w:szCs w:val="16"/>
          <w:u w:val="single" w:color="auto"/>
          <w:color w:val="auto"/>
        </w:rPr>
        <w:t>Definitions</w:t>
      </w:r>
      <w:r>
        <w:rPr>
          <w:rFonts w:ascii="Arial" w:cs="Arial" w:eastAsia="Arial" w:hAnsi="Arial"/>
          <w:sz w:val="16"/>
          <w:szCs w:val="16"/>
          <w:color w:val="auto"/>
        </w:rPr>
        <w:t>. For purposes hereof:</w:t>
      </w:r>
    </w:p>
    <w:p>
      <w:pPr>
        <w:spacing w:after="0" w:line="212" w:lineRule="exact"/>
        <w:rPr>
          <w:sz w:val="20"/>
          <w:szCs w:val="20"/>
          <w:color w:val="auto"/>
        </w:rPr>
      </w:pPr>
    </w:p>
    <w:p>
      <w:pPr>
        <w:ind w:left="1500" w:right="20" w:hanging="690"/>
        <w:spacing w:after="0" w:line="248" w:lineRule="auto"/>
        <w:tabs>
          <w:tab w:leader="none" w:pos="1165" w:val="left"/>
        </w:tabs>
        <w:numPr>
          <w:ilvl w:val="0"/>
          <w:numId w:val="24"/>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Peer Group</w:t>
      </w:r>
      <w:r>
        <w:rPr>
          <w:rFonts w:ascii="Arial" w:cs="Arial" w:eastAsia="Arial" w:hAnsi="Arial"/>
          <w:sz w:val="18"/>
          <w:szCs w:val="18"/>
          <w:color w:val="auto"/>
        </w:rPr>
        <w:t xml:space="preserve">” means, of a benchmark group of 16 entities, the names of which are attached hereto as </w:t>
      </w:r>
      <w:r>
        <w:rPr>
          <w:rFonts w:ascii="Arial" w:cs="Arial" w:eastAsia="Arial" w:hAnsi="Arial"/>
          <w:sz w:val="18"/>
          <w:szCs w:val="18"/>
          <w:u w:val="single" w:color="auto"/>
          <w:color w:val="auto"/>
        </w:rPr>
        <w:t>Annex A</w:t>
      </w:r>
      <w:r>
        <w:rPr>
          <w:rFonts w:ascii="Arial" w:cs="Arial" w:eastAsia="Arial" w:hAnsi="Arial"/>
          <w:sz w:val="18"/>
          <w:szCs w:val="18"/>
          <w:color w:val="auto"/>
        </w:rPr>
        <w:t xml:space="preserve">, those entities that remain in the Peer Group as of the end of the Performance Period (or the date of the Change in Control if </w:t>
      </w:r>
      <w:r>
        <w:rPr>
          <w:rFonts w:ascii="Arial" w:cs="Arial" w:eastAsia="Arial" w:hAnsi="Arial"/>
          <w:sz w:val="18"/>
          <w:szCs w:val="18"/>
          <w:b w:val="1"/>
          <w:bCs w:val="1"/>
          <w:u w:val="single" w:color="auto"/>
          <w:color w:val="auto"/>
        </w:rPr>
        <w:t>Section 1(e)(ii)</w:t>
      </w:r>
      <w:r>
        <w:rPr>
          <w:rFonts w:ascii="Arial" w:cs="Arial" w:eastAsia="Arial" w:hAnsi="Arial"/>
          <w:sz w:val="18"/>
          <w:szCs w:val="18"/>
          <w:color w:val="auto"/>
        </w:rPr>
        <w:t xml:space="preserve"> of this </w:t>
      </w:r>
      <w:r>
        <w:rPr>
          <w:rFonts w:ascii="Arial" w:cs="Arial" w:eastAsia="Arial" w:hAnsi="Arial"/>
          <w:sz w:val="18"/>
          <w:szCs w:val="18"/>
          <w:b w:val="1"/>
          <w:bCs w:val="1"/>
          <w:u w:val="single" w:color="auto"/>
          <w:color w:val="auto"/>
        </w:rPr>
        <w:t>Exhibit A</w:t>
      </w:r>
      <w:r>
        <w:rPr>
          <w:rFonts w:ascii="Arial" w:cs="Arial" w:eastAsia="Arial" w:hAnsi="Arial"/>
          <w:sz w:val="18"/>
          <w:szCs w:val="18"/>
          <w:color w:val="auto"/>
        </w:rPr>
        <w:t xml:space="preserve"> is applicable) after application of the Peer Group Adjustment Protocol.</w:t>
      </w:r>
    </w:p>
    <w:p>
      <w:pPr>
        <w:spacing w:after="0" w:line="181" w:lineRule="exact"/>
        <w:rPr>
          <w:rFonts w:ascii="Arial" w:cs="Arial" w:eastAsia="Arial" w:hAnsi="Arial"/>
          <w:sz w:val="18"/>
          <w:szCs w:val="18"/>
          <w:color w:val="auto"/>
        </w:rPr>
      </w:pPr>
    </w:p>
    <w:p>
      <w:pPr>
        <w:ind w:left="1500" w:right="40" w:hanging="690"/>
        <w:spacing w:after="0" w:line="252" w:lineRule="auto"/>
        <w:tabs>
          <w:tab w:leader="none" w:pos="1165" w:val="left"/>
        </w:tabs>
        <w:numPr>
          <w:ilvl w:val="0"/>
          <w:numId w:val="24"/>
        </w:numPr>
        <w:rPr>
          <w:rFonts w:ascii="Arial" w:cs="Arial" w:eastAsia="Arial" w:hAnsi="Arial"/>
          <w:sz w:val="17"/>
          <w:szCs w:val="17"/>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Peer Group Adjustment Protocol</w:t>
      </w:r>
      <w:r>
        <w:rPr>
          <w:rFonts w:ascii="Arial" w:cs="Arial" w:eastAsia="Arial" w:hAnsi="Arial"/>
          <w:sz w:val="17"/>
          <w:szCs w:val="17"/>
          <w:color w:val="auto"/>
        </w:rPr>
        <w:t xml:space="preserve">” means: (i) if an entity listed in </w:t>
      </w:r>
      <w:r>
        <w:rPr>
          <w:rFonts w:ascii="Arial" w:cs="Arial" w:eastAsia="Arial" w:hAnsi="Arial"/>
          <w:sz w:val="17"/>
          <w:szCs w:val="17"/>
          <w:u w:val="single" w:color="auto"/>
          <w:color w:val="auto"/>
        </w:rPr>
        <w:t>Annex A</w:t>
      </w:r>
      <w:r>
        <w:rPr>
          <w:rFonts w:ascii="Arial" w:cs="Arial" w:eastAsia="Arial" w:hAnsi="Arial"/>
          <w:sz w:val="17"/>
          <w:szCs w:val="17"/>
          <w:color w:val="auto"/>
        </w:rPr>
        <w:t xml:space="preserve"> files for bankruptcy and/or liquidation, is operating under bankruptcy protection, or is delisted from its primary stock exchange because it fails to meet the exchange listing requirement, then such entity will remain in the Peer Group, but RTSR for the Performance Period will be calculated as if such entity achieved Total Shareholder Return placing it at the bottom (chronologically, if more than one such entity) of the Peer Group; (ii) if, by the last day of the Performance Period (or the date of the Change in Control if </w:t>
      </w:r>
      <w:r>
        <w:rPr>
          <w:rFonts w:ascii="Arial" w:cs="Arial" w:eastAsia="Arial" w:hAnsi="Arial"/>
          <w:sz w:val="17"/>
          <w:szCs w:val="17"/>
          <w:b w:val="1"/>
          <w:bCs w:val="1"/>
          <w:u w:val="single" w:color="auto"/>
          <w:color w:val="auto"/>
        </w:rPr>
        <w:t>Section 1(e)(ii)</w:t>
      </w:r>
      <w:r>
        <w:rPr>
          <w:rFonts w:ascii="Arial" w:cs="Arial" w:eastAsia="Arial" w:hAnsi="Arial"/>
          <w:sz w:val="17"/>
          <w:szCs w:val="17"/>
          <w:color w:val="auto"/>
        </w:rPr>
        <w:t xml:space="preserve"> of this </w:t>
      </w:r>
      <w:r>
        <w:rPr>
          <w:rFonts w:ascii="Arial" w:cs="Arial" w:eastAsia="Arial" w:hAnsi="Arial"/>
          <w:sz w:val="17"/>
          <w:szCs w:val="17"/>
          <w:b w:val="1"/>
          <w:bCs w:val="1"/>
          <w:u w:val="single" w:color="auto"/>
          <w:color w:val="auto"/>
        </w:rPr>
        <w:t>Exhibit A</w:t>
      </w:r>
      <w:r>
        <w:rPr>
          <w:rFonts w:ascii="Arial" w:cs="Arial" w:eastAsia="Arial" w:hAnsi="Arial"/>
          <w:sz w:val="17"/>
          <w:szCs w:val="17"/>
          <w:color w:val="auto"/>
        </w:rPr>
        <w:t xml:space="preserve"> is applicable), an entity listed in </w:t>
      </w:r>
      <w:r>
        <w:rPr>
          <w:rFonts w:ascii="Arial" w:cs="Arial" w:eastAsia="Arial" w:hAnsi="Arial"/>
          <w:sz w:val="17"/>
          <w:szCs w:val="17"/>
          <w:u w:val="single" w:color="auto"/>
          <w:color w:val="auto"/>
        </w:rPr>
        <w:t>Annex A</w:t>
      </w:r>
      <w:r>
        <w:rPr>
          <w:rFonts w:ascii="Arial" w:cs="Arial" w:eastAsia="Arial" w:hAnsi="Arial"/>
          <w:sz w:val="17"/>
          <w:szCs w:val="17"/>
          <w:color w:val="auto"/>
        </w:rPr>
        <w:t xml:space="preserve"> has been acquired, or has announced that it has entered into a definitive agreement the consummation of which will result in such entity’s acquisition, and/or the entity is no longer existing as a public company that is traded on its primary stock exchange (other than for the reasons as described in subsection (i) above), then such entity will not remain in the Peer Group and RTSR for the Performance Period will be calculated as if such entity had never been a member of the Peer Group; and (iii) except as otherwise described in subsection (i) and (ii) above, for purposes of this Statement of Management Objectives, for each of the entities listed in </w:t>
      </w:r>
      <w:r>
        <w:rPr>
          <w:rFonts w:ascii="Arial" w:cs="Arial" w:eastAsia="Arial" w:hAnsi="Arial"/>
          <w:sz w:val="17"/>
          <w:szCs w:val="17"/>
          <w:u w:val="single" w:color="auto"/>
          <w:color w:val="auto"/>
        </w:rPr>
        <w:t>Annex A</w:t>
      </w:r>
      <w:r>
        <w:rPr>
          <w:rFonts w:ascii="Arial" w:cs="Arial" w:eastAsia="Arial" w:hAnsi="Arial"/>
          <w:sz w:val="17"/>
          <w:szCs w:val="17"/>
          <w:color w:val="auto"/>
        </w:rPr>
        <w:t>, such entity will be deemed to include any successor to all or substantially all of the primary business of such entity at end of the Performance Period.</w:t>
      </w:r>
    </w:p>
    <w:p>
      <w:pPr>
        <w:spacing w:after="0" w:line="183" w:lineRule="exact"/>
        <w:rPr>
          <w:rFonts w:ascii="Arial" w:cs="Arial" w:eastAsia="Arial" w:hAnsi="Arial"/>
          <w:sz w:val="17"/>
          <w:szCs w:val="17"/>
          <w:color w:val="auto"/>
        </w:rPr>
      </w:pPr>
    </w:p>
    <w:p>
      <w:pPr>
        <w:ind w:left="1500" w:right="100" w:hanging="690"/>
        <w:spacing w:after="0" w:line="262" w:lineRule="auto"/>
        <w:tabs>
          <w:tab w:leader="none" w:pos="1165" w:val="left"/>
        </w:tabs>
        <w:numPr>
          <w:ilvl w:val="0"/>
          <w:numId w:val="24"/>
        </w:numPr>
        <w:rPr>
          <w:rFonts w:ascii="Arial" w:cs="Arial" w:eastAsia="Arial" w:hAnsi="Arial"/>
          <w:sz w:val="17"/>
          <w:szCs w:val="17"/>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Relative Total Shareholder Return</w:t>
      </w:r>
      <w:r>
        <w:rPr>
          <w:rFonts w:ascii="Arial" w:cs="Arial" w:eastAsia="Arial" w:hAnsi="Arial"/>
          <w:sz w:val="17"/>
          <w:szCs w:val="17"/>
          <w:color w:val="auto"/>
        </w:rPr>
        <w:t>” or “</w:t>
      </w:r>
      <w:r>
        <w:rPr>
          <w:rFonts w:ascii="Arial" w:cs="Arial" w:eastAsia="Arial" w:hAnsi="Arial"/>
          <w:sz w:val="17"/>
          <w:szCs w:val="17"/>
          <w:b w:val="1"/>
          <w:bCs w:val="1"/>
          <w:i w:val="1"/>
          <w:iCs w:val="1"/>
          <w:color w:val="auto"/>
        </w:rPr>
        <w:t>RTSR</w:t>
      </w:r>
      <w:r>
        <w:rPr>
          <w:rFonts w:ascii="Arial" w:cs="Arial" w:eastAsia="Arial" w:hAnsi="Arial"/>
          <w:sz w:val="17"/>
          <w:szCs w:val="17"/>
          <w:color w:val="auto"/>
        </w:rPr>
        <w:t xml:space="preserve">” means the percentile rank of the Company’s Total Shareholder Return among the Total Shareholder Returns of all members of the Peer Group (including the Company), ranked in descending order, at the end of each of the first year, first two years and full three years, respectively, of the Performance Period, as applicable (each, a “Nested Period”) (or the date of the Change in Control if </w:t>
      </w:r>
      <w:r>
        <w:rPr>
          <w:rFonts w:ascii="Arial" w:cs="Arial" w:eastAsia="Arial" w:hAnsi="Arial"/>
          <w:sz w:val="17"/>
          <w:szCs w:val="17"/>
          <w:b w:val="1"/>
          <w:bCs w:val="1"/>
          <w:u w:val="single" w:color="auto"/>
          <w:color w:val="auto"/>
        </w:rPr>
        <w:t>Section 1(e)(ii)</w:t>
      </w:r>
      <w:r>
        <w:rPr>
          <w:rFonts w:ascii="Arial" w:cs="Arial" w:eastAsia="Arial" w:hAnsi="Arial"/>
          <w:sz w:val="17"/>
          <w:szCs w:val="17"/>
          <w:color w:val="auto"/>
        </w:rPr>
        <w:t xml:space="preserve"> of this </w:t>
      </w:r>
      <w:r>
        <w:rPr>
          <w:rFonts w:ascii="Arial" w:cs="Arial" w:eastAsia="Arial" w:hAnsi="Arial"/>
          <w:sz w:val="17"/>
          <w:szCs w:val="17"/>
          <w:b w:val="1"/>
          <w:bCs w:val="1"/>
          <w:u w:val="single" w:color="auto"/>
          <w:color w:val="auto"/>
        </w:rPr>
        <w:t>Exhibit A</w:t>
      </w:r>
      <w:r>
        <w:rPr>
          <w:rFonts w:ascii="Arial" w:cs="Arial" w:eastAsia="Arial" w:hAnsi="Arial"/>
          <w:sz w:val="17"/>
          <w:szCs w:val="17"/>
          <w:color w:val="auto"/>
        </w:rPr>
        <w:t xml:space="preserve"> is applicable).</w:t>
      </w:r>
    </w:p>
    <w:p>
      <w:pPr>
        <w:spacing w:after="0" w:line="172" w:lineRule="exact"/>
        <w:rPr>
          <w:rFonts w:ascii="Arial" w:cs="Arial" w:eastAsia="Arial" w:hAnsi="Arial"/>
          <w:sz w:val="17"/>
          <w:szCs w:val="17"/>
          <w:color w:val="auto"/>
        </w:rPr>
      </w:pPr>
    </w:p>
    <w:p>
      <w:pPr>
        <w:ind w:left="1500" w:right="120" w:hanging="645"/>
        <w:spacing w:after="0" w:line="243" w:lineRule="auto"/>
        <w:tabs>
          <w:tab w:leader="none" w:pos="1165" w:val="left"/>
        </w:tabs>
        <w:numPr>
          <w:ilvl w:val="1"/>
          <w:numId w:val="24"/>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Total Shareholder Return</w:t>
      </w:r>
      <w:r>
        <w:rPr>
          <w:rFonts w:ascii="Arial" w:cs="Arial" w:eastAsia="Arial" w:hAnsi="Arial"/>
          <w:sz w:val="18"/>
          <w:szCs w:val="18"/>
          <w:color w:val="auto"/>
        </w:rPr>
        <w:t>” means, for each Nested Period, with respect to each of the Common Shares and the common stock of each of the members of the Peer Group, a rate of return reflecting stock price appreciation, plus the reinvestment of dividends in additional shares of stock, from the beginning of the Performance Period through the end of such Nested Period. Total Shareholder Return will be calculated as follows:</w:t>
      </w:r>
    </w:p>
    <w:p>
      <w:pPr>
        <w:spacing w:after="0" w:line="187" w:lineRule="exact"/>
        <w:rPr>
          <w:rFonts w:ascii="Arial" w:cs="Arial" w:eastAsia="Arial" w:hAnsi="Arial"/>
          <w:sz w:val="18"/>
          <w:szCs w:val="18"/>
          <w:color w:val="auto"/>
        </w:rPr>
      </w:pPr>
    </w:p>
    <w:p>
      <w:pPr>
        <w:ind w:left="1500" w:right="80" w:hanging="330"/>
        <w:spacing w:after="0" w:line="257" w:lineRule="auto"/>
        <w:tabs>
          <w:tab w:leader="none" w:pos="1525" w:val="left"/>
        </w:tabs>
        <w:numPr>
          <w:ilvl w:val="2"/>
          <w:numId w:val="24"/>
        </w:numPr>
        <w:rPr>
          <w:rFonts w:ascii="Arial" w:cs="Arial" w:eastAsia="Arial" w:hAnsi="Arial"/>
          <w:sz w:val="17"/>
          <w:szCs w:val="17"/>
          <w:color w:val="auto"/>
        </w:rPr>
      </w:pPr>
      <w:r>
        <w:rPr>
          <w:rFonts w:ascii="Arial" w:cs="Arial" w:eastAsia="Arial" w:hAnsi="Arial"/>
          <w:sz w:val="17"/>
          <w:szCs w:val="17"/>
          <w:color w:val="auto"/>
        </w:rPr>
        <w:t>Except as provided in clause (ii), for each Nested Period, Total Shareholder Return will be calculated for the Company and each member of the Peer Group by measuring the ending stock price for the applicable calendar year against the beginning price at the start of the Performance Period. For purposes of calculating Total Shareholder Return for each of the Company and the members of the Peer Group, the beginning stock price will be based on the average closing stock price for the 20 trading days immediately preceding the first day of the Performance Period on the principal stock exchange on which the stock then traded and the ending stock price for the applicable calendar year during the Nested Period will be based on the average closing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287655</wp:posOffset>
            </wp:positionV>
            <wp:extent cx="7157720" cy="425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42" w:name="page43"/>
    <w:bookmarkEnd w:id="42"/>
    <w:p>
      <w:pPr>
        <w:ind w:left="1500" w:right="460"/>
        <w:spacing w:after="0" w:line="261" w:lineRule="auto"/>
        <w:rPr>
          <w:sz w:val="20"/>
          <w:szCs w:val="20"/>
          <w:color w:val="auto"/>
        </w:rPr>
      </w:pPr>
      <w:r>
        <w:rPr>
          <w:rFonts w:ascii="Arial" w:cs="Arial" w:eastAsia="Arial" w:hAnsi="Arial"/>
          <w:sz w:val="18"/>
          <w:szCs w:val="18"/>
          <w:color w:val="auto"/>
        </w:rPr>
        <w:t>price for the 20 trading days ending on December 31 of such applicable calendar year in the Nested Period on the principal stock exchange on which the stock then trades.</w:t>
      </w:r>
    </w:p>
    <w:p>
      <w:pPr>
        <w:spacing w:after="0" w:line="167" w:lineRule="exact"/>
        <w:rPr>
          <w:sz w:val="20"/>
          <w:szCs w:val="20"/>
          <w:color w:val="auto"/>
        </w:rPr>
      </w:pPr>
    </w:p>
    <w:p>
      <w:pPr>
        <w:ind w:left="1500" w:right="60" w:firstLine="5"/>
        <w:spacing w:after="0" w:line="252" w:lineRule="auto"/>
        <w:tabs>
          <w:tab w:leader="none" w:pos="1860" w:val="left"/>
        </w:tabs>
        <w:numPr>
          <w:ilvl w:val="0"/>
          <w:numId w:val="25"/>
        </w:numPr>
        <w:rPr>
          <w:rFonts w:ascii="Arial" w:cs="Arial" w:eastAsia="Arial" w:hAnsi="Arial"/>
          <w:sz w:val="17"/>
          <w:szCs w:val="17"/>
          <w:color w:val="auto"/>
        </w:rPr>
      </w:pPr>
      <w:r>
        <w:rPr>
          <w:rFonts w:ascii="Arial" w:cs="Arial" w:eastAsia="Arial" w:hAnsi="Arial"/>
          <w:sz w:val="17"/>
          <w:szCs w:val="17"/>
          <w:color w:val="auto"/>
        </w:rPr>
        <w:t xml:space="preserve">If a Change in Control occurs during the Restriction Period, and </w:t>
      </w:r>
      <w:r>
        <w:rPr>
          <w:rFonts w:ascii="Arial" w:cs="Arial" w:eastAsia="Arial" w:hAnsi="Arial"/>
          <w:sz w:val="17"/>
          <w:szCs w:val="17"/>
          <w:b w:val="1"/>
          <w:bCs w:val="1"/>
          <w:u w:val="single" w:color="auto"/>
          <w:color w:val="auto"/>
        </w:rPr>
        <w:t>Section 4(c)</w:t>
      </w:r>
      <w:r>
        <w:rPr>
          <w:rFonts w:ascii="Arial" w:cs="Arial" w:eastAsia="Arial" w:hAnsi="Arial"/>
          <w:sz w:val="17"/>
          <w:szCs w:val="17"/>
          <w:color w:val="auto"/>
        </w:rPr>
        <w:t xml:space="preserve"> of the Agreement applies to the PRSUs, (A) for purposes of determining Total Shareholder Return, the last day of the Performance Period will be the date of the Change in Control, and (B) Total Shareholder Return for the last Nested Period during the Performance Period will be calculated for the Company and each member of the Peer Group using a beginning stock price based on the average closing stock price for the 20 trading days immediately preceding the first day of the Performance Period on the principal stock exchange on which the stock then traded, and the ending stock price for the Company will be the “Sale Price” (as defined below) and for each member of the Peer Group will be based on the average closing stock price for the 20 trading days ending on the date of the Change in Control on the principal stock exchange on which the stock then traded. The “</w:t>
      </w:r>
      <w:r>
        <w:rPr>
          <w:rFonts w:ascii="Arial" w:cs="Arial" w:eastAsia="Arial" w:hAnsi="Arial"/>
          <w:sz w:val="17"/>
          <w:szCs w:val="17"/>
          <w:b w:val="1"/>
          <w:bCs w:val="1"/>
          <w:i w:val="1"/>
          <w:iCs w:val="1"/>
          <w:color w:val="auto"/>
        </w:rPr>
        <w:t>Sale Price</w:t>
      </w:r>
      <w:r>
        <w:rPr>
          <w:rFonts w:ascii="Arial" w:cs="Arial" w:eastAsia="Arial" w:hAnsi="Arial"/>
          <w:sz w:val="17"/>
          <w:szCs w:val="17"/>
          <w:color w:val="auto"/>
        </w:rPr>
        <w:t>” will be the amount of consideration per Common Share that shareholders of the Company receive upon consummation of the Change in Control (including the fair market value, as determined by the Committee, of any non-cash consideration); provided that if the Change in Control is not the result of a transaction in which shareholders receive consideration, the “</w:t>
      </w:r>
      <w:r>
        <w:rPr>
          <w:rFonts w:ascii="Arial" w:cs="Arial" w:eastAsia="Arial" w:hAnsi="Arial"/>
          <w:sz w:val="17"/>
          <w:szCs w:val="17"/>
          <w:b w:val="1"/>
          <w:bCs w:val="1"/>
          <w:i w:val="1"/>
          <w:iCs w:val="1"/>
          <w:color w:val="auto"/>
        </w:rPr>
        <w:t>Sale Price</w:t>
      </w:r>
      <w:r>
        <w:rPr>
          <w:rFonts w:ascii="Arial" w:cs="Arial" w:eastAsia="Arial" w:hAnsi="Arial"/>
          <w:sz w:val="17"/>
          <w:szCs w:val="17"/>
          <w:color w:val="auto"/>
        </w:rPr>
        <w:t>” will be the closing price of a Common Share on the last trading day immediately preceding the date of the Change in Control.</w:t>
      </w:r>
    </w:p>
    <w:p>
      <w:pPr>
        <w:spacing w:after="0" w:line="79" w:lineRule="exact"/>
        <w:rPr>
          <w:sz w:val="20"/>
          <w:szCs w:val="20"/>
          <w:color w:val="auto"/>
        </w:rPr>
      </w:pPr>
    </w:p>
    <w:p>
      <w:pPr>
        <w:spacing w:after="0"/>
        <w:tabs>
          <w:tab w:leader="none" w:pos="1060" w:val="left"/>
        </w:tabs>
        <w:rPr>
          <w:sz w:val="20"/>
          <w:szCs w:val="20"/>
          <w:color w:val="auto"/>
        </w:rPr>
      </w:pPr>
      <w:r>
        <w:rPr>
          <w:rFonts w:ascii="Arial" w:cs="Arial" w:eastAsia="Arial" w:hAnsi="Arial"/>
          <w:sz w:val="18"/>
          <w:szCs w:val="18"/>
          <w:color w:val="auto"/>
        </w:rPr>
        <w:t>Section 2.</w:t>
      </w:r>
      <w:r>
        <w:rPr>
          <w:sz w:val="20"/>
          <w:szCs w:val="20"/>
          <w:color w:val="auto"/>
        </w:rPr>
        <w:tab/>
      </w:r>
      <w:r>
        <w:rPr>
          <w:rFonts w:ascii="Arial" w:cs="Arial" w:eastAsia="Arial" w:hAnsi="Arial"/>
          <w:sz w:val="16"/>
          <w:szCs w:val="16"/>
          <w:u w:val="single" w:color="auto"/>
          <w:color w:val="auto"/>
        </w:rPr>
        <w:t>Performance Matrices</w:t>
      </w:r>
      <w:r>
        <w:rPr>
          <w:rFonts w:ascii="Arial" w:cs="Arial" w:eastAsia="Arial" w:hAnsi="Arial"/>
          <w:sz w:val="16"/>
          <w:szCs w:val="16"/>
          <w:color w:val="auto"/>
        </w:rPr>
        <w:t>.</w:t>
      </w:r>
    </w:p>
    <w:p>
      <w:pPr>
        <w:spacing w:after="0" w:line="212" w:lineRule="exact"/>
        <w:rPr>
          <w:sz w:val="20"/>
          <w:szCs w:val="20"/>
          <w:color w:val="auto"/>
        </w:rPr>
      </w:pPr>
    </w:p>
    <w:p>
      <w:pPr>
        <w:spacing w:after="0" w:line="255" w:lineRule="auto"/>
        <w:rPr>
          <w:sz w:val="20"/>
          <w:szCs w:val="20"/>
          <w:color w:val="auto"/>
        </w:rPr>
      </w:pPr>
      <w:r>
        <w:rPr>
          <w:rFonts w:ascii="Arial" w:cs="Arial" w:eastAsia="Arial" w:hAnsi="Arial"/>
          <w:sz w:val="17"/>
          <w:szCs w:val="17"/>
          <w:color w:val="auto"/>
        </w:rPr>
        <w:t>For each Nested Period during the Performance Period, from 0% to 200% of the PRSUs will be deemed to be the payout percentage (“Payout Percentage”) for such Nested Period based on achievement of the Management Objectives measured by RTSR performance during the Nested Period, in each case as follows (with the percentage of PRSUs (rounded to the nearest whole PRSU) earned for the entire Performance Period (including in the event of a Change in Control occurring during the Restriction Period) determined by averaging (rounded to two decimal places) the Payout Percentages calculated for the Nested Periods occurring during the Performance Period; provided, however, notwithstanding the percentage determined by averaging the Payout Percentages calculated for the Nested Periods, if RTSR performance for the full three-years of the Performance Period is negative, the percentage of PRSUs earned for the entire Performance Period will be limited to and may not exceed 150% ):</w:t>
      </w:r>
    </w:p>
    <w:p>
      <w:pPr>
        <w:spacing w:after="0" w:line="306" w:lineRule="exact"/>
        <w:rPr>
          <w:sz w:val="20"/>
          <w:szCs w:val="20"/>
          <w:color w:val="auto"/>
        </w:rPr>
      </w:pPr>
    </w:p>
    <w:tbl>
      <w:tblPr>
        <w:tblLayout w:type="fixed"/>
        <w:tblInd w:w="350" w:type="dxa"/>
        <w:tblCellMar>
          <w:top w:w="0" w:type="dxa"/>
          <w:left w:w="0" w:type="dxa"/>
          <w:bottom w:w="0" w:type="dxa"/>
          <w:right w:w="0" w:type="dxa"/>
        </w:tblCellMar>
      </w:tblPr>
      <w:tr>
        <w:trPr>
          <w:trHeight w:val="223"/>
        </w:trPr>
        <w:tc>
          <w:tcPr>
            <w:tcW w:w="3160" w:type="dxa"/>
            <w:vAlign w:val="bottom"/>
            <w:tcBorders>
              <w:top w:val="single" w:sz="8" w:color="auto"/>
              <w:left w:val="single" w:sz="8" w:color="auto"/>
              <w:bottom w:val="single" w:sz="8" w:color="auto"/>
              <w:right w:val="single" w:sz="8" w:color="auto"/>
            </w:tcBorders>
            <w:shd w:val="clear" w:color="auto" w:fill="BFBFBF"/>
          </w:tcPr>
          <w:p>
            <w:pPr>
              <w:jc w:val="center"/>
              <w:spacing w:after="0" w:line="202" w:lineRule="exact"/>
              <w:rPr>
                <w:sz w:val="20"/>
                <w:szCs w:val="20"/>
                <w:color w:val="auto"/>
              </w:rPr>
            </w:pPr>
            <w:r>
              <w:rPr>
                <w:rFonts w:ascii="Arial" w:cs="Arial" w:eastAsia="Arial" w:hAnsi="Arial"/>
                <w:sz w:val="18"/>
                <w:szCs w:val="18"/>
                <w:b w:val="1"/>
                <w:bCs w:val="1"/>
                <w:color w:val="auto"/>
                <w:w w:val="90"/>
              </w:rPr>
              <w:t>Performance Level</w:t>
            </w:r>
          </w:p>
        </w:tc>
        <w:tc>
          <w:tcPr>
            <w:tcW w:w="5040" w:type="dxa"/>
            <w:vAlign w:val="bottom"/>
            <w:tcBorders>
              <w:top w:val="single" w:sz="8" w:color="auto"/>
              <w:bottom w:val="single" w:sz="8" w:color="auto"/>
              <w:right w:val="single" w:sz="8" w:color="auto"/>
            </w:tcBorders>
            <w:shd w:val="clear" w:color="auto" w:fill="BFBFBF"/>
          </w:tcPr>
          <w:p>
            <w:pPr>
              <w:jc w:val="center"/>
              <w:spacing w:after="0" w:line="202" w:lineRule="exact"/>
              <w:rPr>
                <w:sz w:val="20"/>
                <w:szCs w:val="20"/>
                <w:color w:val="auto"/>
              </w:rPr>
            </w:pPr>
            <w:r>
              <w:rPr>
                <w:rFonts w:ascii="Arial" w:cs="Arial" w:eastAsia="Arial" w:hAnsi="Arial"/>
                <w:sz w:val="18"/>
                <w:szCs w:val="18"/>
                <w:b w:val="1"/>
                <w:bCs w:val="1"/>
                <w:color w:val="auto"/>
                <w:w w:val="91"/>
              </w:rPr>
              <w:t>Relative Total Shareholder Return</w:t>
            </w:r>
          </w:p>
        </w:tc>
        <w:tc>
          <w:tcPr>
            <w:tcW w:w="2360" w:type="dxa"/>
            <w:vAlign w:val="bottom"/>
            <w:tcBorders>
              <w:top w:val="single" w:sz="8" w:color="auto"/>
              <w:bottom w:val="single" w:sz="8" w:color="auto"/>
              <w:right w:val="single" w:sz="8" w:color="auto"/>
            </w:tcBorders>
            <w:shd w:val="clear" w:color="auto" w:fill="BFBFBF"/>
          </w:tcPr>
          <w:p>
            <w:pPr>
              <w:ind w:left="460"/>
              <w:spacing w:after="0" w:line="202" w:lineRule="exact"/>
              <w:rPr>
                <w:sz w:val="20"/>
                <w:szCs w:val="20"/>
                <w:color w:val="auto"/>
              </w:rPr>
            </w:pPr>
            <w:r>
              <w:rPr>
                <w:rFonts w:ascii="Arial" w:cs="Arial" w:eastAsia="Arial" w:hAnsi="Arial"/>
                <w:sz w:val="18"/>
                <w:szCs w:val="18"/>
                <w:b w:val="1"/>
                <w:bCs w:val="1"/>
                <w:color w:val="auto"/>
              </w:rPr>
              <w:t>Payout Percentage</w:t>
            </w:r>
          </w:p>
        </w:tc>
      </w:tr>
      <w:tr>
        <w:trPr>
          <w:trHeight w:val="179"/>
        </w:trPr>
        <w:tc>
          <w:tcPr>
            <w:tcW w:w="3160" w:type="dxa"/>
            <w:vAlign w:val="bottom"/>
            <w:tcBorders>
              <w:left w:val="single" w:sz="8" w:color="auto"/>
              <w:bottom w:val="single" w:sz="8" w:color="auto"/>
              <w:right w:val="single" w:sz="8" w:color="auto"/>
            </w:tcBorders>
          </w:tcPr>
          <w:p>
            <w:pPr>
              <w:jc w:val="center"/>
              <w:spacing w:after="0" w:line="179" w:lineRule="exact"/>
              <w:rPr>
                <w:sz w:val="20"/>
                <w:szCs w:val="20"/>
                <w:color w:val="auto"/>
              </w:rPr>
            </w:pPr>
            <w:r>
              <w:rPr>
                <w:rFonts w:ascii="Arial" w:cs="Arial" w:eastAsia="Arial" w:hAnsi="Arial"/>
                <w:sz w:val="18"/>
                <w:szCs w:val="18"/>
                <w:color w:val="auto"/>
                <w:w w:val="93"/>
              </w:rPr>
              <w:t>Below Threshold</w:t>
            </w:r>
          </w:p>
        </w:tc>
        <w:tc>
          <w:tcPr>
            <w:tcW w:w="5040" w:type="dxa"/>
            <w:vAlign w:val="bottom"/>
            <w:tcBorders>
              <w:bottom w:val="single" w:sz="8" w:color="auto"/>
              <w:right w:val="single" w:sz="8" w:color="auto"/>
            </w:tcBorders>
          </w:tcPr>
          <w:p>
            <w:pPr>
              <w:jc w:val="center"/>
              <w:spacing w:after="0" w:line="179" w:lineRule="exact"/>
              <w:rPr>
                <w:sz w:val="20"/>
                <w:szCs w:val="20"/>
                <w:color w:val="auto"/>
              </w:rPr>
            </w:pPr>
            <w:r>
              <w:rPr>
                <w:rFonts w:ascii="Arial" w:cs="Arial" w:eastAsia="Arial" w:hAnsi="Arial"/>
                <w:sz w:val="18"/>
                <w:szCs w:val="18"/>
                <w:color w:val="auto"/>
                <w:w w:val="91"/>
              </w:rPr>
              <w:t>Ranked below 25th percentile</w:t>
            </w:r>
          </w:p>
        </w:tc>
        <w:tc>
          <w:tcPr>
            <w:tcW w:w="2360" w:type="dxa"/>
            <w:vAlign w:val="bottom"/>
            <w:tcBorders>
              <w:bottom w:val="single" w:sz="8" w:color="auto"/>
              <w:right w:val="single" w:sz="8" w:color="auto"/>
            </w:tcBorders>
          </w:tcPr>
          <w:p>
            <w:pPr>
              <w:jc w:val="center"/>
              <w:spacing w:after="0" w:line="179" w:lineRule="exact"/>
              <w:rPr>
                <w:sz w:val="20"/>
                <w:szCs w:val="20"/>
                <w:color w:val="auto"/>
              </w:rPr>
            </w:pPr>
            <w:r>
              <w:rPr>
                <w:rFonts w:ascii="Arial" w:cs="Arial" w:eastAsia="Arial" w:hAnsi="Arial"/>
                <w:sz w:val="18"/>
                <w:szCs w:val="18"/>
                <w:color w:val="auto"/>
                <w:w w:val="92"/>
              </w:rPr>
              <w:t>0%</w:t>
            </w:r>
          </w:p>
        </w:tc>
      </w:tr>
      <w:tr>
        <w:trPr>
          <w:trHeight w:val="196"/>
        </w:trPr>
        <w:tc>
          <w:tcPr>
            <w:tcW w:w="316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Threshold</w:t>
            </w:r>
          </w:p>
        </w:tc>
        <w:tc>
          <w:tcPr>
            <w:tcW w:w="50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9"/>
              </w:rPr>
              <w:t>Ranked at 25th percentile</w:t>
            </w:r>
          </w:p>
        </w:tc>
        <w:tc>
          <w:tcPr>
            <w:tcW w:w="23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8"/>
              </w:rPr>
              <w:t>50%</w:t>
            </w:r>
          </w:p>
        </w:tc>
      </w:tr>
      <w:tr>
        <w:trPr>
          <w:trHeight w:val="196"/>
        </w:trPr>
        <w:tc>
          <w:tcPr>
            <w:tcW w:w="316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8"/>
              </w:rPr>
              <w:t>Target</w:t>
            </w:r>
          </w:p>
        </w:tc>
        <w:tc>
          <w:tcPr>
            <w:tcW w:w="50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9"/>
              </w:rPr>
              <w:t>Ranked at 50th percentile</w:t>
            </w:r>
          </w:p>
        </w:tc>
        <w:tc>
          <w:tcPr>
            <w:tcW w:w="23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100%</w:t>
            </w:r>
          </w:p>
        </w:tc>
      </w:tr>
      <w:tr>
        <w:trPr>
          <w:trHeight w:val="196"/>
        </w:trPr>
        <w:tc>
          <w:tcPr>
            <w:tcW w:w="316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Above Target</w:t>
            </w:r>
          </w:p>
        </w:tc>
        <w:tc>
          <w:tcPr>
            <w:tcW w:w="50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9"/>
              </w:rPr>
              <w:t>Ranked at or above 75th percentile</w:t>
            </w:r>
          </w:p>
        </w:tc>
        <w:tc>
          <w:tcPr>
            <w:tcW w:w="23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150%</w:t>
            </w:r>
          </w:p>
        </w:tc>
      </w:tr>
      <w:tr>
        <w:trPr>
          <w:trHeight w:val="196"/>
        </w:trPr>
        <w:tc>
          <w:tcPr>
            <w:tcW w:w="316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Maximum</w:t>
            </w:r>
          </w:p>
        </w:tc>
        <w:tc>
          <w:tcPr>
            <w:tcW w:w="50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9"/>
              </w:rPr>
              <w:t>Ranked at or above 90th percentile</w:t>
            </w:r>
          </w:p>
        </w:tc>
        <w:tc>
          <w:tcPr>
            <w:tcW w:w="23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200%</w:t>
            </w:r>
          </w:p>
        </w:tc>
      </w:tr>
    </w:tbl>
    <w:p>
      <w:pPr>
        <w:spacing w:after="0" w:line="202" w:lineRule="exact"/>
        <w:rPr>
          <w:sz w:val="20"/>
          <w:szCs w:val="20"/>
          <w:color w:val="auto"/>
        </w:rPr>
      </w:pPr>
    </w:p>
    <w:p>
      <w:pPr>
        <w:jc w:val="both"/>
        <w:ind w:left="1080" w:right="360" w:hanging="1497"/>
        <w:spacing w:after="0" w:line="248" w:lineRule="auto"/>
        <w:tabs>
          <w:tab w:leader="none" w:pos="1060" w:val="left"/>
        </w:tabs>
        <w:rPr>
          <w:sz w:val="20"/>
          <w:szCs w:val="20"/>
          <w:color w:val="auto"/>
        </w:rPr>
      </w:pPr>
      <w:r>
        <w:rPr>
          <w:rFonts w:ascii="Arial" w:cs="Arial" w:eastAsia="Arial" w:hAnsi="Arial"/>
          <w:sz w:val="18"/>
          <w:szCs w:val="18"/>
          <w:color w:val="auto"/>
        </w:rPr>
        <w:t>Section 3.</w:t>
      </w:r>
      <w:r>
        <w:rPr>
          <w:sz w:val="20"/>
          <w:szCs w:val="20"/>
          <w:color w:val="auto"/>
        </w:rPr>
        <w:tab/>
      </w:r>
      <w:r>
        <w:rPr>
          <w:rFonts w:ascii="Arial" w:cs="Arial" w:eastAsia="Arial" w:hAnsi="Arial"/>
          <w:sz w:val="18"/>
          <w:szCs w:val="18"/>
          <w:u w:val="single" w:color="auto"/>
          <w:color w:val="auto"/>
        </w:rPr>
        <w:t>Number of PRSUs Earned</w:t>
      </w:r>
      <w:r>
        <w:rPr>
          <w:rFonts w:ascii="Arial" w:cs="Arial" w:eastAsia="Arial" w:hAnsi="Arial"/>
          <w:sz w:val="18"/>
          <w:szCs w:val="18"/>
          <w:color w:val="auto"/>
        </w:rPr>
        <w:t>. The Committee will determine whether and to what extent the goals relating to the Management Objectives</w:t>
      </w:r>
      <w:r>
        <w:rPr>
          <w:rFonts w:ascii="Arial" w:cs="Arial" w:eastAsia="Arial" w:hAnsi="Arial"/>
          <w:sz w:val="18"/>
          <w:szCs w:val="18"/>
          <w:u w:val="single" w:color="auto"/>
          <w:color w:val="auto"/>
        </w:rPr>
        <w:t xml:space="preserve"> </w:t>
      </w:r>
      <w:r>
        <w:rPr>
          <w:rFonts w:ascii="Arial" w:cs="Arial" w:eastAsia="Arial" w:hAnsi="Arial"/>
          <w:sz w:val="18"/>
          <w:szCs w:val="18"/>
          <w:color w:val="auto"/>
        </w:rPr>
        <w:t>described herein have been satisfied for the Performance Period and will determine the number of PRSUs that will become earned hereunder and under the Agreement on the basis of the following:</w:t>
      </w:r>
    </w:p>
    <w:p>
      <w:pPr>
        <w:spacing w:after="0" w:line="182" w:lineRule="exact"/>
        <w:rPr>
          <w:sz w:val="20"/>
          <w:szCs w:val="20"/>
          <w:color w:val="auto"/>
        </w:rPr>
      </w:pPr>
    </w:p>
    <w:p>
      <w:pPr>
        <w:ind w:left="1500" w:hanging="690"/>
        <w:spacing w:after="0" w:line="261" w:lineRule="auto"/>
        <w:tabs>
          <w:tab w:leader="none" w:pos="1165" w:val="left"/>
        </w:tabs>
        <w:numPr>
          <w:ilvl w:val="0"/>
          <w:numId w:val="26"/>
        </w:numPr>
        <w:rPr>
          <w:rFonts w:ascii="Arial" w:cs="Arial" w:eastAsia="Arial" w:hAnsi="Arial"/>
          <w:sz w:val="18"/>
          <w:szCs w:val="18"/>
          <w:color w:val="auto"/>
        </w:rPr>
      </w:pPr>
      <w:r>
        <w:rPr>
          <w:rFonts w:ascii="Arial" w:cs="Arial" w:eastAsia="Arial" w:hAnsi="Arial"/>
          <w:sz w:val="18"/>
          <w:szCs w:val="18"/>
          <w:u w:val="single" w:color="auto"/>
          <w:color w:val="auto"/>
        </w:rPr>
        <w:t>Below Threshold</w:t>
      </w:r>
      <w:r>
        <w:rPr>
          <w:rFonts w:ascii="Arial" w:cs="Arial" w:eastAsia="Arial" w:hAnsi="Arial"/>
          <w:sz w:val="18"/>
          <w:szCs w:val="18"/>
          <w:color w:val="auto"/>
        </w:rPr>
        <w:t>. If, upon the conclusion of a Nested Period, RTSR for the Nested Period falls below the threshold level, as set forth in the Performance Matrices, the Payout Percentage will be zero for such Nested Period.</w:t>
      </w:r>
    </w:p>
    <w:p>
      <w:pPr>
        <w:spacing w:after="0" w:line="170" w:lineRule="exact"/>
        <w:rPr>
          <w:rFonts w:ascii="Arial" w:cs="Arial" w:eastAsia="Arial" w:hAnsi="Arial"/>
          <w:sz w:val="18"/>
          <w:szCs w:val="18"/>
          <w:color w:val="auto"/>
        </w:rPr>
      </w:pPr>
    </w:p>
    <w:p>
      <w:pPr>
        <w:ind w:left="1500" w:right="860" w:hanging="690"/>
        <w:spacing w:after="0" w:line="261" w:lineRule="auto"/>
        <w:tabs>
          <w:tab w:leader="none" w:pos="1165" w:val="left"/>
        </w:tabs>
        <w:numPr>
          <w:ilvl w:val="0"/>
          <w:numId w:val="26"/>
        </w:numPr>
        <w:rPr>
          <w:rFonts w:ascii="Arial" w:cs="Arial" w:eastAsia="Arial" w:hAnsi="Arial"/>
          <w:sz w:val="18"/>
          <w:szCs w:val="18"/>
          <w:color w:val="auto"/>
        </w:rPr>
      </w:pPr>
      <w:r>
        <w:rPr>
          <w:rFonts w:ascii="Arial" w:cs="Arial" w:eastAsia="Arial" w:hAnsi="Arial"/>
          <w:sz w:val="18"/>
          <w:szCs w:val="18"/>
          <w:u w:val="single" w:color="auto"/>
          <w:color w:val="auto"/>
        </w:rPr>
        <w:t>Threshold</w:t>
      </w:r>
      <w:r>
        <w:rPr>
          <w:rFonts w:ascii="Arial" w:cs="Arial" w:eastAsia="Arial" w:hAnsi="Arial"/>
          <w:sz w:val="18"/>
          <w:szCs w:val="18"/>
          <w:color w:val="auto"/>
        </w:rPr>
        <w:t>. If, upon the conclusion of a Nested Period, RTSR for the Nested Period equals the threshold level, as set forth in the Performance Matrices, 50% will be the Payout Percentage for such Nested Period.</w:t>
      </w:r>
    </w:p>
    <w:p>
      <w:pPr>
        <w:spacing w:after="0" w:line="170" w:lineRule="exact"/>
        <w:rPr>
          <w:rFonts w:ascii="Arial" w:cs="Arial" w:eastAsia="Arial" w:hAnsi="Arial"/>
          <w:sz w:val="18"/>
          <w:szCs w:val="18"/>
          <w:color w:val="auto"/>
        </w:rPr>
      </w:pPr>
    </w:p>
    <w:p>
      <w:pPr>
        <w:ind w:left="1500" w:right="100" w:hanging="645"/>
        <w:spacing w:after="0" w:line="261" w:lineRule="auto"/>
        <w:tabs>
          <w:tab w:leader="none" w:pos="1165" w:val="left"/>
        </w:tabs>
        <w:numPr>
          <w:ilvl w:val="1"/>
          <w:numId w:val="26"/>
        </w:numPr>
        <w:rPr>
          <w:rFonts w:ascii="Arial" w:cs="Arial" w:eastAsia="Arial" w:hAnsi="Arial"/>
          <w:sz w:val="18"/>
          <w:szCs w:val="18"/>
          <w:color w:val="auto"/>
        </w:rPr>
      </w:pPr>
      <w:r>
        <w:rPr>
          <w:rFonts w:ascii="Arial" w:cs="Arial" w:eastAsia="Arial" w:hAnsi="Arial"/>
          <w:sz w:val="18"/>
          <w:szCs w:val="18"/>
          <w:u w:val="single" w:color="auto"/>
          <w:color w:val="auto"/>
        </w:rPr>
        <w:t>Between Threshold and Target</w:t>
      </w:r>
      <w:r>
        <w:rPr>
          <w:rFonts w:ascii="Arial" w:cs="Arial" w:eastAsia="Arial" w:hAnsi="Arial"/>
          <w:sz w:val="18"/>
          <w:szCs w:val="18"/>
          <w:color w:val="auto"/>
        </w:rPr>
        <w:t>. If, upon the conclusion of a Nested Period, RTSR for the Nested Period exceeds the threshold level, but is less than the target level, as set forth in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285115</wp:posOffset>
            </wp:positionV>
            <wp:extent cx="7157720" cy="425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8" w:right="339" w:bottom="1440" w:gutter="0" w:footer="0" w:header="0"/>
        </w:sectPr>
      </w:pPr>
    </w:p>
    <w:bookmarkStart w:id="43" w:name="page44"/>
    <w:bookmarkEnd w:id="43"/>
    <w:p>
      <w:pPr>
        <w:ind w:left="690" w:right="40"/>
        <w:spacing w:after="0" w:line="261" w:lineRule="auto"/>
        <w:rPr>
          <w:sz w:val="20"/>
          <w:szCs w:val="20"/>
          <w:color w:val="auto"/>
        </w:rPr>
      </w:pPr>
      <w:r>
        <w:rPr>
          <w:rFonts w:ascii="Arial" w:cs="Arial" w:eastAsia="Arial" w:hAnsi="Arial"/>
          <w:sz w:val="18"/>
          <w:szCs w:val="18"/>
          <w:color w:val="auto"/>
        </w:rPr>
        <w:t>Performance Matrices, a percentage between 50% and 100% (determined on the basis of straight-line mathematical interpolation) will be the Percentage Payout for such Nested Period.</w:t>
      </w:r>
    </w:p>
    <w:p>
      <w:pPr>
        <w:spacing w:after="0" w:line="171" w:lineRule="exact"/>
        <w:rPr>
          <w:sz w:val="20"/>
          <w:szCs w:val="20"/>
          <w:color w:val="auto"/>
        </w:rPr>
      </w:pPr>
    </w:p>
    <w:p>
      <w:pPr>
        <w:ind w:left="690" w:right="380" w:hanging="690"/>
        <w:spacing w:after="0" w:line="261" w:lineRule="auto"/>
        <w:tabs>
          <w:tab w:leader="none" w:pos="354" w:val="left"/>
        </w:tabs>
        <w:numPr>
          <w:ilvl w:val="0"/>
          <w:numId w:val="27"/>
        </w:numPr>
        <w:rPr>
          <w:rFonts w:ascii="Arial" w:cs="Arial" w:eastAsia="Arial" w:hAnsi="Arial"/>
          <w:sz w:val="18"/>
          <w:szCs w:val="18"/>
          <w:color w:val="auto"/>
        </w:rPr>
      </w:pPr>
      <w:r>
        <w:rPr>
          <w:rFonts w:ascii="Arial" w:cs="Arial" w:eastAsia="Arial" w:hAnsi="Arial"/>
          <w:sz w:val="18"/>
          <w:szCs w:val="18"/>
          <w:u w:val="single" w:color="auto"/>
          <w:color w:val="auto"/>
        </w:rPr>
        <w:t>Target</w:t>
      </w:r>
      <w:r>
        <w:rPr>
          <w:rFonts w:ascii="Arial" w:cs="Arial" w:eastAsia="Arial" w:hAnsi="Arial"/>
          <w:sz w:val="18"/>
          <w:szCs w:val="18"/>
          <w:color w:val="auto"/>
        </w:rPr>
        <w:t>. If, upon the conclusion of a Nested Period, RTSR for the Nested Period equals the target level, as set forth in the Performance Matrices, 100% will be the Payout Percentage for such Nested Period.</w:t>
      </w:r>
    </w:p>
    <w:p>
      <w:pPr>
        <w:spacing w:after="0" w:line="170" w:lineRule="exact"/>
        <w:rPr>
          <w:rFonts w:ascii="Arial" w:cs="Arial" w:eastAsia="Arial" w:hAnsi="Arial"/>
          <w:sz w:val="18"/>
          <w:szCs w:val="18"/>
          <w:color w:val="auto"/>
        </w:rPr>
      </w:pPr>
    </w:p>
    <w:p>
      <w:pPr>
        <w:ind w:left="690" w:right="80" w:hanging="690"/>
        <w:spacing w:after="0" w:line="270" w:lineRule="auto"/>
        <w:tabs>
          <w:tab w:leader="none" w:pos="354" w:val="left"/>
        </w:tabs>
        <w:numPr>
          <w:ilvl w:val="0"/>
          <w:numId w:val="27"/>
        </w:numPr>
        <w:rPr>
          <w:rFonts w:ascii="Arial" w:cs="Arial" w:eastAsia="Arial" w:hAnsi="Arial"/>
          <w:sz w:val="17"/>
          <w:szCs w:val="17"/>
          <w:color w:val="auto"/>
        </w:rPr>
      </w:pPr>
      <w:r>
        <w:rPr>
          <w:rFonts w:ascii="Arial" w:cs="Arial" w:eastAsia="Arial" w:hAnsi="Arial"/>
          <w:sz w:val="17"/>
          <w:szCs w:val="17"/>
          <w:u w:val="single" w:color="auto"/>
          <w:color w:val="auto"/>
        </w:rPr>
        <w:t>Between Target and Above Target</w:t>
      </w:r>
      <w:r>
        <w:rPr>
          <w:rFonts w:ascii="Arial" w:cs="Arial" w:eastAsia="Arial" w:hAnsi="Arial"/>
          <w:sz w:val="17"/>
          <w:szCs w:val="17"/>
          <w:color w:val="auto"/>
        </w:rPr>
        <w:t>. If, upon the conclusion of a Nested Period, RTSR for the Nested Period exceeds the target level, but is less than the above target level, as set forth in the Performance Matrices, a percentage between 100% and 150% (determined on the basis of straight-line mathematical interpolation) will be the Payout Percentage for such Nested Period.</w:t>
      </w:r>
    </w:p>
    <w:p>
      <w:pPr>
        <w:spacing w:after="0" w:line="163" w:lineRule="exact"/>
        <w:rPr>
          <w:rFonts w:ascii="Arial" w:cs="Arial" w:eastAsia="Arial" w:hAnsi="Arial"/>
          <w:sz w:val="17"/>
          <w:szCs w:val="17"/>
          <w:color w:val="auto"/>
        </w:rPr>
      </w:pPr>
    </w:p>
    <w:p>
      <w:pPr>
        <w:ind w:left="690" w:right="360" w:hanging="690"/>
        <w:spacing w:after="0" w:line="261" w:lineRule="auto"/>
        <w:tabs>
          <w:tab w:leader="none" w:pos="354" w:val="left"/>
        </w:tabs>
        <w:numPr>
          <w:ilvl w:val="0"/>
          <w:numId w:val="27"/>
        </w:numPr>
        <w:rPr>
          <w:rFonts w:ascii="Arial" w:cs="Arial" w:eastAsia="Arial" w:hAnsi="Arial"/>
          <w:sz w:val="18"/>
          <w:szCs w:val="18"/>
          <w:color w:val="auto"/>
        </w:rPr>
      </w:pPr>
      <w:r>
        <w:rPr>
          <w:rFonts w:ascii="Arial" w:cs="Arial" w:eastAsia="Arial" w:hAnsi="Arial"/>
          <w:sz w:val="18"/>
          <w:szCs w:val="18"/>
          <w:color w:val="auto"/>
        </w:rPr>
        <w:t xml:space="preserve">Above </w:t>
      </w:r>
      <w:r>
        <w:rPr>
          <w:rFonts w:ascii="Arial" w:cs="Arial" w:eastAsia="Arial" w:hAnsi="Arial"/>
          <w:sz w:val="18"/>
          <w:szCs w:val="18"/>
          <w:u w:val="single" w:color="auto"/>
          <w:color w:val="auto"/>
        </w:rPr>
        <w:t>Target</w:t>
      </w:r>
      <w:r>
        <w:rPr>
          <w:rFonts w:ascii="Arial" w:cs="Arial" w:eastAsia="Arial" w:hAnsi="Arial"/>
          <w:sz w:val="18"/>
          <w:szCs w:val="18"/>
          <w:color w:val="auto"/>
        </w:rPr>
        <w:t>. If, upon the conclusion of a Nested Period, RTSR for the Nested Period equals the above target level, as set forth in the Performance Matrices, 150% will be the Payout Percentage for such Nested Period.</w:t>
      </w:r>
    </w:p>
    <w:p>
      <w:pPr>
        <w:spacing w:after="0" w:line="170" w:lineRule="exact"/>
        <w:rPr>
          <w:rFonts w:ascii="Arial" w:cs="Arial" w:eastAsia="Arial" w:hAnsi="Arial"/>
          <w:sz w:val="18"/>
          <w:szCs w:val="18"/>
          <w:color w:val="auto"/>
        </w:rPr>
      </w:pPr>
    </w:p>
    <w:p>
      <w:pPr>
        <w:ind w:left="690" w:hanging="690"/>
        <w:spacing w:after="0" w:line="270" w:lineRule="auto"/>
        <w:tabs>
          <w:tab w:leader="none" w:pos="354" w:val="left"/>
        </w:tabs>
        <w:numPr>
          <w:ilvl w:val="0"/>
          <w:numId w:val="27"/>
        </w:numPr>
        <w:rPr>
          <w:rFonts w:ascii="Arial" w:cs="Arial" w:eastAsia="Arial" w:hAnsi="Arial"/>
          <w:sz w:val="17"/>
          <w:szCs w:val="17"/>
          <w:color w:val="auto"/>
        </w:rPr>
      </w:pPr>
      <w:r>
        <w:rPr>
          <w:rFonts w:ascii="Arial" w:cs="Arial" w:eastAsia="Arial" w:hAnsi="Arial"/>
          <w:sz w:val="17"/>
          <w:szCs w:val="17"/>
          <w:u w:val="single" w:color="auto"/>
          <w:color w:val="auto"/>
        </w:rPr>
        <w:t>Between Above Target and Maximum</w:t>
      </w:r>
      <w:r>
        <w:rPr>
          <w:rFonts w:ascii="Arial" w:cs="Arial" w:eastAsia="Arial" w:hAnsi="Arial"/>
          <w:sz w:val="17"/>
          <w:szCs w:val="17"/>
          <w:color w:val="auto"/>
        </w:rPr>
        <w:t>. If, upon the conclusion of a Nested Period, RTSR for the Nested Period exceeds the above target level, but is less than the maximum level, as set forth in the Performance Matrices, a percentage between 150% and 200% (determined on the basis of straight-line mathematical interpolation) will be the Payout Percentage for such Nested Period.</w:t>
      </w:r>
    </w:p>
    <w:p>
      <w:pPr>
        <w:spacing w:after="0" w:line="164" w:lineRule="exact"/>
        <w:rPr>
          <w:sz w:val="20"/>
          <w:szCs w:val="20"/>
          <w:color w:val="auto"/>
        </w:rPr>
      </w:pPr>
    </w:p>
    <w:p>
      <w:pPr>
        <w:ind w:left="690" w:right="280" w:hanging="690"/>
        <w:spacing w:after="0" w:line="291" w:lineRule="auto"/>
        <w:tabs>
          <w:tab w:leader="none" w:pos="354" w:val="left"/>
        </w:tabs>
        <w:numPr>
          <w:ilvl w:val="0"/>
          <w:numId w:val="28"/>
        </w:numPr>
        <w:rPr>
          <w:rFonts w:ascii="Arial" w:cs="Arial" w:eastAsia="Arial" w:hAnsi="Arial"/>
          <w:sz w:val="17"/>
          <w:szCs w:val="17"/>
          <w:color w:val="auto"/>
        </w:rPr>
      </w:pPr>
      <w:r>
        <w:rPr>
          <w:rFonts w:ascii="Arial" w:cs="Arial" w:eastAsia="Arial" w:hAnsi="Arial"/>
          <w:sz w:val="17"/>
          <w:szCs w:val="17"/>
          <w:u w:val="single" w:color="auto"/>
          <w:color w:val="auto"/>
        </w:rPr>
        <w:t>Equals or Exceeds Maximum</w:t>
      </w:r>
      <w:r>
        <w:rPr>
          <w:rFonts w:ascii="Arial" w:cs="Arial" w:eastAsia="Arial" w:hAnsi="Arial"/>
          <w:sz w:val="17"/>
          <w:szCs w:val="17"/>
          <w:color w:val="auto"/>
        </w:rPr>
        <w:t>. If, upon the conclusion of a Nested Period, RTSR for the Nested Period equals or exceeds the maximum level, as set forth in the Performance Matrices, 200% will be the Payout Percentage for such Nested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-521335</wp:posOffset>
            </wp:positionH>
            <wp:positionV relativeFrom="paragraph">
              <wp:posOffset>398145</wp:posOffset>
            </wp:positionV>
            <wp:extent cx="7157720" cy="425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390"/>
          </w:cols>
          <w:pgMar w:left="1130" w:top="328" w:right="379" w:bottom="1440" w:gutter="0" w:footer="0" w:header="0"/>
        </w:sectPr>
      </w:pPr>
    </w:p>
    <w:bookmarkStart w:id="44" w:name="page45"/>
    <w:bookmarkEnd w:id="44"/>
    <w:p>
      <w:pPr>
        <w:jc w:val="right"/>
        <w:spacing w:after="0"/>
        <w:rPr>
          <w:sz w:val="20"/>
          <w:szCs w:val="20"/>
          <w:color w:val="auto"/>
        </w:rPr>
      </w:pPr>
      <w:r>
        <w:rPr>
          <w:rFonts w:ascii="Arial" w:cs="Arial" w:eastAsia="Arial" w:hAnsi="Arial"/>
          <w:sz w:val="18"/>
          <w:szCs w:val="18"/>
          <w:b w:val="1"/>
          <w:bCs w:val="1"/>
          <w:color w:val="auto"/>
        </w:rPr>
        <w:t>Annex A</w:t>
      </w:r>
    </w:p>
    <w:p>
      <w:pPr>
        <w:spacing w:after="0" w:line="16" w:lineRule="exact"/>
        <w:rPr>
          <w:sz w:val="20"/>
          <w:szCs w:val="20"/>
          <w:color w:val="auto"/>
        </w:rPr>
      </w:pPr>
    </w:p>
    <w:tbl>
      <w:tblPr>
        <w:tblLayout w:type="fixed"/>
        <w:tblInd w:w="10" w:type="dxa"/>
        <w:tblCellMar>
          <w:top w:w="0" w:type="dxa"/>
          <w:left w:w="0" w:type="dxa"/>
          <w:bottom w:w="0" w:type="dxa"/>
          <w:right w:w="0" w:type="dxa"/>
        </w:tblCellMar>
      </w:tblPr>
      <w:tr>
        <w:trPr>
          <w:trHeight w:val="234"/>
        </w:trPr>
        <w:tc>
          <w:tcPr>
            <w:tcW w:w="4500" w:type="dxa"/>
            <w:vAlign w:val="bottom"/>
          </w:tcPr>
          <w:p>
            <w:pPr>
              <w:spacing w:after="0"/>
              <w:rPr>
                <w:sz w:val="20"/>
                <w:szCs w:val="20"/>
                <w:color w:val="auto"/>
              </w:rPr>
            </w:pPr>
          </w:p>
        </w:tc>
        <w:tc>
          <w:tcPr>
            <w:tcW w:w="6740" w:type="dxa"/>
            <w:vAlign w:val="bottom"/>
            <w:gridSpan w:val="2"/>
          </w:tcPr>
          <w:p>
            <w:pPr>
              <w:ind w:left="480"/>
              <w:spacing w:after="0"/>
              <w:rPr>
                <w:sz w:val="20"/>
                <w:szCs w:val="20"/>
                <w:color w:val="auto"/>
              </w:rPr>
            </w:pPr>
            <w:r>
              <w:rPr>
                <w:rFonts w:ascii="Arial" w:cs="Arial" w:eastAsia="Arial" w:hAnsi="Arial"/>
                <w:sz w:val="18"/>
                <w:szCs w:val="18"/>
                <w:b w:val="1"/>
                <w:bCs w:val="1"/>
                <w:color w:val="auto"/>
              </w:rPr>
              <w:t>2022 Peer Group</w:t>
            </w:r>
          </w:p>
        </w:tc>
      </w:tr>
      <w:tr>
        <w:trPr>
          <w:trHeight w:val="71"/>
        </w:trPr>
        <w:tc>
          <w:tcPr>
            <w:tcW w:w="4500" w:type="dxa"/>
            <w:vAlign w:val="bottom"/>
            <w:tcBorders>
              <w:bottom w:val="single" w:sz="8" w:color="auto"/>
            </w:tcBorders>
          </w:tcPr>
          <w:p>
            <w:pPr>
              <w:spacing w:after="0"/>
              <w:rPr>
                <w:sz w:val="6"/>
                <w:szCs w:val="6"/>
                <w:color w:val="auto"/>
              </w:rPr>
            </w:pPr>
          </w:p>
        </w:tc>
        <w:tc>
          <w:tcPr>
            <w:tcW w:w="2320" w:type="dxa"/>
            <w:vAlign w:val="bottom"/>
            <w:tcBorders>
              <w:bottom w:val="single" w:sz="8" w:color="auto"/>
            </w:tcBorders>
          </w:tcPr>
          <w:p>
            <w:pPr>
              <w:spacing w:after="0"/>
              <w:rPr>
                <w:sz w:val="6"/>
                <w:szCs w:val="6"/>
                <w:color w:val="auto"/>
              </w:rPr>
            </w:pPr>
          </w:p>
        </w:tc>
        <w:tc>
          <w:tcPr>
            <w:tcW w:w="4420" w:type="dxa"/>
            <w:vAlign w:val="bottom"/>
            <w:tcBorders>
              <w:bottom w:val="single" w:sz="8" w:color="auto"/>
            </w:tcBorders>
          </w:tcPr>
          <w:p>
            <w:pPr>
              <w:spacing w:after="0"/>
              <w:rPr>
                <w:sz w:val="6"/>
                <w:szCs w:val="6"/>
                <w:color w:val="auto"/>
              </w:rPr>
            </w:pPr>
          </w:p>
        </w:tc>
      </w:tr>
      <w:tr>
        <w:trPr>
          <w:trHeight w:val="358"/>
        </w:trPr>
        <w:tc>
          <w:tcPr>
            <w:tcW w:w="4500" w:type="dxa"/>
            <w:vAlign w:val="bottom"/>
            <w:tcBorders>
              <w:left w:val="single" w:sz="8" w:color="auto"/>
              <w:bottom w:val="single" w:sz="8" w:color="auto"/>
            </w:tcBorders>
            <w:shd w:val="clear" w:color="auto" w:fill="BFBFBF"/>
          </w:tcPr>
          <w:p>
            <w:pPr>
              <w:ind w:left="2780"/>
              <w:spacing w:after="0"/>
              <w:rPr>
                <w:sz w:val="20"/>
                <w:szCs w:val="20"/>
                <w:color w:val="auto"/>
              </w:rPr>
            </w:pPr>
            <w:r>
              <w:rPr>
                <w:rFonts w:ascii="Arial" w:cs="Arial" w:eastAsia="Arial" w:hAnsi="Arial"/>
                <w:sz w:val="18"/>
                <w:szCs w:val="18"/>
                <w:b w:val="1"/>
                <w:bCs w:val="1"/>
                <w:color w:val="auto"/>
              </w:rPr>
              <w:t>Company Name</w:t>
            </w:r>
          </w:p>
        </w:tc>
        <w:tc>
          <w:tcPr>
            <w:tcW w:w="2320" w:type="dxa"/>
            <w:vAlign w:val="bottom"/>
            <w:tcBorders>
              <w:bottom w:val="single" w:sz="8" w:color="auto"/>
              <w:right w:val="single" w:sz="8" w:color="auto"/>
            </w:tcBorders>
            <w:shd w:val="clear" w:color="auto" w:fill="BFBFBF"/>
          </w:tcPr>
          <w:p>
            <w:pPr>
              <w:spacing w:after="0"/>
              <w:rPr>
                <w:sz w:val="24"/>
                <w:szCs w:val="24"/>
                <w:color w:val="auto"/>
              </w:rPr>
            </w:pPr>
          </w:p>
        </w:tc>
        <w:tc>
          <w:tcPr>
            <w:tcW w:w="4420" w:type="dxa"/>
            <w:vAlign w:val="bottom"/>
            <w:tcBorders>
              <w:bottom w:val="single" w:sz="8" w:color="auto"/>
              <w:right w:val="single" w:sz="8" w:color="auto"/>
            </w:tcBorders>
            <w:shd w:val="clear" w:color="auto" w:fill="BFBFBF"/>
          </w:tcPr>
          <w:p>
            <w:pPr>
              <w:jc w:val="center"/>
              <w:spacing w:after="0"/>
              <w:rPr>
                <w:sz w:val="20"/>
                <w:szCs w:val="20"/>
                <w:color w:val="auto"/>
              </w:rPr>
            </w:pPr>
            <w:r>
              <w:rPr>
                <w:rFonts w:ascii="Arial" w:cs="Arial" w:eastAsia="Arial" w:hAnsi="Arial"/>
                <w:sz w:val="18"/>
                <w:szCs w:val="18"/>
                <w:b w:val="1"/>
                <w:bCs w:val="1"/>
                <w:color w:val="auto"/>
                <w:w w:val="90"/>
              </w:rPr>
              <w:t>Ticker Symbol</w:t>
            </w:r>
          </w:p>
        </w:tc>
      </w:tr>
      <w:tr>
        <w:trPr>
          <w:trHeight w:val="348"/>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Allegheny Technologies Incorporated</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ATI</w:t>
            </w:r>
          </w:p>
        </w:tc>
      </w:tr>
      <w:tr>
        <w:trPr>
          <w:trHeight w:val="27"/>
        </w:trPr>
        <w:tc>
          <w:tcPr>
            <w:tcW w:w="4500" w:type="dxa"/>
            <w:vAlign w:val="bottom"/>
            <w:tcBorders>
              <w:left w:val="single" w:sz="8" w:color="auto"/>
              <w:bottom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4420" w:type="dxa"/>
            <w:vAlign w:val="bottom"/>
            <w:tcBorders>
              <w:bottom w:val="single" w:sz="8" w:color="auto"/>
              <w:right w:val="single" w:sz="8" w:color="auto"/>
            </w:tcBorders>
          </w:tcPr>
          <w:p>
            <w:pPr>
              <w:spacing w:after="0"/>
              <w:rPr>
                <w:sz w:val="2"/>
                <w:szCs w:val="2"/>
                <w:color w:val="auto"/>
              </w:rPr>
            </w:pPr>
          </w:p>
        </w:tc>
      </w:tr>
      <w:tr>
        <w:trPr>
          <w:trHeight w:val="345"/>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Ampco-Pittsburgh Corporation</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AP</w:t>
            </w:r>
          </w:p>
        </w:tc>
      </w:tr>
      <w:tr>
        <w:trPr>
          <w:trHeight w:val="27"/>
        </w:trPr>
        <w:tc>
          <w:tcPr>
            <w:tcW w:w="4500" w:type="dxa"/>
            <w:vAlign w:val="bottom"/>
            <w:tcBorders>
              <w:left w:val="single" w:sz="8" w:color="auto"/>
              <w:bottom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4420" w:type="dxa"/>
            <w:vAlign w:val="bottom"/>
            <w:tcBorders>
              <w:bottom w:val="single" w:sz="8" w:color="auto"/>
              <w:right w:val="single" w:sz="8" w:color="auto"/>
            </w:tcBorders>
          </w:tcPr>
          <w:p>
            <w:pPr>
              <w:spacing w:after="0"/>
              <w:rPr>
                <w:sz w:val="2"/>
                <w:szCs w:val="2"/>
                <w:color w:val="auto"/>
              </w:rPr>
            </w:pPr>
          </w:p>
        </w:tc>
      </w:tr>
      <w:tr>
        <w:trPr>
          <w:trHeight w:val="345"/>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Carpenter Technology Corporation</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CRS</w:t>
            </w:r>
          </w:p>
        </w:tc>
      </w:tr>
      <w:tr>
        <w:trPr>
          <w:trHeight w:val="27"/>
        </w:trPr>
        <w:tc>
          <w:tcPr>
            <w:tcW w:w="4500" w:type="dxa"/>
            <w:vAlign w:val="bottom"/>
            <w:tcBorders>
              <w:left w:val="single" w:sz="8" w:color="auto"/>
              <w:bottom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4420" w:type="dxa"/>
            <w:vAlign w:val="bottom"/>
            <w:tcBorders>
              <w:bottom w:val="single" w:sz="8" w:color="auto"/>
              <w:right w:val="single" w:sz="8" w:color="auto"/>
            </w:tcBorders>
          </w:tcPr>
          <w:p>
            <w:pPr>
              <w:spacing w:after="0"/>
              <w:rPr>
                <w:sz w:val="2"/>
                <w:szCs w:val="2"/>
                <w:color w:val="auto"/>
              </w:rPr>
            </w:pPr>
          </w:p>
        </w:tc>
      </w:tr>
      <w:tr>
        <w:trPr>
          <w:trHeight w:val="34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Commercial Metals Company</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7"/>
              </w:rPr>
              <w:t>CMC</w:t>
            </w:r>
          </w:p>
        </w:tc>
      </w:tr>
      <w:tr>
        <w:trPr>
          <w:trHeight w:val="27"/>
        </w:trPr>
        <w:tc>
          <w:tcPr>
            <w:tcW w:w="4500" w:type="dxa"/>
            <w:vAlign w:val="bottom"/>
            <w:tcBorders>
              <w:left w:val="single" w:sz="8" w:color="auto"/>
              <w:bottom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4420" w:type="dxa"/>
            <w:vAlign w:val="bottom"/>
            <w:tcBorders>
              <w:bottom w:val="single" w:sz="8" w:color="auto"/>
              <w:right w:val="single" w:sz="8" w:color="auto"/>
            </w:tcBorders>
          </w:tcPr>
          <w:p>
            <w:pPr>
              <w:spacing w:after="0"/>
              <w:rPr>
                <w:sz w:val="2"/>
                <w:szCs w:val="2"/>
                <w:color w:val="auto"/>
              </w:rPr>
            </w:pPr>
          </w:p>
        </w:tc>
      </w:tr>
      <w:tr>
        <w:trPr>
          <w:trHeight w:val="34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Friedman Industries, Incorporated</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7"/>
              </w:rPr>
              <w:t>FRD</w:t>
            </w:r>
          </w:p>
        </w:tc>
      </w:tr>
      <w:tr>
        <w:trPr>
          <w:trHeight w:val="27"/>
        </w:trPr>
        <w:tc>
          <w:tcPr>
            <w:tcW w:w="4500" w:type="dxa"/>
            <w:vAlign w:val="bottom"/>
            <w:tcBorders>
              <w:left w:val="single" w:sz="8" w:color="auto"/>
              <w:bottom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4420" w:type="dxa"/>
            <w:vAlign w:val="bottom"/>
            <w:tcBorders>
              <w:bottom w:val="single" w:sz="8" w:color="auto"/>
              <w:right w:val="single" w:sz="8" w:color="auto"/>
            </w:tcBorders>
          </w:tcPr>
          <w:p>
            <w:pPr>
              <w:spacing w:after="0"/>
              <w:rPr>
                <w:sz w:val="2"/>
                <w:szCs w:val="2"/>
                <w:color w:val="auto"/>
              </w:rPr>
            </w:pPr>
          </w:p>
        </w:tc>
      </w:tr>
      <w:tr>
        <w:trPr>
          <w:trHeight w:val="345"/>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Haynes International, Inc.</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HAYN</w:t>
            </w:r>
          </w:p>
        </w:tc>
      </w:tr>
      <w:tr>
        <w:trPr>
          <w:trHeight w:val="27"/>
        </w:trPr>
        <w:tc>
          <w:tcPr>
            <w:tcW w:w="4500" w:type="dxa"/>
            <w:vAlign w:val="bottom"/>
            <w:tcBorders>
              <w:left w:val="single" w:sz="8" w:color="auto"/>
              <w:bottom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4420" w:type="dxa"/>
            <w:vAlign w:val="bottom"/>
            <w:tcBorders>
              <w:bottom w:val="single" w:sz="8" w:color="auto"/>
              <w:right w:val="single" w:sz="8" w:color="auto"/>
            </w:tcBorders>
          </w:tcPr>
          <w:p>
            <w:pPr>
              <w:spacing w:after="0"/>
              <w:rPr>
                <w:sz w:val="2"/>
                <w:szCs w:val="2"/>
                <w:color w:val="auto"/>
              </w:rPr>
            </w:pPr>
          </w:p>
        </w:tc>
      </w:tr>
      <w:tr>
        <w:trPr>
          <w:trHeight w:val="345"/>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Nucor Corporation</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NUE</w:t>
            </w:r>
          </w:p>
        </w:tc>
      </w:tr>
      <w:tr>
        <w:trPr>
          <w:trHeight w:val="27"/>
        </w:trPr>
        <w:tc>
          <w:tcPr>
            <w:tcW w:w="4500" w:type="dxa"/>
            <w:vAlign w:val="bottom"/>
            <w:tcBorders>
              <w:left w:val="single" w:sz="8" w:color="auto"/>
              <w:bottom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4420" w:type="dxa"/>
            <w:vAlign w:val="bottom"/>
            <w:tcBorders>
              <w:bottom w:val="single" w:sz="8" w:color="auto"/>
              <w:right w:val="single" w:sz="8" w:color="auto"/>
            </w:tcBorders>
          </w:tcPr>
          <w:p>
            <w:pPr>
              <w:spacing w:after="0"/>
              <w:rPr>
                <w:sz w:val="2"/>
                <w:szCs w:val="2"/>
                <w:color w:val="auto"/>
              </w:rPr>
            </w:pPr>
          </w:p>
        </w:tc>
      </w:tr>
      <w:tr>
        <w:trPr>
          <w:trHeight w:val="345"/>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Olympic Steel, Inc.</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ZEUS</w:t>
            </w:r>
          </w:p>
        </w:tc>
      </w:tr>
      <w:tr>
        <w:trPr>
          <w:trHeight w:val="27"/>
        </w:trPr>
        <w:tc>
          <w:tcPr>
            <w:tcW w:w="4500" w:type="dxa"/>
            <w:vAlign w:val="bottom"/>
            <w:tcBorders>
              <w:left w:val="single" w:sz="8" w:color="auto"/>
              <w:bottom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4420" w:type="dxa"/>
            <w:vAlign w:val="bottom"/>
            <w:tcBorders>
              <w:bottom w:val="single" w:sz="8" w:color="auto"/>
              <w:right w:val="single" w:sz="8" w:color="auto"/>
            </w:tcBorders>
          </w:tcPr>
          <w:p>
            <w:pPr>
              <w:spacing w:after="0"/>
              <w:rPr>
                <w:sz w:val="2"/>
                <w:szCs w:val="2"/>
                <w:color w:val="auto"/>
              </w:rPr>
            </w:pPr>
          </w:p>
        </w:tc>
      </w:tr>
      <w:tr>
        <w:trPr>
          <w:trHeight w:val="34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Reliance Steel &amp; Aluminum Company</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7"/>
              </w:rPr>
              <w:t>RS</w:t>
            </w:r>
          </w:p>
        </w:tc>
      </w:tr>
      <w:tr>
        <w:trPr>
          <w:trHeight w:val="27"/>
        </w:trPr>
        <w:tc>
          <w:tcPr>
            <w:tcW w:w="4500" w:type="dxa"/>
            <w:vAlign w:val="bottom"/>
            <w:tcBorders>
              <w:left w:val="single" w:sz="8" w:color="auto"/>
              <w:bottom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4420" w:type="dxa"/>
            <w:vAlign w:val="bottom"/>
            <w:tcBorders>
              <w:bottom w:val="single" w:sz="8" w:color="auto"/>
              <w:right w:val="single" w:sz="8" w:color="auto"/>
            </w:tcBorders>
          </w:tcPr>
          <w:p>
            <w:pPr>
              <w:spacing w:after="0"/>
              <w:rPr>
                <w:sz w:val="2"/>
                <w:szCs w:val="2"/>
                <w:color w:val="auto"/>
              </w:rPr>
            </w:pPr>
          </w:p>
        </w:tc>
      </w:tr>
      <w:tr>
        <w:trPr>
          <w:trHeight w:val="345"/>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Ryerson Holding Corporation</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RYI</w:t>
            </w:r>
          </w:p>
        </w:tc>
      </w:tr>
      <w:tr>
        <w:trPr>
          <w:trHeight w:val="27"/>
        </w:trPr>
        <w:tc>
          <w:tcPr>
            <w:tcW w:w="4500" w:type="dxa"/>
            <w:vAlign w:val="bottom"/>
            <w:tcBorders>
              <w:left w:val="single" w:sz="8" w:color="auto"/>
              <w:bottom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4420" w:type="dxa"/>
            <w:vAlign w:val="bottom"/>
            <w:tcBorders>
              <w:bottom w:val="single" w:sz="8" w:color="auto"/>
              <w:right w:val="single" w:sz="8" w:color="auto"/>
            </w:tcBorders>
          </w:tcPr>
          <w:p>
            <w:pPr>
              <w:spacing w:after="0"/>
              <w:rPr>
                <w:sz w:val="2"/>
                <w:szCs w:val="2"/>
                <w:color w:val="auto"/>
              </w:rPr>
            </w:pPr>
          </w:p>
        </w:tc>
      </w:tr>
      <w:tr>
        <w:trPr>
          <w:trHeight w:val="345"/>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Schnitzer Steel Industries</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SCHN</w:t>
            </w:r>
          </w:p>
        </w:tc>
      </w:tr>
      <w:tr>
        <w:trPr>
          <w:trHeight w:val="27"/>
        </w:trPr>
        <w:tc>
          <w:tcPr>
            <w:tcW w:w="4500" w:type="dxa"/>
            <w:vAlign w:val="bottom"/>
            <w:tcBorders>
              <w:left w:val="single" w:sz="8" w:color="auto"/>
              <w:bottom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4420" w:type="dxa"/>
            <w:vAlign w:val="bottom"/>
            <w:tcBorders>
              <w:bottom w:val="single" w:sz="8" w:color="auto"/>
              <w:right w:val="single" w:sz="8" w:color="auto"/>
            </w:tcBorders>
          </w:tcPr>
          <w:p>
            <w:pPr>
              <w:spacing w:after="0"/>
              <w:rPr>
                <w:sz w:val="2"/>
                <w:szCs w:val="2"/>
                <w:color w:val="auto"/>
              </w:rPr>
            </w:pPr>
          </w:p>
        </w:tc>
      </w:tr>
      <w:tr>
        <w:trPr>
          <w:trHeight w:val="345"/>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Steel Dynamics, Inc.</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STLD</w:t>
            </w:r>
          </w:p>
        </w:tc>
      </w:tr>
      <w:tr>
        <w:trPr>
          <w:trHeight w:val="27"/>
        </w:trPr>
        <w:tc>
          <w:tcPr>
            <w:tcW w:w="4500" w:type="dxa"/>
            <w:vAlign w:val="bottom"/>
            <w:tcBorders>
              <w:left w:val="single" w:sz="8" w:color="auto"/>
              <w:bottom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4420" w:type="dxa"/>
            <w:vAlign w:val="bottom"/>
            <w:tcBorders>
              <w:bottom w:val="single" w:sz="8" w:color="auto"/>
              <w:right w:val="single" w:sz="8" w:color="auto"/>
            </w:tcBorders>
          </w:tcPr>
          <w:p>
            <w:pPr>
              <w:spacing w:after="0"/>
              <w:rPr>
                <w:sz w:val="2"/>
                <w:szCs w:val="2"/>
                <w:color w:val="auto"/>
              </w:rPr>
            </w:pPr>
          </w:p>
        </w:tc>
      </w:tr>
      <w:tr>
        <w:trPr>
          <w:trHeight w:val="34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Synalloy Corporation</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SYNL</w:t>
            </w:r>
          </w:p>
        </w:tc>
      </w:tr>
      <w:tr>
        <w:trPr>
          <w:trHeight w:val="27"/>
        </w:trPr>
        <w:tc>
          <w:tcPr>
            <w:tcW w:w="4500" w:type="dxa"/>
            <w:vAlign w:val="bottom"/>
            <w:tcBorders>
              <w:left w:val="single" w:sz="8" w:color="auto"/>
              <w:bottom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4420" w:type="dxa"/>
            <w:vAlign w:val="bottom"/>
            <w:tcBorders>
              <w:bottom w:val="single" w:sz="8" w:color="auto"/>
              <w:right w:val="single" w:sz="8" w:color="auto"/>
            </w:tcBorders>
          </w:tcPr>
          <w:p>
            <w:pPr>
              <w:spacing w:after="0"/>
              <w:rPr>
                <w:sz w:val="2"/>
                <w:szCs w:val="2"/>
                <w:color w:val="auto"/>
              </w:rPr>
            </w:pPr>
          </w:p>
        </w:tc>
      </w:tr>
      <w:tr>
        <w:trPr>
          <w:trHeight w:val="34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United States Steel Corporation</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X</w:t>
            </w:r>
          </w:p>
        </w:tc>
      </w:tr>
      <w:tr>
        <w:trPr>
          <w:trHeight w:val="27"/>
        </w:trPr>
        <w:tc>
          <w:tcPr>
            <w:tcW w:w="4500" w:type="dxa"/>
            <w:vAlign w:val="bottom"/>
            <w:tcBorders>
              <w:left w:val="single" w:sz="8" w:color="auto"/>
              <w:bottom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4420" w:type="dxa"/>
            <w:vAlign w:val="bottom"/>
            <w:tcBorders>
              <w:bottom w:val="single" w:sz="8" w:color="auto"/>
              <w:right w:val="single" w:sz="8" w:color="auto"/>
            </w:tcBorders>
          </w:tcPr>
          <w:p>
            <w:pPr>
              <w:spacing w:after="0"/>
              <w:rPr>
                <w:sz w:val="2"/>
                <w:szCs w:val="2"/>
                <w:color w:val="auto"/>
              </w:rPr>
            </w:pPr>
          </w:p>
        </w:tc>
      </w:tr>
      <w:tr>
        <w:trPr>
          <w:trHeight w:val="345"/>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Universal Stainless &amp; Alloy Products, Inc.</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USAP</w:t>
            </w:r>
          </w:p>
        </w:tc>
      </w:tr>
      <w:tr>
        <w:trPr>
          <w:trHeight w:val="27"/>
        </w:trPr>
        <w:tc>
          <w:tcPr>
            <w:tcW w:w="4500" w:type="dxa"/>
            <w:vAlign w:val="bottom"/>
            <w:tcBorders>
              <w:left w:val="single" w:sz="8" w:color="auto"/>
              <w:bottom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4420" w:type="dxa"/>
            <w:vAlign w:val="bottom"/>
            <w:tcBorders>
              <w:bottom w:val="single" w:sz="8" w:color="auto"/>
              <w:right w:val="single" w:sz="8" w:color="auto"/>
            </w:tcBorders>
          </w:tcPr>
          <w:p>
            <w:pPr>
              <w:spacing w:after="0"/>
              <w:rPr>
                <w:sz w:val="2"/>
                <w:szCs w:val="2"/>
                <w:color w:val="auto"/>
              </w:rPr>
            </w:pPr>
          </w:p>
        </w:tc>
      </w:tr>
      <w:tr>
        <w:trPr>
          <w:trHeight w:val="345"/>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Worthington Industries, Inc.</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WOR</w:t>
            </w:r>
          </w:p>
        </w:tc>
      </w:tr>
      <w:tr>
        <w:trPr>
          <w:trHeight w:val="27"/>
        </w:trPr>
        <w:tc>
          <w:tcPr>
            <w:tcW w:w="4500" w:type="dxa"/>
            <w:vAlign w:val="bottom"/>
            <w:tcBorders>
              <w:left w:val="single" w:sz="8" w:color="auto"/>
              <w:bottom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4420" w:type="dxa"/>
            <w:vAlign w:val="bottom"/>
            <w:tcBorders>
              <w:bottom w:val="single" w:sz="8" w:color="auto"/>
              <w:right w:val="single" w:sz="8" w:color="auto"/>
            </w:tcBorders>
          </w:tcPr>
          <w:p>
            <w:pPr>
              <w:spacing w:after="0"/>
              <w:rPr>
                <w:sz w:val="2"/>
                <w:szCs w:val="2"/>
                <w:color w:val="auto"/>
              </w:rPr>
            </w:pPr>
          </w:p>
        </w:tc>
      </w:tr>
      <w:tr>
        <w:trPr>
          <w:trHeight w:val="703"/>
        </w:trPr>
        <w:tc>
          <w:tcPr>
            <w:tcW w:w="4500" w:type="dxa"/>
            <w:vAlign w:val="bottom"/>
            <w:tcBorders>
              <w:bottom w:val="single" w:sz="8" w:color="9A9A9A"/>
            </w:tcBorders>
          </w:tcPr>
          <w:p>
            <w:pPr>
              <w:spacing w:after="0"/>
              <w:rPr>
                <w:sz w:val="24"/>
                <w:szCs w:val="24"/>
                <w:color w:val="auto"/>
              </w:rPr>
            </w:pPr>
          </w:p>
        </w:tc>
        <w:tc>
          <w:tcPr>
            <w:tcW w:w="2320" w:type="dxa"/>
            <w:vAlign w:val="bottom"/>
            <w:tcBorders>
              <w:bottom w:val="single" w:sz="8" w:color="9A9A9A"/>
            </w:tcBorders>
          </w:tcPr>
          <w:p>
            <w:pPr>
              <w:spacing w:after="0"/>
              <w:rPr>
                <w:sz w:val="24"/>
                <w:szCs w:val="24"/>
                <w:color w:val="auto"/>
              </w:rPr>
            </w:pPr>
          </w:p>
        </w:tc>
        <w:tc>
          <w:tcPr>
            <w:tcW w:w="44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45" w:name="page46"/>
    <w:bookmarkEnd w:id="45"/>
    <w:p>
      <w:pPr>
        <w:jc w:val="right"/>
        <w:spacing w:after="0"/>
        <w:rPr>
          <w:sz w:val="20"/>
          <w:szCs w:val="20"/>
          <w:color w:val="auto"/>
        </w:rPr>
      </w:pPr>
      <w:r>
        <w:rPr>
          <w:rFonts w:ascii="Arial" w:cs="Arial" w:eastAsia="Arial" w:hAnsi="Arial"/>
          <w:sz w:val="18"/>
          <w:szCs w:val="18"/>
          <w:b w:val="1"/>
          <w:bCs w:val="1"/>
          <w:color w:val="auto"/>
        </w:rPr>
        <w:t>Exhibit 10.2</w:t>
      </w: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TIMKENSTEEL CORPORATION</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AMENDED AND RESTATED</w:t>
      </w:r>
    </w:p>
    <w:p>
      <w:pPr>
        <w:jc w:val="center"/>
        <w:spacing w:after="0" w:line="234" w:lineRule="auto"/>
        <w:rPr>
          <w:sz w:val="20"/>
          <w:szCs w:val="20"/>
          <w:color w:val="auto"/>
        </w:rPr>
      </w:pPr>
      <w:r>
        <w:rPr>
          <w:rFonts w:ascii="Arial" w:cs="Arial" w:eastAsia="Arial" w:hAnsi="Arial"/>
          <w:sz w:val="18"/>
          <w:szCs w:val="18"/>
          <w:b w:val="1"/>
          <w:bCs w:val="1"/>
          <w:color w:val="auto"/>
        </w:rPr>
        <w:t>ANNUAL PERFORMANCE AWARD PLAN</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(Effective as of January 1, 2022)</w:t>
      </w:r>
    </w:p>
    <w:p>
      <w:pPr>
        <w:spacing w:after="0" w:line="38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Purpose</w:t>
      </w:r>
    </w:p>
    <w:p>
      <w:pPr>
        <w:spacing w:after="0" w:line="202" w:lineRule="exact"/>
        <w:rPr>
          <w:sz w:val="20"/>
          <w:szCs w:val="20"/>
          <w:color w:val="auto"/>
        </w:rPr>
      </w:pPr>
    </w:p>
    <w:p>
      <w:pPr>
        <w:ind w:right="40"/>
        <w:spacing w:after="0" w:line="261" w:lineRule="auto"/>
        <w:rPr>
          <w:sz w:val="20"/>
          <w:szCs w:val="20"/>
          <w:color w:val="auto"/>
        </w:rPr>
      </w:pPr>
      <w:r>
        <w:rPr>
          <w:rFonts w:ascii="Arial" w:cs="Arial" w:eastAsia="Arial" w:hAnsi="Arial"/>
          <w:sz w:val="18"/>
          <w:szCs w:val="18"/>
          <w:color w:val="auto"/>
        </w:rPr>
        <w:t>The purpose of the TimkenSteel Corporation Annual Performance Award Plan (the “Plan”) is to promote the profitable growth of TimkenSteel Corporation (the “Company”) by:</w:t>
      </w:r>
    </w:p>
    <w:p>
      <w:pPr>
        <w:spacing w:after="0" w:line="162" w:lineRule="exact"/>
        <w:rPr>
          <w:sz w:val="20"/>
          <w:szCs w:val="20"/>
          <w:color w:val="auto"/>
        </w:rPr>
      </w:pPr>
    </w:p>
    <w:p>
      <w:pPr>
        <w:ind w:left="760" w:hanging="378"/>
        <w:spacing w:after="0"/>
        <w:tabs>
          <w:tab w:leader="none" w:pos="760" w:val="left"/>
        </w:tabs>
        <w:numPr>
          <w:ilvl w:val="0"/>
          <w:numId w:val="29"/>
        </w:numPr>
        <w:rPr>
          <w:rFonts w:ascii="Arial" w:cs="Arial" w:eastAsia="Arial" w:hAnsi="Arial"/>
          <w:sz w:val="22"/>
          <w:szCs w:val="22"/>
          <w:color w:val="auto"/>
        </w:rPr>
      </w:pPr>
      <w:r>
        <w:rPr>
          <w:rFonts w:ascii="Arial" w:cs="Arial" w:eastAsia="Arial" w:hAnsi="Arial"/>
          <w:sz w:val="18"/>
          <w:szCs w:val="18"/>
          <w:color w:val="auto"/>
        </w:rPr>
        <w:t>Recognizing corporate, business unit (if applicable) and individual performance achievement.</w:t>
      </w:r>
    </w:p>
    <w:p>
      <w:pPr>
        <w:spacing w:after="0" w:line="192" w:lineRule="exact"/>
        <w:rPr>
          <w:rFonts w:ascii="Arial" w:cs="Arial" w:eastAsia="Arial" w:hAnsi="Arial"/>
          <w:sz w:val="22"/>
          <w:szCs w:val="22"/>
          <w:color w:val="auto"/>
        </w:rPr>
      </w:pPr>
    </w:p>
    <w:p>
      <w:pPr>
        <w:ind w:left="760" w:hanging="378"/>
        <w:spacing w:after="0"/>
        <w:tabs>
          <w:tab w:leader="none" w:pos="760" w:val="left"/>
        </w:tabs>
        <w:numPr>
          <w:ilvl w:val="0"/>
          <w:numId w:val="29"/>
        </w:numPr>
        <w:rPr>
          <w:rFonts w:ascii="Arial" w:cs="Arial" w:eastAsia="Arial" w:hAnsi="Arial"/>
          <w:sz w:val="22"/>
          <w:szCs w:val="22"/>
          <w:color w:val="auto"/>
        </w:rPr>
      </w:pPr>
      <w:r>
        <w:rPr>
          <w:rFonts w:ascii="Arial" w:cs="Arial" w:eastAsia="Arial" w:hAnsi="Arial"/>
          <w:sz w:val="18"/>
          <w:szCs w:val="18"/>
          <w:color w:val="auto"/>
        </w:rPr>
        <w:t>Attracting, motivating and retaining superior talent.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Administration</w:t>
      </w:r>
    </w:p>
    <w:p>
      <w:pPr>
        <w:spacing w:after="0" w:line="202" w:lineRule="exact"/>
        <w:rPr>
          <w:sz w:val="20"/>
          <w:szCs w:val="20"/>
          <w:color w:val="auto"/>
        </w:rPr>
      </w:pPr>
    </w:p>
    <w:p>
      <w:pPr>
        <w:ind w:right="240"/>
        <w:spacing w:after="0" w:line="270" w:lineRule="auto"/>
        <w:rPr>
          <w:sz w:val="20"/>
          <w:szCs w:val="20"/>
          <w:color w:val="auto"/>
        </w:rPr>
      </w:pPr>
      <w:r>
        <w:rPr>
          <w:rFonts w:ascii="Arial" w:cs="Arial" w:eastAsia="Arial" w:hAnsi="Arial"/>
          <w:sz w:val="17"/>
          <w:szCs w:val="17"/>
          <w:color w:val="auto"/>
        </w:rPr>
        <w:t>It is the responsibility of senior management of the Company to execute the provisions of the Plan (except for such responsibilities as are specifically reserved by the Plan for the Compensation Committee). The Compensation Committee (the “Committee”) approves financial goals, participation, target incentive awards, actual incentive awards, timing of payment and other actions necessary to the administration of the Plan.</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Participation</w:t>
      </w:r>
    </w:p>
    <w:p>
      <w:pPr>
        <w:spacing w:after="0" w:line="202" w:lineRule="exact"/>
        <w:rPr>
          <w:sz w:val="20"/>
          <w:szCs w:val="20"/>
          <w:color w:val="auto"/>
        </w:rPr>
      </w:pPr>
    </w:p>
    <w:p>
      <w:pPr>
        <w:ind w:right="880"/>
        <w:spacing w:after="0" w:line="261" w:lineRule="auto"/>
        <w:rPr>
          <w:sz w:val="20"/>
          <w:szCs w:val="20"/>
          <w:color w:val="auto"/>
        </w:rPr>
      </w:pPr>
      <w:r>
        <w:rPr>
          <w:rFonts w:ascii="Arial" w:cs="Arial" w:eastAsia="Arial" w:hAnsi="Arial"/>
          <w:sz w:val="18"/>
          <w:szCs w:val="18"/>
          <w:color w:val="auto"/>
        </w:rPr>
        <w:t>The participant group includes Company executive officers and other key employees of the Company and its subsidiaries who are designated as participants by the Committee or its designee.</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Incentive Opportunity</w:t>
      </w:r>
    </w:p>
    <w:p>
      <w:pPr>
        <w:spacing w:after="0" w:line="202" w:lineRule="exact"/>
        <w:rPr>
          <w:sz w:val="20"/>
          <w:szCs w:val="20"/>
          <w:color w:val="auto"/>
        </w:rPr>
      </w:pPr>
    </w:p>
    <w:p>
      <w:pPr>
        <w:ind w:right="140"/>
        <w:spacing w:after="0" w:line="248" w:lineRule="auto"/>
        <w:rPr>
          <w:sz w:val="20"/>
          <w:szCs w:val="20"/>
          <w:color w:val="auto"/>
        </w:rPr>
      </w:pPr>
      <w:r>
        <w:rPr>
          <w:rFonts w:ascii="Arial" w:cs="Arial" w:eastAsia="Arial" w:hAnsi="Arial"/>
          <w:sz w:val="18"/>
          <w:szCs w:val="18"/>
          <w:color w:val="auto"/>
        </w:rPr>
        <w:t>Each position is assigned a target incentive expressed as a percentage of annual base salary. The targets are based on market data for companies that are similar for compensation purposes, including companies of similar size and similar industries. The targets are reviewed annually by management, and the Committee will approve all target incentives for executive officers.</w:t>
      </w:r>
    </w:p>
    <w:p>
      <w:pPr>
        <w:spacing w:after="0" w:line="168" w:lineRule="exact"/>
        <w:rPr>
          <w:sz w:val="20"/>
          <w:szCs w:val="20"/>
          <w:color w:val="auto"/>
        </w:rPr>
      </w:pPr>
    </w:p>
    <w:p>
      <w:pPr>
        <w:ind w:right="100"/>
        <w:spacing w:after="0" w:line="261" w:lineRule="auto"/>
        <w:rPr>
          <w:sz w:val="20"/>
          <w:szCs w:val="20"/>
          <w:color w:val="auto"/>
        </w:rPr>
      </w:pPr>
      <w:r>
        <w:rPr>
          <w:rFonts w:ascii="Arial" w:cs="Arial" w:eastAsia="Arial" w:hAnsi="Arial"/>
          <w:sz w:val="18"/>
          <w:szCs w:val="18"/>
          <w:color w:val="auto"/>
        </w:rPr>
        <w:t>The full target incentive opportunity represents an appropriate incentive award if performance standards are met for corporate, business unit (if applicable) and individual results.</w:t>
      </w:r>
    </w:p>
    <w:p>
      <w:pPr>
        <w:spacing w:after="0" w:line="157" w:lineRule="exact"/>
        <w:rPr>
          <w:sz w:val="20"/>
          <w:szCs w:val="20"/>
          <w:color w:val="auto"/>
        </w:rPr>
      </w:pPr>
    </w:p>
    <w:p>
      <w:pPr>
        <w:jc w:val="both"/>
        <w:ind w:right="380"/>
        <w:spacing w:after="0" w:line="324" w:lineRule="auto"/>
        <w:rPr>
          <w:sz w:val="20"/>
          <w:szCs w:val="20"/>
          <w:color w:val="auto"/>
        </w:rPr>
      </w:pPr>
      <w:r>
        <w:rPr>
          <w:rFonts w:ascii="Arial" w:cs="Arial" w:eastAsia="Arial" w:hAnsi="Arial"/>
          <w:sz w:val="16"/>
          <w:szCs w:val="16"/>
          <w:color w:val="auto"/>
        </w:rPr>
        <w:t>Incentive funds for the established components—corporate and business unit (if applicable) — will be developed independently based on performance achievement versus the goal(s) for each component. The actual value of each component can range from 0% to 200% of target based on performance.</w:t>
      </w:r>
    </w:p>
    <w:p>
      <w:pPr>
        <w:spacing w:after="0" w:line="111" w:lineRule="exact"/>
        <w:rPr>
          <w:sz w:val="20"/>
          <w:szCs w:val="20"/>
          <w:color w:val="auto"/>
        </w:rPr>
      </w:pPr>
    </w:p>
    <w:p>
      <w:pPr>
        <w:ind w:right="240"/>
        <w:spacing w:after="0" w:line="248" w:lineRule="auto"/>
        <w:rPr>
          <w:sz w:val="20"/>
          <w:szCs w:val="20"/>
          <w:color w:val="auto"/>
        </w:rPr>
      </w:pPr>
      <w:r>
        <w:rPr>
          <w:rFonts w:ascii="Arial" w:cs="Arial" w:eastAsia="Arial" w:hAnsi="Arial"/>
          <w:sz w:val="18"/>
          <w:szCs w:val="18"/>
          <w:color w:val="auto"/>
        </w:rPr>
        <w:t>The Committee may also utilize certain performance metrics as a “modifier” (for example, a safety modifier), which will have the effect of increasing or decreasing the total payout achieved on the corporate and business unit (if applicable) metrics if such performance metric modifier is achieved or not achieved, respectively.</w:t>
      </w:r>
    </w:p>
    <w:p>
      <w:pPr>
        <w:spacing w:after="0" w:line="168" w:lineRule="exact"/>
        <w:rPr>
          <w:sz w:val="20"/>
          <w:szCs w:val="20"/>
          <w:color w:val="auto"/>
        </w:rPr>
      </w:pPr>
    </w:p>
    <w:p>
      <w:pPr>
        <w:ind w:right="440"/>
        <w:spacing w:after="0" w:line="248" w:lineRule="auto"/>
        <w:rPr>
          <w:sz w:val="20"/>
          <w:szCs w:val="20"/>
          <w:color w:val="auto"/>
        </w:rPr>
      </w:pPr>
      <w:r>
        <w:rPr>
          <w:rFonts w:ascii="Arial" w:cs="Arial" w:eastAsia="Arial" w:hAnsi="Arial"/>
          <w:sz w:val="18"/>
          <w:szCs w:val="18"/>
          <w:color w:val="auto"/>
        </w:rPr>
        <w:t>For most participants, the total incentive will be the sum of the amounts for corporate and business unit (if applicable) results, as adjusted for any applicable performance metric modifier, multiplied by the individual results. The weightings for each component can vary dependent on the assigned grades for participants.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283210</wp:posOffset>
            </wp:positionV>
            <wp:extent cx="7157720" cy="425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46" w:name="page47"/>
    <w:bookmarkEnd w:id="46"/>
    <w:p>
      <w:pPr>
        <w:spacing w:after="0" w:line="324" w:lineRule="auto"/>
        <w:rPr>
          <w:sz w:val="20"/>
          <w:szCs w:val="20"/>
          <w:color w:val="auto"/>
        </w:rPr>
      </w:pPr>
      <w:r>
        <w:rPr>
          <w:rFonts w:ascii="Arial" w:cs="Arial" w:eastAsia="Arial" w:hAnsi="Arial"/>
          <w:sz w:val="16"/>
          <w:szCs w:val="16"/>
          <w:color w:val="auto"/>
        </w:rPr>
        <w:t>The allocations to corporate, business unit (if applicable) and individual performance will be reviewed annually and changes to the allocations will be determined by senior management (or with respect to any changes to allocations applicable to executive officer incentive opportunities, by the Committee).</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Performance Measures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Corporate and Business Unit Components</w:t>
      </w:r>
    </w:p>
    <w:p>
      <w:pPr>
        <w:spacing w:after="0" w:line="198" w:lineRule="exact"/>
        <w:rPr>
          <w:sz w:val="20"/>
          <w:szCs w:val="20"/>
          <w:color w:val="auto"/>
        </w:rPr>
      </w:pPr>
    </w:p>
    <w:p>
      <w:pPr>
        <w:ind w:right="20"/>
        <w:spacing w:after="0" w:line="248" w:lineRule="auto"/>
        <w:rPr>
          <w:sz w:val="20"/>
          <w:szCs w:val="20"/>
          <w:color w:val="auto"/>
        </w:rPr>
      </w:pPr>
      <w:r>
        <w:rPr>
          <w:rFonts w:ascii="Arial" w:cs="Arial" w:eastAsia="Arial" w:hAnsi="Arial"/>
          <w:sz w:val="18"/>
          <w:szCs w:val="18"/>
          <w:color w:val="auto"/>
        </w:rPr>
        <w:t>At the beginning of each year (or, in the case of the year in which this Plan becomes effective, no later than the 60th day after the initial effective date of the Plan), the Committee will specify the financial or non-financial performance measures to be used to evaluate corporate and business unit (if applicable) performance for the coming year. Potential performance measures include, but are not limited to:</w:t>
      </w:r>
    </w:p>
    <w:p>
      <w:pPr>
        <w:spacing w:after="0" w:line="173" w:lineRule="exact"/>
        <w:rPr>
          <w:sz w:val="20"/>
          <w:szCs w:val="20"/>
          <w:color w:val="auto"/>
        </w:rPr>
      </w:pPr>
    </w:p>
    <w:p>
      <w:pPr>
        <w:ind w:left="1140" w:hanging="383"/>
        <w:spacing w:after="0"/>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Cash flow (including free cash flow)</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Comparisons with various stock market indices</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Continuous improvement</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Cost of capital</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Customer service</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Debt reduction</w:t>
      </w:r>
    </w:p>
    <w:p>
      <w:pPr>
        <w:spacing w:after="0" w:line="12" w:lineRule="exact"/>
        <w:rPr>
          <w:rFonts w:ascii="Arial" w:cs="Arial" w:eastAsia="Arial" w:hAnsi="Arial"/>
          <w:sz w:val="22"/>
          <w:szCs w:val="22"/>
          <w:color w:val="auto"/>
        </w:rPr>
      </w:pPr>
    </w:p>
    <w:p>
      <w:pPr>
        <w:ind w:left="1140" w:right="460" w:hanging="383"/>
        <w:spacing w:after="0" w:line="225"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Earnings growth (including earnings per share, earnings before interest and taxes and earnings before interest, taxes, depreciation and amortization)</w:t>
      </w:r>
    </w:p>
    <w:p>
      <w:pPr>
        <w:spacing w:after="0" w:line="1" w:lineRule="exact"/>
        <w:rPr>
          <w:rFonts w:ascii="Arial" w:cs="Arial" w:eastAsia="Arial" w:hAnsi="Arial"/>
          <w:sz w:val="22"/>
          <w:szCs w:val="22"/>
          <w:color w:val="auto"/>
        </w:rPr>
      </w:pPr>
    </w:p>
    <w:p>
      <w:pPr>
        <w:ind w:left="1140" w:hanging="383"/>
        <w:spacing w:after="0" w:line="217"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Financial performance exceeding that of peer/competitor companies</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Gross profits</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Improvement of shareholder return</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Inventory management</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Net income</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Productivity improvement</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Profit after taxes</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Quality</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Recruitment and development of excellent employees with emphasis on diversity</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Reduction of fixed costs</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Return on assets</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Return on equity</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Return on invested capital (EBIT/BIC)</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Safety</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Sales from new products</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Sales growth</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Successful start-up of new facility</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Successful acquisition/divestiture</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Working capital</w:t>
      </w:r>
    </w:p>
    <w:p>
      <w:pPr>
        <w:spacing w:after="0" w:line="10" w:lineRule="exact"/>
        <w:rPr>
          <w:rFonts w:ascii="Arial" w:cs="Arial" w:eastAsia="Arial" w:hAnsi="Arial"/>
          <w:sz w:val="22"/>
          <w:szCs w:val="22"/>
          <w:color w:val="auto"/>
        </w:rPr>
      </w:pPr>
    </w:p>
    <w:p>
      <w:pPr>
        <w:ind w:left="1140" w:hanging="383"/>
        <w:spacing w:after="0" w:line="221" w:lineRule="auto"/>
        <w:tabs>
          <w:tab w:leader="none" w:pos="1140" w:val="left"/>
        </w:tabs>
        <w:numPr>
          <w:ilvl w:val="0"/>
          <w:numId w:val="30"/>
        </w:numPr>
        <w:rPr>
          <w:rFonts w:ascii="Arial" w:cs="Arial" w:eastAsia="Arial" w:hAnsi="Arial"/>
          <w:sz w:val="22"/>
          <w:szCs w:val="22"/>
          <w:color w:val="auto"/>
        </w:rPr>
      </w:pPr>
      <w:r>
        <w:rPr>
          <w:rFonts w:ascii="Arial" w:cs="Arial" w:eastAsia="Arial" w:hAnsi="Arial"/>
          <w:sz w:val="18"/>
          <w:szCs w:val="18"/>
          <w:color w:val="auto"/>
        </w:rPr>
        <w:t>Economic profit</w:t>
      </w:r>
    </w:p>
    <w:p>
      <w:pPr>
        <w:spacing w:after="0" w:line="188" w:lineRule="exact"/>
        <w:rPr>
          <w:sz w:val="20"/>
          <w:szCs w:val="20"/>
          <w:color w:val="auto"/>
        </w:rPr>
      </w:pPr>
    </w:p>
    <w:p>
      <w:pPr>
        <w:ind w:right="140"/>
        <w:spacing w:after="0" w:line="248" w:lineRule="auto"/>
        <w:rPr>
          <w:sz w:val="20"/>
          <w:szCs w:val="20"/>
          <w:color w:val="auto"/>
        </w:rPr>
      </w:pPr>
      <w:r>
        <w:rPr>
          <w:rFonts w:ascii="Arial" w:cs="Arial" w:eastAsia="Arial" w:hAnsi="Arial"/>
          <w:sz w:val="18"/>
          <w:szCs w:val="18"/>
          <w:color w:val="auto"/>
        </w:rPr>
        <w:t>For the corporate and business unit (if applicable) components of the Plan, the size of the award will be determined by the degree to which targets are achieved for each measure within that component. Awards for corporate and business unit (if applicable) performance that falls between threshold, target and maximum will be interpolated unless established otherwise at the beginning of the plan year.</w:t>
      </w:r>
    </w:p>
    <w:p>
      <w:pPr>
        <w:spacing w:after="0" w:line="168" w:lineRule="exact"/>
        <w:rPr>
          <w:sz w:val="20"/>
          <w:szCs w:val="20"/>
          <w:color w:val="auto"/>
        </w:rPr>
      </w:pPr>
    </w:p>
    <w:p>
      <w:pPr>
        <w:ind w:right="460"/>
        <w:spacing w:after="0" w:line="261" w:lineRule="auto"/>
        <w:rPr>
          <w:sz w:val="20"/>
          <w:szCs w:val="20"/>
          <w:color w:val="auto"/>
        </w:rPr>
      </w:pPr>
      <w:r>
        <w:rPr>
          <w:rFonts w:ascii="Arial" w:cs="Arial" w:eastAsia="Arial" w:hAnsi="Arial"/>
          <w:sz w:val="18"/>
          <w:szCs w:val="18"/>
          <w:color w:val="auto"/>
        </w:rPr>
        <w:t>If the Committee determines that a change in the business, operations, corporate structure or capital structure of the Company, the manner in which it conducts business or other events or circumstances render the performance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147955</wp:posOffset>
            </wp:positionV>
            <wp:extent cx="7157720" cy="425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328" w:right="379" w:bottom="1440" w:gutter="0" w:footer="0" w:header="0"/>
        </w:sectPr>
      </w:pPr>
    </w:p>
    <w:bookmarkStart w:id="47" w:name="page48"/>
    <w:bookmarkEnd w:id="47"/>
    <w:p>
      <w:pPr>
        <w:ind w:right="120"/>
        <w:spacing w:after="0" w:line="261" w:lineRule="auto"/>
        <w:rPr>
          <w:sz w:val="20"/>
          <w:szCs w:val="20"/>
          <w:color w:val="auto"/>
        </w:rPr>
      </w:pPr>
      <w:r>
        <w:rPr>
          <w:rFonts w:ascii="Arial" w:cs="Arial" w:eastAsia="Arial" w:hAnsi="Arial"/>
          <w:sz w:val="18"/>
          <w:szCs w:val="18"/>
          <w:color w:val="auto"/>
        </w:rPr>
        <w:t>objectives to be unsuitable, the Committee may modify such performance objectives or the related minimum acceptable level of achievement, in whole or in part, as the Committee deems appropriate.</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Individual Component</w:t>
      </w:r>
    </w:p>
    <w:p>
      <w:pPr>
        <w:spacing w:after="0" w:line="198" w:lineRule="exact"/>
        <w:rPr>
          <w:sz w:val="20"/>
          <w:szCs w:val="20"/>
          <w:color w:val="auto"/>
        </w:rPr>
      </w:pPr>
    </w:p>
    <w:p>
      <w:pPr>
        <w:ind w:right="160"/>
        <w:spacing w:after="0" w:line="241" w:lineRule="auto"/>
        <w:rPr>
          <w:sz w:val="20"/>
          <w:szCs w:val="20"/>
          <w:color w:val="auto"/>
        </w:rPr>
      </w:pPr>
      <w:r>
        <w:rPr>
          <w:rFonts w:ascii="Arial" w:cs="Arial" w:eastAsia="Arial" w:hAnsi="Arial"/>
          <w:sz w:val="18"/>
          <w:szCs w:val="18"/>
          <w:color w:val="auto"/>
        </w:rPr>
        <w:t>Individual performance goals will be established for each participant consistent with the Company’s performance management process. The participant’s supervisor (or with respect to executive officer participants, the Committee) will assess the participant’s performance against these goals and the final performance rating category assigned to the employee will then determine the individual multiplier to be applied to the sum of the corporate and business unit (if applicable) awards. While the individual multiplier can range from 0% to 130% for a specific individual, the sum of all individual incentive awards for all participants must not exceed 100% of the final total fund.</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Award Determination</w:t>
      </w:r>
    </w:p>
    <w:p>
      <w:pPr>
        <w:spacing w:after="0" w:line="202" w:lineRule="exact"/>
        <w:rPr>
          <w:sz w:val="20"/>
          <w:szCs w:val="20"/>
          <w:color w:val="auto"/>
        </w:rPr>
      </w:pPr>
    </w:p>
    <w:p>
      <w:pPr>
        <w:ind w:right="200"/>
        <w:spacing w:after="0" w:line="324" w:lineRule="auto"/>
        <w:rPr>
          <w:sz w:val="20"/>
          <w:szCs w:val="20"/>
          <w:color w:val="auto"/>
        </w:rPr>
      </w:pPr>
      <w:r>
        <w:rPr>
          <w:rFonts w:ascii="Arial" w:cs="Arial" w:eastAsia="Arial" w:hAnsi="Arial"/>
          <w:sz w:val="16"/>
          <w:szCs w:val="16"/>
          <w:color w:val="auto"/>
        </w:rPr>
        <w:t>A participant’s incentive award will be determined by adding the value of each of the applicable components (corporate and business unit (if applicable)) times the individual multiplier once performance is considered. The sum of all participant incentive determinations will equal the total fund.</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Incentive Payments</w:t>
      </w:r>
    </w:p>
    <w:p>
      <w:pPr>
        <w:spacing w:after="0" w:line="202" w:lineRule="exact"/>
        <w:rPr>
          <w:sz w:val="20"/>
          <w:szCs w:val="20"/>
          <w:color w:val="auto"/>
        </w:rPr>
      </w:pPr>
    </w:p>
    <w:p>
      <w:pPr>
        <w:ind w:right="100"/>
        <w:spacing w:after="0" w:line="243" w:lineRule="auto"/>
        <w:rPr>
          <w:sz w:val="20"/>
          <w:szCs w:val="20"/>
          <w:color w:val="auto"/>
        </w:rPr>
      </w:pPr>
      <w:r>
        <w:rPr>
          <w:rFonts w:ascii="Arial" w:cs="Arial" w:eastAsia="Arial" w:hAnsi="Arial"/>
          <w:sz w:val="18"/>
          <w:szCs w:val="18"/>
          <w:color w:val="auto"/>
        </w:rPr>
        <w:t>At the end of the year, senior management will determine whether corporate performance has exceeded the minimum performance requirement for paying incentives. Senior management will recommend to the Committee the total fund based on its assessment of performance achievement at corporate and business unit (if applicable) levels. The Committee may make further adjustments to such management recommendations based on its assessment of financial and non-financial performance.</w:t>
      </w:r>
    </w:p>
    <w:p>
      <w:pPr>
        <w:spacing w:after="0" w:line="174" w:lineRule="exact"/>
        <w:rPr>
          <w:sz w:val="20"/>
          <w:szCs w:val="20"/>
          <w:color w:val="auto"/>
        </w:rPr>
      </w:pPr>
    </w:p>
    <w:p>
      <w:pPr>
        <w:ind w:right="40"/>
        <w:spacing w:after="0" w:line="261" w:lineRule="auto"/>
        <w:rPr>
          <w:sz w:val="20"/>
          <w:szCs w:val="20"/>
          <w:color w:val="auto"/>
        </w:rPr>
      </w:pPr>
      <w:r>
        <w:rPr>
          <w:rFonts w:ascii="Arial" w:cs="Arial" w:eastAsia="Arial" w:hAnsi="Arial"/>
          <w:sz w:val="18"/>
          <w:szCs w:val="18"/>
          <w:color w:val="auto"/>
        </w:rPr>
        <w:t>For the avoidance of doubt, the Committee will determine and measure achievement of corporate and individual goals and objectives for executive officers under the Plan.</w:t>
      </w:r>
    </w:p>
    <w:p>
      <w:pPr>
        <w:spacing w:after="0" w:line="157" w:lineRule="exact"/>
        <w:rPr>
          <w:sz w:val="20"/>
          <w:szCs w:val="20"/>
          <w:color w:val="auto"/>
        </w:rPr>
      </w:pPr>
    </w:p>
    <w:p>
      <w:pPr>
        <w:ind w:right="160"/>
        <w:spacing w:after="0" w:line="324" w:lineRule="auto"/>
        <w:rPr>
          <w:sz w:val="20"/>
          <w:szCs w:val="20"/>
          <w:color w:val="auto"/>
        </w:rPr>
      </w:pPr>
      <w:r>
        <w:rPr>
          <w:rFonts w:ascii="Arial" w:cs="Arial" w:eastAsia="Arial" w:hAnsi="Arial"/>
          <w:sz w:val="16"/>
          <w:szCs w:val="16"/>
          <w:color w:val="auto"/>
        </w:rPr>
        <w:t>Awards under the Plan will be paid in cash as soon as practicable after the Committee’s determination of the award payments. For U.S. participants, in no event will the awards be paid later than two and one-half months after the close of the last fiscal year of the Company to which the award relates.</w:t>
      </w:r>
    </w:p>
    <w:p>
      <w:pPr>
        <w:spacing w:after="0" w:line="111" w:lineRule="exact"/>
        <w:rPr>
          <w:sz w:val="20"/>
          <w:szCs w:val="20"/>
          <w:color w:val="auto"/>
        </w:rPr>
      </w:pPr>
    </w:p>
    <w:p>
      <w:pPr>
        <w:spacing w:after="0"/>
        <w:rPr>
          <w:sz w:val="20"/>
          <w:szCs w:val="20"/>
          <w:color w:val="auto"/>
        </w:rPr>
      </w:pPr>
      <w:r>
        <w:rPr>
          <w:rFonts w:ascii="Arial" w:cs="Arial" w:eastAsia="Arial" w:hAnsi="Arial"/>
          <w:sz w:val="17"/>
          <w:szCs w:val="17"/>
          <w:color w:val="auto"/>
        </w:rPr>
        <w:t>For U.S. participants, one hundred percent of awards under the Plan will be included in earnings for the purpose of calculating 401(k) plan benefits.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Awards will not be included for purposes of any other employee benefits plans, except long-term disability.</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Recovery of Incentive Payments</w:t>
      </w:r>
    </w:p>
    <w:p>
      <w:pPr>
        <w:spacing w:after="0" w:line="202" w:lineRule="exact"/>
        <w:rPr>
          <w:sz w:val="20"/>
          <w:szCs w:val="20"/>
          <w:color w:val="auto"/>
        </w:rPr>
      </w:pPr>
    </w:p>
    <w:p>
      <w:pPr>
        <w:spacing w:after="0" w:line="253" w:lineRule="auto"/>
        <w:rPr>
          <w:sz w:val="20"/>
          <w:szCs w:val="20"/>
          <w:color w:val="auto"/>
        </w:rPr>
      </w:pPr>
      <w:r>
        <w:rPr>
          <w:rFonts w:ascii="Arial" w:cs="Arial" w:eastAsia="Arial" w:hAnsi="Arial"/>
          <w:sz w:val="17"/>
          <w:szCs w:val="17"/>
          <w:color w:val="auto"/>
        </w:rPr>
        <w:t>If any restatement of any part of the Company’s financial statements for any fiscal year or years due to material noncompliance with any financial reporting requirement under the U.S. securities laws applicable to such fiscal year or years occurs (a “Restatement”) and the Committee determines that a participant is personally responsible for causing the Restatement as a result of the participant’s personal misconduct or any fraudulent activity on the part of the participant, then the Committee has discretion to, based on applicable facts and circumstances and subject to applicable law, cause the Company to recover all or any portion (but no more than 100%) of the incentive payments paid or payable to the participant for some or all of the years covered by the Restatement. The amount of any incentive payments recovered by the Company shall be limited to the amount by which such incentive payments exceeded the amount that would have been paid to or received by the participant had the Company’s financial statements for the applicable restated fiscal year or years been initially filed as restated, as reasonably determined by the Committee. Unless otherwise required by applicable law or regulation, the Company may seek recovery of any incentive payments under this Plan only if the restatement occurs within thirty-six (36) months of the publication of the financial statements that are required to be restated.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153670</wp:posOffset>
            </wp:positionV>
            <wp:extent cx="7157720" cy="425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328" w:right="359" w:bottom="1440" w:gutter="0" w:footer="0" w:header="0"/>
        </w:sectPr>
      </w:pPr>
    </w:p>
    <w:bookmarkStart w:id="48" w:name="page49"/>
    <w:bookmarkEnd w:id="48"/>
    <w:p>
      <w:pPr>
        <w:ind w:right="20"/>
        <w:spacing w:after="0" w:line="239" w:lineRule="auto"/>
        <w:rPr>
          <w:sz w:val="20"/>
          <w:szCs w:val="20"/>
          <w:color w:val="auto"/>
        </w:rPr>
      </w:pPr>
      <w:r>
        <w:rPr>
          <w:rFonts w:ascii="Arial" w:cs="Arial" w:eastAsia="Arial" w:hAnsi="Arial"/>
          <w:sz w:val="18"/>
          <w:szCs w:val="18"/>
          <w:color w:val="auto"/>
        </w:rPr>
        <w:t>The Committee shall also determine whether the Company shall effect any recovery by: (a) seeking repayment from the participant; (b) reducing, except with respect to any non-qualified deferred compensation under Section 409A of the Internal Revenue Code of 1986, as amended, the amount that would otherwise be payable to the participant under any compensatory plan, program or arrangement maintained by the Company (subject to applicable law and the terms and conditions of such plan, program or arrangement); (c) by withholding, except with respect to any non-qualified deferred compensation under Section 409A of the Internal Revenue Code of 1986, as amended, payment of future increases in compensation (including the payment of any discretionary bonus amount) that would otherwise have been made to the participant in accordance with the Company’s compensation practices; or (d) by any combination of these alternatives.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No Right to Bonus or Continued Employment</w:t>
      </w:r>
    </w:p>
    <w:p>
      <w:pPr>
        <w:spacing w:after="0" w:line="216" w:lineRule="exact"/>
        <w:rPr>
          <w:sz w:val="20"/>
          <w:szCs w:val="20"/>
          <w:color w:val="auto"/>
        </w:rPr>
      </w:pPr>
    </w:p>
    <w:p>
      <w:pPr>
        <w:jc w:val="both"/>
        <w:spacing w:after="0" w:line="243" w:lineRule="auto"/>
        <w:rPr>
          <w:sz w:val="20"/>
          <w:szCs w:val="20"/>
          <w:color w:val="auto"/>
        </w:rPr>
      </w:pPr>
      <w:r>
        <w:rPr>
          <w:rFonts w:ascii="Arial" w:cs="Arial" w:eastAsia="Arial" w:hAnsi="Arial"/>
          <w:sz w:val="18"/>
          <w:szCs w:val="18"/>
          <w:color w:val="auto"/>
        </w:rPr>
        <w:t>Neither the establishment of the Plan, the provision for or payment of any amounts hereunder nor any action of the Company, the Board of Directors of the Company or the Committee with respect to the Plan shall be held or construed to confer upon any person (a) any legal right to receive, or any interest in, an incentive payment or any other benefit under the Plan or (b) any legal right to continue to serve as an officer or employee of the Company or any subsidiary thereof.</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Withholding</w:t>
      </w:r>
    </w:p>
    <w:p>
      <w:pPr>
        <w:spacing w:after="0" w:line="216" w:lineRule="exact"/>
        <w:rPr>
          <w:sz w:val="20"/>
          <w:szCs w:val="20"/>
          <w:color w:val="auto"/>
        </w:rPr>
      </w:pPr>
    </w:p>
    <w:p>
      <w:pPr>
        <w:jc w:val="both"/>
        <w:spacing w:after="0" w:line="261" w:lineRule="auto"/>
        <w:rPr>
          <w:sz w:val="20"/>
          <w:szCs w:val="20"/>
          <w:color w:val="auto"/>
        </w:rPr>
      </w:pPr>
      <w:r>
        <w:rPr>
          <w:rFonts w:ascii="Arial" w:cs="Arial" w:eastAsia="Arial" w:hAnsi="Arial"/>
          <w:sz w:val="18"/>
          <w:szCs w:val="18"/>
          <w:color w:val="auto"/>
        </w:rPr>
        <w:t>The Company shall have the right to withhold, or require a participant to remit to the Company, an amount sufficient to satisfy any applicable federal, state, local or foreign withholding tax requirements imposed with respect to the payment of any incentive payment.</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Nontransferability</w:t>
      </w:r>
    </w:p>
    <w:p>
      <w:pPr>
        <w:spacing w:after="0" w:line="216" w:lineRule="exact"/>
        <w:rPr>
          <w:sz w:val="20"/>
          <w:szCs w:val="20"/>
          <w:color w:val="auto"/>
        </w:rPr>
      </w:pPr>
    </w:p>
    <w:p>
      <w:pPr>
        <w:ind w:right="100"/>
        <w:spacing w:after="0" w:line="261" w:lineRule="auto"/>
        <w:rPr>
          <w:sz w:val="20"/>
          <w:szCs w:val="20"/>
          <w:color w:val="auto"/>
        </w:rPr>
      </w:pPr>
      <w:r>
        <w:rPr>
          <w:rFonts w:ascii="Arial" w:cs="Arial" w:eastAsia="Arial" w:hAnsi="Arial"/>
          <w:sz w:val="18"/>
          <w:szCs w:val="18"/>
          <w:color w:val="auto"/>
        </w:rPr>
        <w:t>Except as expressly provided by the Committee, the rights and benefits under the Plan shall not be transferable or assignable other than by will or the laws of descent and distribution.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285115</wp:posOffset>
            </wp:positionV>
            <wp:extent cx="7157720" cy="425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30" w:right="359" w:bottom="1440" w:gutter="0" w:footer="0" w:header="0"/>
        </w:sectPr>
      </w:pPr>
    </w:p>
    <w:bookmarkStart w:id="49" w:name="page50"/>
    <w:bookmarkEnd w:id="49"/>
    <w:p>
      <w:pPr>
        <w:jc w:val="right"/>
        <w:spacing w:after="0"/>
        <w:rPr>
          <w:sz w:val="20"/>
          <w:szCs w:val="20"/>
          <w:color w:val="auto"/>
        </w:rPr>
      </w:pPr>
      <w:r>
        <w:rPr>
          <w:rFonts w:ascii="Arial" w:cs="Arial" w:eastAsia="Arial" w:hAnsi="Arial"/>
          <w:sz w:val="18"/>
          <w:szCs w:val="18"/>
          <w:b w:val="1"/>
          <w:bCs w:val="1"/>
          <w:color w:val="auto"/>
        </w:rPr>
        <w:t>Exhibit 31.1</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color w:val="auto"/>
        </w:rPr>
        <w:t>I, Michael S. Williams, certify that:</w:t>
      </w:r>
    </w:p>
    <w:p>
      <w:pPr>
        <w:spacing w:after="0" w:line="171" w:lineRule="exact"/>
        <w:rPr>
          <w:sz w:val="20"/>
          <w:szCs w:val="20"/>
          <w:color w:val="auto"/>
        </w:rPr>
      </w:pPr>
    </w:p>
    <w:p>
      <w:pPr>
        <w:ind w:left="380"/>
        <w:spacing w:after="0"/>
        <w:rPr>
          <w:sz w:val="20"/>
          <w:szCs w:val="20"/>
          <w:color w:val="auto"/>
        </w:rPr>
      </w:pPr>
      <w:r>
        <w:rPr>
          <w:rFonts w:ascii="Arial" w:cs="Arial" w:eastAsia="Arial" w:hAnsi="Arial"/>
          <w:sz w:val="18"/>
          <w:szCs w:val="18"/>
          <w:color w:val="auto"/>
        </w:rPr>
        <w:t>I have reviewed this quarterly report on Form 10-Q of TimkenSteel Corporation;</w:t>
      </w:r>
    </w:p>
    <w:p>
      <w:pPr>
        <w:spacing w:after="0" w:line="104" w:lineRule="exact"/>
        <w:rPr>
          <w:sz w:val="20"/>
          <w:szCs w:val="20"/>
          <w:color w:val="auto"/>
        </w:rPr>
      </w:pPr>
    </w:p>
    <w:p>
      <w:pPr>
        <w:jc w:val="both"/>
        <w:ind w:left="760" w:hanging="378"/>
        <w:spacing w:after="0" w:line="248" w:lineRule="auto"/>
        <w:tabs>
          <w:tab w:leader="none" w:pos="7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3" w:lineRule="exact"/>
        <w:rPr>
          <w:rFonts w:ascii="Arial" w:cs="Arial" w:eastAsia="Arial" w:hAnsi="Arial"/>
          <w:sz w:val="18"/>
          <w:szCs w:val="18"/>
          <w:color w:val="auto"/>
        </w:rPr>
      </w:pPr>
    </w:p>
    <w:p>
      <w:pPr>
        <w:ind w:left="760" w:hanging="378"/>
        <w:spacing w:after="0" w:line="291" w:lineRule="auto"/>
        <w:tabs>
          <w:tab w:leader="none" w:pos="7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jc w:val="both"/>
        <w:ind w:left="760" w:right="20" w:hanging="378"/>
        <w:spacing w:after="0" w:line="248" w:lineRule="auto"/>
        <w:tabs>
          <w:tab w:leader="none" w:pos="7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jc w:val="both"/>
        <w:ind w:left="1500" w:hanging="369"/>
        <w:spacing w:after="0" w:line="248" w:lineRule="auto"/>
        <w:tabs>
          <w:tab w:leader="none" w:pos="1500" w:val="left"/>
        </w:tabs>
        <w:numPr>
          <w:ilvl w:val="1"/>
          <w:numId w:val="3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jc w:val="both"/>
        <w:ind w:left="1500" w:hanging="369"/>
        <w:spacing w:after="0" w:line="248" w:lineRule="auto"/>
        <w:tabs>
          <w:tab w:leader="none" w:pos="1500" w:val="left"/>
        </w:tabs>
        <w:numPr>
          <w:ilvl w:val="1"/>
          <w:numId w:val="3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jc w:val="both"/>
        <w:ind w:left="1500" w:hanging="369"/>
        <w:spacing w:after="0" w:line="324" w:lineRule="auto"/>
        <w:tabs>
          <w:tab w:leader="none" w:pos="1500" w:val="left"/>
        </w:tabs>
        <w:numPr>
          <w:ilvl w:val="1"/>
          <w:numId w:val="3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 w:lineRule="exact"/>
        <w:rPr>
          <w:rFonts w:ascii="Arial" w:cs="Arial" w:eastAsia="Arial" w:hAnsi="Arial"/>
          <w:sz w:val="16"/>
          <w:szCs w:val="16"/>
          <w:color w:val="auto"/>
        </w:rPr>
      </w:pPr>
    </w:p>
    <w:p>
      <w:pPr>
        <w:jc w:val="both"/>
        <w:ind w:left="1500" w:hanging="369"/>
        <w:spacing w:after="0" w:line="248" w:lineRule="auto"/>
        <w:tabs>
          <w:tab w:leader="none" w:pos="1500" w:val="left"/>
        </w:tabs>
        <w:numPr>
          <w:ilvl w:val="1"/>
          <w:numId w:val="3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3" w:lineRule="exact"/>
        <w:rPr>
          <w:rFonts w:ascii="Arial" w:cs="Arial" w:eastAsia="Arial" w:hAnsi="Arial"/>
          <w:sz w:val="18"/>
          <w:szCs w:val="18"/>
          <w:color w:val="auto"/>
        </w:rPr>
      </w:pPr>
    </w:p>
    <w:p>
      <w:pPr>
        <w:ind w:left="760" w:hanging="378"/>
        <w:spacing w:after="0" w:line="291" w:lineRule="auto"/>
        <w:tabs>
          <w:tab w:leader="none" w:pos="7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1500" w:hanging="369"/>
        <w:spacing w:after="0" w:line="291" w:lineRule="auto"/>
        <w:tabs>
          <w:tab w:leader="none" w:pos="1500" w:val="left"/>
        </w:tabs>
        <w:numPr>
          <w:ilvl w:val="1"/>
          <w:numId w:val="31"/>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38" w:lineRule="exact"/>
        <w:rPr>
          <w:rFonts w:ascii="Arial" w:cs="Arial" w:eastAsia="Arial" w:hAnsi="Arial"/>
          <w:sz w:val="17"/>
          <w:szCs w:val="17"/>
          <w:color w:val="auto"/>
        </w:rPr>
      </w:pPr>
    </w:p>
    <w:p>
      <w:pPr>
        <w:ind w:left="1500" w:hanging="369"/>
        <w:spacing w:after="0" w:line="261" w:lineRule="auto"/>
        <w:tabs>
          <w:tab w:leader="none" w:pos="1500" w:val="left"/>
        </w:tabs>
        <w:numPr>
          <w:ilvl w:val="1"/>
          <w:numId w:val="3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8" w:lineRule="exact"/>
        <w:rPr>
          <w:sz w:val="20"/>
          <w:szCs w:val="20"/>
          <w:color w:val="auto"/>
        </w:rPr>
      </w:pPr>
    </w:p>
    <w:p>
      <w:pPr>
        <w:ind w:left="20"/>
        <w:spacing w:after="0"/>
        <w:tabs>
          <w:tab w:leader="none" w:pos="700" w:val="left"/>
          <w:tab w:leader="none" w:pos="570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May 4, 2022</w:t>
      </w:r>
      <w:r>
        <w:rPr>
          <w:sz w:val="20"/>
          <w:szCs w:val="20"/>
          <w:color w:val="auto"/>
        </w:rPr>
        <w:tab/>
      </w:r>
      <w:r>
        <w:rPr>
          <w:rFonts w:ascii="Arial" w:cs="Arial" w:eastAsia="Arial" w:hAnsi="Arial"/>
          <w:sz w:val="16"/>
          <w:szCs w:val="16"/>
          <w:color w:val="auto"/>
        </w:rPr>
        <w:t>/s/ Michael S. Williams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3622675</wp:posOffset>
            </wp:positionH>
            <wp:positionV relativeFrom="paragraph">
              <wp:posOffset>6350</wp:posOffset>
            </wp:positionV>
            <wp:extent cx="3514725" cy="825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3514725" cy="8255"/>
                    </a:xfrm>
                    <a:prstGeom prst="rect">
                      <a:avLst/>
                    </a:prstGeom>
                    <a:noFill/>
                  </pic:spPr>
                </pic:pic>
              </a:graphicData>
            </a:graphic>
          </wp:anchor>
        </w:drawing>
      </w:r>
    </w:p>
    <w:p>
      <w:pPr>
        <w:spacing w:after="0" w:line="1"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Michael S. Williams</w:t>
      </w:r>
    </w:p>
    <w:p>
      <w:pPr>
        <w:ind w:left="5720"/>
        <w:spacing w:after="0" w:line="203" w:lineRule="auto"/>
        <w:rPr>
          <w:sz w:val="20"/>
          <w:szCs w:val="20"/>
          <w:color w:val="auto"/>
        </w:rPr>
      </w:pPr>
      <w:r>
        <w:rPr>
          <w:rFonts w:ascii="Arial" w:cs="Arial" w:eastAsia="Arial" w:hAnsi="Arial"/>
          <w:sz w:val="18"/>
          <w:szCs w:val="18"/>
          <w:color w:val="auto"/>
        </w:rPr>
        <w:t>Chief Executive Officer and President</w:t>
      </w:r>
    </w:p>
    <w:p>
      <w:pPr>
        <w:ind w:left="5720"/>
        <w:spacing w:after="0"/>
        <w:rPr>
          <w:sz w:val="20"/>
          <w:szCs w:val="20"/>
          <w:color w:val="auto"/>
        </w:rPr>
      </w:pPr>
      <w:r>
        <w:rPr>
          <w:rFonts w:ascii="Arial" w:cs="Arial" w:eastAsia="Arial" w:hAnsi="Arial"/>
          <w:sz w:val="18"/>
          <w:szCs w:val="18"/>
          <w:color w:val="auto"/>
        </w:rPr>
        <w:t>(Principal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317500</wp:posOffset>
            </wp:positionV>
            <wp:extent cx="7157720" cy="425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50" w:name="page51"/>
    <w:bookmarkEnd w:id="50"/>
    <w:p>
      <w:pPr>
        <w:jc w:val="right"/>
        <w:spacing w:after="0"/>
        <w:rPr>
          <w:sz w:val="20"/>
          <w:szCs w:val="20"/>
          <w:color w:val="auto"/>
        </w:rPr>
      </w:pPr>
      <w:r>
        <w:rPr>
          <w:rFonts w:ascii="Arial" w:cs="Arial" w:eastAsia="Arial" w:hAnsi="Arial"/>
          <w:sz w:val="18"/>
          <w:szCs w:val="18"/>
          <w:b w:val="1"/>
          <w:bCs w:val="1"/>
          <w:color w:val="auto"/>
        </w:rPr>
        <w:t>Exhibit 31.2</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color w:val="auto"/>
        </w:rPr>
        <w:t>I, Kristopher R. Westbrooks, certify that:</w:t>
      </w:r>
    </w:p>
    <w:p>
      <w:pPr>
        <w:spacing w:after="0" w:line="171" w:lineRule="exact"/>
        <w:rPr>
          <w:sz w:val="20"/>
          <w:szCs w:val="20"/>
          <w:color w:val="auto"/>
        </w:rPr>
      </w:pPr>
    </w:p>
    <w:p>
      <w:pPr>
        <w:ind w:left="400"/>
        <w:spacing w:after="0"/>
        <w:rPr>
          <w:sz w:val="20"/>
          <w:szCs w:val="20"/>
          <w:color w:val="auto"/>
        </w:rPr>
      </w:pPr>
      <w:r>
        <w:rPr>
          <w:rFonts w:ascii="Arial" w:cs="Arial" w:eastAsia="Arial" w:hAnsi="Arial"/>
          <w:sz w:val="18"/>
          <w:szCs w:val="18"/>
          <w:color w:val="auto"/>
        </w:rPr>
        <w:t>I have reviewed this quarterly report on Form 10-Q of TimkenSteel Corporation;</w:t>
      </w:r>
    </w:p>
    <w:p>
      <w:pPr>
        <w:spacing w:after="0" w:line="104" w:lineRule="exact"/>
        <w:rPr>
          <w:sz w:val="20"/>
          <w:szCs w:val="20"/>
          <w:color w:val="auto"/>
        </w:rPr>
      </w:pPr>
    </w:p>
    <w:p>
      <w:pPr>
        <w:jc w:val="both"/>
        <w:ind w:left="760" w:hanging="378"/>
        <w:spacing w:after="0" w:line="248" w:lineRule="auto"/>
        <w:tabs>
          <w:tab w:leader="none" w:pos="7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3" w:lineRule="exact"/>
        <w:rPr>
          <w:rFonts w:ascii="Arial" w:cs="Arial" w:eastAsia="Arial" w:hAnsi="Arial"/>
          <w:sz w:val="18"/>
          <w:szCs w:val="18"/>
          <w:color w:val="auto"/>
        </w:rPr>
      </w:pPr>
    </w:p>
    <w:p>
      <w:pPr>
        <w:ind w:left="760" w:hanging="378"/>
        <w:spacing w:after="0" w:line="291" w:lineRule="auto"/>
        <w:tabs>
          <w:tab w:leader="none" w:pos="760" w:val="left"/>
        </w:tabs>
        <w:numPr>
          <w:ilvl w:val="0"/>
          <w:numId w:val="32"/>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jc w:val="both"/>
        <w:ind w:left="760" w:right="20" w:hanging="378"/>
        <w:spacing w:after="0" w:line="248" w:lineRule="auto"/>
        <w:tabs>
          <w:tab w:leader="none" w:pos="7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jc w:val="both"/>
        <w:ind w:left="1500" w:hanging="369"/>
        <w:spacing w:after="0" w:line="248" w:lineRule="auto"/>
        <w:tabs>
          <w:tab w:leader="none" w:pos="1500" w:val="left"/>
        </w:tabs>
        <w:numPr>
          <w:ilvl w:val="1"/>
          <w:numId w:val="3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jc w:val="both"/>
        <w:ind w:left="1500" w:hanging="369"/>
        <w:spacing w:after="0" w:line="248" w:lineRule="auto"/>
        <w:tabs>
          <w:tab w:leader="none" w:pos="1500" w:val="left"/>
        </w:tabs>
        <w:numPr>
          <w:ilvl w:val="1"/>
          <w:numId w:val="3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jc w:val="both"/>
        <w:ind w:left="1500" w:hanging="369"/>
        <w:spacing w:after="0" w:line="324" w:lineRule="auto"/>
        <w:tabs>
          <w:tab w:leader="none" w:pos="1500" w:val="left"/>
        </w:tabs>
        <w:numPr>
          <w:ilvl w:val="1"/>
          <w:numId w:val="32"/>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 w:lineRule="exact"/>
        <w:rPr>
          <w:rFonts w:ascii="Arial" w:cs="Arial" w:eastAsia="Arial" w:hAnsi="Arial"/>
          <w:sz w:val="16"/>
          <w:szCs w:val="16"/>
          <w:color w:val="auto"/>
        </w:rPr>
      </w:pPr>
    </w:p>
    <w:p>
      <w:pPr>
        <w:jc w:val="both"/>
        <w:ind w:left="1500" w:hanging="369"/>
        <w:spacing w:after="0" w:line="248" w:lineRule="auto"/>
        <w:tabs>
          <w:tab w:leader="none" w:pos="1500" w:val="left"/>
        </w:tabs>
        <w:numPr>
          <w:ilvl w:val="1"/>
          <w:numId w:val="3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3" w:lineRule="exact"/>
        <w:rPr>
          <w:rFonts w:ascii="Arial" w:cs="Arial" w:eastAsia="Arial" w:hAnsi="Arial"/>
          <w:sz w:val="18"/>
          <w:szCs w:val="18"/>
          <w:color w:val="auto"/>
        </w:rPr>
      </w:pPr>
    </w:p>
    <w:p>
      <w:pPr>
        <w:ind w:left="760" w:hanging="378"/>
        <w:spacing w:after="0" w:line="291" w:lineRule="auto"/>
        <w:tabs>
          <w:tab w:leader="none" w:pos="760" w:val="left"/>
        </w:tabs>
        <w:numPr>
          <w:ilvl w:val="0"/>
          <w:numId w:val="32"/>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1500" w:hanging="369"/>
        <w:spacing w:after="0" w:line="291" w:lineRule="auto"/>
        <w:tabs>
          <w:tab w:leader="none" w:pos="1500" w:val="left"/>
        </w:tabs>
        <w:numPr>
          <w:ilvl w:val="1"/>
          <w:numId w:val="32"/>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38" w:lineRule="exact"/>
        <w:rPr>
          <w:rFonts w:ascii="Arial" w:cs="Arial" w:eastAsia="Arial" w:hAnsi="Arial"/>
          <w:sz w:val="17"/>
          <w:szCs w:val="17"/>
          <w:color w:val="auto"/>
        </w:rPr>
      </w:pPr>
    </w:p>
    <w:p>
      <w:pPr>
        <w:ind w:left="1500" w:hanging="369"/>
        <w:spacing w:after="0" w:line="261" w:lineRule="auto"/>
        <w:tabs>
          <w:tab w:leader="none" w:pos="1500" w:val="left"/>
        </w:tabs>
        <w:numPr>
          <w:ilvl w:val="1"/>
          <w:numId w:val="3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8" w:lineRule="exact"/>
        <w:rPr>
          <w:sz w:val="20"/>
          <w:szCs w:val="20"/>
          <w:color w:val="auto"/>
        </w:rPr>
      </w:pPr>
    </w:p>
    <w:p>
      <w:pPr>
        <w:ind w:left="20"/>
        <w:spacing w:after="0"/>
        <w:tabs>
          <w:tab w:leader="none" w:pos="700" w:val="left"/>
          <w:tab w:leader="none" w:pos="570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May 4, 2022</w:t>
      </w:r>
      <w:r>
        <w:rPr>
          <w:sz w:val="20"/>
          <w:szCs w:val="20"/>
          <w:color w:val="auto"/>
        </w:rPr>
        <w:tab/>
      </w:r>
      <w:r>
        <w:rPr>
          <w:rFonts w:ascii="Arial" w:cs="Arial" w:eastAsia="Arial" w:hAnsi="Arial"/>
          <w:sz w:val="16"/>
          <w:szCs w:val="16"/>
          <w:color w:val="auto"/>
        </w:rPr>
        <w:t>/s/ Kristopher R. Westbrooks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3622675</wp:posOffset>
            </wp:positionH>
            <wp:positionV relativeFrom="paragraph">
              <wp:posOffset>6350</wp:posOffset>
            </wp:positionV>
            <wp:extent cx="3514725" cy="82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3514725" cy="8255"/>
                    </a:xfrm>
                    <a:prstGeom prst="rect">
                      <a:avLst/>
                    </a:prstGeom>
                    <a:noFill/>
                  </pic:spPr>
                </pic:pic>
              </a:graphicData>
            </a:graphic>
          </wp:anchor>
        </w:drawing>
      </w:r>
    </w:p>
    <w:p>
      <w:pPr>
        <w:spacing w:after="0" w:line="1"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Kristopher R. Westbrooks</w:t>
      </w:r>
    </w:p>
    <w:p>
      <w:pPr>
        <w:ind w:left="5720"/>
        <w:spacing w:after="0" w:line="203" w:lineRule="auto"/>
        <w:rPr>
          <w:sz w:val="20"/>
          <w:szCs w:val="20"/>
          <w:color w:val="auto"/>
        </w:rPr>
      </w:pPr>
      <w:r>
        <w:rPr>
          <w:rFonts w:ascii="Arial" w:cs="Arial" w:eastAsia="Arial" w:hAnsi="Arial"/>
          <w:sz w:val="18"/>
          <w:szCs w:val="18"/>
          <w:color w:val="auto"/>
        </w:rPr>
        <w:t>Executive Vice President and Chief Financial Officer</w:t>
      </w:r>
    </w:p>
    <w:p>
      <w:pPr>
        <w:ind w:left="5720"/>
        <w:spacing w:after="0"/>
        <w:rPr>
          <w:sz w:val="20"/>
          <w:szCs w:val="20"/>
          <w:color w:val="auto"/>
        </w:rPr>
      </w:pPr>
      <w:r>
        <w:rPr>
          <w:rFonts w:ascii="Arial" w:cs="Arial" w:eastAsia="Arial" w:hAnsi="Arial"/>
          <w:sz w:val="18"/>
          <w:szCs w:val="18"/>
          <w:color w:val="auto"/>
        </w:rPr>
        <w:t>(Principal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317500</wp:posOffset>
            </wp:positionV>
            <wp:extent cx="7157720" cy="425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51" w:name="page52"/>
    <w:bookmarkEnd w:id="51"/>
    <w:p>
      <w:pPr>
        <w:jc w:val="right"/>
        <w:spacing w:after="0"/>
        <w:rPr>
          <w:sz w:val="20"/>
          <w:szCs w:val="20"/>
          <w:color w:val="auto"/>
        </w:rPr>
      </w:pPr>
      <w:r>
        <w:rPr>
          <w:rFonts w:ascii="Arial" w:cs="Arial" w:eastAsia="Arial" w:hAnsi="Arial"/>
          <w:sz w:val="18"/>
          <w:szCs w:val="18"/>
          <w:b w:val="1"/>
          <w:bCs w:val="1"/>
          <w:color w:val="auto"/>
        </w:rPr>
        <w:t>Exhibit 32.1</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18 U.S.C. Section 1350,</w:t>
      </w: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196" w:lineRule="exact"/>
        <w:rPr>
          <w:sz w:val="20"/>
          <w:szCs w:val="20"/>
          <w:color w:val="auto"/>
        </w:rPr>
      </w:pPr>
    </w:p>
    <w:p>
      <w:pPr>
        <w:jc w:val="both"/>
        <w:ind w:right="160" w:firstLine="749"/>
        <w:spacing w:after="0" w:line="270" w:lineRule="auto"/>
        <w:rPr>
          <w:sz w:val="20"/>
          <w:szCs w:val="20"/>
          <w:color w:val="auto"/>
        </w:rPr>
      </w:pPr>
      <w:r>
        <w:rPr>
          <w:rFonts w:ascii="Arial" w:cs="Arial" w:eastAsia="Arial" w:hAnsi="Arial"/>
          <w:sz w:val="17"/>
          <w:szCs w:val="17"/>
          <w:color w:val="auto"/>
        </w:rPr>
        <w:t>In connection with the Quarterly Report of TimkenSteel Corporation (the “Company”) on Form 10-Q for the period ended March 31, 2022, as filed with the Securities and Exchange Commission on the date hereof (the “Report”), each of the undersigned officers of the Company certifies, pursuant to 18 U.S.C. Section 1350, as adopted pursuant to Section 906 of the Sarbanes-Oxley Act of 2002, that, to such officer’s knowledge:</w:t>
      </w:r>
    </w:p>
    <w:p>
      <w:pPr>
        <w:spacing w:after="0" w:line="83" w:lineRule="exact"/>
        <w:rPr>
          <w:sz w:val="20"/>
          <w:szCs w:val="20"/>
          <w:color w:val="auto"/>
        </w:rPr>
      </w:pPr>
    </w:p>
    <w:p>
      <w:pPr>
        <w:ind w:left="1180" w:hanging="423"/>
        <w:spacing w:after="0"/>
        <w:tabs>
          <w:tab w:leader="none" w:pos="11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44" w:lineRule="exact"/>
        <w:rPr>
          <w:rFonts w:ascii="Arial" w:cs="Arial" w:eastAsia="Arial" w:hAnsi="Arial"/>
          <w:sz w:val="18"/>
          <w:szCs w:val="18"/>
          <w:color w:val="auto"/>
        </w:rPr>
      </w:pPr>
    </w:p>
    <w:p>
      <w:pPr>
        <w:ind w:right="380" w:firstLine="757"/>
        <w:spacing w:after="0" w:line="277" w:lineRule="auto"/>
        <w:tabs>
          <w:tab w:leader="none" w:pos="1181"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 as of the dates and for the periods expressed in the Report.</w:t>
      </w:r>
    </w:p>
    <w:p>
      <w:pPr>
        <w:spacing w:after="0" w:line="184" w:lineRule="exact"/>
        <w:rPr>
          <w:sz w:val="20"/>
          <w:szCs w:val="20"/>
          <w:color w:val="auto"/>
        </w:rPr>
      </w:pPr>
    </w:p>
    <w:p>
      <w:pPr>
        <w:ind w:left="20"/>
        <w:spacing w:after="0"/>
        <w:tabs>
          <w:tab w:leader="none" w:pos="560" w:val="left"/>
          <w:tab w:leader="none" w:pos="5620" w:val="left"/>
        </w:tabs>
        <w:rPr>
          <w:sz w:val="20"/>
          <w:szCs w:val="20"/>
          <w:color w:val="auto"/>
        </w:rPr>
      </w:pPr>
      <w:r>
        <w:rPr>
          <w:rFonts w:ascii="Arial" w:cs="Arial" w:eastAsia="Arial" w:hAnsi="Arial"/>
          <w:sz w:val="18"/>
          <w:szCs w:val="18"/>
          <w:color w:val="auto"/>
        </w:rPr>
        <w:t>Date:</w:t>
        <w:tab/>
        <w:t>May 4, 2022</w:t>
      </w:r>
      <w:r>
        <w:rPr>
          <w:sz w:val="20"/>
          <w:szCs w:val="20"/>
          <w:color w:val="auto"/>
        </w:rPr>
        <w:tab/>
      </w:r>
      <w:r>
        <w:rPr>
          <w:rFonts w:ascii="Arial" w:cs="Arial" w:eastAsia="Arial" w:hAnsi="Arial"/>
          <w:sz w:val="16"/>
          <w:szCs w:val="16"/>
          <w:color w:val="auto"/>
        </w:rPr>
        <w:t>/s/ Michael S. Williams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6350</wp:posOffset>
            </wp:positionV>
            <wp:extent cx="3566160" cy="82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ind w:left="5640"/>
        <w:spacing w:after="0" w:line="232" w:lineRule="auto"/>
        <w:rPr>
          <w:sz w:val="20"/>
          <w:szCs w:val="20"/>
          <w:color w:val="auto"/>
        </w:rPr>
      </w:pPr>
      <w:r>
        <w:rPr>
          <w:rFonts w:ascii="Arial" w:cs="Arial" w:eastAsia="Arial" w:hAnsi="Arial"/>
          <w:sz w:val="18"/>
          <w:szCs w:val="18"/>
          <w:color w:val="auto"/>
        </w:rPr>
        <w:t>Michael S. Williams</w:t>
      </w:r>
    </w:p>
    <w:p>
      <w:pPr>
        <w:ind w:left="5640"/>
        <w:spacing w:after="0" w:line="203" w:lineRule="auto"/>
        <w:rPr>
          <w:sz w:val="20"/>
          <w:szCs w:val="20"/>
          <w:color w:val="auto"/>
        </w:rPr>
      </w:pPr>
      <w:r>
        <w:rPr>
          <w:rFonts w:ascii="Arial" w:cs="Arial" w:eastAsia="Arial" w:hAnsi="Arial"/>
          <w:sz w:val="18"/>
          <w:szCs w:val="18"/>
          <w:color w:val="auto"/>
        </w:rPr>
        <w:t>Chief Executive Officer and President</w:t>
      </w:r>
    </w:p>
    <w:p>
      <w:pPr>
        <w:spacing w:after="0" w:line="1"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(Principal Executive Officer)</w:t>
      </w:r>
    </w:p>
    <w:p>
      <w:pPr>
        <w:spacing w:after="0" w:line="223" w:lineRule="exact"/>
        <w:rPr>
          <w:sz w:val="20"/>
          <w:szCs w:val="20"/>
          <w:color w:val="auto"/>
        </w:rPr>
      </w:pPr>
    </w:p>
    <w:p>
      <w:pPr>
        <w:ind w:left="20"/>
        <w:spacing w:after="0"/>
        <w:tabs>
          <w:tab w:leader="none" w:pos="560" w:val="left"/>
          <w:tab w:leader="none" w:pos="5620" w:val="left"/>
        </w:tabs>
        <w:rPr>
          <w:sz w:val="20"/>
          <w:szCs w:val="20"/>
          <w:color w:val="auto"/>
        </w:rPr>
      </w:pPr>
      <w:r>
        <w:rPr>
          <w:rFonts w:ascii="Arial" w:cs="Arial" w:eastAsia="Arial" w:hAnsi="Arial"/>
          <w:sz w:val="18"/>
          <w:szCs w:val="18"/>
          <w:color w:val="auto"/>
        </w:rPr>
        <w:t>Date:</w:t>
        <w:tab/>
        <w:t>May 4, 2022</w:t>
      </w:r>
      <w:r>
        <w:rPr>
          <w:sz w:val="20"/>
          <w:szCs w:val="20"/>
          <w:color w:val="auto"/>
        </w:rPr>
        <w:tab/>
      </w:r>
      <w:r>
        <w:rPr>
          <w:rFonts w:ascii="Arial" w:cs="Arial" w:eastAsia="Arial" w:hAnsi="Arial"/>
          <w:sz w:val="16"/>
          <w:szCs w:val="16"/>
          <w:color w:val="auto"/>
        </w:rPr>
        <w:t>/s/ Kristopher R. Westbrooks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6350</wp:posOffset>
            </wp:positionV>
            <wp:extent cx="3566160" cy="825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ind w:left="5640"/>
        <w:spacing w:after="0" w:line="232" w:lineRule="auto"/>
        <w:rPr>
          <w:sz w:val="20"/>
          <w:szCs w:val="20"/>
          <w:color w:val="auto"/>
        </w:rPr>
      </w:pPr>
      <w:r>
        <w:rPr>
          <w:rFonts w:ascii="Arial" w:cs="Arial" w:eastAsia="Arial" w:hAnsi="Arial"/>
          <w:sz w:val="18"/>
          <w:szCs w:val="18"/>
          <w:color w:val="auto"/>
        </w:rPr>
        <w:t>Kristopher R. Westbrooks</w:t>
      </w:r>
    </w:p>
    <w:p>
      <w:pPr>
        <w:ind w:left="5640"/>
        <w:spacing w:after="0" w:line="203" w:lineRule="auto"/>
        <w:rPr>
          <w:sz w:val="20"/>
          <w:szCs w:val="20"/>
          <w:color w:val="auto"/>
        </w:rPr>
      </w:pPr>
      <w:r>
        <w:rPr>
          <w:rFonts w:ascii="Arial" w:cs="Arial" w:eastAsia="Arial" w:hAnsi="Arial"/>
          <w:sz w:val="18"/>
          <w:szCs w:val="18"/>
          <w:color w:val="auto"/>
        </w:rPr>
        <w:t>Executive Vice President and Chief Financial Officer</w:t>
      </w:r>
    </w:p>
    <w:p>
      <w:pPr>
        <w:spacing w:after="0" w:line="1"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(Principal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317500</wp:posOffset>
            </wp:positionV>
            <wp:extent cx="7157720" cy="425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52" w:name="page53"/>
    <w:bookmarkEnd w:id="52"/>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5E45D32"/>
    <w:multiLevelType w:val="hybridMultilevel"/>
    <w:lvl w:ilvl="0">
      <w:lvlJc w:val="left"/>
      <w:lvlText w:val="☒"/>
      <w:numFmt w:val="bullet"/>
      <w:start w:val="1"/>
    </w:lvl>
  </w:abstractNum>
  <w:abstractNum w:abstractNumId="1">
    <w:nsid w:val="519B500D"/>
    <w:multiLevelType w:val="hybridMultilevel"/>
    <w:lvl w:ilvl="0">
      <w:lvlJc w:val="left"/>
      <w:lvlText w:val="☐"/>
      <w:numFmt w:val="bullet"/>
      <w:start w:val="1"/>
    </w:lvl>
  </w:abstractNum>
  <w:abstractNum w:abstractNumId="2">
    <w:nsid w:val="431BD7B7"/>
    <w:multiLevelType w:val="hybridMultilevel"/>
    <w:lvl w:ilvl="0">
      <w:lvlJc w:val="left"/>
      <w:lvlText w:val="(%1)"/>
      <w:numFmt w:val="decimal"/>
      <w:start w:val="1"/>
    </w:lvl>
  </w:abstractNum>
  <w:abstractNum w:abstractNumId="3">
    <w:nsid w:val="3F2DBA31"/>
    <w:multiLevelType w:val="hybridMultilevel"/>
    <w:lvl w:ilvl="0">
      <w:lvlJc w:val="left"/>
      <w:lvlText w:val="(%1)"/>
      <w:numFmt w:val="decimal"/>
      <w:start w:val="2"/>
    </w:lvl>
  </w:abstractNum>
  <w:abstractNum w:abstractNumId="4">
    <w:nsid w:val="7C83E458"/>
    <w:multiLevelType w:val="hybridMultilevel"/>
    <w:lvl w:ilvl="0">
      <w:lvlJc w:val="left"/>
      <w:lvlText w:val="\endash "/>
      <w:numFmt w:val="bullet"/>
      <w:start w:val="1"/>
    </w:lvl>
  </w:abstractNum>
  <w:abstractNum w:abstractNumId="5">
    <w:nsid w:val="257130A3"/>
    <w:multiLevelType w:val="hybridMultilevel"/>
    <w:lvl w:ilvl="0">
      <w:lvlJc w:val="left"/>
      <w:lvlText w:val="(%1)"/>
      <w:numFmt w:val="decimal"/>
      <w:start w:val="1"/>
    </w:lvl>
  </w:abstractNum>
  <w:abstractNum w:abstractNumId="6">
    <w:nsid w:val="62BBD95A"/>
    <w:multiLevelType w:val="hybridMultilevel"/>
    <w:lvl w:ilvl="0">
      <w:lvlJc w:val="left"/>
      <w:lvlText w:val="•"/>
      <w:numFmt w:val="bullet"/>
      <w:start w:val="1"/>
    </w:lvl>
  </w:abstractNum>
  <w:abstractNum w:abstractNumId="7">
    <w:nsid w:val="436C6125"/>
    <w:multiLevelType w:val="hybridMultilevel"/>
    <w:lvl w:ilvl="0">
      <w:lvlJc w:val="left"/>
      <w:lvlText w:val="•"/>
      <w:numFmt w:val="bullet"/>
      <w:start w:val="1"/>
    </w:lvl>
  </w:abstractNum>
  <w:abstractNum w:abstractNumId="8">
    <w:nsid w:val="628C895D"/>
    <w:multiLevelType w:val="hybridMultilevel"/>
    <w:lvl w:ilvl="0">
      <w:lvlJc w:val="left"/>
      <w:lvlText w:val="(%1)"/>
      <w:numFmt w:val="decimal"/>
      <w:start w:val="1"/>
    </w:lvl>
  </w:abstractNum>
  <w:abstractNum w:abstractNumId="9">
    <w:nsid w:val="333AB105"/>
    <w:multiLevelType w:val="hybridMultilevel"/>
    <w:lvl w:ilvl="0">
      <w:lvlJc w:val="left"/>
      <w:lvlText w:val="*"/>
      <w:numFmt w:val="bullet"/>
      <w:start w:val="1"/>
    </w:lvl>
    <w:lvl w:ilvl="1">
      <w:lvlJc w:val="left"/>
      <w:lvlText w:val="%2"/>
      <w:numFmt w:val="decimal"/>
      <w:start w:val="104"/>
    </w:lvl>
  </w:abstractNum>
  <w:abstractNum w:abstractNumId="10">
    <w:nsid w:val="721DA317"/>
    <w:multiLevelType w:val="hybridMultilevel"/>
    <w:lvl w:ilvl="0">
      <w:lvlJc w:val="left"/>
      <w:lvlText w:val="**"/>
      <w:numFmt w:val="bullet"/>
      <w:start w:val="1"/>
    </w:lvl>
    <w:lvl w:ilvl="1">
      <w:lvlJc w:val="left"/>
      <w:lvlText w:val="%2"/>
      <w:numFmt w:val="decimal"/>
      <w:start w:val="1"/>
    </w:lvl>
  </w:abstractNum>
  <w:abstractNum w:abstractNumId="11">
    <w:nsid w:val="2443A858"/>
    <w:multiLevelType w:val="hybridMultilevel"/>
    <w:lvl w:ilvl="0">
      <w:lvlJc w:val="left"/>
      <w:lvlText w:val="%1."/>
      <w:numFmt w:val="decimal"/>
      <w:start w:val="1"/>
    </w:lvl>
    <w:lvl w:ilvl="1">
      <w:lvlJc w:val="left"/>
      <w:lvlText w:val="(%2)"/>
      <w:numFmt w:val="lowerLetter"/>
      <w:start w:val="1"/>
    </w:lvl>
  </w:abstractNum>
  <w:abstractNum w:abstractNumId="12">
    <w:nsid w:val="2D1D5AE9"/>
    <w:multiLevelType w:val="hybridMultilevel"/>
    <w:lvl w:ilvl="0">
      <w:lvlJc w:val="left"/>
      <w:lvlText w:val="%1"/>
      <w:numFmt w:val="decimal"/>
      <w:start w:val="1"/>
    </w:lvl>
    <w:lvl w:ilvl="1">
      <w:lvlJc w:val="left"/>
      <w:lvlText w:val="(%2)"/>
      <w:numFmt w:val="lowerLetter"/>
      <w:start w:val="3"/>
    </w:lvl>
  </w:abstractNum>
  <w:abstractNum w:abstractNumId="13">
    <w:nsid w:val="6763845E"/>
    <w:multiLevelType w:val="hybridMultilevel"/>
    <w:lvl w:ilvl="0">
      <w:lvlJc w:val="left"/>
      <w:lvlText w:val="%1."/>
      <w:numFmt w:val="decimal"/>
      <w:start w:val="4"/>
    </w:lvl>
    <w:lvl w:ilvl="1">
      <w:lvlJc w:val="left"/>
      <w:lvlText w:val="(%2)"/>
      <w:numFmt w:val="lowerLetter"/>
      <w:start w:val="1"/>
    </w:lvl>
  </w:abstractNum>
  <w:abstractNum w:abstractNumId="14">
    <w:nsid w:val="75A2A8D4"/>
    <w:multiLevelType w:val="hybridMultilevel"/>
    <w:lvl w:ilvl="0">
      <w:lvlJc w:val="left"/>
      <w:lvlText w:val="(%1)"/>
      <w:numFmt w:val="lowerLetter"/>
      <w:start w:val="3"/>
    </w:lvl>
    <w:lvl w:ilvl="1">
      <w:lvlJc w:val="left"/>
      <w:lvlText w:val="(%2)"/>
      <w:numFmt w:val="lowerRoman"/>
      <w:start w:val="1"/>
    </w:lvl>
  </w:abstractNum>
  <w:abstractNum w:abstractNumId="15">
    <w:nsid w:val="8EDBDAB"/>
    <w:multiLevelType w:val="hybridMultilevel"/>
    <w:lvl w:ilvl="0">
      <w:lvlJc w:val="left"/>
      <w:lvlText w:val="%1"/>
      <w:numFmt w:val="lowerLetter"/>
      <w:start w:val="1"/>
    </w:lvl>
    <w:lvl w:ilvl="1">
      <w:lvlJc w:val="left"/>
      <w:lvlText w:val="(%2)"/>
      <w:numFmt w:val="lowerRoman"/>
      <w:start w:val="3"/>
    </w:lvl>
  </w:abstractNum>
  <w:abstractNum w:abstractNumId="16">
    <w:nsid w:val="79838CB2"/>
    <w:multiLevelType w:val="hybridMultilevel"/>
    <w:lvl w:ilvl="0">
      <w:lvlJc w:val="left"/>
      <w:lvlText w:val="(%1)"/>
      <w:numFmt w:val="lowerLetter"/>
      <w:start w:val="4"/>
    </w:lvl>
    <w:lvl w:ilvl="1">
      <w:lvlJc w:val="left"/>
      <w:lvlText w:val="%2"/>
      <w:numFmt w:val="lowerRoman"/>
      <w:start w:val="1"/>
    </w:lvl>
  </w:abstractNum>
  <w:abstractNum w:abstractNumId="17">
    <w:nsid w:val="4353D0CD"/>
    <w:multiLevelType w:val="hybridMultilevel"/>
    <w:lvl w:ilvl="0">
      <w:lvlJc w:val="left"/>
      <w:lvlText w:val="%1."/>
      <w:numFmt w:val="decimal"/>
      <w:start w:val="5"/>
    </w:lvl>
    <w:lvl w:ilvl="1">
      <w:lvlJc w:val="left"/>
      <w:lvlText w:val="(%2)"/>
      <w:numFmt w:val="lowerLetter"/>
      <w:start w:val="1"/>
    </w:lvl>
  </w:abstractNum>
  <w:abstractNum w:abstractNumId="18">
    <w:nsid w:val="B03E0C6"/>
    <w:multiLevelType w:val="hybridMultilevel"/>
    <w:lvl w:ilvl="0">
      <w:lvlJc w:val="left"/>
      <w:lvlText w:val="%1."/>
      <w:numFmt w:val="decimal"/>
      <w:start w:val="8"/>
    </w:lvl>
    <w:lvl w:ilvl="1">
      <w:lvlJc w:val="left"/>
      <w:lvlText w:val="(%2)"/>
      <w:numFmt w:val="lowerLetter"/>
      <w:start w:val="1"/>
    </w:lvl>
    <w:lvl w:ilvl="2">
      <w:lvlJc w:val="left"/>
      <w:lvlText w:val="(%3)"/>
      <w:numFmt w:val="lowerRoman"/>
      <w:start w:val="1"/>
    </w:lvl>
  </w:abstractNum>
  <w:abstractNum w:abstractNumId="19">
    <w:nsid w:val="189A769B"/>
    <w:multiLevelType w:val="hybridMultilevel"/>
    <w:lvl w:ilvl="0">
      <w:lvlJc w:val="left"/>
      <w:lvlText w:val="%1"/>
      <w:numFmt w:val="decimal"/>
      <w:start w:val="1"/>
    </w:lvl>
    <w:lvl w:ilvl="1">
      <w:lvlJc w:val="left"/>
      <w:lvlText w:val="(%2)"/>
      <w:numFmt w:val="lowerLetter"/>
      <w:start w:val="2"/>
    </w:lvl>
  </w:abstractNum>
  <w:abstractNum w:abstractNumId="20">
    <w:nsid w:val="54E49EB4"/>
    <w:multiLevelType w:val="hybridMultilevel"/>
    <w:lvl w:ilvl="0">
      <w:lvlJc w:val="left"/>
      <w:lvlText w:val="%1."/>
      <w:numFmt w:val="decimal"/>
      <w:start w:val="9"/>
    </w:lvl>
    <w:lvl w:ilvl="1">
      <w:lvlJc w:val="left"/>
      <w:lvlText w:val="%2"/>
      <w:numFmt w:val="lowerLetter"/>
      <w:start w:val="1"/>
    </w:lvl>
  </w:abstractNum>
  <w:abstractNum w:abstractNumId="21">
    <w:nsid w:val="71F32454"/>
    <w:multiLevelType w:val="hybridMultilevel"/>
    <w:lvl w:ilvl="0">
      <w:lvlJc w:val="left"/>
      <w:lvlText w:val="%1."/>
      <w:numFmt w:val="decimal"/>
      <w:start w:val="11"/>
    </w:lvl>
  </w:abstractNum>
  <w:abstractNum w:abstractNumId="22">
    <w:nsid w:val="2CA88611"/>
    <w:multiLevelType w:val="hybridMultilevel"/>
    <w:lvl w:ilvl="0">
      <w:lvlJc w:val="left"/>
      <w:lvlText w:val="%1."/>
      <w:numFmt w:val="decimal"/>
      <w:start w:val="16"/>
    </w:lvl>
  </w:abstractNum>
  <w:abstractNum w:abstractNumId="23">
    <w:nsid w:val="836C40E"/>
    <w:multiLevelType w:val="hybridMultilevel"/>
    <w:lvl w:ilvl="0">
      <w:lvlJc w:val="left"/>
      <w:lvlText w:val="(%1)"/>
      <w:numFmt w:val="lowerLetter"/>
      <w:start w:val="1"/>
    </w:lvl>
    <w:lvl w:ilvl="1">
      <w:lvlJc w:val="left"/>
      <w:lvlText w:val="(%2)"/>
      <w:numFmt w:val="lowerLetter"/>
      <w:start w:val="5"/>
    </w:lvl>
    <w:lvl w:ilvl="2">
      <w:lvlJc w:val="left"/>
      <w:lvlText w:val="(%3)"/>
      <w:numFmt w:val="lowerLetter"/>
      <w:start w:val="9"/>
    </w:lvl>
  </w:abstractNum>
  <w:abstractNum w:abstractNumId="24">
    <w:nsid w:val="2901D82"/>
    <w:multiLevelType w:val="hybridMultilevel"/>
    <w:lvl w:ilvl="0">
      <w:lvlJc w:val="left"/>
      <w:lvlText w:val="(%1)"/>
      <w:numFmt w:val="lowerRoman"/>
      <w:start w:val="2"/>
    </w:lvl>
  </w:abstractNum>
  <w:abstractNum w:abstractNumId="25">
    <w:nsid w:val="3A95F874"/>
    <w:multiLevelType w:val="hybridMultilevel"/>
    <w:lvl w:ilvl="0">
      <w:lvlJc w:val="left"/>
      <w:lvlText w:val="(%1)"/>
      <w:numFmt w:val="lowerLetter"/>
      <w:start w:val="1"/>
    </w:lvl>
    <w:lvl w:ilvl="1">
      <w:lvlJc w:val="left"/>
      <w:lvlText w:val="(%2)"/>
      <w:numFmt w:val="lowerLetter"/>
      <w:start w:val="3"/>
    </w:lvl>
  </w:abstractNum>
  <w:abstractNum w:abstractNumId="26">
    <w:nsid w:val="8138641"/>
    <w:multiLevelType w:val="hybridMultilevel"/>
    <w:lvl w:ilvl="0">
      <w:lvlJc w:val="left"/>
      <w:lvlText w:val="(%1)"/>
      <w:numFmt w:val="lowerLetter"/>
      <w:start w:val="4"/>
    </w:lvl>
  </w:abstractNum>
  <w:abstractNum w:abstractNumId="27">
    <w:nsid w:val="1E7FF521"/>
    <w:multiLevelType w:val="hybridMultilevel"/>
    <w:lvl w:ilvl="0">
      <w:lvlJc w:val="left"/>
      <w:lvlText w:val="(%1)"/>
      <w:numFmt w:val="lowerLetter"/>
      <w:start w:val="6"/>
    </w:lvl>
  </w:abstractNum>
  <w:abstractNum w:abstractNumId="28">
    <w:nsid w:val="7C3DBD3D"/>
    <w:multiLevelType w:val="hybridMultilevel"/>
    <w:lvl w:ilvl="0">
      <w:lvlJc w:val="left"/>
      <w:lvlText w:val="•"/>
      <w:numFmt w:val="bullet"/>
      <w:start w:val="1"/>
    </w:lvl>
  </w:abstractNum>
  <w:abstractNum w:abstractNumId="29">
    <w:nsid w:val="737B8DDC"/>
    <w:multiLevelType w:val="hybridMultilevel"/>
    <w:lvl w:ilvl="0">
      <w:lvlJc w:val="left"/>
      <w:lvlText w:val="•"/>
      <w:numFmt w:val="bullet"/>
      <w:start w:val="1"/>
    </w:lvl>
  </w:abstractNum>
  <w:abstractNum w:abstractNumId="30">
    <w:nsid w:val="6CEAF087"/>
    <w:multiLevelType w:val="hybridMultilevel"/>
    <w:lvl w:ilvl="0">
      <w:lvlJc w:val="left"/>
      <w:lvlText w:val="%1."/>
      <w:numFmt w:val="decimal"/>
      <w:start w:val="1"/>
    </w:lvl>
    <w:lvl w:ilvl="1">
      <w:lvlJc w:val="left"/>
      <w:lvlText w:val="%2."/>
      <w:numFmt w:val="lowerLetter"/>
      <w:start w:val="1"/>
    </w:lvl>
  </w:abstractNum>
  <w:abstractNum w:abstractNumId="31">
    <w:nsid w:val="22221A70"/>
    <w:multiLevelType w:val="hybridMultilevel"/>
    <w:lvl w:ilvl="0">
      <w:lvlJc w:val="left"/>
      <w:lvlText w:val="%1."/>
      <w:numFmt w:val="decimal"/>
      <w:start w:val="1"/>
    </w:lvl>
    <w:lvl w:ilvl="1">
      <w:lvlJc w:val="left"/>
      <w:lvlText w:val="%2."/>
      <w:numFmt w:val="lowerLetter"/>
      <w:start w:val="1"/>
    </w:lvl>
  </w:abstractNum>
  <w:abstractNum w:abstractNumId="32">
    <w:nsid w:val="4516DDE9"/>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jpe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jpe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2022-05-04T15:51:08Z</dcterms:created>
  <dcterms:modified xsi:type="dcterms:W3CDTF">2022-05-04T15:51:08Z</dcterms:modified>
</cp:coreProperties>
</file>