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4"/>
          <w:szCs w:val="24"/>
          <w:color w:val="auto"/>
        </w:rPr>
      </w:pPr>
    </w:p>
    <w:p>
      <w:pPr>
        <w:jc w:val="center"/>
        <w:ind w:right="-1100"/>
        <w:spacing w:after="0"/>
        <w:rPr>
          <w:sz w:val="20"/>
          <w:szCs w:val="20"/>
          <w:color w:val="auto"/>
        </w:rPr>
      </w:pPr>
      <w:r>
        <w:rPr>
          <w:rFonts w:ascii="Arial" w:cs="Arial" w:eastAsia="Arial" w:hAnsi="Arial"/>
          <w:sz w:val="18"/>
          <w:szCs w:val="18"/>
          <w:b w:val="1"/>
          <w:bCs w:val="1"/>
          <w:color w:val="auto"/>
        </w:rPr>
        <w:t>UNITED STATES</w:t>
      </w:r>
    </w:p>
    <w:p>
      <w:pPr>
        <w:spacing w:after="0" w:line="27" w:lineRule="exact"/>
        <w:rPr>
          <w:sz w:val="24"/>
          <w:szCs w:val="24"/>
          <w:color w:val="auto"/>
        </w:rPr>
      </w:pPr>
    </w:p>
    <w:p>
      <w:pPr>
        <w:jc w:val="center"/>
        <w:ind w:right="-1100"/>
        <w:spacing w:after="0"/>
        <w:rPr>
          <w:sz w:val="20"/>
          <w:szCs w:val="20"/>
          <w:color w:val="auto"/>
        </w:rPr>
      </w:pPr>
      <w:r>
        <w:rPr>
          <w:rFonts w:ascii="Arial" w:cs="Arial" w:eastAsia="Arial" w:hAnsi="Arial"/>
          <w:sz w:val="18"/>
          <w:szCs w:val="18"/>
          <w:b w:val="1"/>
          <w:bCs w:val="1"/>
          <w:color w:val="auto"/>
        </w:rPr>
        <w:t>SECURITIES AND EXCHANGE COMMISSION</w:t>
      </w:r>
    </w:p>
    <w:p>
      <w:pPr>
        <w:spacing w:after="0" w:line="9" w:lineRule="exact"/>
        <w:rPr>
          <w:sz w:val="24"/>
          <w:szCs w:val="24"/>
          <w:color w:val="auto"/>
        </w:rPr>
      </w:pPr>
    </w:p>
    <w:p>
      <w:pPr>
        <w:jc w:val="center"/>
        <w:ind w:right="-1100"/>
        <w:spacing w:after="0"/>
        <w:rPr>
          <w:sz w:val="20"/>
          <w:szCs w:val="20"/>
          <w:color w:val="auto"/>
        </w:rPr>
      </w:pPr>
      <w:r>
        <w:rPr>
          <w:rFonts w:ascii="Arial" w:cs="Arial" w:eastAsia="Arial" w:hAnsi="Arial"/>
          <w:sz w:val="18"/>
          <w:szCs w:val="18"/>
          <w:b w:val="1"/>
          <w:bCs w:val="1"/>
          <w:color w:val="auto"/>
        </w:rPr>
        <w:t>WASHINGTON, D.C. 20549</w:t>
      </w:r>
    </w:p>
    <w:p>
      <w:pPr>
        <w:spacing w:after="0" w:line="202" w:lineRule="exact"/>
        <w:rPr>
          <w:sz w:val="24"/>
          <w:szCs w:val="24"/>
          <w:color w:val="auto"/>
        </w:rPr>
      </w:pPr>
    </w:p>
    <w:p>
      <w:pPr>
        <w:jc w:val="center"/>
        <w:ind w:right="-1100"/>
        <w:spacing w:after="0"/>
        <w:rPr>
          <w:sz w:val="20"/>
          <w:szCs w:val="20"/>
          <w:color w:val="auto"/>
        </w:rPr>
      </w:pPr>
      <w:r>
        <w:rPr>
          <w:rFonts w:ascii="Arial" w:cs="Arial" w:eastAsia="Arial" w:hAnsi="Arial"/>
          <w:sz w:val="25"/>
          <w:szCs w:val="25"/>
          <w:b w:val="1"/>
          <w:bCs w:val="1"/>
          <w:color w:val="auto"/>
        </w:rPr>
        <w:t>SCHEDULE 14A</w:t>
      </w:r>
    </w:p>
    <w:p>
      <w:pPr>
        <w:spacing w:after="0" w:line="230" w:lineRule="exact"/>
        <w:rPr>
          <w:sz w:val="24"/>
          <w:szCs w:val="24"/>
          <w:color w:val="auto"/>
        </w:rPr>
      </w:pPr>
    </w:p>
    <w:p>
      <w:pPr>
        <w:jc w:val="center"/>
        <w:ind w:right="-1100"/>
        <w:spacing w:after="0"/>
        <w:rPr>
          <w:sz w:val="20"/>
          <w:szCs w:val="20"/>
          <w:color w:val="auto"/>
        </w:rPr>
      </w:pPr>
      <w:r>
        <w:rPr>
          <w:rFonts w:ascii="Arial" w:cs="Arial" w:eastAsia="Arial" w:hAnsi="Arial"/>
          <w:sz w:val="18"/>
          <w:szCs w:val="18"/>
          <w:b w:val="1"/>
          <w:bCs w:val="1"/>
          <w:color w:val="auto"/>
        </w:rPr>
        <w:t>(RULE 14a-101)</w:t>
      </w:r>
    </w:p>
    <w:p>
      <w:pPr>
        <w:spacing w:after="0" w:line="225" w:lineRule="exact"/>
        <w:rPr>
          <w:sz w:val="24"/>
          <w:szCs w:val="24"/>
          <w:color w:val="auto"/>
        </w:rPr>
      </w:pPr>
    </w:p>
    <w:p>
      <w:pPr>
        <w:jc w:val="center"/>
        <w:ind w:right="-1100"/>
        <w:spacing w:after="0"/>
        <w:rPr>
          <w:sz w:val="20"/>
          <w:szCs w:val="20"/>
          <w:color w:val="auto"/>
        </w:rPr>
      </w:pPr>
      <w:r>
        <w:rPr>
          <w:rFonts w:ascii="Arial" w:cs="Arial" w:eastAsia="Arial" w:hAnsi="Arial"/>
          <w:sz w:val="18"/>
          <w:szCs w:val="18"/>
          <w:b w:val="1"/>
          <w:bCs w:val="1"/>
          <w:color w:val="auto"/>
        </w:rPr>
        <w:t>SCHEDULE 14A INFORMATION</w:t>
      </w:r>
    </w:p>
    <w:p>
      <w:pPr>
        <w:spacing w:after="0" w:line="229" w:lineRule="exact"/>
        <w:rPr>
          <w:sz w:val="24"/>
          <w:szCs w:val="24"/>
          <w:color w:val="auto"/>
        </w:rPr>
      </w:pPr>
    </w:p>
    <w:p>
      <w:pPr>
        <w:jc w:val="center"/>
        <w:ind w:right="-1100"/>
        <w:spacing w:after="0"/>
        <w:rPr>
          <w:sz w:val="20"/>
          <w:szCs w:val="20"/>
          <w:color w:val="auto"/>
        </w:rPr>
      </w:pPr>
      <w:r>
        <w:rPr>
          <w:rFonts w:ascii="Arial" w:cs="Arial" w:eastAsia="Arial" w:hAnsi="Arial"/>
          <w:sz w:val="18"/>
          <w:szCs w:val="18"/>
          <w:color w:val="auto"/>
        </w:rPr>
        <w:t>Proxy Statement Pursuant to Section 14(a) of the Securities</w:t>
      </w:r>
    </w:p>
    <w:p>
      <w:pPr>
        <w:spacing w:after="0" w:line="23" w:lineRule="exact"/>
        <w:rPr>
          <w:sz w:val="24"/>
          <w:szCs w:val="24"/>
          <w:color w:val="auto"/>
        </w:rPr>
      </w:pPr>
    </w:p>
    <w:p>
      <w:pPr>
        <w:ind w:left="3760"/>
        <w:spacing w:after="0"/>
        <w:tabs>
          <w:tab w:leader="none" w:pos="7420" w:val="left"/>
        </w:tabs>
        <w:rPr>
          <w:sz w:val="20"/>
          <w:szCs w:val="20"/>
          <w:color w:val="auto"/>
        </w:rPr>
      </w:pPr>
      <w:r>
        <w:rPr>
          <w:rFonts w:ascii="Arial" w:cs="Arial" w:eastAsia="Arial" w:hAnsi="Arial"/>
          <w:sz w:val="18"/>
          <w:szCs w:val="18"/>
          <w:color w:val="auto"/>
        </w:rPr>
        <w:t>Exchange Act of 1934 (Amendment No.</w:t>
      </w:r>
      <w:r>
        <w:rPr>
          <w:sz w:val="20"/>
          <w:szCs w:val="20"/>
          <w:color w:val="auto"/>
        </w:rPr>
        <w:tab/>
      </w:r>
      <w:r>
        <w:rPr>
          <w:rFonts w:ascii="Arial" w:cs="Arial" w:eastAsia="Arial" w:hAnsi="Arial"/>
          <w:sz w:val="18"/>
          <w:szCs w:val="18"/>
          <w:color w:val="auto"/>
        </w:rPr>
        <w:t>)</w:t>
      </w:r>
    </w:p>
    <w:p>
      <w:pPr>
        <w:spacing w:after="0" w:line="178" w:lineRule="exact"/>
        <w:rPr>
          <w:sz w:val="24"/>
          <w:szCs w:val="24"/>
          <w:color w:val="auto"/>
        </w:rPr>
      </w:pPr>
    </w:p>
    <w:p>
      <w:pPr>
        <w:ind w:left="120"/>
        <w:spacing w:after="0" w:line="207" w:lineRule="exact"/>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p>
    <w:p>
      <w:pPr>
        <w:spacing w:after="0" w:line="51" w:lineRule="exact"/>
        <w:rPr>
          <w:sz w:val="24"/>
          <w:szCs w:val="24"/>
          <w:color w:val="auto"/>
        </w:rPr>
      </w:pPr>
    </w:p>
    <w:p>
      <w:pPr>
        <w:ind w:left="120"/>
        <w:spacing w:after="0" w:line="207" w:lineRule="exact"/>
        <w:rPr>
          <w:sz w:val="20"/>
          <w:szCs w:val="20"/>
          <w:color w:val="auto"/>
        </w:rPr>
      </w:pPr>
      <w:r>
        <w:rPr>
          <w:rFonts w:ascii="Arial" w:cs="Arial" w:eastAsia="Arial" w:hAnsi="Arial"/>
          <w:sz w:val="18"/>
          <w:szCs w:val="18"/>
          <w:color w:val="auto"/>
        </w:rPr>
        <w:t xml:space="preserve">Filed by a Party other than the Registrant </w:t>
      </w:r>
      <w:r>
        <w:rPr>
          <w:rFonts w:ascii="MS PGothic" w:cs="MS PGothic" w:eastAsia="MS PGothic" w:hAnsi="MS PGothic"/>
          <w:sz w:val="18"/>
          <w:szCs w:val="18"/>
          <w:color w:val="auto"/>
        </w:rPr>
        <w:t>☐</w:t>
      </w:r>
    </w:p>
    <w:p>
      <w:pPr>
        <w:spacing w:after="0" w:line="16" w:lineRule="exact"/>
        <w:rPr>
          <w:sz w:val="24"/>
          <w:szCs w:val="24"/>
          <w:color w:val="auto"/>
        </w:rPr>
      </w:pPr>
    </w:p>
    <w:p>
      <w:pPr>
        <w:ind w:left="120"/>
        <w:spacing w:after="0"/>
        <w:rPr>
          <w:sz w:val="20"/>
          <w:szCs w:val="20"/>
          <w:color w:val="auto"/>
        </w:rPr>
      </w:pPr>
      <w:r>
        <w:rPr>
          <w:rFonts w:ascii="Arial" w:cs="Arial" w:eastAsia="Arial" w:hAnsi="Arial"/>
          <w:sz w:val="18"/>
          <w:szCs w:val="18"/>
          <w:color w:val="auto"/>
        </w:rPr>
        <w:t>Check the appropriate box:</w:t>
      </w:r>
    </w:p>
    <w:p>
      <w:pPr>
        <w:spacing w:after="0" w:line="236" w:lineRule="exact"/>
        <w:rPr>
          <w:sz w:val="24"/>
          <w:szCs w:val="24"/>
          <w:color w:val="auto"/>
        </w:rPr>
      </w:pPr>
    </w:p>
    <w:p>
      <w:pPr>
        <w:ind w:left="540" w:hanging="424"/>
        <w:spacing w:after="0"/>
        <w:tabs>
          <w:tab w:leader="none" w:pos="5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25" w:lineRule="exact"/>
        <w:rPr>
          <w:rFonts w:ascii="MS PGothic" w:cs="MS PGothic" w:eastAsia="MS PGothic" w:hAnsi="MS PGothic"/>
          <w:sz w:val="18"/>
          <w:szCs w:val="18"/>
          <w:color w:val="auto"/>
        </w:rPr>
      </w:pPr>
    </w:p>
    <w:p>
      <w:pPr>
        <w:ind w:left="540" w:hanging="424"/>
        <w:spacing w:after="0"/>
        <w:tabs>
          <w:tab w:leader="none" w:pos="54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9" w:lineRule="exact"/>
        <w:rPr>
          <w:rFonts w:ascii="MS PGothic" w:cs="MS PGothic" w:eastAsia="MS PGothic" w:hAnsi="MS PGothic"/>
          <w:sz w:val="18"/>
          <w:szCs w:val="18"/>
          <w:color w:val="auto"/>
        </w:rPr>
      </w:pPr>
    </w:p>
    <w:p>
      <w:pPr>
        <w:ind w:left="120"/>
        <w:spacing w:after="0" w:line="207" w:lineRule="exact"/>
        <w:rPr>
          <w:rFonts w:ascii="MS PGothic" w:cs="MS PGothic" w:eastAsia="MS PGothic" w:hAnsi="MS PGothic"/>
          <w:sz w:val="18"/>
          <w:szCs w:val="18"/>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Definitive Proxy Statement</w:t>
      </w:r>
    </w:p>
    <w:p>
      <w:pPr>
        <w:spacing w:after="0" w:line="9" w:lineRule="exact"/>
        <w:rPr>
          <w:rFonts w:ascii="MS PGothic" w:cs="MS PGothic" w:eastAsia="MS PGothic" w:hAnsi="MS PGothic"/>
          <w:sz w:val="18"/>
          <w:szCs w:val="18"/>
          <w:color w:val="auto"/>
        </w:rPr>
      </w:pPr>
    </w:p>
    <w:p>
      <w:pPr>
        <w:ind w:left="540" w:hanging="424"/>
        <w:spacing w:after="0"/>
        <w:tabs>
          <w:tab w:leader="none" w:pos="5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9" w:lineRule="exact"/>
        <w:rPr>
          <w:rFonts w:ascii="MS PGothic" w:cs="MS PGothic" w:eastAsia="MS PGothic" w:hAnsi="MS PGothic"/>
          <w:sz w:val="18"/>
          <w:szCs w:val="18"/>
          <w:color w:val="auto"/>
        </w:rPr>
      </w:pPr>
    </w:p>
    <w:p>
      <w:pPr>
        <w:ind w:left="540" w:hanging="424"/>
        <w:spacing w:after="0"/>
        <w:tabs>
          <w:tab w:leader="none" w:pos="5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Under §240.14a-12</w:t>
      </w:r>
    </w:p>
    <w:p>
      <w:pPr>
        <w:spacing w:after="0" w:line="209" w:lineRule="exact"/>
        <w:rPr>
          <w:sz w:val="24"/>
          <w:szCs w:val="24"/>
          <w:color w:val="auto"/>
        </w:rPr>
      </w:pPr>
    </w:p>
    <w:p>
      <w:pPr>
        <w:jc w:val="center"/>
        <w:ind w:right="-1100"/>
        <w:spacing w:after="0"/>
        <w:rPr>
          <w:sz w:val="20"/>
          <w:szCs w:val="20"/>
          <w:color w:val="auto"/>
        </w:rPr>
      </w:pPr>
      <w:r>
        <w:rPr>
          <w:rFonts w:ascii="Arial" w:cs="Arial" w:eastAsia="Arial" w:hAnsi="Arial"/>
          <w:sz w:val="18"/>
          <w:szCs w:val="18"/>
          <w:color w:val="auto"/>
        </w:rPr>
        <w:t>TIMKENSTEEL CORPORATION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92075</wp:posOffset>
            </wp:positionV>
            <wp:extent cx="699516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51" w:lineRule="exact"/>
        <w:rPr>
          <w:sz w:val="24"/>
          <w:szCs w:val="24"/>
          <w:color w:val="auto"/>
        </w:rPr>
      </w:pPr>
    </w:p>
    <w:p>
      <w:pPr>
        <w:jc w:val="center"/>
        <w:ind w:right="-1100"/>
        <w:spacing w:after="0"/>
        <w:rPr>
          <w:sz w:val="20"/>
          <w:szCs w:val="20"/>
          <w:color w:val="auto"/>
        </w:rPr>
      </w:pPr>
      <w:r>
        <w:rPr>
          <w:rFonts w:ascii="Arial" w:cs="Arial" w:eastAsia="Arial" w:hAnsi="Arial"/>
          <w:sz w:val="18"/>
          <w:szCs w:val="18"/>
          <w:color w:val="auto"/>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134620</wp:posOffset>
            </wp:positionV>
            <wp:extent cx="699516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2" w:lineRule="exact"/>
        <w:rPr>
          <w:sz w:val="24"/>
          <w:szCs w:val="24"/>
          <w:color w:val="auto"/>
        </w:rPr>
      </w:pPr>
    </w:p>
    <w:p>
      <w:pPr>
        <w:ind w:left="3020"/>
        <w:spacing w:after="0"/>
        <w:rPr>
          <w:sz w:val="20"/>
          <w:szCs w:val="20"/>
          <w:color w:val="auto"/>
        </w:rPr>
      </w:pPr>
      <w:r>
        <w:rPr>
          <w:rFonts w:ascii="Arial" w:cs="Arial" w:eastAsia="Arial" w:hAnsi="Arial"/>
          <w:sz w:val="16"/>
          <w:szCs w:val="16"/>
          <w:color w:val="auto"/>
        </w:rPr>
        <w:t>(Name of Person(s) Filing Proxy Statement, if other than the Registrant)</w:t>
      </w:r>
    </w:p>
    <w:p>
      <w:pPr>
        <w:spacing w:after="0" w:line="248" w:lineRule="exact"/>
        <w:rPr>
          <w:sz w:val="24"/>
          <w:szCs w:val="24"/>
          <w:color w:val="auto"/>
        </w:rPr>
      </w:pPr>
    </w:p>
    <w:p>
      <w:pPr>
        <w:ind w:left="120"/>
        <w:spacing w:after="0"/>
        <w:rPr>
          <w:sz w:val="20"/>
          <w:szCs w:val="20"/>
          <w:color w:val="auto"/>
        </w:rPr>
      </w:pPr>
      <w:r>
        <w:rPr>
          <w:rFonts w:ascii="Arial" w:cs="Arial" w:eastAsia="Arial" w:hAnsi="Arial"/>
          <w:sz w:val="18"/>
          <w:szCs w:val="18"/>
          <w:color w:val="auto"/>
        </w:rPr>
        <w:t>Payment of Filing Fee (Check all boxes that apply):</w:t>
      </w:r>
    </w:p>
    <w:p>
      <w:pPr>
        <w:spacing w:after="0" w:line="252" w:lineRule="exact"/>
        <w:rPr>
          <w:sz w:val="24"/>
          <w:szCs w:val="24"/>
          <w:color w:val="auto"/>
        </w:rPr>
      </w:pPr>
    </w:p>
    <w:p>
      <w:pPr>
        <w:ind w:left="540" w:hanging="424"/>
        <w:spacing w:after="0"/>
        <w:tabs>
          <w:tab w:leader="none" w:pos="54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252" w:lineRule="exact"/>
        <w:rPr>
          <w:sz w:val="24"/>
          <w:szCs w:val="24"/>
          <w:color w:val="auto"/>
        </w:rPr>
      </w:pPr>
    </w:p>
    <w:p>
      <w:pPr>
        <w:ind w:left="540" w:hanging="424"/>
        <w:spacing w:after="0"/>
        <w:tabs>
          <w:tab w:leader="none" w:pos="54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252" w:lineRule="exact"/>
        <w:rPr>
          <w:rFonts w:ascii="MS PGothic" w:cs="MS PGothic" w:eastAsia="MS PGothic" w:hAnsi="MS PGothic"/>
          <w:sz w:val="18"/>
          <w:szCs w:val="18"/>
          <w:color w:val="auto"/>
        </w:rPr>
      </w:pPr>
    </w:p>
    <w:p>
      <w:pPr>
        <w:ind w:left="540" w:hanging="424"/>
        <w:spacing w:after="0"/>
        <w:tabs>
          <w:tab w:leader="none" w:pos="540" w:val="left"/>
        </w:tabs>
        <w:numPr>
          <w:ilvl w:val="0"/>
          <w:numId w:val="3"/>
        </w:numPr>
        <w:rPr>
          <w:rFonts w:ascii="MS PGothic" w:cs="MS PGothic" w:eastAsia="MS PGothic" w:hAnsi="MS PGothic"/>
          <w:sz w:val="17"/>
          <w:szCs w:val="17"/>
          <w:color w:val="auto"/>
        </w:rPr>
      </w:pPr>
      <w:r>
        <w:rPr>
          <w:rFonts w:ascii="Arial" w:cs="Arial" w:eastAsia="Arial" w:hAnsi="Arial"/>
          <w:sz w:val="17"/>
          <w:szCs w:val="17"/>
          <w:color w:val="auto"/>
        </w:rPr>
        <w:t>Fee computed on table in exhibit required by Item 25(b) per Exchange Act Rules 14a-6(i)(1) and 0-11.</w:t>
      </w:r>
    </w:p>
    <w:p>
      <w:pPr>
        <w:sectPr>
          <w:pgSz w:w="11900" w:h="16838" w:orient="portrait"/>
          <w:cols w:equalWidth="0" w:num="1">
            <w:col w:w="10139"/>
          </w:cols>
          <w:pgMar w:left="320" w:top="230" w:right="1440"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2430780</wp:posOffset>
            </wp:positionH>
            <wp:positionV relativeFrom="paragraph">
              <wp:posOffset>205740</wp:posOffset>
            </wp:positionV>
            <wp:extent cx="2288540" cy="2914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288540" cy="291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Dear Shareholders,</w:t>
      </w:r>
    </w:p>
    <w:p>
      <w:pPr>
        <w:spacing w:after="0" w:line="225" w:lineRule="exact"/>
        <w:rPr>
          <w:sz w:val="20"/>
          <w:szCs w:val="20"/>
          <w:color w:val="auto"/>
        </w:rPr>
      </w:pPr>
    </w:p>
    <w:p>
      <w:pPr>
        <w:ind w:left="120" w:right="440"/>
        <w:spacing w:after="0" w:line="277" w:lineRule="auto"/>
        <w:rPr>
          <w:sz w:val="20"/>
          <w:szCs w:val="20"/>
          <w:color w:val="auto"/>
        </w:rPr>
      </w:pPr>
      <w:r>
        <w:rPr>
          <w:rFonts w:ascii="Arial" w:cs="Arial" w:eastAsia="Arial" w:hAnsi="Arial"/>
          <w:sz w:val="18"/>
          <w:szCs w:val="18"/>
          <w:color w:val="auto"/>
        </w:rPr>
        <w:t>TimkenSteel Corporation invites you to attend its 2022 annual meeting of shareholders at 10 a.m. Eastern time on May 4, 2022. We will consider matters that are important to our company and to you, our investors.</w:t>
      </w:r>
    </w:p>
    <w:p>
      <w:pPr>
        <w:spacing w:after="0" w:line="170"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Over the past several years, our team has taken significant actions to improve the company’s cash flow and profitability. While that work is not yet complete, our objective is to deliver sustainable through-cycle profitability and cash flow while maintaining a strong balance sheet. Recently, we unveiled a refreshed vision and mission for the company, underscored by a common set of core values that guide our ethical behaviors, safety culture, and customer engagement.</w:t>
      </w:r>
    </w:p>
    <w:p>
      <w:pPr>
        <w:spacing w:after="0" w:line="187" w:lineRule="exact"/>
        <w:rPr>
          <w:sz w:val="20"/>
          <w:szCs w:val="20"/>
          <w:color w:val="auto"/>
        </w:rPr>
      </w:pPr>
    </w:p>
    <w:p>
      <w:pPr>
        <w:ind w:left="120" w:right="80"/>
        <w:spacing w:after="0" w:line="279" w:lineRule="auto"/>
        <w:rPr>
          <w:sz w:val="20"/>
          <w:szCs w:val="20"/>
          <w:color w:val="auto"/>
        </w:rPr>
      </w:pPr>
      <w:r>
        <w:rPr>
          <w:rFonts w:ascii="Arial" w:cs="Arial" w:eastAsia="Arial" w:hAnsi="Arial"/>
          <w:sz w:val="17"/>
          <w:szCs w:val="17"/>
          <w:color w:val="auto"/>
        </w:rPr>
        <w:t xml:space="preserve">TimkenSteel’s vision – </w:t>
      </w:r>
      <w:r>
        <w:rPr>
          <w:rFonts w:ascii="Arial" w:cs="Arial" w:eastAsia="Arial" w:hAnsi="Arial"/>
          <w:sz w:val="17"/>
          <w:szCs w:val="17"/>
          <w:i w:val="1"/>
          <w:iCs w:val="1"/>
          <w:color w:val="auto"/>
        </w:rPr>
        <w:t>harnessing the enduring power of steel to make the world a better place</w:t>
      </w:r>
      <w:r>
        <w:rPr>
          <w:rFonts w:ascii="Arial" w:cs="Arial" w:eastAsia="Arial" w:hAnsi="Arial"/>
          <w:sz w:val="17"/>
          <w:szCs w:val="17"/>
          <w:color w:val="auto"/>
        </w:rPr>
        <w:t xml:space="preserve"> – motivates us every day. Our mission is </w:t>
      </w:r>
      <w:r>
        <w:rPr>
          <w:rFonts w:ascii="Arial" w:cs="Arial" w:eastAsia="Arial" w:hAnsi="Arial"/>
          <w:sz w:val="17"/>
          <w:szCs w:val="17"/>
          <w:i w:val="1"/>
          <w:iCs w:val="1"/>
          <w:color w:val="auto"/>
        </w:rPr>
        <w:t>to be an</w:t>
      </w:r>
      <w:r>
        <w:rPr>
          <w:rFonts w:ascii="Arial" w:cs="Arial" w:eastAsia="Arial" w:hAnsi="Arial"/>
          <w:sz w:val="17"/>
          <w:szCs w:val="17"/>
          <w:color w:val="auto"/>
        </w:rPr>
        <w:t xml:space="preserve"> </w:t>
      </w:r>
      <w:r>
        <w:rPr>
          <w:rFonts w:ascii="Arial" w:cs="Arial" w:eastAsia="Arial" w:hAnsi="Arial"/>
          <w:sz w:val="17"/>
          <w:szCs w:val="17"/>
          <w:i w:val="1"/>
          <w:iCs w:val="1"/>
          <w:color w:val="auto"/>
        </w:rPr>
        <w:t>industry-leading provider of high-quality specialty steel, manufactured components and supply chain solutions and to deliver exceptional value to our customers, employees and shareholders</w:t>
      </w:r>
      <w:r>
        <w:rPr>
          <w:rFonts w:ascii="Arial" w:cs="Arial" w:eastAsia="Arial" w:hAnsi="Arial"/>
          <w:sz w:val="17"/>
          <w:szCs w:val="17"/>
          <w:color w:val="auto"/>
        </w:rPr>
        <w:t>. Our strategic imperatives, which provide a roadmap to achieving our vision and mission, are centered around</w:t>
      </w:r>
      <w:r>
        <w:rPr>
          <w:rFonts w:ascii="Arial" w:cs="Arial" w:eastAsia="Arial" w:hAnsi="Arial"/>
          <w:sz w:val="17"/>
          <w:szCs w:val="17"/>
          <w:i w:val="1"/>
          <w:iCs w:val="1"/>
          <w:color w:val="auto"/>
        </w:rPr>
        <w:t xml:space="preserve"> </w:t>
      </w:r>
      <w:r>
        <w:rPr>
          <w:rFonts w:ascii="Arial" w:cs="Arial" w:eastAsia="Arial" w:hAnsi="Arial"/>
          <w:sz w:val="17"/>
          <w:szCs w:val="17"/>
          <w:color w:val="auto"/>
        </w:rPr>
        <w:t>people, profitability, process improvement, business development, and environmental, social and governance (ESG).</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During 2021, the company reported net sales of $1.3 billion, an increase of 54 percent from 2020, and delivered net income of $171.0 million, adjusted</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EBITDA of $245.9 million and strong operating cash flow of $196.9 million. These significantly improved results were supported by:</w:t>
      </w:r>
    </w:p>
    <w:p>
      <w:pPr>
        <w:spacing w:after="0" w:line="238" w:lineRule="exact"/>
        <w:rPr>
          <w:sz w:val="20"/>
          <w:szCs w:val="20"/>
          <w:color w:val="auto"/>
        </w:rPr>
      </w:pPr>
    </w:p>
    <w:p>
      <w:pPr>
        <w:ind w:left="2200" w:hanging="545"/>
        <w:spacing w:after="0"/>
        <w:tabs>
          <w:tab w:leader="none" w:pos="2200" w:val="left"/>
        </w:tabs>
        <w:numPr>
          <w:ilvl w:val="0"/>
          <w:numId w:val="4"/>
        </w:numPr>
        <w:rPr>
          <w:rFonts w:ascii="Arial" w:cs="Arial" w:eastAsia="Arial" w:hAnsi="Arial"/>
          <w:sz w:val="18"/>
          <w:szCs w:val="18"/>
          <w:color w:val="auto"/>
        </w:rPr>
      </w:pPr>
      <w:r>
        <w:rPr>
          <w:rFonts w:ascii="Arial" w:cs="Arial" w:eastAsia="Arial" w:hAnsi="Arial"/>
          <w:sz w:val="18"/>
          <w:szCs w:val="18"/>
          <w:color w:val="auto"/>
        </w:rPr>
        <w:t>a strong demand environment from diversified customers;</w:t>
      </w:r>
    </w:p>
    <w:p>
      <w:pPr>
        <w:spacing w:after="0" w:line="23" w:lineRule="exact"/>
        <w:rPr>
          <w:rFonts w:ascii="Arial" w:cs="Arial" w:eastAsia="Arial" w:hAnsi="Arial"/>
          <w:sz w:val="18"/>
          <w:szCs w:val="18"/>
          <w:color w:val="auto"/>
        </w:rPr>
      </w:pPr>
    </w:p>
    <w:p>
      <w:pPr>
        <w:ind w:left="2200" w:hanging="545"/>
        <w:spacing w:after="0"/>
        <w:tabs>
          <w:tab w:leader="none" w:pos="2200" w:val="left"/>
        </w:tabs>
        <w:numPr>
          <w:ilvl w:val="0"/>
          <w:numId w:val="4"/>
        </w:numPr>
        <w:rPr>
          <w:rFonts w:ascii="Arial" w:cs="Arial" w:eastAsia="Arial" w:hAnsi="Arial"/>
          <w:sz w:val="18"/>
          <w:szCs w:val="18"/>
          <w:color w:val="auto"/>
        </w:rPr>
      </w:pPr>
      <w:r>
        <w:rPr>
          <w:rFonts w:ascii="Arial" w:cs="Arial" w:eastAsia="Arial" w:hAnsi="Arial"/>
          <w:sz w:val="18"/>
          <w:szCs w:val="18"/>
          <w:color w:val="auto"/>
        </w:rPr>
        <w:t>improved through-cycle melt utilization by consolidating our melt shop capacity;</w:t>
      </w:r>
    </w:p>
    <w:p>
      <w:pPr>
        <w:spacing w:after="0" w:line="9" w:lineRule="exact"/>
        <w:rPr>
          <w:rFonts w:ascii="Arial" w:cs="Arial" w:eastAsia="Arial" w:hAnsi="Arial"/>
          <w:sz w:val="18"/>
          <w:szCs w:val="18"/>
          <w:color w:val="auto"/>
        </w:rPr>
      </w:pPr>
    </w:p>
    <w:p>
      <w:pPr>
        <w:ind w:left="2200" w:hanging="545"/>
        <w:spacing w:after="0"/>
        <w:tabs>
          <w:tab w:leader="none" w:pos="2200" w:val="left"/>
        </w:tabs>
        <w:numPr>
          <w:ilvl w:val="0"/>
          <w:numId w:val="4"/>
        </w:numPr>
        <w:rPr>
          <w:rFonts w:ascii="Arial" w:cs="Arial" w:eastAsia="Arial" w:hAnsi="Arial"/>
          <w:sz w:val="18"/>
          <w:szCs w:val="18"/>
          <w:color w:val="auto"/>
        </w:rPr>
      </w:pPr>
      <w:r>
        <w:rPr>
          <w:rFonts w:ascii="Arial" w:cs="Arial" w:eastAsia="Arial" w:hAnsi="Arial"/>
          <w:sz w:val="18"/>
          <w:szCs w:val="18"/>
          <w:color w:val="auto"/>
        </w:rPr>
        <w:t>ratification of a new four-year labor agreement with the United Steelworkers; and</w:t>
      </w:r>
    </w:p>
    <w:p>
      <w:pPr>
        <w:spacing w:after="0" w:line="9" w:lineRule="exact"/>
        <w:rPr>
          <w:rFonts w:ascii="Arial" w:cs="Arial" w:eastAsia="Arial" w:hAnsi="Arial"/>
          <w:sz w:val="18"/>
          <w:szCs w:val="18"/>
          <w:color w:val="auto"/>
        </w:rPr>
      </w:pPr>
    </w:p>
    <w:p>
      <w:pPr>
        <w:ind w:left="2200" w:hanging="545"/>
        <w:spacing w:after="0"/>
        <w:tabs>
          <w:tab w:leader="none" w:pos="2200" w:val="left"/>
        </w:tabs>
        <w:numPr>
          <w:ilvl w:val="0"/>
          <w:numId w:val="4"/>
        </w:numPr>
        <w:rPr>
          <w:rFonts w:ascii="Arial" w:cs="Arial" w:eastAsia="Arial" w:hAnsi="Arial"/>
          <w:sz w:val="18"/>
          <w:szCs w:val="18"/>
          <w:color w:val="auto"/>
        </w:rPr>
      </w:pPr>
      <w:r>
        <w:rPr>
          <w:rFonts w:ascii="Arial" w:cs="Arial" w:eastAsia="Arial" w:hAnsi="Arial"/>
          <w:sz w:val="18"/>
          <w:szCs w:val="18"/>
          <w:color w:val="auto"/>
        </w:rPr>
        <w:t>further streamlining of our organizational structure and administrative processes.</w:t>
      </w:r>
    </w:p>
    <w:p>
      <w:pPr>
        <w:spacing w:after="0" w:line="211" w:lineRule="exact"/>
        <w:rPr>
          <w:sz w:val="20"/>
          <w:szCs w:val="20"/>
          <w:color w:val="auto"/>
        </w:rPr>
      </w:pPr>
    </w:p>
    <w:p>
      <w:pPr>
        <w:jc w:val="both"/>
        <w:ind w:left="120" w:right="120"/>
        <w:spacing w:after="0" w:line="308" w:lineRule="auto"/>
        <w:rPr>
          <w:sz w:val="20"/>
          <w:szCs w:val="20"/>
          <w:color w:val="auto"/>
        </w:rPr>
      </w:pPr>
      <w:r>
        <w:rPr>
          <w:rFonts w:ascii="Arial" w:cs="Arial" w:eastAsia="Arial" w:hAnsi="Arial"/>
          <w:sz w:val="17"/>
          <w:szCs w:val="17"/>
          <w:color w:val="auto"/>
        </w:rPr>
        <w:t>With adjusted EBITDA and adjusted operating cash flow performance well in excess of 2021 targets, the variable compensation payout to employees was near maximum level at 190 percent, validating that our pay-for-performance compensation plans operated as intended.</w:t>
      </w:r>
    </w:p>
    <w:p>
      <w:pPr>
        <w:spacing w:after="0" w:line="146" w:lineRule="exact"/>
        <w:rPr>
          <w:sz w:val="20"/>
          <w:szCs w:val="20"/>
          <w:color w:val="auto"/>
        </w:rPr>
      </w:pPr>
    </w:p>
    <w:p>
      <w:pPr>
        <w:jc w:val="both"/>
        <w:ind w:left="120" w:right="120"/>
        <w:spacing w:after="0" w:line="263" w:lineRule="auto"/>
        <w:rPr>
          <w:sz w:val="20"/>
          <w:szCs w:val="20"/>
          <w:color w:val="auto"/>
        </w:rPr>
      </w:pPr>
      <w:r>
        <w:rPr>
          <w:rFonts w:ascii="Arial" w:cs="Arial" w:eastAsia="Arial" w:hAnsi="Arial"/>
          <w:sz w:val="18"/>
          <w:szCs w:val="18"/>
          <w:color w:val="auto"/>
        </w:rPr>
        <w:t>In 2021, we published our inaugural Sustainability Accounting Standards metrics and set important 2030 environmental goals. These ambitious goals include significant reductions to our greenhouse gas emissions, total energy consumption, fresh water withdrawn and waste-to-landfill intensity. With oversight from our Board of Directors, we are committed to making progress toward our goals.</w:t>
      </w:r>
    </w:p>
    <w:p>
      <w:pPr>
        <w:spacing w:after="0" w:line="184"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This is a pivotal point in our history. We are energized by our path forward and business outlook, and we remain committed to operating safely, serving our customers and delivering sustainable through-cycle profitability and cash flow for our shareholders.</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168910</wp:posOffset>
            </wp:positionV>
            <wp:extent cx="822960" cy="3175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822960" cy="317500"/>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306070</wp:posOffset>
            </wp:positionV>
            <wp:extent cx="1122680" cy="1797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122680" cy="179705"/>
                    </a:xfrm>
                    <a:prstGeom prst="rect">
                      <a:avLst/>
                    </a:prstGeom>
                    <a:noFill/>
                  </pic:spPr>
                </pic:pic>
              </a:graphicData>
            </a:graphic>
          </wp:anchor>
        </w:drawing>
      </w:r>
    </w:p>
    <w:p>
      <w:pPr>
        <w:sectPr>
          <w:pgSz w:w="11900" w:h="16838" w:orient="portrait"/>
          <w:cols w:equalWidth="0" w:num="1">
            <w:col w:w="11000"/>
          </w:cols>
          <w:pgMar w:left="320" w:top="459" w:right="57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Ron Rice</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6"/>
          <w:szCs w:val="16"/>
          <w:color w:val="auto"/>
        </w:rPr>
        <w:t>Chairman of the Board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color w:val="auto"/>
        </w:rPr>
        <w:t>Mike Williams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President and Chief Executive Officer</w:t>
      </w:r>
    </w:p>
    <w:p>
      <w:pPr>
        <w:spacing w:after="0" w:line="200" w:lineRule="exact"/>
        <w:rPr>
          <w:sz w:val="20"/>
          <w:szCs w:val="20"/>
          <w:color w:val="auto"/>
        </w:rPr>
      </w:pPr>
    </w:p>
    <w:p>
      <w:pPr>
        <w:sectPr>
          <w:pgSz w:w="11900" w:h="16838" w:orient="portrait"/>
          <w:cols w:equalWidth="0" w:num="2">
            <w:col w:w="5240" w:space="720"/>
            <w:col w:w="5040"/>
          </w:cols>
          <w:pgMar w:left="320" w:top="459" w:right="579" w:bottom="1440" w:gutter="0" w:footer="0" w:header="0"/>
          <w:type w:val="continuous"/>
        </w:sectPr>
      </w:pPr>
    </w:p>
    <w:p>
      <w:pPr>
        <w:spacing w:after="0" w:line="47" w:lineRule="exact"/>
        <w:rPr>
          <w:sz w:val="20"/>
          <w:szCs w:val="20"/>
          <w:color w:val="auto"/>
        </w:rPr>
      </w:pPr>
    </w:p>
    <w:p>
      <w:pPr>
        <w:ind w:left="120"/>
        <w:spacing w:after="0"/>
        <w:rPr>
          <w:sz w:val="20"/>
          <w:szCs w:val="20"/>
          <w:color w:val="auto"/>
        </w:rPr>
      </w:pPr>
      <w:r>
        <w:rPr>
          <w:rFonts w:ascii="Arial" w:cs="Arial" w:eastAsia="Arial" w:hAnsi="Arial"/>
          <w:sz w:val="16"/>
          <w:szCs w:val="16"/>
          <w:color w:val="auto"/>
        </w:rPr>
        <w:t>March 17, 2022</w:t>
      </w:r>
    </w:p>
    <w:p>
      <w:pPr>
        <w:spacing w:after="0" w:line="24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Enclosure</w:t>
      </w:r>
    </w:p>
    <w:p>
      <w:pPr>
        <w:sectPr>
          <w:pgSz w:w="11900" w:h="16838" w:orient="portrait"/>
          <w:cols w:equalWidth="0" w:num="1">
            <w:col w:w="11000"/>
          </w:cols>
          <w:pgMar w:left="320" w:top="459" w:right="579" w:bottom="1440" w:gutter="0" w:footer="0" w:header="0"/>
          <w:type w:val="continuous"/>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right="700"/>
        <w:spacing w:after="0" w:line="330" w:lineRule="auto"/>
        <w:rPr>
          <w:sz w:val="20"/>
          <w:szCs w:val="20"/>
          <w:color w:val="auto"/>
        </w:rPr>
      </w:pPr>
      <w:r>
        <w:rPr>
          <w:rFonts w:ascii="Arial" w:cs="Arial" w:eastAsia="Arial" w:hAnsi="Arial"/>
          <w:sz w:val="49"/>
          <w:szCs w:val="49"/>
          <w:b w:val="1"/>
          <w:bCs w:val="1"/>
          <w:color w:val="auto"/>
        </w:rPr>
        <w:t>Notice of annual meeting of shareholders</w:t>
      </w:r>
    </w:p>
    <w:p>
      <w:pPr>
        <w:spacing w:after="0" w:line="294"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Annual meeting information</w:t>
      </w:r>
    </w:p>
    <w:p>
      <w:pPr>
        <w:spacing w:after="0" w:line="12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 xml:space="preserve">Date: </w:t>
      </w:r>
      <w:r>
        <w:rPr>
          <w:rFonts w:ascii="Arial" w:cs="Arial" w:eastAsia="Arial" w:hAnsi="Arial"/>
          <w:sz w:val="18"/>
          <w:szCs w:val="18"/>
          <w:color w:val="auto"/>
        </w:rPr>
        <w:t>May 4, 2022</w:t>
      </w:r>
    </w:p>
    <w:p>
      <w:pPr>
        <w:spacing w:after="0" w:line="11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 xml:space="preserve">Time: </w:t>
      </w:r>
      <w:r>
        <w:rPr>
          <w:rFonts w:ascii="Arial" w:cs="Arial" w:eastAsia="Arial" w:hAnsi="Arial"/>
          <w:sz w:val="18"/>
          <w:szCs w:val="18"/>
          <w:color w:val="auto"/>
        </w:rPr>
        <w:t>10:00 a.m. Eastern time</w:t>
      </w:r>
    </w:p>
    <w:p>
      <w:pPr>
        <w:spacing w:after="0" w:line="117" w:lineRule="exact"/>
        <w:rPr>
          <w:sz w:val="20"/>
          <w:szCs w:val="20"/>
          <w:color w:val="auto"/>
        </w:rPr>
      </w:pPr>
    </w:p>
    <w:p>
      <w:pPr>
        <w:ind w:left="120" w:right="160"/>
        <w:spacing w:after="0" w:line="282" w:lineRule="auto"/>
        <w:rPr>
          <w:sz w:val="20"/>
          <w:szCs w:val="20"/>
          <w:color w:val="auto"/>
        </w:rPr>
      </w:pPr>
      <w:r>
        <w:rPr>
          <w:rFonts w:ascii="Arial" w:cs="Arial" w:eastAsia="Arial" w:hAnsi="Arial"/>
          <w:sz w:val="18"/>
          <w:szCs w:val="18"/>
          <w:b w:val="1"/>
          <w:bCs w:val="1"/>
          <w:color w:val="auto"/>
        </w:rPr>
        <w:t xml:space="preserve">Place: </w:t>
      </w:r>
      <w:r>
        <w:rPr>
          <w:rFonts w:ascii="Arial" w:cs="Arial" w:eastAsia="Arial" w:hAnsi="Arial"/>
          <w:sz w:val="18"/>
          <w:szCs w:val="18"/>
          <w:color w:val="auto"/>
        </w:rPr>
        <w:t>There will be no in-person annual meeting. The meeting will be held “virtually”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over the internet at </w:t>
      </w:r>
      <w:r>
        <w:rPr>
          <w:rFonts w:ascii="Arial" w:cs="Arial" w:eastAsia="Arial" w:hAnsi="Arial"/>
          <w:sz w:val="18"/>
          <w:szCs w:val="18"/>
          <w:b w:val="1"/>
          <w:bCs w:val="1"/>
          <w:color w:val="auto"/>
        </w:rPr>
        <w:t>www.cesonlineservices.com/tmst22_vm.</w:t>
      </w:r>
    </w:p>
    <w:p>
      <w:pPr>
        <w:spacing w:after="0" w:line="5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 xml:space="preserve">Record date: </w:t>
      </w:r>
      <w:r>
        <w:rPr>
          <w:rFonts w:ascii="Arial" w:cs="Arial" w:eastAsia="Arial" w:hAnsi="Arial"/>
          <w:sz w:val="18"/>
          <w:szCs w:val="18"/>
          <w:color w:val="auto"/>
        </w:rPr>
        <w:t>March 1, 2022</w:t>
      </w:r>
    </w:p>
    <w:p>
      <w:pPr>
        <w:spacing w:after="0" w:line="220"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Agenda</w:t>
      </w:r>
    </w:p>
    <w:p>
      <w:pPr>
        <w:spacing w:after="0" w:line="140" w:lineRule="exact"/>
        <w:rPr>
          <w:sz w:val="20"/>
          <w:szCs w:val="20"/>
          <w:color w:val="auto"/>
        </w:rPr>
      </w:pPr>
    </w:p>
    <w:p>
      <w:pPr>
        <w:jc w:val="both"/>
        <w:ind w:left="480" w:right="220" w:hanging="364"/>
        <w:spacing w:after="0" w:line="263" w:lineRule="auto"/>
        <w:tabs>
          <w:tab w:leader="none" w:pos="480" w:val="left"/>
        </w:tabs>
        <w:numPr>
          <w:ilvl w:val="0"/>
          <w:numId w:val="5"/>
        </w:numPr>
        <w:rPr>
          <w:rFonts w:ascii="Arial" w:cs="Arial" w:eastAsia="Arial" w:hAnsi="Arial"/>
          <w:sz w:val="18"/>
          <w:szCs w:val="18"/>
          <w:color w:val="auto"/>
        </w:rPr>
      </w:pPr>
      <w:r>
        <w:rPr>
          <w:rFonts w:ascii="Arial" w:cs="Arial" w:eastAsia="Arial" w:hAnsi="Arial"/>
          <w:sz w:val="18"/>
          <w:szCs w:val="18"/>
          <w:color w:val="auto"/>
        </w:rPr>
        <w:t>Election of the following directors to serve a three-year term expiring at the 2025 annual meeting: Diane C. Creel, Kenneth V. Garcia, Ellis A. Jones and Donald T. Misheff</w:t>
      </w:r>
    </w:p>
    <w:p>
      <w:pPr>
        <w:spacing w:after="0" w:line="89" w:lineRule="exact"/>
        <w:rPr>
          <w:rFonts w:ascii="Arial" w:cs="Arial" w:eastAsia="Arial" w:hAnsi="Arial"/>
          <w:sz w:val="18"/>
          <w:szCs w:val="18"/>
          <w:color w:val="auto"/>
        </w:rPr>
      </w:pPr>
    </w:p>
    <w:p>
      <w:pPr>
        <w:ind w:left="480" w:right="200" w:hanging="364"/>
        <w:spacing w:after="0" w:line="277" w:lineRule="auto"/>
        <w:tabs>
          <w:tab w:leader="none" w:pos="480" w:val="left"/>
        </w:tabs>
        <w:numPr>
          <w:ilvl w:val="0"/>
          <w:numId w:val="5"/>
        </w:numPr>
        <w:rPr>
          <w:rFonts w:ascii="Arial" w:cs="Arial" w:eastAsia="Arial" w:hAnsi="Arial"/>
          <w:sz w:val="18"/>
          <w:szCs w:val="18"/>
          <w:color w:val="auto"/>
        </w:rPr>
      </w:pPr>
      <w:r>
        <w:rPr>
          <w:rFonts w:ascii="Arial" w:cs="Arial" w:eastAsia="Arial" w:hAnsi="Arial"/>
          <w:sz w:val="18"/>
          <w:szCs w:val="18"/>
          <w:color w:val="auto"/>
        </w:rPr>
        <w:t>Ratification of the selection of Ernst &amp; Young LLP as the company’s independent auditor for the fiscal year ending December 31, 2022</w:t>
      </w:r>
    </w:p>
    <w:p>
      <w:pPr>
        <w:spacing w:after="0" w:line="75" w:lineRule="exact"/>
        <w:rPr>
          <w:rFonts w:ascii="Arial" w:cs="Arial" w:eastAsia="Arial" w:hAnsi="Arial"/>
          <w:sz w:val="18"/>
          <w:szCs w:val="18"/>
          <w:color w:val="auto"/>
        </w:rPr>
      </w:pPr>
    </w:p>
    <w:p>
      <w:pPr>
        <w:ind w:left="480" w:right="480" w:hanging="364"/>
        <w:spacing w:after="0" w:line="277" w:lineRule="auto"/>
        <w:tabs>
          <w:tab w:leader="none" w:pos="480" w:val="left"/>
        </w:tabs>
        <w:numPr>
          <w:ilvl w:val="0"/>
          <w:numId w:val="5"/>
        </w:numPr>
        <w:rPr>
          <w:rFonts w:ascii="Arial" w:cs="Arial" w:eastAsia="Arial" w:hAnsi="Arial"/>
          <w:sz w:val="18"/>
          <w:szCs w:val="18"/>
          <w:color w:val="auto"/>
        </w:rPr>
      </w:pPr>
      <w:r>
        <w:rPr>
          <w:rFonts w:ascii="Arial" w:cs="Arial" w:eastAsia="Arial" w:hAnsi="Arial"/>
          <w:sz w:val="18"/>
          <w:szCs w:val="18"/>
          <w:color w:val="auto"/>
        </w:rPr>
        <w:t>Approval, on an advisory basis, of the compensation of the company’s named executive officers</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Admission to the meeting</w:t>
      </w:r>
    </w:p>
    <w:p>
      <w:pPr>
        <w:spacing w:after="0" w:line="126"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Only TimkenSteel shareholders as of the close of business on March 1, 2022 (the record date for the annual meeting) are entitled to join the virtual meeting. To attend the virtual annual meeting, please follow the instructions set forth below under “Additional information.”</w:t>
      </w:r>
    </w:p>
    <w:p>
      <w:pPr>
        <w:spacing w:after="0" w:line="79" w:lineRule="exact"/>
        <w:rPr>
          <w:sz w:val="20"/>
          <w:szCs w:val="20"/>
          <w:color w:val="auto"/>
        </w:rPr>
      </w:pPr>
    </w:p>
    <w:p>
      <w:pPr>
        <w:ind w:left="120" w:right="420"/>
        <w:spacing w:after="0" w:line="277" w:lineRule="auto"/>
        <w:rPr>
          <w:sz w:val="20"/>
          <w:szCs w:val="20"/>
          <w:color w:val="auto"/>
        </w:rPr>
      </w:pPr>
      <w:r>
        <w:rPr>
          <w:rFonts w:ascii="Arial" w:cs="Arial" w:eastAsia="Arial" w:hAnsi="Arial"/>
          <w:sz w:val="18"/>
          <w:szCs w:val="18"/>
          <w:color w:val="auto"/>
        </w:rPr>
        <w:t>This proxy statement and the accompanying proxy card are being made available to shareholders beginning on or about March 17, 2022.</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March 17, 2022</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Kristine C. Syrvalin</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Executive Vice President, General Counsel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340360</wp:posOffset>
            </wp:positionV>
            <wp:extent cx="699516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Your vote is important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-244475</wp:posOffset>
            </wp:positionV>
            <wp:extent cx="2580005" cy="41662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2580005" cy="4166235"/>
                    </a:xfrm>
                    <a:prstGeom prst="rect">
                      <a:avLst/>
                    </a:prstGeom>
                    <a:noFill/>
                  </pic:spPr>
                </pic:pic>
              </a:graphicData>
            </a:graphic>
          </wp:anchor>
        </w:drawing>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Please vote as soon as possible.</w:t>
      </w:r>
    </w:p>
    <w:p>
      <w:pPr>
        <w:spacing w:after="0" w:line="261" w:lineRule="exact"/>
        <w:rPr>
          <w:sz w:val="20"/>
          <w:szCs w:val="20"/>
          <w:color w:val="auto"/>
        </w:rPr>
      </w:pPr>
    </w:p>
    <w:p>
      <w:pPr>
        <w:ind w:right="40"/>
        <w:spacing w:after="0" w:line="269" w:lineRule="auto"/>
        <w:rPr>
          <w:sz w:val="20"/>
          <w:szCs w:val="20"/>
          <w:color w:val="auto"/>
        </w:rPr>
      </w:pPr>
      <w:r>
        <w:rPr>
          <w:rFonts w:ascii="Arial" w:cs="Arial" w:eastAsia="Arial" w:hAnsi="Arial"/>
          <w:sz w:val="16"/>
          <w:szCs w:val="16"/>
          <w:color w:val="auto"/>
        </w:rPr>
        <w:t>Whether or not you plan to participate in the 2022 annual meeting of shareholders, please promptly vote on the Internet, by phone or by mail. Voting early will help avoid additional solicitation costs and will not prevent you from voting electronically during the annual meeting if you wish to do so.</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How to vote:</w:t>
      </w:r>
    </w:p>
    <w:p>
      <w:pPr>
        <w:spacing w:after="0" w:line="293"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 xml:space="preserve">Online: </w:t>
      </w:r>
      <w:r>
        <w:rPr>
          <w:rFonts w:ascii="Arial" w:cs="Arial" w:eastAsia="Arial" w:hAnsi="Arial"/>
          <w:sz w:val="18"/>
          <w:szCs w:val="18"/>
          <w:color w:val="auto"/>
        </w:rPr>
        <w:t>www.cesvote.com</w:t>
      </w:r>
    </w:p>
    <w:p>
      <w:pPr>
        <w:spacing w:after="0" w:line="200" w:lineRule="exact"/>
        <w:rPr>
          <w:sz w:val="20"/>
          <w:szCs w:val="20"/>
          <w:color w:val="auto"/>
        </w:rPr>
      </w:pPr>
    </w:p>
    <w:p>
      <w:pPr>
        <w:spacing w:after="0" w:line="241"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 xml:space="preserve">Phone: </w:t>
      </w:r>
      <w:r>
        <w:rPr>
          <w:rFonts w:ascii="Arial" w:cs="Arial" w:eastAsia="Arial" w:hAnsi="Arial"/>
          <w:sz w:val="18"/>
          <w:szCs w:val="18"/>
          <w:color w:val="auto"/>
        </w:rPr>
        <w:t>1-888-693-8683</w:t>
      </w:r>
    </w:p>
    <w:p>
      <w:pPr>
        <w:spacing w:after="0" w:line="351" w:lineRule="exact"/>
        <w:rPr>
          <w:sz w:val="20"/>
          <w:szCs w:val="20"/>
          <w:color w:val="auto"/>
        </w:rPr>
      </w:pPr>
    </w:p>
    <w:p>
      <w:pPr>
        <w:jc w:val="both"/>
        <w:ind w:left="1080" w:right="40"/>
        <w:spacing w:after="0" w:line="281" w:lineRule="auto"/>
        <w:rPr>
          <w:sz w:val="20"/>
          <w:szCs w:val="20"/>
          <w:color w:val="auto"/>
        </w:rPr>
      </w:pPr>
      <w:r>
        <w:rPr>
          <w:rFonts w:ascii="Arial" w:cs="Arial" w:eastAsia="Arial" w:hAnsi="Arial"/>
          <w:sz w:val="16"/>
          <w:szCs w:val="16"/>
          <w:b w:val="1"/>
          <w:bCs w:val="1"/>
          <w:color w:val="auto"/>
        </w:rPr>
        <w:t xml:space="preserve">Mail: </w:t>
      </w:r>
      <w:r>
        <w:rPr>
          <w:rFonts w:ascii="Arial" w:cs="Arial" w:eastAsia="Arial" w:hAnsi="Arial"/>
          <w:sz w:val="16"/>
          <w:szCs w:val="16"/>
          <w:color w:val="auto"/>
        </w:rPr>
        <w:t>If you received a printed version</w:t>
      </w:r>
      <w:r>
        <w:rPr>
          <w:rFonts w:ascii="Arial" w:cs="Arial" w:eastAsia="Arial" w:hAnsi="Arial"/>
          <w:sz w:val="16"/>
          <w:szCs w:val="16"/>
          <w:b w:val="1"/>
          <w:bCs w:val="1"/>
          <w:color w:val="auto"/>
        </w:rPr>
        <w:t xml:space="preserve"> </w:t>
      </w:r>
      <w:r>
        <w:rPr>
          <w:rFonts w:ascii="Arial" w:cs="Arial" w:eastAsia="Arial" w:hAnsi="Arial"/>
          <w:sz w:val="16"/>
          <w:szCs w:val="16"/>
          <w:color w:val="auto"/>
        </w:rPr>
        <w:t>of the proxy materials, you may vote by mail.</w:t>
      </w:r>
    </w:p>
    <w:p>
      <w:pPr>
        <w:spacing w:after="0" w:line="285" w:lineRule="exact"/>
        <w:rPr>
          <w:sz w:val="20"/>
          <w:szCs w:val="20"/>
          <w:color w:val="auto"/>
        </w:rPr>
      </w:pPr>
    </w:p>
    <w:p>
      <w:pPr>
        <w:ind w:left="1080"/>
        <w:spacing w:after="0" w:line="320" w:lineRule="auto"/>
        <w:rPr>
          <w:sz w:val="20"/>
          <w:szCs w:val="20"/>
          <w:color w:val="auto"/>
        </w:rPr>
      </w:pPr>
      <w:r>
        <w:rPr>
          <w:rFonts w:ascii="Arial" w:cs="Arial" w:eastAsia="Arial" w:hAnsi="Arial"/>
          <w:sz w:val="14"/>
          <w:szCs w:val="14"/>
          <w:b w:val="1"/>
          <w:bCs w:val="1"/>
          <w:color w:val="auto"/>
        </w:rPr>
        <w:t xml:space="preserve">During the annual meeting: </w:t>
      </w:r>
      <w:r>
        <w:rPr>
          <w:rFonts w:ascii="Arial" w:cs="Arial" w:eastAsia="Arial" w:hAnsi="Arial"/>
          <w:sz w:val="14"/>
          <w:szCs w:val="14"/>
          <w:color w:val="auto"/>
        </w:rPr>
        <w:t>If you</w:t>
      </w:r>
      <w:r>
        <w:rPr>
          <w:rFonts w:ascii="Arial" w:cs="Arial" w:eastAsia="Arial" w:hAnsi="Arial"/>
          <w:sz w:val="14"/>
          <w:szCs w:val="14"/>
          <w:b w:val="1"/>
          <w:bCs w:val="1"/>
          <w:color w:val="auto"/>
        </w:rPr>
        <w:t xml:space="preserve"> </w:t>
      </w:r>
      <w:r>
        <w:rPr>
          <w:rFonts w:ascii="Arial" w:cs="Arial" w:eastAsia="Arial" w:hAnsi="Arial"/>
          <w:sz w:val="14"/>
          <w:szCs w:val="14"/>
          <w:color w:val="auto"/>
        </w:rPr>
        <w:t>participate in the virtual annual meeting, you may vote during the annual meeting by following the instructions set forth below under “Additional Information.”</w:t>
      </w:r>
    </w:p>
    <w:p>
      <w:pPr>
        <w:spacing w:after="0" w:line="227" w:lineRule="exact"/>
        <w:rPr>
          <w:sz w:val="20"/>
          <w:szCs w:val="20"/>
          <w:color w:val="auto"/>
        </w:rPr>
      </w:pPr>
    </w:p>
    <w:p>
      <w:pPr>
        <w:jc w:val="both"/>
        <w:ind w:right="20"/>
        <w:spacing w:after="0" w:line="278" w:lineRule="auto"/>
        <w:rPr>
          <w:sz w:val="20"/>
          <w:szCs w:val="20"/>
          <w:color w:val="auto"/>
        </w:rPr>
      </w:pPr>
      <w:r>
        <w:rPr>
          <w:rFonts w:ascii="Arial" w:cs="Arial" w:eastAsia="Arial" w:hAnsi="Arial"/>
          <w:sz w:val="16"/>
          <w:szCs w:val="16"/>
          <w:color w:val="auto"/>
        </w:rPr>
        <w:t>Additional voting instructions are provided in this proxy statement and on the accompanying proxy card or on the notice of internet availability.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-399415</wp:posOffset>
            </wp:positionV>
            <wp:extent cx="2580005" cy="4883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2580005" cy="48831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6560" w:space="720"/>
            <w:col w:w="3700"/>
          </w:cols>
          <w:pgMar w:left="320" w:top="459" w:right="599" w:bottom="1440" w:gutter="0" w:footer="0" w:header="0"/>
        </w:sect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auto"/>
        </w:rPr>
        <w:t xml:space="preserve">Important notice regarding the availability of proxy materials for the 2022 annual meeting of shareholders to be held on May 4, 2022: </w:t>
      </w:r>
      <w:r>
        <w:rPr>
          <w:rFonts w:ascii="Arial" w:cs="Arial" w:eastAsia="Arial" w:hAnsi="Arial"/>
          <w:sz w:val="16"/>
          <w:szCs w:val="16"/>
          <w:color w:val="auto"/>
        </w:rPr>
        <w:t>This</w:t>
      </w:r>
    </w:p>
    <w:p>
      <w:pPr>
        <w:spacing w:after="0" w:line="50" w:lineRule="exact"/>
        <w:rPr>
          <w:sz w:val="20"/>
          <w:szCs w:val="20"/>
          <w:color w:val="auto"/>
        </w:rPr>
      </w:pPr>
    </w:p>
    <w:p>
      <w:pPr>
        <w:ind w:left="120"/>
        <w:spacing w:after="0"/>
        <w:rPr>
          <w:sz w:val="20"/>
          <w:szCs w:val="20"/>
          <w:color w:val="auto"/>
        </w:rPr>
      </w:pPr>
      <w:r>
        <w:rPr>
          <w:rFonts w:ascii="Arial" w:cs="Arial" w:eastAsia="Arial" w:hAnsi="Arial"/>
          <w:sz w:val="16"/>
          <w:szCs w:val="16"/>
          <w:color w:val="auto"/>
        </w:rPr>
        <w:t xml:space="preserve">proxy statement and our 2021 annual report to shareholders are available free of charge on the following website: </w:t>
      </w:r>
      <w:r>
        <w:rPr>
          <w:rFonts w:ascii="Arial" w:cs="Arial" w:eastAsia="Arial" w:hAnsi="Arial"/>
          <w:sz w:val="16"/>
          <w:szCs w:val="16"/>
          <w:b w:val="1"/>
          <w:bCs w:val="1"/>
          <w:color w:val="auto"/>
        </w:rPr>
        <w:t>www.proxydocs.com/tmst</w:t>
      </w:r>
      <w:r>
        <w:rPr>
          <w:rFonts w:ascii="Arial" w:cs="Arial" w:eastAsia="Arial" w:hAnsi="Arial"/>
          <w:sz w:val="16"/>
          <w:szCs w:val="16"/>
          <w:color w:val="auto"/>
        </w:rPr>
        <w:t>.</w:t>
      </w:r>
    </w:p>
    <w:p>
      <w:pPr>
        <w:sectPr>
          <w:pgSz w:w="11900" w:h="16838" w:orient="portrait"/>
          <w:cols w:equalWidth="0" w:num="1">
            <w:col w:w="10980"/>
          </w:cols>
          <w:pgMar w:left="320" w:top="459" w:right="599" w:bottom="1440" w:gutter="0" w:footer="0" w:header="0"/>
          <w:type w:val="continuous"/>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Additional information</w:t>
      </w:r>
    </w:p>
    <w:p>
      <w:pPr>
        <w:spacing w:after="0" w:line="234"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To register to attend the virtual annual meeting, please follow these instructions:</w:t>
      </w:r>
    </w:p>
    <w:p>
      <w:pPr>
        <w:spacing w:after="0" w:line="225" w:lineRule="exact"/>
        <w:rPr>
          <w:sz w:val="20"/>
          <w:szCs w:val="20"/>
          <w:color w:val="auto"/>
        </w:rPr>
      </w:pPr>
    </w:p>
    <w:p>
      <w:pPr>
        <w:ind w:left="120" w:right="240"/>
        <w:spacing w:after="0" w:line="296" w:lineRule="auto"/>
        <w:rPr>
          <w:sz w:val="20"/>
          <w:szCs w:val="20"/>
          <w:color w:val="auto"/>
        </w:rPr>
      </w:pPr>
      <w:r>
        <w:rPr>
          <w:rFonts w:ascii="Arial" w:cs="Arial" w:eastAsia="Arial" w:hAnsi="Arial"/>
          <w:sz w:val="16"/>
          <w:szCs w:val="16"/>
          <w:i w:val="1"/>
          <w:iCs w:val="1"/>
          <w:color w:val="auto"/>
        </w:rPr>
        <w:t>Registered Shareholders</w:t>
      </w:r>
      <w:r>
        <w:rPr>
          <w:rFonts w:ascii="Arial" w:cs="Arial" w:eastAsia="Arial" w:hAnsi="Arial"/>
          <w:sz w:val="16"/>
          <w:szCs w:val="16"/>
          <w:color w:val="auto"/>
        </w:rPr>
        <w:t>: If your shares are registered in your name with TimkenSteel’s transfer agent or you are a participant holding TimkenSteel</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shares in a 401(k) plan sponsored by TimkenSteel and you wish to attend the virtual meeting, go to </w:t>
      </w:r>
      <w:r>
        <w:rPr>
          <w:rFonts w:ascii="Arial" w:cs="Arial" w:eastAsia="Arial" w:hAnsi="Arial"/>
          <w:sz w:val="16"/>
          <w:szCs w:val="16"/>
          <w:b w:val="1"/>
          <w:bCs w:val="1"/>
          <w:color w:val="auto"/>
        </w:rPr>
        <w:t>www.cesonlineservices.com/tmst22_vm</w:t>
      </w:r>
      <w:r>
        <w:rPr>
          <w:rFonts w:ascii="Arial" w:cs="Arial" w:eastAsia="Arial" w:hAnsi="Arial"/>
          <w:sz w:val="16"/>
          <w:szCs w:val="16"/>
          <w:color w:val="auto"/>
        </w:rPr>
        <w:t>. Please have your proxy card or notice of internet availability containing your 11-digit control number available and follow the instructions to complete your registration request. After registering, shareholders will receive a confirmation email with a link and instructions for accessing the virtual annual meeting. Requests to register to participate in the virtual annual meeting must be received no later than 10:00 a.m. Eastern time on May 3, 2022.</w:t>
      </w:r>
    </w:p>
    <w:p>
      <w:pPr>
        <w:spacing w:after="0" w:line="161" w:lineRule="exact"/>
        <w:rPr>
          <w:sz w:val="20"/>
          <w:szCs w:val="20"/>
          <w:color w:val="auto"/>
        </w:rPr>
      </w:pPr>
    </w:p>
    <w:p>
      <w:pPr>
        <w:ind w:left="120" w:right="100"/>
        <w:spacing w:after="0" w:line="273" w:lineRule="auto"/>
        <w:rPr>
          <w:sz w:val="20"/>
          <w:szCs w:val="20"/>
          <w:color w:val="auto"/>
        </w:rPr>
      </w:pPr>
      <w:r>
        <w:rPr>
          <w:rFonts w:ascii="Arial" w:cs="Arial" w:eastAsia="Arial" w:hAnsi="Arial"/>
          <w:sz w:val="17"/>
          <w:szCs w:val="17"/>
          <w:i w:val="1"/>
          <w:iCs w:val="1"/>
          <w:color w:val="auto"/>
        </w:rPr>
        <w:t>Beneficial Shareholders (those holding shares through a stock brokerage account or by a bank or other holder of record)</w:t>
      </w:r>
      <w:r>
        <w:rPr>
          <w:rFonts w:ascii="Arial" w:cs="Arial" w:eastAsia="Arial" w:hAnsi="Arial"/>
          <w:sz w:val="17"/>
          <w:szCs w:val="17"/>
          <w:color w:val="auto"/>
        </w:rPr>
        <w:t>: Beneficial shareholders who</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wish to attend the virtual meeting may register by visiting the website </w:t>
      </w:r>
      <w:r>
        <w:rPr>
          <w:rFonts w:ascii="Arial" w:cs="Arial" w:eastAsia="Arial" w:hAnsi="Arial"/>
          <w:sz w:val="17"/>
          <w:szCs w:val="17"/>
          <w:b w:val="1"/>
          <w:bCs w:val="1"/>
          <w:color w:val="auto"/>
        </w:rPr>
        <w:t>www.cesonlineservices.com/tmst22_vm</w:t>
      </w:r>
      <w:r>
        <w:rPr>
          <w:rFonts w:ascii="Arial" w:cs="Arial" w:eastAsia="Arial" w:hAnsi="Arial"/>
          <w:sz w:val="17"/>
          <w:szCs w:val="17"/>
          <w:color w:val="auto"/>
        </w:rPr>
        <w:t>. Please have your voting instruction form, notice or other communication containing your control number available and follow the instructions to complete your registration request. After registering, shareholders will receive a confirmation email with a link and instructions for accessing the virtual annual meeting. Requests to register to participate in the virtual annual meeting must be received no later than 10:00 a.m. Eastern time on May 3, 2022. If you need assistance registering, please contact our proxy solicitor, Innisfree M&amp;A Incorporated, toll-free at (877) 456-3402.</w:t>
      </w:r>
    </w:p>
    <w:p>
      <w:pPr>
        <w:spacing w:after="0" w:line="178" w:lineRule="exact"/>
        <w:rPr>
          <w:sz w:val="20"/>
          <w:szCs w:val="20"/>
          <w:color w:val="auto"/>
        </w:rPr>
      </w:pPr>
    </w:p>
    <w:p>
      <w:pPr>
        <w:ind w:left="120" w:right="60"/>
        <w:spacing w:after="0" w:line="263" w:lineRule="auto"/>
        <w:rPr>
          <w:sz w:val="20"/>
          <w:szCs w:val="20"/>
          <w:color w:val="auto"/>
        </w:rPr>
      </w:pPr>
      <w:r>
        <w:rPr>
          <w:rFonts w:ascii="Arial" w:cs="Arial" w:eastAsia="Arial" w:hAnsi="Arial"/>
          <w:sz w:val="18"/>
          <w:szCs w:val="18"/>
          <w:color w:val="auto"/>
        </w:rPr>
        <w:t>If you do not register in advance following the instructions above, you will not be able to attend the annual meeting. The annual meeting will begin promptly at 10:00 a.m. Eastern time on May 4, 2022. We encourage you to access the annual meeting prior to the start time. Online access will begin at 9:30 a.m. Eastern time.</w:t>
      </w:r>
    </w:p>
    <w:p>
      <w:pPr>
        <w:spacing w:after="0" w:line="184" w:lineRule="exact"/>
        <w:rPr>
          <w:sz w:val="20"/>
          <w:szCs w:val="20"/>
          <w:color w:val="auto"/>
        </w:rPr>
      </w:pPr>
    </w:p>
    <w:p>
      <w:pPr>
        <w:ind w:left="120" w:right="180"/>
        <w:spacing w:after="0" w:line="259" w:lineRule="auto"/>
        <w:rPr>
          <w:sz w:val="20"/>
          <w:szCs w:val="20"/>
          <w:color w:val="auto"/>
        </w:rPr>
      </w:pPr>
      <w:r>
        <w:rPr>
          <w:rFonts w:ascii="Arial" w:cs="Arial" w:eastAsia="Arial" w:hAnsi="Arial"/>
          <w:sz w:val="18"/>
          <w:szCs w:val="18"/>
          <w:color w:val="auto"/>
        </w:rPr>
        <w:t>The virtual annual meeting platform is fully supported across browsers (Microsoft Edge, Firefox, Chrome, and Safari) and devices (desktops, laptops, tablets, and cell phones) running the most updated version of applicable software and plugins. Participants should ensure they have a strong Internet connection wherever they intend to participate in the annual meeting. Participants also should allow plenty of time to log in and ensure that they can hear streaming audio prior to the start of the annual meeting.</w:t>
      </w:r>
    </w:p>
    <w:p>
      <w:pPr>
        <w:spacing w:after="0" w:line="187" w:lineRule="exact"/>
        <w:rPr>
          <w:sz w:val="20"/>
          <w:szCs w:val="20"/>
          <w:color w:val="auto"/>
        </w:rPr>
      </w:pPr>
    </w:p>
    <w:p>
      <w:pPr>
        <w:ind w:left="120" w:right="920"/>
        <w:spacing w:after="0" w:line="277" w:lineRule="auto"/>
        <w:rPr>
          <w:sz w:val="20"/>
          <w:szCs w:val="20"/>
          <w:color w:val="auto"/>
        </w:rPr>
      </w:pPr>
      <w:r>
        <w:rPr>
          <w:rFonts w:ascii="Arial" w:cs="Arial" w:eastAsia="Arial" w:hAnsi="Arial"/>
          <w:sz w:val="18"/>
          <w:szCs w:val="18"/>
          <w:color w:val="auto"/>
        </w:rPr>
        <w:t>In order to maintain the interactive nature of the virtual meeting, attendees will be able to vote during the annual meeting by clicking on the ‘Shareholder Ballot’ link located under the ‘Meeting Links’ section of the virtual meeting website.</w:t>
      </w:r>
    </w:p>
    <w:p>
      <w:pPr>
        <w:spacing w:after="0" w:line="170" w:lineRule="exact"/>
        <w:rPr>
          <w:sz w:val="20"/>
          <w:szCs w:val="20"/>
          <w:color w:val="auto"/>
        </w:rPr>
      </w:pPr>
    </w:p>
    <w:p>
      <w:pPr>
        <w:ind w:left="120" w:right="100"/>
        <w:spacing w:after="0" w:line="277" w:lineRule="auto"/>
        <w:rPr>
          <w:sz w:val="20"/>
          <w:szCs w:val="20"/>
          <w:color w:val="auto"/>
        </w:rPr>
      </w:pPr>
      <w:r>
        <w:rPr>
          <w:rFonts w:ascii="Arial" w:cs="Arial" w:eastAsia="Arial" w:hAnsi="Arial"/>
          <w:sz w:val="18"/>
          <w:szCs w:val="18"/>
          <w:color w:val="auto"/>
        </w:rPr>
        <w:t>If you wish to submit a question to be addressed at the annual meeting, please do so by submitting your question to TMSTRegister@Proxy-Agent.com in advance of the meeting. Questions will be accepted until 12:00 p.m. Eastern time on May 3, 2022.</w:t>
      </w:r>
    </w:p>
    <w:p>
      <w:pPr>
        <w:spacing w:after="0" w:line="170" w:lineRule="exact"/>
        <w:rPr>
          <w:sz w:val="20"/>
          <w:szCs w:val="20"/>
          <w:color w:val="auto"/>
        </w:rPr>
      </w:pPr>
    </w:p>
    <w:p>
      <w:pPr>
        <w:ind w:left="120" w:right="80"/>
        <w:spacing w:after="0" w:line="296" w:lineRule="auto"/>
        <w:rPr>
          <w:sz w:val="20"/>
          <w:szCs w:val="20"/>
          <w:color w:val="auto"/>
        </w:rPr>
      </w:pPr>
      <w:r>
        <w:rPr>
          <w:rFonts w:ascii="Arial" w:cs="Arial" w:eastAsia="Arial" w:hAnsi="Arial"/>
          <w:sz w:val="16"/>
          <w:szCs w:val="16"/>
          <w:color w:val="auto"/>
        </w:rPr>
        <w:t>Questions submitted by shareholders in accordance with the foregoing instructions and pertinent to the annual meeting will be answered during the annual meeting, subject to time constraints. We will respond to questions relevant to meeting matters that we do not have time to address during the meeting by posting the questions and answers on our investor relations website soon after the meeting. Questions regarding personal matters or matters not relevant to meeting matters will not be answered. Additional information regarding the ability of shareholders to ask questions during the annual meeting, related rules of conduct and other materials for the annual meeting will be available online during the meeting.</w:t>
      </w:r>
    </w:p>
    <w:p>
      <w:pPr>
        <w:spacing w:after="0" w:line="161" w:lineRule="exact"/>
        <w:rPr>
          <w:sz w:val="20"/>
          <w:szCs w:val="20"/>
          <w:color w:val="auto"/>
        </w:rPr>
      </w:pPr>
    </w:p>
    <w:p>
      <w:pPr>
        <w:ind w:left="120" w:right="200"/>
        <w:spacing w:after="0" w:line="277" w:lineRule="auto"/>
        <w:rPr>
          <w:sz w:val="20"/>
          <w:szCs w:val="20"/>
          <w:color w:val="auto"/>
        </w:rPr>
      </w:pPr>
      <w:r>
        <w:rPr>
          <w:rFonts w:ascii="Arial" w:cs="Arial" w:eastAsia="Arial" w:hAnsi="Arial"/>
          <w:sz w:val="18"/>
          <w:szCs w:val="18"/>
          <w:color w:val="auto"/>
        </w:rPr>
        <w:t>Even if you plan on attending the virtual annual meeting, we encourage you to vote your shares in advance using one of the methods described in this proxy statement to ensure that your vote will be represented at the annual meeting.</w:t>
      </w:r>
    </w:p>
    <w:p>
      <w:pPr>
        <w:spacing w:after="0" w:line="170" w:lineRule="exact"/>
        <w:rPr>
          <w:sz w:val="20"/>
          <w:szCs w:val="20"/>
          <w:color w:val="auto"/>
        </w:rPr>
      </w:pPr>
    </w:p>
    <w:p>
      <w:pPr>
        <w:ind w:left="120"/>
        <w:spacing w:after="0" w:line="342" w:lineRule="auto"/>
        <w:rPr>
          <w:sz w:val="20"/>
          <w:szCs w:val="20"/>
          <w:color w:val="auto"/>
        </w:rPr>
      </w:pPr>
      <w:r>
        <w:rPr>
          <w:rFonts w:ascii="Arial" w:cs="Arial" w:eastAsia="Arial" w:hAnsi="Arial"/>
          <w:sz w:val="16"/>
          <w:szCs w:val="16"/>
          <w:i w:val="1"/>
          <w:iCs w:val="1"/>
          <w:color w:val="auto"/>
        </w:rPr>
        <w:t>Technical Difficulties</w:t>
      </w:r>
      <w:r>
        <w:rPr>
          <w:rFonts w:ascii="Arial" w:cs="Arial" w:eastAsia="Arial" w:hAnsi="Arial"/>
          <w:sz w:val="16"/>
          <w:szCs w:val="16"/>
          <w:color w:val="auto"/>
        </w:rPr>
        <w:t>: If you experience any technical difficulties during the registration process, please access the ‘FAQ and System Test’ link on the</w:t>
      </w:r>
      <w:r>
        <w:rPr>
          <w:rFonts w:ascii="Arial" w:cs="Arial" w:eastAsia="Arial" w:hAnsi="Arial"/>
          <w:sz w:val="16"/>
          <w:szCs w:val="16"/>
          <w:i w:val="1"/>
          <w:iCs w:val="1"/>
          <w:color w:val="auto"/>
        </w:rPr>
        <w:t xml:space="preserve"> </w:t>
      </w:r>
      <w:r>
        <w:rPr>
          <w:rFonts w:ascii="Arial" w:cs="Arial" w:eastAsia="Arial" w:hAnsi="Arial"/>
          <w:sz w:val="16"/>
          <w:szCs w:val="16"/>
          <w:color w:val="auto"/>
        </w:rPr>
        <w:t>login screen for support. If you experience technical difficulties during the virtual meeting, please access the ‘?’ link on the meeting website for support.</w:t>
      </w:r>
    </w:p>
    <w:p>
      <w:pPr>
        <w:sectPr>
          <w:pgSz w:w="11900" w:h="16838" w:orient="portrait"/>
          <w:cols w:equalWidth="0" w:num="1">
            <w:col w:w="11080"/>
          </w:cols>
          <w:pgMar w:left="320" w:top="459" w:right="4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90" w:lineRule="exact"/>
        <w:rPr>
          <w:sz w:val="20"/>
          <w:szCs w:val="20"/>
          <w:color w:val="auto"/>
        </w:rPr>
      </w:pPr>
    </w:p>
    <w:p>
      <w:pPr>
        <w:ind w:left="120"/>
        <w:spacing w:after="0"/>
        <w:rPr>
          <w:sz w:val="20"/>
          <w:szCs w:val="20"/>
          <w:color w:val="auto"/>
        </w:rPr>
      </w:pPr>
      <w:r>
        <w:rPr>
          <w:rFonts w:ascii="Arial" w:cs="Arial" w:eastAsia="Arial" w:hAnsi="Arial"/>
          <w:sz w:val="38"/>
          <w:szCs w:val="38"/>
          <w:b w:val="1"/>
          <w:bCs w:val="1"/>
          <w:i w:val="1"/>
          <w:iCs w:val="1"/>
          <w:color w:val="auto"/>
        </w:rPr>
        <w:t>Table of Contents</w:t>
      </w:r>
    </w:p>
    <w:p>
      <w:pPr>
        <w:spacing w:after="0" w:line="388" w:lineRule="exact"/>
        <w:rPr>
          <w:sz w:val="20"/>
          <w:szCs w:val="20"/>
          <w:color w:val="auto"/>
        </w:rPr>
      </w:pPr>
    </w:p>
    <w:tbl>
      <w:tblPr>
        <w:tblLayout w:type="fixed"/>
        <w:tblInd w:w="1260" w:type="dxa"/>
        <w:tblCellMar>
          <w:top w:w="0" w:type="dxa"/>
          <w:left w:w="0" w:type="dxa"/>
          <w:bottom w:w="0" w:type="dxa"/>
          <w:right w:w="0" w:type="dxa"/>
        </w:tblCellMar>
      </w:tblPr>
      <w:tr>
        <w:trPr>
          <w:trHeight w:val="207"/>
        </w:trPr>
        <w:tc>
          <w:tcPr>
            <w:tcW w:w="1320" w:type="dxa"/>
            <w:vAlign w:val="bottom"/>
          </w:tcPr>
          <w:p>
            <w:pPr>
              <w:spacing w:after="0"/>
              <w:rPr>
                <w:sz w:val="17"/>
                <w:szCs w:val="17"/>
                <w:color w:val="auto"/>
              </w:rPr>
            </w:pPr>
          </w:p>
        </w:tc>
        <w:tc>
          <w:tcPr>
            <w:tcW w:w="1560" w:type="dxa"/>
            <w:vAlign w:val="bottom"/>
            <w:gridSpan w:val="2"/>
          </w:tcPr>
          <w:p>
            <w:pPr>
              <w:jc w:val="right"/>
              <w:ind w:right="400"/>
              <w:spacing w:after="0"/>
              <w:rPr>
                <w:rFonts w:ascii="Arial" w:cs="Arial" w:eastAsia="Arial" w:hAnsi="Arial"/>
                <w:sz w:val="18"/>
                <w:szCs w:val="18"/>
                <w:b w:val="1"/>
                <w:bCs w:val="1"/>
                <w:i w:val="1"/>
                <w:iCs w:val="1"/>
                <w:color w:val="0000EE"/>
                <w:w w:val="84"/>
              </w:rPr>
            </w:pPr>
            <w:hyperlink w:anchor="page9">
              <w:r>
                <w:rPr>
                  <w:rFonts w:ascii="Arial" w:cs="Arial" w:eastAsia="Arial" w:hAnsi="Arial"/>
                  <w:sz w:val="18"/>
                  <w:szCs w:val="18"/>
                  <w:b w:val="1"/>
                  <w:bCs w:val="1"/>
                  <w:i w:val="1"/>
                  <w:iCs w:val="1"/>
                  <w:color w:val="0000EE"/>
                  <w:w w:val="84"/>
                </w:rPr>
                <w:t>Proxy summary</w:t>
              </w:r>
            </w:hyperlink>
          </w:p>
        </w:tc>
        <w:tc>
          <w:tcPr>
            <w:tcW w:w="12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rPr>
              <w:t>1</w:t>
            </w:r>
          </w:p>
        </w:tc>
      </w:tr>
      <w:tr>
        <w:trPr>
          <w:trHeight w:val="20"/>
        </w:trPr>
        <w:tc>
          <w:tcPr>
            <w:tcW w:w="1320" w:type="dxa"/>
            <w:vAlign w:val="bottom"/>
          </w:tcPr>
          <w:p>
            <w:pPr>
              <w:spacing w:after="0" w:line="20" w:lineRule="exact"/>
              <w:rPr>
                <w:sz w:val="1"/>
                <w:szCs w:val="1"/>
                <w:color w:val="auto"/>
              </w:rPr>
            </w:pPr>
          </w:p>
        </w:tc>
        <w:tc>
          <w:tcPr>
            <w:tcW w:w="1160" w:type="dxa"/>
            <w:vAlign w:val="bottom"/>
            <w:shd w:val="clear" w:color="auto" w:fill="0000EE"/>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1320" w:type="dxa"/>
            <w:vAlign w:val="bottom"/>
          </w:tcPr>
          <w:p>
            <w:pPr>
              <w:spacing w:after="0"/>
              <w:rPr>
                <w:sz w:val="24"/>
                <w:szCs w:val="24"/>
                <w:color w:val="auto"/>
              </w:rPr>
            </w:pPr>
          </w:p>
        </w:tc>
        <w:tc>
          <w:tcPr>
            <w:tcW w:w="1560" w:type="dxa"/>
            <w:vAlign w:val="bottom"/>
            <w:gridSpan w:val="2"/>
          </w:tcPr>
          <w:p>
            <w:pPr>
              <w:jc w:val="right"/>
              <w:ind w:right="400"/>
              <w:spacing w:after="0"/>
              <w:rPr>
                <w:sz w:val="20"/>
                <w:szCs w:val="20"/>
                <w:color w:val="auto"/>
              </w:rPr>
            </w:pPr>
            <w:r>
              <w:rPr>
                <w:rFonts w:ascii="Arial" w:cs="Arial" w:eastAsia="Arial" w:hAnsi="Arial"/>
                <w:sz w:val="18"/>
                <w:szCs w:val="18"/>
                <w:b w:val="1"/>
                <w:bCs w:val="1"/>
                <w:i w:val="1"/>
                <w:iCs w:val="1"/>
                <w:color w:val="auto"/>
              </w:rPr>
              <w:t>Proposal 1</w:t>
            </w:r>
          </w:p>
        </w:tc>
        <w:tc>
          <w:tcPr>
            <w:tcW w:w="1480" w:type="dxa"/>
            <w:vAlign w:val="bottom"/>
            <w:tcBorders>
              <w:bottom w:val="single" w:sz="8" w:color="0000EE"/>
            </w:tcBorders>
            <w:gridSpan w:val="4"/>
          </w:tcPr>
          <w:p>
            <w:pPr>
              <w:spacing w:after="0"/>
              <w:rPr>
                <w:rFonts w:ascii="Arial" w:cs="Arial" w:eastAsia="Arial" w:hAnsi="Arial"/>
                <w:sz w:val="18"/>
                <w:szCs w:val="18"/>
                <w:color w:val="0000EE"/>
                <w:w w:val="91"/>
              </w:rPr>
            </w:pPr>
            <w:hyperlink w:anchor="page18">
              <w:r>
                <w:rPr>
                  <w:rFonts w:ascii="Arial" w:cs="Arial" w:eastAsia="Arial" w:hAnsi="Arial"/>
                  <w:sz w:val="18"/>
                  <w:szCs w:val="18"/>
                  <w:color w:val="0000EE"/>
                  <w:w w:val="91"/>
                </w:rPr>
                <w:t>Election of directors</w:t>
              </w:r>
            </w:hyperlink>
          </w:p>
        </w:tc>
        <w:tc>
          <w:tcPr>
            <w:tcW w:w="4000" w:type="dxa"/>
            <w:vAlign w:val="bottom"/>
            <w:gridSpan w:val="17"/>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10</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20">
              <w:r>
                <w:rPr>
                  <w:rFonts w:ascii="Arial" w:cs="Arial" w:eastAsia="Arial" w:hAnsi="Arial"/>
                  <w:sz w:val="18"/>
                  <w:szCs w:val="18"/>
                  <w:color w:val="0000EE"/>
                </w:rPr>
                <w:t>Nominees for election</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12</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600" w:type="dxa"/>
            <w:vAlign w:val="bottom"/>
            <w:tcBorders>
              <w:top w:val="single" w:sz="8" w:color="0000EE"/>
            </w:tcBorders>
            <w:gridSpan w:val="5"/>
          </w:tcPr>
          <w:p>
            <w:pPr>
              <w:spacing w:after="0"/>
              <w:rPr>
                <w:rFonts w:ascii="Arial" w:cs="Arial" w:eastAsia="Arial" w:hAnsi="Arial"/>
                <w:sz w:val="18"/>
                <w:szCs w:val="18"/>
                <w:color w:val="0000EE"/>
                <w:w w:val="98"/>
              </w:rPr>
            </w:pPr>
            <w:hyperlink w:anchor="page21">
              <w:r>
                <w:rPr>
                  <w:rFonts w:ascii="Arial" w:cs="Arial" w:eastAsia="Arial" w:hAnsi="Arial"/>
                  <w:sz w:val="18"/>
                  <w:szCs w:val="18"/>
                  <w:color w:val="0000EE"/>
                  <w:w w:val="98"/>
                </w:rPr>
                <w:t>Continuing directors</w:t>
              </w:r>
            </w:hyperlink>
          </w:p>
        </w:tc>
        <w:tc>
          <w:tcPr>
            <w:tcW w:w="3880" w:type="dxa"/>
            <w:vAlign w:val="bottom"/>
            <w:gridSpan w:val="16"/>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13</w:t>
            </w:r>
          </w:p>
        </w:tc>
      </w:tr>
      <w:tr>
        <w:trPr>
          <w:trHeight w:val="20"/>
        </w:trPr>
        <w:tc>
          <w:tcPr>
            <w:tcW w:w="2880" w:type="dxa"/>
            <w:vAlign w:val="bottom"/>
            <w:gridSpan w:val="3"/>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2880" w:type="dxa"/>
            <w:vAlign w:val="bottom"/>
            <w:gridSpan w:val="3"/>
          </w:tcPr>
          <w:p>
            <w:pPr>
              <w:jc w:val="right"/>
              <w:ind w:right="400"/>
              <w:spacing w:after="0"/>
              <w:rPr>
                <w:sz w:val="20"/>
                <w:szCs w:val="20"/>
                <w:color w:val="auto"/>
              </w:rPr>
            </w:pPr>
            <w:r>
              <w:rPr>
                <w:rFonts w:ascii="Arial" w:cs="Arial" w:eastAsia="Arial" w:hAnsi="Arial"/>
                <w:sz w:val="18"/>
                <w:szCs w:val="18"/>
                <w:b w:val="1"/>
                <w:bCs w:val="1"/>
                <w:i w:val="1"/>
                <w:iCs w:val="1"/>
                <w:color w:val="auto"/>
                <w:w w:val="94"/>
              </w:rPr>
              <w:t>Board of directors information</w:t>
            </w:r>
          </w:p>
        </w:tc>
        <w:tc>
          <w:tcPr>
            <w:tcW w:w="1860" w:type="dxa"/>
            <w:vAlign w:val="bottom"/>
            <w:tcBorders>
              <w:bottom w:val="single" w:sz="8" w:color="0000EE"/>
            </w:tcBorders>
            <w:gridSpan w:val="9"/>
          </w:tcPr>
          <w:p>
            <w:pPr>
              <w:spacing w:after="0"/>
              <w:rPr>
                <w:rFonts w:ascii="Arial" w:cs="Arial" w:eastAsia="Arial" w:hAnsi="Arial"/>
                <w:sz w:val="18"/>
                <w:szCs w:val="18"/>
                <w:color w:val="0000EE"/>
                <w:w w:val="89"/>
              </w:rPr>
            </w:pPr>
            <w:hyperlink w:anchor="page23">
              <w:r>
                <w:rPr>
                  <w:rFonts w:ascii="Arial" w:cs="Arial" w:eastAsia="Arial" w:hAnsi="Arial"/>
                  <w:sz w:val="18"/>
                  <w:szCs w:val="18"/>
                  <w:color w:val="0000EE"/>
                  <w:w w:val="89"/>
                </w:rPr>
                <w:t>Meetings and committees</w:t>
              </w:r>
            </w:hyperlink>
          </w:p>
        </w:tc>
        <w:tc>
          <w:tcPr>
            <w:tcW w:w="3620" w:type="dxa"/>
            <w:vAlign w:val="bottom"/>
            <w:gridSpan w:val="12"/>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15</w:t>
            </w:r>
          </w:p>
        </w:tc>
      </w:tr>
      <w:tr>
        <w:trPr>
          <w:trHeight w:val="345"/>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w w:val="93"/>
              </w:rPr>
            </w:pPr>
            <w:hyperlink w:anchor="page23">
              <w:r>
                <w:rPr>
                  <w:rFonts w:ascii="Arial" w:cs="Arial" w:eastAsia="Arial" w:hAnsi="Arial"/>
                  <w:sz w:val="18"/>
                  <w:szCs w:val="18"/>
                  <w:color w:val="0000EE"/>
                  <w:w w:val="93"/>
                </w:rPr>
                <w:t>Audit Committee</w:t>
              </w:r>
            </w:hyperlink>
          </w:p>
        </w:tc>
        <w:tc>
          <w:tcPr>
            <w:tcW w:w="4220" w:type="dxa"/>
            <w:vAlign w:val="bottom"/>
            <w:gridSpan w:val="19"/>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15</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740" w:type="dxa"/>
            <w:vAlign w:val="bottom"/>
            <w:tcBorders>
              <w:bottom w:val="single" w:sz="8" w:color="0000EE"/>
            </w:tcBorders>
            <w:gridSpan w:val="8"/>
          </w:tcPr>
          <w:p>
            <w:pPr>
              <w:spacing w:after="0"/>
              <w:rPr>
                <w:rFonts w:ascii="Arial" w:cs="Arial" w:eastAsia="Arial" w:hAnsi="Arial"/>
                <w:sz w:val="18"/>
                <w:szCs w:val="18"/>
                <w:color w:val="0000EE"/>
                <w:w w:val="92"/>
              </w:rPr>
            </w:pPr>
            <w:hyperlink w:anchor="page23">
              <w:r>
                <w:rPr>
                  <w:rFonts w:ascii="Arial" w:cs="Arial" w:eastAsia="Arial" w:hAnsi="Arial"/>
                  <w:sz w:val="18"/>
                  <w:szCs w:val="18"/>
                  <w:color w:val="0000EE"/>
                  <w:w w:val="92"/>
                </w:rPr>
                <w:t>Audit Committee report</w:t>
              </w:r>
            </w:hyperlink>
          </w:p>
        </w:tc>
        <w:tc>
          <w:tcPr>
            <w:tcW w:w="3740" w:type="dxa"/>
            <w:vAlign w:val="bottom"/>
            <w:gridSpan w:val="13"/>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15</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24">
              <w:r>
                <w:rPr>
                  <w:rFonts w:ascii="Arial" w:cs="Arial" w:eastAsia="Arial" w:hAnsi="Arial"/>
                  <w:sz w:val="18"/>
                  <w:szCs w:val="18"/>
                  <w:color w:val="0000EE"/>
                </w:rPr>
                <w:t>Compensation Committee</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16</w:t>
            </w:r>
          </w:p>
        </w:tc>
      </w:tr>
      <w:tr>
        <w:trPr>
          <w:trHeight w:val="20"/>
        </w:trPr>
        <w:tc>
          <w:tcPr>
            <w:tcW w:w="13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40" w:type="dxa"/>
            <w:vAlign w:val="bottom"/>
            <w:tcBorders>
              <w:bottom w:val="single" w:sz="8" w:color="0000EE"/>
            </w:tcBorders>
            <w:gridSpan w:val="20"/>
          </w:tcPr>
          <w:p>
            <w:pPr>
              <w:spacing w:after="0"/>
              <w:rPr>
                <w:rFonts w:ascii="Arial" w:cs="Arial" w:eastAsia="Arial" w:hAnsi="Arial"/>
                <w:sz w:val="18"/>
                <w:szCs w:val="18"/>
                <w:color w:val="0000EE"/>
                <w:w w:val="91"/>
              </w:rPr>
            </w:pPr>
            <w:hyperlink w:anchor="page25">
              <w:r>
                <w:rPr>
                  <w:rFonts w:ascii="Arial" w:cs="Arial" w:eastAsia="Arial" w:hAnsi="Arial"/>
                  <w:sz w:val="18"/>
                  <w:szCs w:val="18"/>
                  <w:color w:val="0000EE"/>
                  <w:w w:val="91"/>
                </w:rPr>
                <w:t>Compensation Committee interlocks and insider participation</w:t>
              </w:r>
            </w:hyperlink>
          </w:p>
        </w:tc>
        <w:tc>
          <w:tcPr>
            <w:tcW w:w="1040" w:type="dxa"/>
            <w:vAlign w:val="bottom"/>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17</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25">
              <w:r>
                <w:rPr>
                  <w:rFonts w:ascii="Arial" w:cs="Arial" w:eastAsia="Arial" w:hAnsi="Arial"/>
                  <w:sz w:val="18"/>
                  <w:szCs w:val="18"/>
                  <w:color w:val="0000EE"/>
                </w:rPr>
                <w:t>Compensation Committee report</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17</w:t>
            </w:r>
          </w:p>
        </w:tc>
      </w:tr>
      <w:tr>
        <w:trPr>
          <w:trHeight w:val="20"/>
        </w:trPr>
        <w:tc>
          <w:tcPr>
            <w:tcW w:w="13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40" w:type="dxa"/>
            <w:vAlign w:val="bottom"/>
            <w:gridSpan w:val="4"/>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700" w:type="dxa"/>
            <w:vAlign w:val="bottom"/>
            <w:tcBorders>
              <w:bottom w:val="single" w:sz="8" w:color="0000EE"/>
            </w:tcBorders>
            <w:gridSpan w:val="19"/>
          </w:tcPr>
          <w:p>
            <w:pPr>
              <w:spacing w:after="0"/>
              <w:rPr>
                <w:rFonts w:ascii="Arial" w:cs="Arial" w:eastAsia="Arial" w:hAnsi="Arial"/>
                <w:sz w:val="18"/>
                <w:szCs w:val="18"/>
                <w:color w:val="0000EE"/>
                <w:w w:val="90"/>
              </w:rPr>
            </w:pPr>
            <w:hyperlink w:anchor="page25">
              <w:r>
                <w:rPr>
                  <w:rFonts w:ascii="Arial" w:cs="Arial" w:eastAsia="Arial" w:hAnsi="Arial"/>
                  <w:sz w:val="18"/>
                  <w:szCs w:val="18"/>
                  <w:color w:val="0000EE"/>
                  <w:w w:val="90"/>
                </w:rPr>
                <w:t>Nominating and Corporate Governance Committee</w:t>
              </w:r>
            </w:hyperlink>
          </w:p>
        </w:tc>
        <w:tc>
          <w:tcPr>
            <w:tcW w:w="1780" w:type="dxa"/>
            <w:vAlign w:val="bottom"/>
            <w:gridSpan w:val="2"/>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17</w:t>
            </w:r>
          </w:p>
        </w:tc>
      </w:tr>
      <w:tr>
        <w:trPr>
          <w:trHeight w:val="331"/>
        </w:trPr>
        <w:tc>
          <w:tcPr>
            <w:tcW w:w="2880" w:type="dxa"/>
            <w:vAlign w:val="bottom"/>
            <w:gridSpan w:val="3"/>
          </w:tcPr>
          <w:p>
            <w:pPr>
              <w:jc w:val="right"/>
              <w:ind w:right="400"/>
              <w:spacing w:after="0"/>
              <w:rPr>
                <w:sz w:val="20"/>
                <w:szCs w:val="20"/>
                <w:color w:val="auto"/>
              </w:rPr>
            </w:pPr>
            <w:r>
              <w:rPr>
                <w:rFonts w:ascii="Arial" w:cs="Arial" w:eastAsia="Arial" w:hAnsi="Arial"/>
                <w:sz w:val="18"/>
                <w:szCs w:val="18"/>
                <w:b w:val="1"/>
                <w:bCs w:val="1"/>
                <w:i w:val="1"/>
                <w:iCs w:val="1"/>
                <w:color w:val="auto"/>
              </w:rPr>
              <w:t>Director compensation</w:t>
            </w:r>
          </w:p>
        </w:tc>
        <w:tc>
          <w:tcPr>
            <w:tcW w:w="5480" w:type="dxa"/>
            <w:vAlign w:val="bottom"/>
            <w:gridSpan w:val="21"/>
          </w:tcPr>
          <w:p>
            <w:pPr>
              <w:spacing w:after="0"/>
              <w:rPr>
                <w:rFonts w:ascii="Arial" w:cs="Arial" w:eastAsia="Arial" w:hAnsi="Arial"/>
                <w:sz w:val="18"/>
                <w:szCs w:val="18"/>
                <w:color w:val="0000EE"/>
              </w:rPr>
            </w:pPr>
            <w:hyperlink w:anchor="page27">
              <w:r>
                <w:rPr>
                  <w:rFonts w:ascii="Arial" w:cs="Arial" w:eastAsia="Arial" w:hAnsi="Arial"/>
                  <w:sz w:val="18"/>
                  <w:szCs w:val="18"/>
                  <w:color w:val="0000EE"/>
                </w:rPr>
                <w:t>Cash compensation</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19</w:t>
            </w:r>
          </w:p>
        </w:tc>
      </w:tr>
      <w:tr>
        <w:trPr>
          <w:trHeight w:val="20"/>
        </w:trPr>
        <w:tc>
          <w:tcPr>
            <w:tcW w:w="13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360" w:type="dxa"/>
            <w:vAlign w:val="bottom"/>
            <w:gridSpan w:val="3"/>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80" w:type="dxa"/>
            <w:vAlign w:val="bottom"/>
            <w:tcBorders>
              <w:bottom w:val="single" w:sz="8" w:color="0000EE"/>
            </w:tcBorders>
            <w:gridSpan w:val="4"/>
          </w:tcPr>
          <w:p>
            <w:pPr>
              <w:spacing w:after="0"/>
              <w:rPr>
                <w:rFonts w:ascii="Arial" w:cs="Arial" w:eastAsia="Arial" w:hAnsi="Arial"/>
                <w:sz w:val="18"/>
                <w:szCs w:val="18"/>
                <w:color w:val="0000EE"/>
                <w:w w:val="88"/>
              </w:rPr>
            </w:pPr>
            <w:hyperlink w:anchor="page27">
              <w:r>
                <w:rPr>
                  <w:rFonts w:ascii="Arial" w:cs="Arial" w:eastAsia="Arial" w:hAnsi="Arial"/>
                  <w:sz w:val="18"/>
                  <w:szCs w:val="18"/>
                  <w:color w:val="0000EE"/>
                  <w:w w:val="88"/>
                </w:rPr>
                <w:t>Stock compensation</w:t>
              </w:r>
            </w:hyperlink>
          </w:p>
        </w:tc>
        <w:tc>
          <w:tcPr>
            <w:tcW w:w="4000" w:type="dxa"/>
            <w:vAlign w:val="bottom"/>
            <w:gridSpan w:val="17"/>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19</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120" w:type="dxa"/>
            <w:vAlign w:val="bottom"/>
            <w:tcBorders>
              <w:bottom w:val="single" w:sz="8" w:color="0000EE"/>
            </w:tcBorders>
            <w:gridSpan w:val="18"/>
          </w:tcPr>
          <w:p>
            <w:pPr>
              <w:spacing w:after="0"/>
              <w:rPr>
                <w:rFonts w:ascii="Arial" w:cs="Arial" w:eastAsia="Arial" w:hAnsi="Arial"/>
                <w:sz w:val="18"/>
                <w:szCs w:val="18"/>
                <w:color w:val="0000EE"/>
                <w:w w:val="89"/>
              </w:rPr>
            </w:pPr>
            <w:hyperlink w:anchor="page28">
              <w:r>
                <w:rPr>
                  <w:rFonts w:ascii="Arial" w:cs="Arial" w:eastAsia="Arial" w:hAnsi="Arial"/>
                  <w:sz w:val="18"/>
                  <w:szCs w:val="18"/>
                  <w:color w:val="0000EE"/>
                  <w:w w:val="89"/>
                </w:rPr>
                <w:t>Changes to director compensation for 2022</w:t>
              </w:r>
            </w:hyperlink>
          </w:p>
        </w:tc>
        <w:tc>
          <w:tcPr>
            <w:tcW w:w="2360" w:type="dxa"/>
            <w:vAlign w:val="bottom"/>
            <w:gridSpan w:val="3"/>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20</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660" w:type="dxa"/>
            <w:vAlign w:val="bottom"/>
            <w:tcBorders>
              <w:bottom w:val="single" w:sz="8" w:color="0000EE"/>
            </w:tcBorders>
            <w:gridSpan w:val="7"/>
          </w:tcPr>
          <w:p>
            <w:pPr>
              <w:spacing w:after="0"/>
              <w:rPr>
                <w:rFonts w:ascii="Arial" w:cs="Arial" w:eastAsia="Arial" w:hAnsi="Arial"/>
                <w:sz w:val="18"/>
                <w:szCs w:val="18"/>
                <w:color w:val="0000EE"/>
                <w:w w:val="90"/>
              </w:rPr>
            </w:pPr>
            <w:hyperlink w:anchor="page28">
              <w:r>
                <w:rPr>
                  <w:rFonts w:ascii="Arial" w:cs="Arial" w:eastAsia="Arial" w:hAnsi="Arial"/>
                  <w:sz w:val="18"/>
                  <w:szCs w:val="18"/>
                  <w:color w:val="0000EE"/>
                  <w:w w:val="90"/>
                </w:rPr>
                <w:t>Compensation deferral</w:t>
              </w:r>
            </w:hyperlink>
          </w:p>
        </w:tc>
        <w:tc>
          <w:tcPr>
            <w:tcW w:w="3820" w:type="dxa"/>
            <w:vAlign w:val="bottom"/>
            <w:gridSpan w:val="14"/>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20</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28">
              <w:r>
                <w:rPr>
                  <w:rFonts w:ascii="Arial" w:cs="Arial" w:eastAsia="Arial" w:hAnsi="Arial"/>
                  <w:sz w:val="18"/>
                  <w:szCs w:val="18"/>
                  <w:color w:val="0000EE"/>
                </w:rPr>
                <w:t>2021 Director compensation table</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20</w:t>
            </w:r>
          </w:p>
        </w:tc>
      </w:tr>
      <w:tr>
        <w:trPr>
          <w:trHeight w:val="20"/>
        </w:trPr>
        <w:tc>
          <w:tcPr>
            <w:tcW w:w="2880" w:type="dxa"/>
            <w:vAlign w:val="bottom"/>
            <w:gridSpan w:val="3"/>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400" w:type="dxa"/>
            <w:vAlign w:val="bottom"/>
            <w:gridSpan w:val="5"/>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40" w:type="dxa"/>
            <w:vAlign w:val="bottom"/>
            <w:gridSpan w:val="4"/>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520" w:type="dxa"/>
            <w:vAlign w:val="bottom"/>
            <w:gridSpan w:val="4"/>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2880" w:type="dxa"/>
            <w:vAlign w:val="bottom"/>
            <w:gridSpan w:val="3"/>
          </w:tcPr>
          <w:p>
            <w:pPr>
              <w:jc w:val="right"/>
              <w:ind w:right="400"/>
              <w:spacing w:after="0"/>
              <w:rPr>
                <w:sz w:val="20"/>
                <w:szCs w:val="20"/>
                <w:color w:val="auto"/>
              </w:rPr>
            </w:pPr>
            <w:r>
              <w:rPr>
                <w:rFonts w:ascii="Arial" w:cs="Arial" w:eastAsia="Arial" w:hAnsi="Arial"/>
                <w:sz w:val="18"/>
                <w:szCs w:val="18"/>
                <w:b w:val="1"/>
                <w:bCs w:val="1"/>
                <w:i w:val="1"/>
                <w:iCs w:val="1"/>
                <w:color w:val="auto"/>
                <w:w w:val="85"/>
              </w:rPr>
              <w:t>Our commitment to sustainability</w:t>
            </w:r>
          </w:p>
        </w:tc>
        <w:tc>
          <w:tcPr>
            <w:tcW w:w="5480" w:type="dxa"/>
            <w:vAlign w:val="bottom"/>
            <w:gridSpan w:val="21"/>
          </w:tcPr>
          <w:p>
            <w:pPr>
              <w:spacing w:after="0"/>
              <w:rPr>
                <w:rFonts w:ascii="Arial" w:cs="Arial" w:eastAsia="Arial" w:hAnsi="Arial"/>
                <w:sz w:val="18"/>
                <w:szCs w:val="18"/>
                <w:color w:val="0000EE"/>
              </w:rPr>
            </w:pPr>
            <w:hyperlink w:anchor="page30">
              <w:r>
                <w:rPr>
                  <w:rFonts w:ascii="Arial" w:cs="Arial" w:eastAsia="Arial" w:hAnsi="Arial"/>
                  <w:sz w:val="18"/>
                  <w:szCs w:val="18"/>
                  <w:color w:val="0000EE"/>
                </w:rPr>
                <w:t>ESG oversight and risk management</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22</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660" w:type="dxa"/>
            <w:vAlign w:val="bottom"/>
            <w:tcBorders>
              <w:top w:val="single" w:sz="8" w:color="0000EE"/>
              <w:bottom w:val="single" w:sz="8" w:color="0000EE"/>
            </w:tcBorders>
            <w:gridSpan w:val="7"/>
          </w:tcPr>
          <w:p>
            <w:pPr>
              <w:spacing w:after="0"/>
              <w:rPr>
                <w:rFonts w:ascii="Arial" w:cs="Arial" w:eastAsia="Arial" w:hAnsi="Arial"/>
                <w:sz w:val="18"/>
                <w:szCs w:val="18"/>
                <w:color w:val="0000EE"/>
                <w:w w:val="89"/>
              </w:rPr>
            </w:pPr>
            <w:hyperlink w:anchor="page32">
              <w:r>
                <w:rPr>
                  <w:rFonts w:ascii="Arial" w:cs="Arial" w:eastAsia="Arial" w:hAnsi="Arial"/>
                  <w:sz w:val="18"/>
                  <w:szCs w:val="18"/>
                  <w:color w:val="0000EE"/>
                  <w:w w:val="89"/>
                </w:rPr>
                <w:t>Materiality assessment</w:t>
              </w:r>
            </w:hyperlink>
          </w:p>
        </w:tc>
        <w:tc>
          <w:tcPr>
            <w:tcW w:w="980" w:type="dxa"/>
            <w:vAlign w:val="bottom"/>
            <w:tcBorders>
              <w:top w:val="single" w:sz="8" w:color="0000EE"/>
            </w:tcBorders>
            <w:gridSpan w:val="9"/>
          </w:tcPr>
          <w:p>
            <w:pPr>
              <w:spacing w:after="0"/>
              <w:rPr>
                <w:sz w:val="24"/>
                <w:szCs w:val="24"/>
                <w:color w:val="auto"/>
              </w:rPr>
            </w:pPr>
          </w:p>
        </w:tc>
        <w:tc>
          <w:tcPr>
            <w:tcW w:w="2840" w:type="dxa"/>
            <w:vAlign w:val="bottom"/>
            <w:gridSpan w:val="5"/>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24</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980" w:type="dxa"/>
            <w:vAlign w:val="bottom"/>
            <w:tcBorders>
              <w:bottom w:val="single" w:sz="8" w:color="0000EE"/>
            </w:tcBorders>
            <w:gridSpan w:val="12"/>
          </w:tcPr>
          <w:p>
            <w:pPr>
              <w:spacing w:after="0"/>
              <w:rPr>
                <w:rFonts w:ascii="Arial" w:cs="Arial" w:eastAsia="Arial" w:hAnsi="Arial"/>
                <w:sz w:val="18"/>
                <w:szCs w:val="18"/>
                <w:color w:val="0000EE"/>
                <w:w w:val="90"/>
              </w:rPr>
            </w:pPr>
            <w:hyperlink w:anchor="page33">
              <w:r>
                <w:rPr>
                  <w:rFonts w:ascii="Arial" w:cs="Arial" w:eastAsia="Arial" w:hAnsi="Arial"/>
                  <w:sz w:val="18"/>
                  <w:szCs w:val="18"/>
                  <w:color w:val="0000EE"/>
                  <w:w w:val="90"/>
                </w:rPr>
                <w:t>Environmental stewardship</w:t>
              </w:r>
            </w:hyperlink>
          </w:p>
        </w:tc>
        <w:tc>
          <w:tcPr>
            <w:tcW w:w="3500" w:type="dxa"/>
            <w:vAlign w:val="bottom"/>
            <w:gridSpan w:val="9"/>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25</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33">
              <w:r>
                <w:rPr>
                  <w:rFonts w:ascii="Arial" w:cs="Arial" w:eastAsia="Arial" w:hAnsi="Arial"/>
                  <w:sz w:val="18"/>
                  <w:szCs w:val="18"/>
                  <w:color w:val="0000EE"/>
                </w:rPr>
                <w:t>Social commitment</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25</w:t>
            </w:r>
          </w:p>
        </w:tc>
      </w:tr>
      <w:tr>
        <w:trPr>
          <w:trHeight w:val="20"/>
        </w:trPr>
        <w:tc>
          <w:tcPr>
            <w:tcW w:w="2880" w:type="dxa"/>
            <w:vAlign w:val="bottom"/>
            <w:gridSpan w:val="3"/>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2520" w:type="dxa"/>
            <w:vAlign w:val="bottom"/>
            <w:gridSpan w:val="4"/>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2880" w:type="dxa"/>
            <w:vAlign w:val="bottom"/>
            <w:gridSpan w:val="3"/>
          </w:tcPr>
          <w:p>
            <w:pPr>
              <w:jc w:val="right"/>
              <w:ind w:right="400"/>
              <w:spacing w:after="0"/>
              <w:rPr>
                <w:sz w:val="20"/>
                <w:szCs w:val="20"/>
                <w:color w:val="auto"/>
              </w:rPr>
            </w:pPr>
            <w:r>
              <w:rPr>
                <w:rFonts w:ascii="Arial" w:cs="Arial" w:eastAsia="Arial" w:hAnsi="Arial"/>
                <w:sz w:val="18"/>
                <w:szCs w:val="18"/>
                <w:b w:val="1"/>
                <w:bCs w:val="1"/>
                <w:i w:val="1"/>
                <w:iCs w:val="1"/>
                <w:color w:val="auto"/>
              </w:rPr>
              <w:t>Corporate governance</w:t>
            </w:r>
          </w:p>
        </w:tc>
        <w:tc>
          <w:tcPr>
            <w:tcW w:w="5480" w:type="dxa"/>
            <w:vAlign w:val="bottom"/>
            <w:gridSpan w:val="21"/>
          </w:tcPr>
          <w:p>
            <w:pPr>
              <w:spacing w:after="0"/>
              <w:rPr>
                <w:rFonts w:ascii="Arial" w:cs="Arial" w:eastAsia="Arial" w:hAnsi="Arial"/>
                <w:sz w:val="18"/>
                <w:szCs w:val="18"/>
                <w:color w:val="0000EE"/>
              </w:rPr>
            </w:pPr>
            <w:hyperlink w:anchor="page35">
              <w:r>
                <w:rPr>
                  <w:rFonts w:ascii="Arial" w:cs="Arial" w:eastAsia="Arial" w:hAnsi="Arial"/>
                  <w:sz w:val="18"/>
                  <w:szCs w:val="18"/>
                  <w:color w:val="0000EE"/>
                </w:rPr>
                <w:t>Corporate Governance Guidelines</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27</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40" w:type="dxa"/>
            <w:vAlign w:val="bottom"/>
            <w:tcBorders>
              <w:top w:val="single" w:sz="8" w:color="0000EE"/>
              <w:bottom w:val="single" w:sz="8" w:color="0000EE"/>
            </w:tcBorders>
          </w:tcPr>
          <w:p>
            <w:pPr>
              <w:spacing w:after="0"/>
              <w:rPr>
                <w:rFonts w:ascii="Arial" w:cs="Arial" w:eastAsia="Arial" w:hAnsi="Arial"/>
                <w:sz w:val="18"/>
                <w:szCs w:val="18"/>
                <w:color w:val="0000EE"/>
                <w:w w:val="90"/>
              </w:rPr>
            </w:pPr>
            <w:hyperlink w:anchor="page35">
              <w:r>
                <w:rPr>
                  <w:rFonts w:ascii="Arial" w:cs="Arial" w:eastAsia="Arial" w:hAnsi="Arial"/>
                  <w:sz w:val="18"/>
                  <w:szCs w:val="18"/>
                  <w:color w:val="0000EE"/>
                  <w:w w:val="90"/>
                </w:rPr>
                <w:t>Code of Conduct</w:t>
              </w:r>
            </w:hyperlink>
          </w:p>
        </w:tc>
        <w:tc>
          <w:tcPr>
            <w:tcW w:w="1220" w:type="dxa"/>
            <w:vAlign w:val="bottom"/>
            <w:tcBorders>
              <w:top w:val="single" w:sz="8" w:color="0000EE"/>
            </w:tcBorders>
            <w:gridSpan w:val="14"/>
          </w:tcPr>
          <w:p>
            <w:pPr>
              <w:spacing w:after="0"/>
              <w:rPr>
                <w:sz w:val="24"/>
                <w:szCs w:val="24"/>
                <w:color w:val="auto"/>
              </w:rPr>
            </w:pPr>
          </w:p>
        </w:tc>
        <w:tc>
          <w:tcPr>
            <w:tcW w:w="3020" w:type="dxa"/>
            <w:vAlign w:val="bottom"/>
            <w:gridSpan w:val="6"/>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27</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640" w:type="dxa"/>
            <w:vAlign w:val="bottom"/>
            <w:tcBorders>
              <w:bottom w:val="single" w:sz="8" w:color="0000EE"/>
            </w:tcBorders>
            <w:gridSpan w:val="6"/>
          </w:tcPr>
          <w:p>
            <w:pPr>
              <w:spacing w:after="0"/>
              <w:rPr>
                <w:rFonts w:ascii="Arial" w:cs="Arial" w:eastAsia="Arial" w:hAnsi="Arial"/>
                <w:sz w:val="18"/>
                <w:szCs w:val="18"/>
                <w:color w:val="0000EE"/>
                <w:w w:val="89"/>
              </w:rPr>
            </w:pPr>
            <w:hyperlink w:anchor="page35">
              <w:r>
                <w:rPr>
                  <w:rFonts w:ascii="Arial" w:cs="Arial" w:eastAsia="Arial" w:hAnsi="Arial"/>
                  <w:sz w:val="18"/>
                  <w:szCs w:val="18"/>
                  <w:color w:val="0000EE"/>
                  <w:w w:val="89"/>
                </w:rPr>
                <w:t>Director independence</w:t>
              </w:r>
            </w:hyperlink>
          </w:p>
        </w:tc>
        <w:tc>
          <w:tcPr>
            <w:tcW w:w="3840" w:type="dxa"/>
            <w:vAlign w:val="bottom"/>
            <w:gridSpan w:val="15"/>
          </w:tcPr>
          <w:p>
            <w:pPr>
              <w:spacing w:after="0"/>
              <w:rPr>
                <w:sz w:val="24"/>
                <w:szCs w:val="24"/>
                <w:color w:val="auto"/>
              </w:rPr>
            </w:pPr>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27</w:t>
            </w: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35">
              <w:r>
                <w:rPr>
                  <w:rFonts w:ascii="Arial" w:cs="Arial" w:eastAsia="Arial" w:hAnsi="Arial"/>
                  <w:sz w:val="18"/>
                  <w:szCs w:val="18"/>
                  <w:color w:val="0000EE"/>
                </w:rPr>
                <w:t>Board leadership structure</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27</w:t>
            </w:r>
          </w:p>
        </w:tc>
      </w:tr>
      <w:tr>
        <w:trPr>
          <w:trHeight w:val="20"/>
        </w:trPr>
        <w:tc>
          <w:tcPr>
            <w:tcW w:w="13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900" w:type="dxa"/>
            <w:vAlign w:val="bottom"/>
            <w:gridSpan w:val="11"/>
            <w:shd w:val="clear" w:color="auto" w:fill="0000EE"/>
          </w:tcPr>
          <w:p>
            <w:pPr>
              <w:spacing w:after="0" w:line="20" w:lineRule="exact"/>
              <w:rPr>
                <w:sz w:val="1"/>
                <w:szCs w:val="1"/>
                <w:color w:val="auto"/>
              </w:rPr>
            </w:pPr>
          </w:p>
        </w:tc>
        <w:tc>
          <w:tcPr>
            <w:tcW w:w="1060" w:type="dxa"/>
            <w:vAlign w:val="bottom"/>
            <w:gridSpan w:val="6"/>
          </w:tcPr>
          <w:p>
            <w:pPr>
              <w:spacing w:after="0" w:line="20" w:lineRule="exact"/>
              <w:rPr>
                <w:sz w:val="1"/>
                <w:szCs w:val="1"/>
                <w:color w:val="auto"/>
              </w:rPr>
            </w:pPr>
          </w:p>
        </w:tc>
        <w:tc>
          <w:tcPr>
            <w:tcW w:w="2520" w:type="dxa"/>
            <w:vAlign w:val="bottom"/>
            <w:gridSpan w:val="4"/>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331"/>
        </w:trPr>
        <w:tc>
          <w:tcPr>
            <w:tcW w:w="13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480" w:type="dxa"/>
            <w:vAlign w:val="bottom"/>
            <w:gridSpan w:val="21"/>
          </w:tcPr>
          <w:p>
            <w:pPr>
              <w:spacing w:after="0"/>
              <w:rPr>
                <w:rFonts w:ascii="Arial" w:cs="Arial" w:eastAsia="Arial" w:hAnsi="Arial"/>
                <w:sz w:val="18"/>
                <w:szCs w:val="18"/>
                <w:color w:val="0000EE"/>
              </w:rPr>
            </w:pPr>
            <w:hyperlink w:anchor="page36">
              <w:r>
                <w:rPr>
                  <w:rFonts w:ascii="Arial" w:cs="Arial" w:eastAsia="Arial" w:hAnsi="Arial"/>
                  <w:sz w:val="18"/>
                  <w:szCs w:val="18"/>
                  <w:color w:val="0000EE"/>
                </w:rPr>
                <w:t>Annual board and committee evaluations</w:t>
              </w:r>
            </w:hyperlink>
          </w:p>
        </w:tc>
        <w:tc>
          <w:tcPr>
            <w:tcW w:w="1240" w:type="dxa"/>
            <w:vAlign w:val="bottom"/>
          </w:tcPr>
          <w:p>
            <w:pPr>
              <w:ind w:left="1060"/>
              <w:spacing w:after="0"/>
              <w:rPr>
                <w:sz w:val="20"/>
                <w:szCs w:val="20"/>
                <w:color w:val="auto"/>
              </w:rPr>
            </w:pPr>
            <w:r>
              <w:rPr>
                <w:rFonts w:ascii="Arial" w:cs="Arial" w:eastAsia="Arial" w:hAnsi="Arial"/>
                <w:sz w:val="18"/>
                <w:szCs w:val="18"/>
                <w:color w:val="auto"/>
                <w:w w:val="79"/>
              </w:rPr>
              <w:t>28</w:t>
            </w:r>
          </w:p>
        </w:tc>
      </w:tr>
      <w:tr>
        <w:trPr>
          <w:trHeight w:val="20"/>
        </w:trPr>
        <w:tc>
          <w:tcPr>
            <w:tcW w:w="13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bl>
    <w:p>
      <w:pPr>
        <w:sectPr>
          <w:pgSz w:w="11900" w:h="16838" w:orient="portrait"/>
          <w:cols w:equalWidth="0" w:num="1">
            <w:col w:w="10860"/>
          </w:cols>
          <w:pgMar w:left="320" w:top="459" w:right="71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41" w:lineRule="exact"/>
        <w:rPr>
          <w:sz w:val="20"/>
          <w:szCs w:val="20"/>
          <w:color w:val="auto"/>
        </w:rPr>
      </w:pPr>
    </w:p>
    <w:tbl>
      <w:tblPr>
        <w:tblLayout w:type="fixed"/>
        <w:tblInd w:w="2020" w:type="dxa"/>
        <w:tblCellMar>
          <w:top w:w="0" w:type="dxa"/>
          <w:left w:w="0" w:type="dxa"/>
          <w:bottom w:w="0" w:type="dxa"/>
          <w:right w:w="0" w:type="dxa"/>
        </w:tblCellMar>
      </w:tblPr>
      <w:tr>
        <w:trPr>
          <w:trHeight w:val="207"/>
        </w:trPr>
        <w:tc>
          <w:tcPr>
            <w:tcW w:w="2280" w:type="dxa"/>
            <w:vAlign w:val="bottom"/>
          </w:tcPr>
          <w:p>
            <w:pPr>
              <w:spacing w:after="0"/>
              <w:rPr>
                <w:sz w:val="17"/>
                <w:szCs w:val="17"/>
                <w:color w:val="auto"/>
              </w:rPr>
            </w:pPr>
          </w:p>
        </w:tc>
        <w:tc>
          <w:tcPr>
            <w:tcW w:w="5900" w:type="dxa"/>
            <w:vAlign w:val="bottom"/>
            <w:gridSpan w:val="23"/>
          </w:tcPr>
          <w:p>
            <w:pPr>
              <w:spacing w:after="0"/>
              <w:rPr>
                <w:rFonts w:ascii="Arial" w:cs="Arial" w:eastAsia="Arial" w:hAnsi="Arial"/>
                <w:sz w:val="18"/>
                <w:szCs w:val="18"/>
                <w:color w:val="0000EE"/>
              </w:rPr>
            </w:pPr>
            <w:hyperlink w:anchor="page36">
              <w:r>
                <w:rPr>
                  <w:rFonts w:ascii="Arial" w:cs="Arial" w:eastAsia="Arial" w:hAnsi="Arial"/>
                  <w:sz w:val="18"/>
                  <w:szCs w:val="18"/>
                  <w:color w:val="0000EE"/>
                </w:rPr>
                <w:t>Director tenure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331"/>
        </w:trPr>
        <w:tc>
          <w:tcPr>
            <w:tcW w:w="2280" w:type="dxa"/>
            <w:vAlign w:val="bottom"/>
          </w:tcPr>
          <w:p>
            <w:pPr>
              <w:spacing w:after="0"/>
              <w:rPr>
                <w:sz w:val="24"/>
                <w:szCs w:val="24"/>
                <w:color w:val="auto"/>
              </w:rPr>
            </w:pPr>
          </w:p>
        </w:tc>
        <w:tc>
          <w:tcPr>
            <w:tcW w:w="1040" w:type="dxa"/>
            <w:vAlign w:val="bottom"/>
            <w:tcBorders>
              <w:top w:val="single" w:sz="8" w:color="0000EE"/>
              <w:bottom w:val="single" w:sz="8" w:color="0000EE"/>
            </w:tcBorders>
          </w:tcPr>
          <w:p>
            <w:pPr>
              <w:spacing w:after="0"/>
              <w:rPr>
                <w:rFonts w:ascii="Arial" w:cs="Arial" w:eastAsia="Arial" w:hAnsi="Arial"/>
                <w:sz w:val="18"/>
                <w:szCs w:val="18"/>
                <w:color w:val="0000EE"/>
                <w:w w:val="90"/>
              </w:rPr>
            </w:pPr>
            <w:hyperlink w:anchor="page36">
              <w:r>
                <w:rPr>
                  <w:rFonts w:ascii="Arial" w:cs="Arial" w:eastAsia="Arial" w:hAnsi="Arial"/>
                  <w:sz w:val="18"/>
                  <w:szCs w:val="18"/>
                  <w:color w:val="0000EE"/>
                  <w:w w:val="90"/>
                </w:rPr>
                <w:t>Risk oversight</w:t>
              </w:r>
            </w:hyperlink>
          </w:p>
        </w:tc>
        <w:tc>
          <w:tcPr>
            <w:tcW w:w="40" w:type="dxa"/>
            <w:vAlign w:val="bottom"/>
            <w:tcBorders>
              <w:top w:val="single" w:sz="8" w:color="0000EE"/>
            </w:tcBorders>
          </w:tcPr>
          <w:p>
            <w:pPr>
              <w:spacing w:after="0"/>
              <w:rPr>
                <w:sz w:val="24"/>
                <w:szCs w:val="24"/>
                <w:color w:val="auto"/>
              </w:rPr>
            </w:pPr>
          </w:p>
        </w:tc>
        <w:tc>
          <w:tcPr>
            <w:tcW w:w="4820" w:type="dxa"/>
            <w:vAlign w:val="bottom"/>
            <w:gridSpan w:val="21"/>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37">
              <w:r>
                <w:rPr>
                  <w:rFonts w:ascii="Arial" w:cs="Arial" w:eastAsia="Arial" w:hAnsi="Arial"/>
                  <w:sz w:val="18"/>
                  <w:szCs w:val="18"/>
                  <w:color w:val="0000EE"/>
                </w:rPr>
                <w:t>Related party transactions approval policy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331"/>
        </w:trPr>
        <w:tc>
          <w:tcPr>
            <w:tcW w:w="2280" w:type="dxa"/>
            <w:vAlign w:val="bottom"/>
          </w:tcPr>
          <w:p>
            <w:pPr>
              <w:spacing w:after="0"/>
              <w:rPr>
                <w:sz w:val="24"/>
                <w:szCs w:val="24"/>
                <w:color w:val="auto"/>
              </w:rPr>
            </w:pPr>
          </w:p>
        </w:tc>
        <w:tc>
          <w:tcPr>
            <w:tcW w:w="3020" w:type="dxa"/>
            <w:vAlign w:val="bottom"/>
            <w:tcBorders>
              <w:top w:val="single" w:sz="8" w:color="0000EE"/>
            </w:tcBorders>
            <w:gridSpan w:val="14"/>
          </w:tcPr>
          <w:p>
            <w:pPr>
              <w:spacing w:after="0"/>
              <w:rPr>
                <w:rFonts w:ascii="Arial" w:cs="Arial" w:eastAsia="Arial" w:hAnsi="Arial"/>
                <w:sz w:val="18"/>
                <w:szCs w:val="18"/>
                <w:color w:val="0000EE"/>
              </w:rPr>
            </w:pPr>
            <w:hyperlink w:anchor="page38">
              <w:r>
                <w:rPr>
                  <w:rFonts w:ascii="Arial" w:cs="Arial" w:eastAsia="Arial" w:hAnsi="Arial"/>
                  <w:sz w:val="18"/>
                  <w:szCs w:val="18"/>
                  <w:color w:val="0000EE"/>
                </w:rPr>
                <w:t>Anti-hedging policy</w:t>
              </w:r>
            </w:hyperlink>
          </w:p>
        </w:tc>
        <w:tc>
          <w:tcPr>
            <w:tcW w:w="2880" w:type="dxa"/>
            <w:vAlign w:val="bottom"/>
            <w:gridSpan w:val="9"/>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357"/>
        </w:trPr>
        <w:tc>
          <w:tcPr>
            <w:tcW w:w="2280" w:type="dxa"/>
            <w:vAlign w:val="bottom"/>
          </w:tcPr>
          <w:p>
            <w:pPr>
              <w:jc w:val="right"/>
              <w:ind w:right="310"/>
              <w:spacing w:after="0"/>
              <w:rPr>
                <w:sz w:val="20"/>
                <w:szCs w:val="20"/>
                <w:color w:val="auto"/>
              </w:rPr>
            </w:pPr>
            <w:r>
              <w:rPr>
                <w:rFonts w:ascii="Arial" w:cs="Arial" w:eastAsia="Arial" w:hAnsi="Arial"/>
                <w:sz w:val="18"/>
                <w:szCs w:val="18"/>
                <w:b w:val="1"/>
                <w:bCs w:val="1"/>
                <w:i w:val="1"/>
                <w:iCs w:val="1"/>
                <w:color w:val="auto"/>
                <w:w w:val="92"/>
              </w:rPr>
              <w:t>Beneficial ownership of</w:t>
            </w:r>
          </w:p>
        </w:tc>
        <w:tc>
          <w:tcPr>
            <w:tcW w:w="104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4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90"/>
        </w:trPr>
        <w:tc>
          <w:tcPr>
            <w:tcW w:w="2280" w:type="dxa"/>
            <w:vAlign w:val="bottom"/>
          </w:tcPr>
          <w:p>
            <w:pPr>
              <w:jc w:val="right"/>
              <w:ind w:right="310"/>
              <w:spacing w:after="0" w:line="190" w:lineRule="exact"/>
              <w:rPr>
                <w:sz w:val="20"/>
                <w:szCs w:val="20"/>
                <w:color w:val="auto"/>
              </w:rPr>
            </w:pPr>
            <w:r>
              <w:rPr>
                <w:rFonts w:ascii="Arial" w:cs="Arial" w:eastAsia="Arial" w:hAnsi="Arial"/>
                <w:sz w:val="18"/>
                <w:szCs w:val="18"/>
                <w:b w:val="1"/>
                <w:bCs w:val="1"/>
                <w:i w:val="1"/>
                <w:iCs w:val="1"/>
                <w:color w:val="auto"/>
              </w:rPr>
              <w:t>common stock</w:t>
            </w:r>
          </w:p>
        </w:tc>
        <w:tc>
          <w:tcPr>
            <w:tcW w:w="2360" w:type="dxa"/>
            <w:vAlign w:val="bottom"/>
            <w:tcBorders>
              <w:bottom w:val="single" w:sz="8" w:color="0000EE"/>
            </w:tcBorders>
            <w:gridSpan w:val="9"/>
          </w:tcPr>
          <w:p>
            <w:pPr>
              <w:spacing w:after="0" w:line="190" w:lineRule="exact"/>
              <w:rPr>
                <w:rFonts w:ascii="Arial" w:cs="Arial" w:eastAsia="Arial" w:hAnsi="Arial"/>
                <w:sz w:val="18"/>
                <w:szCs w:val="18"/>
                <w:color w:val="0000EE"/>
                <w:w w:val="91"/>
              </w:rPr>
            </w:pPr>
            <w:hyperlink w:anchor="page39">
              <w:r>
                <w:rPr>
                  <w:rFonts w:ascii="Arial" w:cs="Arial" w:eastAsia="Arial" w:hAnsi="Arial"/>
                  <w:sz w:val="18"/>
                  <w:szCs w:val="18"/>
                  <w:color w:val="0000EE"/>
                  <w:w w:val="91"/>
                </w:rPr>
                <w:t>Directors and officers ownership</w:t>
              </w:r>
            </w:hyperlink>
          </w:p>
        </w:tc>
        <w:tc>
          <w:tcPr>
            <w:tcW w:w="3540" w:type="dxa"/>
            <w:vAlign w:val="bottom"/>
            <w:gridSpan w:val="14"/>
          </w:tcPr>
          <w:p>
            <w:pPr>
              <w:spacing w:after="0"/>
              <w:rPr>
                <w:sz w:val="16"/>
                <w:szCs w:val="16"/>
                <w:color w:val="auto"/>
              </w:rPr>
            </w:pPr>
          </w:p>
        </w:tc>
        <w:tc>
          <w:tcPr>
            <w:tcW w:w="800" w:type="dxa"/>
            <w:vAlign w:val="bottom"/>
          </w:tcPr>
          <w:p>
            <w:pPr>
              <w:jc w:val="right"/>
              <w:spacing w:after="0" w:line="190" w:lineRule="exact"/>
              <w:rPr>
                <w:sz w:val="20"/>
                <w:szCs w:val="20"/>
                <w:color w:val="auto"/>
              </w:rPr>
            </w:pPr>
            <w:r>
              <w:rPr>
                <w:rFonts w:ascii="Arial" w:cs="Arial" w:eastAsia="Arial" w:hAnsi="Arial"/>
                <w:sz w:val="18"/>
                <w:szCs w:val="18"/>
                <w:color w:val="auto"/>
              </w:rPr>
              <w:t>31</w:t>
            </w: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40">
              <w:r>
                <w:rPr>
                  <w:rFonts w:ascii="Arial" w:cs="Arial" w:eastAsia="Arial" w:hAnsi="Arial"/>
                  <w:sz w:val="18"/>
                  <w:szCs w:val="18"/>
                  <w:color w:val="0000EE"/>
                </w:rPr>
                <w:t>Five percent shareholders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jc w:val="right"/>
              <w:ind w:right="310"/>
              <w:spacing w:after="0"/>
              <w:rPr>
                <w:sz w:val="20"/>
                <w:szCs w:val="20"/>
                <w:color w:val="auto"/>
              </w:rPr>
            </w:pPr>
            <w:r>
              <w:rPr>
                <w:rFonts w:ascii="Arial" w:cs="Arial" w:eastAsia="Arial" w:hAnsi="Arial"/>
                <w:sz w:val="18"/>
                <w:szCs w:val="18"/>
                <w:b w:val="1"/>
                <w:bCs w:val="1"/>
                <w:i w:val="1"/>
                <w:iCs w:val="1"/>
                <w:color w:val="auto"/>
              </w:rPr>
              <w:t>Proposal 2</w:t>
            </w:r>
          </w:p>
        </w:tc>
        <w:tc>
          <w:tcPr>
            <w:tcW w:w="3400" w:type="dxa"/>
            <w:vAlign w:val="bottom"/>
            <w:tcBorders>
              <w:bottom w:val="single" w:sz="8" w:color="0000EE"/>
            </w:tcBorders>
            <w:gridSpan w:val="16"/>
          </w:tcPr>
          <w:p>
            <w:pPr>
              <w:spacing w:after="0"/>
              <w:rPr>
                <w:rFonts w:ascii="Arial" w:cs="Arial" w:eastAsia="Arial" w:hAnsi="Arial"/>
                <w:sz w:val="18"/>
                <w:szCs w:val="18"/>
                <w:color w:val="0000EE"/>
                <w:w w:val="91"/>
              </w:rPr>
            </w:pPr>
            <w:hyperlink w:anchor="page41">
              <w:r>
                <w:rPr>
                  <w:rFonts w:ascii="Arial" w:cs="Arial" w:eastAsia="Arial" w:hAnsi="Arial"/>
                  <w:sz w:val="18"/>
                  <w:szCs w:val="18"/>
                  <w:color w:val="0000EE"/>
                  <w:w w:val="91"/>
                </w:rPr>
                <w:t>Ratification of selection of independent auditor</w:t>
              </w:r>
            </w:hyperlink>
          </w:p>
        </w:tc>
        <w:tc>
          <w:tcPr>
            <w:tcW w:w="2500" w:type="dxa"/>
            <w:vAlign w:val="bottom"/>
            <w:gridSpan w:val="7"/>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331"/>
        </w:trPr>
        <w:tc>
          <w:tcPr>
            <w:tcW w:w="2280" w:type="dxa"/>
            <w:vAlign w:val="bottom"/>
          </w:tcPr>
          <w:p>
            <w:pPr>
              <w:spacing w:after="0"/>
              <w:rPr>
                <w:sz w:val="24"/>
                <w:szCs w:val="24"/>
                <w:color w:val="auto"/>
              </w:rPr>
            </w:pPr>
          </w:p>
        </w:tc>
        <w:tc>
          <w:tcPr>
            <w:tcW w:w="2940" w:type="dxa"/>
            <w:vAlign w:val="bottom"/>
            <w:tcBorders>
              <w:bottom w:val="single" w:sz="8" w:color="0000EE"/>
            </w:tcBorders>
            <w:gridSpan w:val="13"/>
          </w:tcPr>
          <w:p>
            <w:pPr>
              <w:spacing w:after="0"/>
              <w:rPr>
                <w:rFonts w:ascii="Arial" w:cs="Arial" w:eastAsia="Arial" w:hAnsi="Arial"/>
                <w:sz w:val="18"/>
                <w:szCs w:val="18"/>
                <w:color w:val="0000EE"/>
                <w:w w:val="90"/>
              </w:rPr>
            </w:pPr>
            <w:hyperlink w:anchor="page42">
              <w:r>
                <w:rPr>
                  <w:rFonts w:ascii="Arial" w:cs="Arial" w:eastAsia="Arial" w:hAnsi="Arial"/>
                  <w:sz w:val="18"/>
                  <w:szCs w:val="18"/>
                  <w:color w:val="0000EE"/>
                  <w:w w:val="90"/>
                </w:rPr>
                <w:t>Services of independent auditor for 2021</w:t>
              </w:r>
            </w:hyperlink>
          </w:p>
        </w:tc>
        <w:tc>
          <w:tcPr>
            <w:tcW w:w="2960" w:type="dxa"/>
            <w:vAlign w:val="bottom"/>
            <w:gridSpan w:val="10"/>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331"/>
        </w:trPr>
        <w:tc>
          <w:tcPr>
            <w:tcW w:w="2280" w:type="dxa"/>
            <w:vAlign w:val="bottom"/>
          </w:tcPr>
          <w:p>
            <w:pPr>
              <w:spacing w:after="0"/>
              <w:rPr>
                <w:sz w:val="24"/>
                <w:szCs w:val="24"/>
                <w:color w:val="auto"/>
              </w:rPr>
            </w:pPr>
          </w:p>
        </w:tc>
        <w:tc>
          <w:tcPr>
            <w:tcW w:w="3960" w:type="dxa"/>
            <w:vAlign w:val="bottom"/>
            <w:tcBorders>
              <w:bottom w:val="single" w:sz="8" w:color="0000EE"/>
            </w:tcBorders>
            <w:gridSpan w:val="20"/>
          </w:tcPr>
          <w:p>
            <w:pPr>
              <w:spacing w:after="0"/>
              <w:rPr>
                <w:rFonts w:ascii="Arial" w:cs="Arial" w:eastAsia="Arial" w:hAnsi="Arial"/>
                <w:sz w:val="18"/>
                <w:szCs w:val="18"/>
                <w:color w:val="0000EE"/>
                <w:w w:val="90"/>
              </w:rPr>
            </w:pPr>
            <w:hyperlink w:anchor="page42">
              <w:r>
                <w:rPr>
                  <w:rFonts w:ascii="Arial" w:cs="Arial" w:eastAsia="Arial" w:hAnsi="Arial"/>
                  <w:sz w:val="18"/>
                  <w:szCs w:val="18"/>
                  <w:color w:val="0000EE"/>
                  <w:w w:val="90"/>
                </w:rPr>
                <w:t>Audit Committee pre-approval policies and procedures</w:t>
              </w:r>
            </w:hyperlink>
          </w:p>
        </w:tc>
        <w:tc>
          <w:tcPr>
            <w:tcW w:w="1940" w:type="dxa"/>
            <w:vAlign w:val="bottom"/>
            <w:gridSpan w:val="3"/>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331"/>
        </w:trPr>
        <w:tc>
          <w:tcPr>
            <w:tcW w:w="2280" w:type="dxa"/>
            <w:vAlign w:val="bottom"/>
          </w:tcPr>
          <w:p>
            <w:pPr>
              <w:jc w:val="right"/>
              <w:ind w:right="310"/>
              <w:spacing w:after="0"/>
              <w:rPr>
                <w:sz w:val="20"/>
                <w:szCs w:val="20"/>
                <w:color w:val="auto"/>
              </w:rPr>
            </w:pPr>
            <w:r>
              <w:rPr>
                <w:rFonts w:ascii="Arial" w:cs="Arial" w:eastAsia="Arial" w:hAnsi="Arial"/>
                <w:sz w:val="18"/>
                <w:szCs w:val="18"/>
                <w:b w:val="1"/>
                <w:bCs w:val="1"/>
                <w:i w:val="1"/>
                <w:iCs w:val="1"/>
                <w:color w:val="auto"/>
              </w:rPr>
              <w:t>Proposal 3</w:t>
            </w:r>
          </w:p>
        </w:tc>
        <w:tc>
          <w:tcPr>
            <w:tcW w:w="5900" w:type="dxa"/>
            <w:vAlign w:val="bottom"/>
            <w:gridSpan w:val="23"/>
          </w:tcPr>
          <w:p>
            <w:pPr>
              <w:spacing w:after="0"/>
              <w:rPr>
                <w:rFonts w:ascii="Arial" w:cs="Arial" w:eastAsia="Arial" w:hAnsi="Arial"/>
                <w:sz w:val="18"/>
                <w:szCs w:val="18"/>
                <w:color w:val="0000EE"/>
              </w:rPr>
            </w:pPr>
            <w:hyperlink w:anchor="page43">
              <w:r>
                <w:rPr>
                  <w:rFonts w:ascii="Arial" w:cs="Arial" w:eastAsia="Arial" w:hAnsi="Arial"/>
                  <w:sz w:val="18"/>
                  <w:szCs w:val="18"/>
                  <w:color w:val="0000EE"/>
                </w:rPr>
                <w:t>Approval, on an advisory basis, of named executive officer compensation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35</w:t>
            </w:r>
          </w:p>
        </w:tc>
      </w:tr>
      <w:tr>
        <w:trPr>
          <w:trHeight w:val="357"/>
        </w:trPr>
        <w:tc>
          <w:tcPr>
            <w:tcW w:w="2280" w:type="dxa"/>
            <w:vAlign w:val="bottom"/>
          </w:tcPr>
          <w:p>
            <w:pPr>
              <w:jc w:val="right"/>
              <w:ind w:right="310"/>
              <w:spacing w:after="0"/>
              <w:rPr>
                <w:sz w:val="20"/>
                <w:szCs w:val="20"/>
                <w:color w:val="auto"/>
              </w:rPr>
            </w:pPr>
            <w:r>
              <w:rPr>
                <w:rFonts w:ascii="Arial" w:cs="Arial" w:eastAsia="Arial" w:hAnsi="Arial"/>
                <w:sz w:val="18"/>
                <w:szCs w:val="18"/>
                <w:b w:val="1"/>
                <w:bCs w:val="1"/>
                <w:i w:val="1"/>
                <w:iCs w:val="1"/>
                <w:color w:val="auto"/>
                <w:w w:val="82"/>
              </w:rPr>
              <w:t>Compensation discussion</w:t>
            </w:r>
          </w:p>
        </w:tc>
        <w:tc>
          <w:tcPr>
            <w:tcW w:w="104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40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20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38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1140" w:type="dxa"/>
            <w:vAlign w:val="bottom"/>
            <w:tcBorders>
              <w:top w:val="single" w:sz="8" w:color="0000EE"/>
            </w:tcBorders>
          </w:tcPr>
          <w:p>
            <w:pPr>
              <w:spacing w:after="0"/>
              <w:rPr>
                <w:sz w:val="24"/>
                <w:szCs w:val="24"/>
                <w:color w:val="auto"/>
              </w:rPr>
            </w:pPr>
          </w:p>
        </w:tc>
        <w:tc>
          <w:tcPr>
            <w:tcW w:w="62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90"/>
        </w:trPr>
        <w:tc>
          <w:tcPr>
            <w:tcW w:w="2280" w:type="dxa"/>
            <w:vAlign w:val="bottom"/>
          </w:tcPr>
          <w:p>
            <w:pPr>
              <w:jc w:val="right"/>
              <w:ind w:right="310"/>
              <w:spacing w:after="0" w:line="190" w:lineRule="exact"/>
              <w:rPr>
                <w:sz w:val="20"/>
                <w:szCs w:val="20"/>
                <w:color w:val="auto"/>
              </w:rPr>
            </w:pPr>
            <w:r>
              <w:rPr>
                <w:rFonts w:ascii="Arial" w:cs="Arial" w:eastAsia="Arial" w:hAnsi="Arial"/>
                <w:sz w:val="18"/>
                <w:szCs w:val="18"/>
                <w:b w:val="1"/>
                <w:bCs w:val="1"/>
                <w:i w:val="1"/>
                <w:iCs w:val="1"/>
                <w:color w:val="auto"/>
              </w:rPr>
              <w:t>and analysis</w:t>
            </w:r>
          </w:p>
        </w:tc>
        <w:tc>
          <w:tcPr>
            <w:tcW w:w="5900" w:type="dxa"/>
            <w:vAlign w:val="bottom"/>
            <w:gridSpan w:val="23"/>
          </w:tcPr>
          <w:p>
            <w:pPr>
              <w:spacing w:after="0" w:line="190" w:lineRule="exact"/>
              <w:rPr>
                <w:rFonts w:ascii="Arial" w:cs="Arial" w:eastAsia="Arial" w:hAnsi="Arial"/>
                <w:sz w:val="18"/>
                <w:szCs w:val="18"/>
                <w:color w:val="0000EE"/>
              </w:rPr>
            </w:pPr>
            <w:hyperlink w:anchor="page45">
              <w:r>
                <w:rPr>
                  <w:rFonts w:ascii="Arial" w:cs="Arial" w:eastAsia="Arial" w:hAnsi="Arial"/>
                  <w:sz w:val="18"/>
                  <w:szCs w:val="18"/>
                  <w:color w:val="0000EE"/>
                </w:rPr>
                <w:t>Executive summary</w:t>
              </w:r>
            </w:hyperlink>
          </w:p>
        </w:tc>
        <w:tc>
          <w:tcPr>
            <w:tcW w:w="800" w:type="dxa"/>
            <w:vAlign w:val="bottom"/>
          </w:tcPr>
          <w:p>
            <w:pPr>
              <w:jc w:val="right"/>
              <w:spacing w:after="0" w:line="190" w:lineRule="exact"/>
              <w:rPr>
                <w:sz w:val="20"/>
                <w:szCs w:val="20"/>
                <w:color w:val="auto"/>
              </w:rPr>
            </w:pPr>
            <w:r>
              <w:rPr>
                <w:rFonts w:ascii="Arial" w:cs="Arial" w:eastAsia="Arial" w:hAnsi="Arial"/>
                <w:sz w:val="18"/>
                <w:szCs w:val="18"/>
                <w:color w:val="auto"/>
              </w:rPr>
              <w:t>37</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700" w:type="dxa"/>
            <w:vAlign w:val="bottom"/>
            <w:gridSpan w:val="3"/>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49">
              <w:r>
                <w:rPr>
                  <w:rFonts w:ascii="Arial" w:cs="Arial" w:eastAsia="Arial" w:hAnsi="Arial"/>
                  <w:sz w:val="18"/>
                  <w:szCs w:val="18"/>
                  <w:color w:val="0000EE"/>
                </w:rPr>
                <w:t>Our compensation philosophy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940" w:type="dxa"/>
            <w:vAlign w:val="bottom"/>
            <w:gridSpan w:val="4"/>
            <w:shd w:val="clear" w:color="auto" w:fill="0000EE"/>
          </w:tcPr>
          <w:p>
            <w:pPr>
              <w:spacing w:after="0" w:line="20" w:lineRule="exact"/>
              <w:rPr>
                <w:sz w:val="1"/>
                <w:szCs w:val="1"/>
                <w:color w:val="auto"/>
              </w:rPr>
            </w:pPr>
          </w:p>
        </w:tc>
        <w:tc>
          <w:tcPr>
            <w:tcW w:w="140" w:type="dxa"/>
            <w:vAlign w:val="bottom"/>
            <w:tcBorders>
              <w:left w:val="single" w:sz="8" w:color="0000EE"/>
            </w:tcBorders>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50">
              <w:r>
                <w:rPr>
                  <w:rFonts w:ascii="Arial" w:cs="Arial" w:eastAsia="Arial" w:hAnsi="Arial"/>
                  <w:sz w:val="18"/>
                  <w:szCs w:val="18"/>
                  <w:color w:val="0000EE"/>
                </w:rPr>
                <w:t>Determining compensation for 2021</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940" w:type="dxa"/>
            <w:vAlign w:val="bottom"/>
            <w:gridSpan w:val="4"/>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tcBorders>
              <w:right w:val="single" w:sz="8" w:color="0000EE"/>
            </w:tcBorders>
            <w:gridSpan w:val="2"/>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3580" w:type="dxa"/>
            <w:vAlign w:val="bottom"/>
            <w:tcBorders>
              <w:bottom w:val="single" w:sz="8" w:color="0000EE"/>
            </w:tcBorders>
            <w:gridSpan w:val="19"/>
          </w:tcPr>
          <w:p>
            <w:pPr>
              <w:spacing w:after="0"/>
              <w:rPr>
                <w:rFonts w:ascii="Arial" w:cs="Arial" w:eastAsia="Arial" w:hAnsi="Arial"/>
                <w:sz w:val="18"/>
                <w:szCs w:val="18"/>
                <w:color w:val="0000EE"/>
                <w:w w:val="89"/>
              </w:rPr>
            </w:pPr>
            <w:hyperlink w:anchor="page52">
              <w:r>
                <w:rPr>
                  <w:rFonts w:ascii="Arial" w:cs="Arial" w:eastAsia="Arial" w:hAnsi="Arial"/>
                  <w:sz w:val="18"/>
                  <w:szCs w:val="18"/>
                  <w:color w:val="0000EE"/>
                  <w:w w:val="89"/>
                </w:rPr>
                <w:t>Elements of our executive compensation program</w:t>
              </w:r>
            </w:hyperlink>
          </w:p>
        </w:tc>
        <w:tc>
          <w:tcPr>
            <w:tcW w:w="2320" w:type="dxa"/>
            <w:vAlign w:val="bottom"/>
            <w:gridSpan w:val="4"/>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53">
              <w:r>
                <w:rPr>
                  <w:rFonts w:ascii="Arial" w:cs="Arial" w:eastAsia="Arial" w:hAnsi="Arial"/>
                  <w:sz w:val="18"/>
                  <w:szCs w:val="18"/>
                  <w:color w:val="0000EE"/>
                </w:rPr>
                <w:t>Analysis of 2021 compensation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331"/>
        </w:trPr>
        <w:tc>
          <w:tcPr>
            <w:tcW w:w="2280" w:type="dxa"/>
            <w:vAlign w:val="bottom"/>
          </w:tcPr>
          <w:p>
            <w:pPr>
              <w:spacing w:after="0"/>
              <w:rPr>
                <w:sz w:val="24"/>
                <w:szCs w:val="24"/>
                <w:color w:val="auto"/>
              </w:rPr>
            </w:pPr>
          </w:p>
        </w:tc>
        <w:tc>
          <w:tcPr>
            <w:tcW w:w="2260" w:type="dxa"/>
            <w:vAlign w:val="bottom"/>
            <w:tcBorders>
              <w:top w:val="single" w:sz="8" w:color="0000EE"/>
            </w:tcBorders>
            <w:gridSpan w:val="8"/>
          </w:tcPr>
          <w:p>
            <w:pPr>
              <w:spacing w:after="0"/>
              <w:rPr>
                <w:rFonts w:ascii="Arial" w:cs="Arial" w:eastAsia="Arial" w:hAnsi="Arial"/>
                <w:sz w:val="18"/>
                <w:szCs w:val="18"/>
                <w:color w:val="0000EE"/>
                <w:w w:val="94"/>
              </w:rPr>
            </w:pPr>
            <w:hyperlink w:anchor="page61">
              <w:r>
                <w:rPr>
                  <w:rFonts w:ascii="Arial" w:cs="Arial" w:eastAsia="Arial" w:hAnsi="Arial"/>
                  <w:sz w:val="18"/>
                  <w:szCs w:val="18"/>
                  <w:color w:val="0000EE"/>
                  <w:w w:val="94"/>
                </w:rPr>
                <w:t>Retirement and other benefits</w:t>
              </w:r>
            </w:hyperlink>
          </w:p>
        </w:tc>
        <w:tc>
          <w:tcPr>
            <w:tcW w:w="3640" w:type="dxa"/>
            <w:vAlign w:val="bottom"/>
            <w:gridSpan w:val="15"/>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940" w:type="dxa"/>
            <w:vAlign w:val="bottom"/>
            <w:gridSpan w:val="4"/>
            <w:shd w:val="clear" w:color="auto" w:fill="0000EE"/>
          </w:tcPr>
          <w:p>
            <w:pPr>
              <w:spacing w:after="0" w:line="20" w:lineRule="exact"/>
              <w:rPr>
                <w:sz w:val="1"/>
                <w:szCs w:val="1"/>
                <w:color w:val="auto"/>
              </w:rPr>
            </w:pPr>
          </w:p>
        </w:tc>
        <w:tc>
          <w:tcPr>
            <w:tcW w:w="480" w:type="dxa"/>
            <w:vAlign w:val="bottom"/>
            <w:gridSpan w:val="3"/>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63">
              <w:r>
                <w:rPr>
                  <w:rFonts w:ascii="Arial" w:cs="Arial" w:eastAsia="Arial" w:hAnsi="Arial"/>
                  <w:sz w:val="18"/>
                  <w:szCs w:val="18"/>
                  <w:color w:val="0000EE"/>
                </w:rPr>
                <w:t>Other compensation program features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55</w:t>
            </w:r>
          </w:p>
        </w:tc>
      </w:tr>
      <w:tr>
        <w:trPr>
          <w:trHeight w:val="357"/>
        </w:trPr>
        <w:tc>
          <w:tcPr>
            <w:tcW w:w="2280" w:type="dxa"/>
            <w:vAlign w:val="bottom"/>
          </w:tcPr>
          <w:p>
            <w:pPr>
              <w:jc w:val="right"/>
              <w:ind w:right="310"/>
              <w:spacing w:after="0"/>
              <w:rPr>
                <w:sz w:val="20"/>
                <w:szCs w:val="20"/>
                <w:color w:val="auto"/>
              </w:rPr>
            </w:pPr>
            <w:r>
              <w:rPr>
                <w:rFonts w:ascii="Arial" w:cs="Arial" w:eastAsia="Arial" w:hAnsi="Arial"/>
                <w:sz w:val="18"/>
                <w:szCs w:val="18"/>
                <w:b w:val="1"/>
                <w:bCs w:val="1"/>
                <w:i w:val="1"/>
                <w:iCs w:val="1"/>
                <w:color w:val="auto"/>
                <w:w w:val="88"/>
              </w:rPr>
              <w:t>Compensation of named</w:t>
            </w:r>
          </w:p>
        </w:tc>
        <w:tc>
          <w:tcPr>
            <w:tcW w:w="104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40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90"/>
        </w:trPr>
        <w:tc>
          <w:tcPr>
            <w:tcW w:w="2280" w:type="dxa"/>
            <w:vAlign w:val="bottom"/>
          </w:tcPr>
          <w:p>
            <w:pPr>
              <w:jc w:val="right"/>
              <w:ind w:right="310"/>
              <w:spacing w:after="0" w:line="190" w:lineRule="exact"/>
              <w:rPr>
                <w:sz w:val="20"/>
                <w:szCs w:val="20"/>
                <w:color w:val="auto"/>
              </w:rPr>
            </w:pPr>
            <w:r>
              <w:rPr>
                <w:rFonts w:ascii="Arial" w:cs="Arial" w:eastAsia="Arial" w:hAnsi="Arial"/>
                <w:sz w:val="18"/>
                <w:szCs w:val="18"/>
                <w:b w:val="1"/>
                <w:bCs w:val="1"/>
                <w:i w:val="1"/>
                <w:iCs w:val="1"/>
                <w:color w:val="auto"/>
              </w:rPr>
              <w:t>executive officers</w:t>
            </w:r>
          </w:p>
        </w:tc>
        <w:tc>
          <w:tcPr>
            <w:tcW w:w="2600" w:type="dxa"/>
            <w:vAlign w:val="bottom"/>
            <w:tcBorders>
              <w:bottom w:val="single" w:sz="8" w:color="0000EE"/>
            </w:tcBorders>
            <w:gridSpan w:val="10"/>
          </w:tcPr>
          <w:p>
            <w:pPr>
              <w:spacing w:after="0" w:line="190" w:lineRule="exact"/>
              <w:rPr>
                <w:rFonts w:ascii="Arial" w:cs="Arial" w:eastAsia="Arial" w:hAnsi="Arial"/>
                <w:sz w:val="18"/>
                <w:szCs w:val="18"/>
                <w:color w:val="0000EE"/>
                <w:w w:val="90"/>
              </w:rPr>
            </w:pPr>
            <w:hyperlink w:anchor="page64">
              <w:r>
                <w:rPr>
                  <w:rFonts w:ascii="Arial" w:cs="Arial" w:eastAsia="Arial" w:hAnsi="Arial"/>
                  <w:sz w:val="18"/>
                  <w:szCs w:val="18"/>
                  <w:color w:val="0000EE"/>
                  <w:w w:val="90"/>
                </w:rPr>
                <w:t>2021 Summary compensation table</w:t>
              </w:r>
            </w:hyperlink>
          </w:p>
        </w:tc>
        <w:tc>
          <w:tcPr>
            <w:tcW w:w="3300" w:type="dxa"/>
            <w:vAlign w:val="bottom"/>
            <w:gridSpan w:val="13"/>
          </w:tcPr>
          <w:p>
            <w:pPr>
              <w:spacing w:after="0"/>
              <w:rPr>
                <w:sz w:val="16"/>
                <w:szCs w:val="16"/>
                <w:color w:val="auto"/>
              </w:rPr>
            </w:pPr>
          </w:p>
        </w:tc>
        <w:tc>
          <w:tcPr>
            <w:tcW w:w="800" w:type="dxa"/>
            <w:vAlign w:val="bottom"/>
          </w:tcPr>
          <w:p>
            <w:pPr>
              <w:jc w:val="right"/>
              <w:spacing w:after="0" w:line="190" w:lineRule="exact"/>
              <w:rPr>
                <w:sz w:val="20"/>
                <w:szCs w:val="20"/>
                <w:color w:val="auto"/>
              </w:rPr>
            </w:pPr>
            <w:r>
              <w:rPr>
                <w:rFonts w:ascii="Arial" w:cs="Arial" w:eastAsia="Arial" w:hAnsi="Arial"/>
                <w:sz w:val="18"/>
                <w:szCs w:val="18"/>
                <w:color w:val="auto"/>
              </w:rPr>
              <w:t>56</w:t>
            </w: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67">
              <w:r>
                <w:rPr>
                  <w:rFonts w:ascii="Arial" w:cs="Arial" w:eastAsia="Arial" w:hAnsi="Arial"/>
                  <w:sz w:val="18"/>
                  <w:szCs w:val="18"/>
                  <w:color w:val="0000EE"/>
                </w:rPr>
                <w:t>2021 Grants of plan-based awards table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59</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1660" w:type="dxa"/>
            <w:vAlign w:val="bottom"/>
            <w:gridSpan w:val="9"/>
            <w:shd w:val="clear" w:color="auto" w:fill="0000EE"/>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68">
              <w:r>
                <w:rPr>
                  <w:rFonts w:ascii="Arial" w:cs="Arial" w:eastAsia="Arial" w:hAnsi="Arial"/>
                  <w:sz w:val="18"/>
                  <w:szCs w:val="18"/>
                  <w:color w:val="0000EE"/>
                </w:rPr>
                <w:t>Outstanding equity awards at 2021 year-end table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60</w:t>
            </w:r>
          </w:p>
        </w:tc>
      </w:tr>
      <w:tr>
        <w:trPr>
          <w:trHeight w:val="331"/>
        </w:trPr>
        <w:tc>
          <w:tcPr>
            <w:tcW w:w="2280" w:type="dxa"/>
            <w:vAlign w:val="bottom"/>
          </w:tcPr>
          <w:p>
            <w:pPr>
              <w:spacing w:after="0"/>
              <w:rPr>
                <w:sz w:val="24"/>
                <w:szCs w:val="24"/>
                <w:color w:val="auto"/>
              </w:rPr>
            </w:pPr>
          </w:p>
        </w:tc>
        <w:tc>
          <w:tcPr>
            <w:tcW w:w="3560" w:type="dxa"/>
            <w:vAlign w:val="bottom"/>
            <w:tcBorders>
              <w:top w:val="single" w:sz="8" w:color="0000EE"/>
            </w:tcBorders>
            <w:gridSpan w:val="18"/>
          </w:tcPr>
          <w:p>
            <w:pPr>
              <w:spacing w:after="0"/>
              <w:rPr>
                <w:rFonts w:ascii="Arial" w:cs="Arial" w:eastAsia="Arial" w:hAnsi="Arial"/>
                <w:sz w:val="18"/>
                <w:szCs w:val="18"/>
                <w:color w:val="0000EE"/>
                <w:w w:val="97"/>
              </w:rPr>
            </w:pPr>
            <w:hyperlink w:anchor="page70">
              <w:r>
                <w:rPr>
                  <w:rFonts w:ascii="Arial" w:cs="Arial" w:eastAsia="Arial" w:hAnsi="Arial"/>
                  <w:sz w:val="18"/>
                  <w:szCs w:val="18"/>
                  <w:color w:val="0000EE"/>
                  <w:w w:val="97"/>
                </w:rPr>
                <w:t>2021 Option exercises and stock vested table</w:t>
              </w:r>
            </w:hyperlink>
          </w:p>
        </w:tc>
        <w:tc>
          <w:tcPr>
            <w:tcW w:w="2340" w:type="dxa"/>
            <w:vAlign w:val="bottom"/>
            <w:gridSpan w:val="5"/>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331"/>
        </w:trPr>
        <w:tc>
          <w:tcPr>
            <w:tcW w:w="2280" w:type="dxa"/>
            <w:vAlign w:val="bottom"/>
          </w:tcPr>
          <w:p>
            <w:pPr>
              <w:spacing w:after="0"/>
              <w:rPr>
                <w:sz w:val="24"/>
                <w:szCs w:val="24"/>
                <w:color w:val="auto"/>
              </w:rPr>
            </w:pPr>
          </w:p>
        </w:tc>
        <w:tc>
          <w:tcPr>
            <w:tcW w:w="118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87"/>
              </w:rPr>
            </w:pPr>
            <w:hyperlink w:anchor="page71">
              <w:r>
                <w:rPr>
                  <w:rFonts w:ascii="Arial" w:cs="Arial" w:eastAsia="Arial" w:hAnsi="Arial"/>
                  <w:sz w:val="18"/>
                  <w:szCs w:val="18"/>
                  <w:color w:val="0000EE"/>
                  <w:w w:val="87"/>
                </w:rPr>
                <w:t>Pension benefits</w:t>
              </w:r>
            </w:hyperlink>
          </w:p>
        </w:tc>
        <w:tc>
          <w:tcPr>
            <w:tcW w:w="2040" w:type="dxa"/>
            <w:vAlign w:val="bottom"/>
            <w:tcBorders>
              <w:top w:val="single" w:sz="8" w:color="0000EE"/>
            </w:tcBorders>
            <w:gridSpan w:val="12"/>
          </w:tcPr>
          <w:p>
            <w:pPr>
              <w:spacing w:after="0"/>
              <w:rPr>
                <w:sz w:val="24"/>
                <w:szCs w:val="24"/>
                <w:color w:val="auto"/>
              </w:rPr>
            </w:pPr>
          </w:p>
        </w:tc>
        <w:tc>
          <w:tcPr>
            <w:tcW w:w="2680" w:type="dxa"/>
            <w:vAlign w:val="bottom"/>
            <w:gridSpan w:val="8"/>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331"/>
        </w:trPr>
        <w:tc>
          <w:tcPr>
            <w:tcW w:w="2280" w:type="dxa"/>
            <w:vAlign w:val="bottom"/>
          </w:tcPr>
          <w:p>
            <w:pPr>
              <w:spacing w:after="0"/>
              <w:rPr>
                <w:sz w:val="24"/>
                <w:szCs w:val="24"/>
                <w:color w:val="auto"/>
              </w:rPr>
            </w:pPr>
          </w:p>
        </w:tc>
        <w:tc>
          <w:tcPr>
            <w:tcW w:w="5900" w:type="dxa"/>
            <w:vAlign w:val="bottom"/>
            <w:gridSpan w:val="23"/>
          </w:tcPr>
          <w:p>
            <w:pPr>
              <w:spacing w:after="0"/>
              <w:rPr>
                <w:rFonts w:ascii="Arial" w:cs="Arial" w:eastAsia="Arial" w:hAnsi="Arial"/>
                <w:sz w:val="18"/>
                <w:szCs w:val="18"/>
                <w:color w:val="0000EE"/>
              </w:rPr>
            </w:pPr>
            <w:hyperlink w:anchor="page73">
              <w:r>
                <w:rPr>
                  <w:rFonts w:ascii="Arial" w:cs="Arial" w:eastAsia="Arial" w:hAnsi="Arial"/>
                  <w:sz w:val="18"/>
                  <w:szCs w:val="18"/>
                  <w:color w:val="0000EE"/>
                </w:rPr>
                <w:t>2021 Nonqualified deferred compensation table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20"/>
        </w:trPr>
        <w:tc>
          <w:tcPr>
            <w:tcW w:w="2280" w:type="dxa"/>
            <w:vAlign w:val="bottom"/>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2380" w:type="dxa"/>
            <w:vAlign w:val="bottom"/>
            <w:gridSpan w:val="16"/>
            <w:shd w:val="clear" w:color="auto" w:fill="0000EE"/>
          </w:tcPr>
          <w:p>
            <w:pPr>
              <w:spacing w:after="0" w:line="20" w:lineRule="exact"/>
              <w:rPr>
                <w:sz w:val="1"/>
                <w:szCs w:val="1"/>
                <w:color w:val="auto"/>
              </w:rPr>
            </w:pPr>
          </w:p>
        </w:tc>
        <w:tc>
          <w:tcPr>
            <w:tcW w:w="720" w:type="dxa"/>
            <w:vAlign w:val="bottom"/>
            <w:gridSpan w:val="4"/>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331"/>
        </w:trPr>
        <w:tc>
          <w:tcPr>
            <w:tcW w:w="2280" w:type="dxa"/>
            <w:vAlign w:val="bottom"/>
          </w:tcPr>
          <w:p>
            <w:pPr>
              <w:spacing w:after="0"/>
              <w:rPr>
                <w:sz w:val="24"/>
                <w:szCs w:val="24"/>
                <w:color w:val="auto"/>
              </w:rPr>
            </w:pPr>
          </w:p>
        </w:tc>
        <w:tc>
          <w:tcPr>
            <w:tcW w:w="4140" w:type="dxa"/>
            <w:vAlign w:val="bottom"/>
            <w:tcBorders>
              <w:bottom w:val="single" w:sz="8" w:color="0000EE"/>
            </w:tcBorders>
            <w:gridSpan w:val="21"/>
          </w:tcPr>
          <w:p>
            <w:pPr>
              <w:spacing w:after="0"/>
              <w:rPr>
                <w:rFonts w:ascii="Arial" w:cs="Arial" w:eastAsia="Arial" w:hAnsi="Arial"/>
                <w:sz w:val="18"/>
                <w:szCs w:val="18"/>
                <w:color w:val="0000EE"/>
                <w:w w:val="90"/>
              </w:rPr>
            </w:pPr>
            <w:hyperlink w:anchor="page74">
              <w:r>
                <w:rPr>
                  <w:rFonts w:ascii="Arial" w:cs="Arial" w:eastAsia="Arial" w:hAnsi="Arial"/>
                  <w:sz w:val="18"/>
                  <w:szCs w:val="18"/>
                  <w:color w:val="0000EE"/>
                  <w:w w:val="90"/>
                </w:rPr>
                <w:t>Potential payments upon termination or change in control</w:t>
              </w:r>
            </w:hyperlink>
          </w:p>
        </w:tc>
        <w:tc>
          <w:tcPr>
            <w:tcW w:w="1760" w:type="dxa"/>
            <w:vAlign w:val="bottom"/>
            <w:gridSpan w:val="2"/>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331"/>
        </w:trPr>
        <w:tc>
          <w:tcPr>
            <w:tcW w:w="2280" w:type="dxa"/>
            <w:vAlign w:val="bottom"/>
          </w:tcPr>
          <w:p>
            <w:pPr>
              <w:spacing w:after="0"/>
              <w:rPr>
                <w:sz w:val="24"/>
                <w:szCs w:val="24"/>
                <w:color w:val="auto"/>
              </w:rPr>
            </w:pPr>
          </w:p>
        </w:tc>
        <w:tc>
          <w:tcPr>
            <w:tcW w:w="1040" w:type="dxa"/>
            <w:vAlign w:val="bottom"/>
            <w:tcBorders>
              <w:bottom w:val="single" w:sz="8" w:color="0000EE"/>
            </w:tcBorders>
          </w:tcPr>
          <w:p>
            <w:pPr>
              <w:spacing w:after="0"/>
              <w:rPr>
                <w:rFonts w:ascii="Arial" w:cs="Arial" w:eastAsia="Arial" w:hAnsi="Arial"/>
                <w:sz w:val="18"/>
                <w:szCs w:val="18"/>
                <w:color w:val="0000EE"/>
                <w:w w:val="90"/>
              </w:rPr>
            </w:pPr>
            <w:hyperlink w:anchor="page79">
              <w:r>
                <w:rPr>
                  <w:rFonts w:ascii="Arial" w:cs="Arial" w:eastAsia="Arial" w:hAnsi="Arial"/>
                  <w:sz w:val="18"/>
                  <w:szCs w:val="18"/>
                  <w:color w:val="0000EE"/>
                  <w:w w:val="90"/>
                </w:rPr>
                <w:t>CEO pay ratio</w:t>
              </w:r>
            </w:hyperlink>
          </w:p>
        </w:tc>
        <w:tc>
          <w:tcPr>
            <w:tcW w:w="4860" w:type="dxa"/>
            <w:vAlign w:val="bottom"/>
            <w:gridSpan w:val="22"/>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71</w:t>
            </w:r>
          </w:p>
        </w:tc>
      </w:tr>
    </w:tbl>
    <w:p>
      <w:pPr>
        <w:sectPr>
          <w:pgSz w:w="11900" w:h="16838" w:orient="portrait"/>
          <w:cols w:equalWidth="0" w:num="1">
            <w:col w:w="11000"/>
          </w:cols>
          <w:pgMar w:left="320" w:top="459" w:right="57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41" w:lineRule="exact"/>
        <w:rPr>
          <w:sz w:val="20"/>
          <w:szCs w:val="20"/>
          <w:color w:val="auto"/>
        </w:rPr>
      </w:pPr>
    </w:p>
    <w:tbl>
      <w:tblPr>
        <w:tblLayout w:type="fixed"/>
        <w:tblInd w:w="1620" w:type="dxa"/>
        <w:tblCellMar>
          <w:top w:w="0" w:type="dxa"/>
          <w:left w:w="0" w:type="dxa"/>
          <w:bottom w:w="0" w:type="dxa"/>
          <w:right w:w="0" w:type="dxa"/>
        </w:tblCellMar>
      </w:tblPr>
      <w:tr>
        <w:trPr>
          <w:trHeight w:val="207"/>
        </w:trPr>
        <w:tc>
          <w:tcPr>
            <w:tcW w:w="2420" w:type="dxa"/>
            <w:vAlign w:val="bottom"/>
          </w:tcPr>
          <w:p>
            <w:pPr>
              <w:jc w:val="right"/>
              <w:ind w:right="210"/>
              <w:spacing w:after="0"/>
              <w:rPr>
                <w:sz w:val="20"/>
                <w:szCs w:val="20"/>
                <w:color w:val="auto"/>
              </w:rPr>
            </w:pPr>
            <w:r>
              <w:rPr>
                <w:rFonts w:ascii="Arial" w:cs="Arial" w:eastAsia="Arial" w:hAnsi="Arial"/>
                <w:sz w:val="18"/>
                <w:szCs w:val="18"/>
                <w:b w:val="1"/>
                <w:bCs w:val="1"/>
                <w:i w:val="1"/>
                <w:iCs w:val="1"/>
                <w:color w:val="auto"/>
                <w:w w:val="87"/>
              </w:rPr>
              <w:t>Annual meeting information</w:t>
            </w:r>
          </w:p>
        </w:tc>
        <w:tc>
          <w:tcPr>
            <w:tcW w:w="4380" w:type="dxa"/>
            <w:vAlign w:val="bottom"/>
            <w:gridSpan w:val="5"/>
          </w:tcPr>
          <w:p>
            <w:pPr>
              <w:spacing w:after="0"/>
              <w:rPr>
                <w:rFonts w:ascii="Arial" w:cs="Arial" w:eastAsia="Arial" w:hAnsi="Arial"/>
                <w:sz w:val="18"/>
                <w:szCs w:val="18"/>
                <w:color w:val="0000EE"/>
              </w:rPr>
            </w:pPr>
            <w:hyperlink w:anchor="page80">
              <w:r>
                <w:rPr>
                  <w:rFonts w:ascii="Arial" w:cs="Arial" w:eastAsia="Arial" w:hAnsi="Arial"/>
                  <w:sz w:val="18"/>
                  <w:szCs w:val="18"/>
                  <w:color w:val="0000EE"/>
                </w:rPr>
                <w:t>Questions and answers</w:t>
              </w:r>
            </w:hyperlink>
          </w:p>
        </w:tc>
        <w:tc>
          <w:tcPr>
            <w:tcW w:w="2320" w:type="dxa"/>
            <w:vAlign w:val="bottom"/>
          </w:tcPr>
          <w:p>
            <w:pPr>
              <w:ind w:left="2040"/>
              <w:spacing w:after="0"/>
              <w:rPr>
                <w:sz w:val="20"/>
                <w:szCs w:val="20"/>
                <w:color w:val="auto"/>
              </w:rPr>
            </w:pPr>
            <w:r>
              <w:rPr>
                <w:rFonts w:ascii="Arial" w:cs="Arial" w:eastAsia="Arial" w:hAnsi="Arial"/>
                <w:sz w:val="18"/>
                <w:szCs w:val="18"/>
                <w:color w:val="auto"/>
              </w:rPr>
              <w:t>72</w:t>
            </w:r>
          </w:p>
        </w:tc>
      </w:tr>
      <w:tr>
        <w:trPr>
          <w:trHeight w:val="20"/>
        </w:trPr>
        <w:tc>
          <w:tcPr>
            <w:tcW w:w="2420" w:type="dxa"/>
            <w:vAlign w:val="bottom"/>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r>
      <w:tr>
        <w:trPr>
          <w:trHeight w:val="331"/>
        </w:trPr>
        <w:tc>
          <w:tcPr>
            <w:tcW w:w="2420" w:type="dxa"/>
            <w:vAlign w:val="bottom"/>
          </w:tcPr>
          <w:p>
            <w:pPr>
              <w:spacing w:after="0"/>
              <w:rPr>
                <w:sz w:val="24"/>
                <w:szCs w:val="24"/>
                <w:color w:val="auto"/>
              </w:rPr>
            </w:pPr>
          </w:p>
        </w:tc>
        <w:tc>
          <w:tcPr>
            <w:tcW w:w="4380" w:type="dxa"/>
            <w:vAlign w:val="bottom"/>
            <w:gridSpan w:val="5"/>
          </w:tcPr>
          <w:p>
            <w:pPr>
              <w:spacing w:after="0"/>
              <w:rPr>
                <w:rFonts w:ascii="Arial" w:cs="Arial" w:eastAsia="Arial" w:hAnsi="Arial"/>
                <w:sz w:val="18"/>
                <w:szCs w:val="18"/>
                <w:color w:val="0000EE"/>
              </w:rPr>
            </w:pPr>
            <w:hyperlink w:anchor="page84">
              <w:r>
                <w:rPr>
                  <w:rFonts w:ascii="Arial" w:cs="Arial" w:eastAsia="Arial" w:hAnsi="Arial"/>
                  <w:sz w:val="18"/>
                  <w:szCs w:val="18"/>
                  <w:color w:val="0000EE"/>
                </w:rPr>
                <w:t>Delinquent Section 16(a) reports</w:t>
              </w:r>
            </w:hyperlink>
          </w:p>
        </w:tc>
        <w:tc>
          <w:tcPr>
            <w:tcW w:w="2320" w:type="dxa"/>
            <w:vAlign w:val="bottom"/>
          </w:tcPr>
          <w:p>
            <w:pPr>
              <w:ind w:left="2040"/>
              <w:spacing w:after="0"/>
              <w:rPr>
                <w:sz w:val="20"/>
                <w:szCs w:val="20"/>
                <w:color w:val="auto"/>
              </w:rPr>
            </w:pPr>
            <w:r>
              <w:rPr>
                <w:rFonts w:ascii="Arial" w:cs="Arial" w:eastAsia="Arial" w:hAnsi="Arial"/>
                <w:sz w:val="18"/>
                <w:szCs w:val="18"/>
                <w:color w:val="auto"/>
              </w:rPr>
              <w:t>76</w:t>
            </w:r>
          </w:p>
        </w:tc>
      </w:tr>
      <w:tr>
        <w:trPr>
          <w:trHeight w:val="331"/>
        </w:trPr>
        <w:tc>
          <w:tcPr>
            <w:tcW w:w="2420" w:type="dxa"/>
            <w:vAlign w:val="bottom"/>
          </w:tcPr>
          <w:p>
            <w:pPr>
              <w:spacing w:after="0"/>
              <w:rPr>
                <w:sz w:val="24"/>
                <w:szCs w:val="24"/>
                <w:color w:val="auto"/>
              </w:rPr>
            </w:pPr>
          </w:p>
        </w:tc>
        <w:tc>
          <w:tcPr>
            <w:tcW w:w="1460" w:type="dxa"/>
            <w:vAlign w:val="bottom"/>
            <w:tcBorders>
              <w:top w:val="single" w:sz="8" w:color="0000EE"/>
              <w:bottom w:val="single" w:sz="8" w:color="0000EE"/>
            </w:tcBorders>
          </w:tcPr>
          <w:p>
            <w:pPr>
              <w:spacing w:after="0"/>
              <w:rPr>
                <w:rFonts w:ascii="Arial" w:cs="Arial" w:eastAsia="Arial" w:hAnsi="Arial"/>
                <w:sz w:val="18"/>
                <w:szCs w:val="18"/>
                <w:color w:val="0000EE"/>
                <w:w w:val="91"/>
              </w:rPr>
            </w:pPr>
            <w:hyperlink w:anchor="page84">
              <w:r>
                <w:rPr>
                  <w:rFonts w:ascii="Arial" w:cs="Arial" w:eastAsia="Arial" w:hAnsi="Arial"/>
                  <w:sz w:val="18"/>
                  <w:szCs w:val="18"/>
                  <w:color w:val="0000EE"/>
                  <w:w w:val="91"/>
                </w:rPr>
                <w:t>General information</w:t>
              </w:r>
            </w:hyperlink>
          </w:p>
        </w:tc>
        <w:tc>
          <w:tcPr>
            <w:tcW w:w="880" w:type="dxa"/>
            <w:vAlign w:val="bottom"/>
            <w:tcBorders>
              <w:top w:val="single" w:sz="8" w:color="0000EE"/>
            </w:tcBorders>
            <w:gridSpan w:val="3"/>
          </w:tcPr>
          <w:p>
            <w:pPr>
              <w:spacing w:after="0"/>
              <w:rPr>
                <w:sz w:val="24"/>
                <w:szCs w:val="24"/>
                <w:color w:val="auto"/>
              </w:rPr>
            </w:pPr>
          </w:p>
        </w:tc>
        <w:tc>
          <w:tcPr>
            <w:tcW w:w="2040" w:type="dxa"/>
            <w:vAlign w:val="bottom"/>
          </w:tcPr>
          <w:p>
            <w:pPr>
              <w:spacing w:after="0"/>
              <w:rPr>
                <w:sz w:val="24"/>
                <w:szCs w:val="24"/>
                <w:color w:val="auto"/>
              </w:rPr>
            </w:pPr>
          </w:p>
        </w:tc>
        <w:tc>
          <w:tcPr>
            <w:tcW w:w="2320" w:type="dxa"/>
            <w:vAlign w:val="bottom"/>
          </w:tcPr>
          <w:p>
            <w:pPr>
              <w:ind w:left="2040"/>
              <w:spacing w:after="0"/>
              <w:rPr>
                <w:sz w:val="20"/>
                <w:szCs w:val="20"/>
                <w:color w:val="auto"/>
              </w:rPr>
            </w:pPr>
            <w:r>
              <w:rPr>
                <w:rFonts w:ascii="Arial" w:cs="Arial" w:eastAsia="Arial" w:hAnsi="Arial"/>
                <w:sz w:val="18"/>
                <w:szCs w:val="18"/>
                <w:color w:val="auto"/>
              </w:rPr>
              <w:t>76</w:t>
            </w:r>
          </w:p>
        </w:tc>
      </w:tr>
      <w:tr>
        <w:trPr>
          <w:trHeight w:val="331"/>
        </w:trPr>
        <w:tc>
          <w:tcPr>
            <w:tcW w:w="2420" w:type="dxa"/>
            <w:vAlign w:val="bottom"/>
          </w:tcPr>
          <w:p>
            <w:pPr>
              <w:jc w:val="right"/>
              <w:ind w:right="210"/>
              <w:spacing w:after="0"/>
              <w:rPr>
                <w:sz w:val="20"/>
                <w:szCs w:val="20"/>
                <w:color w:val="auto"/>
              </w:rPr>
            </w:pPr>
            <w:r>
              <w:rPr>
                <w:rFonts w:ascii="Arial" w:cs="Arial" w:eastAsia="Arial" w:hAnsi="Arial"/>
                <w:sz w:val="18"/>
                <w:szCs w:val="18"/>
                <w:b w:val="1"/>
                <w:bCs w:val="1"/>
                <w:i w:val="1"/>
                <w:iCs w:val="1"/>
                <w:color w:val="auto"/>
              </w:rPr>
              <w:t>Appendix A</w:t>
            </w:r>
          </w:p>
        </w:tc>
        <w:tc>
          <w:tcPr>
            <w:tcW w:w="4380" w:type="dxa"/>
            <w:vAlign w:val="bottom"/>
            <w:gridSpan w:val="5"/>
          </w:tcPr>
          <w:p>
            <w:pPr>
              <w:spacing w:after="0"/>
              <w:rPr>
                <w:rFonts w:ascii="Arial" w:cs="Arial" w:eastAsia="Arial" w:hAnsi="Arial"/>
                <w:sz w:val="18"/>
                <w:szCs w:val="18"/>
                <w:color w:val="0000EE"/>
              </w:rPr>
            </w:pPr>
            <w:hyperlink w:anchor="page85">
              <w:r>
                <w:rPr>
                  <w:rFonts w:ascii="Arial" w:cs="Arial" w:eastAsia="Arial" w:hAnsi="Arial"/>
                  <w:sz w:val="18"/>
                  <w:szCs w:val="18"/>
                  <w:color w:val="0000EE"/>
                </w:rPr>
                <w:t>Non-GAAP financial measures</w:t>
              </w:r>
            </w:hyperlink>
          </w:p>
        </w:tc>
        <w:tc>
          <w:tcPr>
            <w:tcW w:w="2320" w:type="dxa"/>
            <w:vAlign w:val="bottom"/>
          </w:tcPr>
          <w:p>
            <w:pPr>
              <w:ind w:left="2040"/>
              <w:spacing w:after="0"/>
              <w:rPr>
                <w:sz w:val="20"/>
                <w:szCs w:val="20"/>
                <w:color w:val="auto"/>
              </w:rPr>
            </w:pPr>
            <w:r>
              <w:rPr>
                <w:rFonts w:ascii="Arial" w:cs="Arial" w:eastAsia="Arial" w:hAnsi="Arial"/>
                <w:sz w:val="18"/>
                <w:szCs w:val="18"/>
                <w:color w:val="auto"/>
                <w:w w:val="92"/>
              </w:rPr>
              <w:t>A-1</w:t>
            </w:r>
          </w:p>
        </w:tc>
      </w:tr>
      <w:tr>
        <w:trPr>
          <w:trHeight w:val="20"/>
        </w:trPr>
        <w:tc>
          <w:tcPr>
            <w:tcW w:w="2420" w:type="dxa"/>
            <w:vAlign w:val="bottom"/>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r>
    </w:tbl>
    <w:p>
      <w:pPr>
        <w:spacing w:after="0" w:line="166" w:lineRule="exact"/>
        <w:rPr>
          <w:sz w:val="20"/>
          <w:szCs w:val="20"/>
          <w:color w:val="auto"/>
        </w:rPr>
      </w:pPr>
    </w:p>
    <w:p>
      <w:pPr>
        <w:ind w:left="120" w:right="20"/>
        <w:spacing w:after="0" w:line="271" w:lineRule="auto"/>
        <w:rPr>
          <w:sz w:val="20"/>
          <w:szCs w:val="20"/>
          <w:color w:val="auto"/>
        </w:rPr>
      </w:pPr>
      <w:r>
        <w:rPr>
          <w:rFonts w:ascii="Arial" w:cs="Arial" w:eastAsia="Arial" w:hAnsi="Arial"/>
          <w:sz w:val="16"/>
          <w:szCs w:val="16"/>
          <w:i w:val="1"/>
          <w:iCs w:val="1"/>
          <w:color w:val="auto"/>
        </w:rPr>
        <w:t>Although we include references to our website throughout this proxy statement, information contained on or accessible through, including any reports available on, our website is not a part of, and is not incorporated by reference into, this proxy statement or any other report or document we file with the Securities and Exchange Commission (“SEC”). Any reference to our website throughout this proxy statement is intended to be an inactive textual reference only. “Material” or “materiality,” as used in the “Proxy Summary – Environmental, social and governance (ESG) highlights” or “Our commitment to sustainability” sections of this proxy statement should not be read as equating to any use of the word in our other reporting or filings with the SEC.</w:t>
      </w:r>
    </w:p>
    <w:p>
      <w:pPr>
        <w:spacing w:after="0" w:line="122" w:lineRule="exact"/>
        <w:rPr>
          <w:sz w:val="20"/>
          <w:szCs w:val="20"/>
          <w:color w:val="auto"/>
        </w:rPr>
      </w:pPr>
    </w:p>
    <w:p>
      <w:pPr>
        <w:ind w:left="120"/>
        <w:spacing w:after="0" w:line="273" w:lineRule="auto"/>
        <w:rPr>
          <w:sz w:val="20"/>
          <w:szCs w:val="20"/>
          <w:color w:val="auto"/>
        </w:rPr>
      </w:pPr>
      <w:r>
        <w:rPr>
          <w:rFonts w:ascii="Arial" w:cs="Arial" w:eastAsia="Arial" w:hAnsi="Arial"/>
          <w:sz w:val="16"/>
          <w:szCs w:val="16"/>
          <w:i w:val="1"/>
          <w:iCs w:val="1"/>
          <w:color w:val="auto"/>
        </w:rPr>
        <w:t>Information included in this proxy statement represents our current policy and intent and is not intended to create legal rights or obligations. Certain standards of measurement and performance contained in this proxy statement are developing and based on assumptions, and no assurance can be given that any plan, objective, initiative, projection, goal, mission, commitment, expectation, or prospect set forth in this proxy statement can or will be achieved. Inclusion of information in this proxy statement is not an indication that the subject or information is material to our business or operating results.</w:t>
      </w:r>
    </w:p>
    <w:p>
      <w:pPr>
        <w:sectPr>
          <w:pgSz w:w="11900" w:h="16838" w:orient="portrait"/>
          <w:cols w:equalWidth="0" w:num="1">
            <w:col w:w="11040"/>
          </w:cols>
          <w:pgMar w:left="320" w:top="459" w:right="5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14" w:lineRule="exact"/>
        <w:rPr>
          <w:sz w:val="20"/>
          <w:szCs w:val="20"/>
          <w:color w:val="auto"/>
        </w:rPr>
      </w:pPr>
    </w:p>
    <w:p>
      <w:pPr>
        <w:ind w:left="120" w:right="80"/>
        <w:spacing w:after="0" w:line="291" w:lineRule="auto"/>
        <w:rPr>
          <w:sz w:val="20"/>
          <w:szCs w:val="20"/>
          <w:color w:val="auto"/>
        </w:rPr>
      </w:pPr>
      <w:r>
        <w:rPr>
          <w:rFonts w:ascii="Arial" w:cs="Arial" w:eastAsia="Arial" w:hAnsi="Arial"/>
          <w:sz w:val="15"/>
          <w:szCs w:val="15"/>
          <w:i w:val="1"/>
          <w:iCs w:val="1"/>
          <w:color w:val="auto"/>
        </w:rPr>
        <w:t>Certain statements set forth in this proxy statement (including our forecasts, beliefs and expectations) that are not historical in nature are “forward-looking” statements within the meaning of the Private Securities Litigation Reform Act of 1995. Forward-looking statements generally will be accompanied by words such as “will,” “anticipate,” “aspire,” “believe,” “estimate,” “expect,” “forecast,” “outlook,” “intend,” “may,” “plan,” “possible,” “potential,” “predict,” “project,” “seek,” “target,” “could,” “should,” “would,” “strategy,” “strategic direction,” or other similar words, phrases or expressions that convey the uncertainty of future events or outcomes. Investors should not place undue reliance on forward-looking statements, which speak only as of the date of this proxy statement. Actual results may differ materially from those expressed or implied in forward-looking statements made by or on behalf of us due to a variety of factors, such as:</w:t>
      </w:r>
    </w:p>
    <w:p>
      <w:pPr>
        <w:spacing w:after="0" w:line="203" w:lineRule="exact"/>
        <w:rPr>
          <w:sz w:val="20"/>
          <w:szCs w:val="20"/>
          <w:color w:val="auto"/>
        </w:rPr>
      </w:pPr>
    </w:p>
    <w:p>
      <w:pPr>
        <w:ind w:left="1080" w:right="180" w:hanging="532"/>
        <w:spacing w:after="0" w:line="266"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whether we are able to successfully implement actions designed to improve profitability on anticipated terms and timetables and whether we are able to fully realize the expected benefits of such actions;</w:t>
      </w:r>
    </w:p>
    <w:p>
      <w:pPr>
        <w:spacing w:after="0" w:line="1" w:lineRule="exact"/>
        <w:rPr>
          <w:rFonts w:ascii="Arial" w:cs="Arial" w:eastAsia="Arial" w:hAnsi="Arial"/>
          <w:sz w:val="16"/>
          <w:szCs w:val="16"/>
          <w:color w:val="auto"/>
        </w:rPr>
      </w:pP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potential impact of the COVID-19 pandemic on our operations and financial results, including cash flows and liquidity;</w:t>
      </w:r>
    </w:p>
    <w:p>
      <w:pPr>
        <w:spacing w:after="0" w:line="18" w:lineRule="exact"/>
        <w:rPr>
          <w:rFonts w:ascii="Arial" w:cs="Arial" w:eastAsia="Arial" w:hAnsi="Arial"/>
          <w:sz w:val="16"/>
          <w:szCs w:val="16"/>
          <w:color w:val="auto"/>
        </w:rPr>
      </w:pPr>
    </w:p>
    <w:p>
      <w:pPr>
        <w:ind w:left="1080" w:right="40" w:hanging="532"/>
        <w:spacing w:after="0" w:line="281" w:lineRule="auto"/>
        <w:tabs>
          <w:tab w:leader="none" w:pos="1080" w:val="left"/>
        </w:tabs>
        <w:numPr>
          <w:ilvl w:val="0"/>
          <w:numId w:val="6"/>
        </w:numPr>
        <w:rPr>
          <w:rFonts w:ascii="Arial" w:cs="Arial" w:eastAsia="Arial" w:hAnsi="Arial"/>
          <w:sz w:val="15"/>
          <w:szCs w:val="15"/>
          <w:color w:val="auto"/>
        </w:rPr>
      </w:pPr>
      <w:r>
        <w:rPr>
          <w:rFonts w:ascii="Arial" w:cs="Arial" w:eastAsia="Arial" w:hAnsi="Arial"/>
          <w:sz w:val="15"/>
          <w:szCs w:val="15"/>
          <w:i w:val="1"/>
          <w:iCs w:val="1"/>
          <w:color w:val="auto"/>
        </w:rPr>
        <w:t>deterioration in world economic conditions, or in economic conditions in any of the geographic regions in which we conduct business, including additional adverse effects from global economic slowdown, terrorism or hostilities. This includes political risks associated with the potential instability of governments and legal systems in countries in which we or our customers conduct business, and changes in currency valuations;</w:t>
      </w:r>
    </w:p>
    <w:p>
      <w:pPr>
        <w:spacing w:after="0" w:line="1" w:lineRule="exact"/>
        <w:rPr>
          <w:rFonts w:ascii="Arial" w:cs="Arial" w:eastAsia="Arial" w:hAnsi="Arial"/>
          <w:sz w:val="15"/>
          <w:szCs w:val="15"/>
          <w:color w:val="auto"/>
        </w:rPr>
      </w:pPr>
    </w:p>
    <w:p>
      <w:pPr>
        <w:ind w:left="1080" w:right="4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climate-related risks, including environmental and severe weather caused by climate changes, and legislative and regulatory initiatives addressing global climate change or other environmental concerns;</w:t>
      </w:r>
    </w:p>
    <w:p>
      <w:pPr>
        <w:jc w:val="both"/>
        <w:ind w:left="1080" w:right="20" w:hanging="532"/>
        <w:spacing w:after="0" w:line="301" w:lineRule="auto"/>
        <w:tabs>
          <w:tab w:leader="none" w:pos="1080" w:val="left"/>
        </w:tabs>
        <w:numPr>
          <w:ilvl w:val="0"/>
          <w:numId w:val="6"/>
        </w:numPr>
        <w:rPr>
          <w:rFonts w:ascii="Arial" w:cs="Arial" w:eastAsia="Arial" w:hAnsi="Arial"/>
          <w:sz w:val="14"/>
          <w:szCs w:val="14"/>
          <w:color w:val="auto"/>
        </w:rPr>
      </w:pPr>
      <w:r>
        <w:rPr>
          <w:rFonts w:ascii="Arial" w:cs="Arial" w:eastAsia="Arial" w:hAnsi="Arial"/>
          <w:sz w:val="14"/>
          <w:szCs w:val="14"/>
          <w:i w:val="1"/>
          <w:iCs w:val="1"/>
          <w:color w:val="auto"/>
        </w:rPr>
        <w:t>the effects of fluctuations in customer demand on sales, product mix and prices in the industries in which we operate. This includes: our ability to respond to rapid changes in customer demand including but not limited to changes in customer operating schedules due to supply chain constraints; the effects of customer bankruptcies or liquidations; the impact of changes in industrial business cycles; and whether conditions of fair trade exist in the U.S. markets;</w:t>
      </w:r>
    </w:p>
    <w:p>
      <w:pPr>
        <w:spacing w:after="0" w:line="1" w:lineRule="exact"/>
        <w:rPr>
          <w:rFonts w:ascii="Arial" w:cs="Arial" w:eastAsia="Arial" w:hAnsi="Arial"/>
          <w:sz w:val="14"/>
          <w:szCs w:val="14"/>
          <w:color w:val="auto"/>
        </w:rPr>
      </w:pPr>
    </w:p>
    <w:p>
      <w:pPr>
        <w:ind w:left="1080" w:right="400" w:hanging="532"/>
        <w:spacing w:after="0" w:line="301" w:lineRule="auto"/>
        <w:tabs>
          <w:tab w:leader="none" w:pos="1080" w:val="left"/>
        </w:tabs>
        <w:numPr>
          <w:ilvl w:val="0"/>
          <w:numId w:val="6"/>
        </w:numPr>
        <w:rPr>
          <w:rFonts w:ascii="Arial" w:cs="Arial" w:eastAsia="Arial" w:hAnsi="Arial"/>
          <w:sz w:val="14"/>
          <w:szCs w:val="14"/>
          <w:color w:val="auto"/>
        </w:rPr>
      </w:pPr>
      <w:r>
        <w:rPr>
          <w:rFonts w:ascii="Arial" w:cs="Arial" w:eastAsia="Arial" w:hAnsi="Arial"/>
          <w:sz w:val="14"/>
          <w:szCs w:val="14"/>
          <w:i w:val="1"/>
          <w:iCs w:val="1"/>
          <w:color w:val="auto"/>
        </w:rPr>
        <w:t>competitive factors, including changes in market penetration; increasing price competition by existing or new foreign and domestic competitors; the introduction of new products by existing and new competitors; and new technology that may impact the way our products are sold or distributed;</w:t>
      </w:r>
    </w:p>
    <w:p>
      <w:pPr>
        <w:spacing w:after="0" w:line="1" w:lineRule="exact"/>
        <w:rPr>
          <w:rFonts w:ascii="Arial" w:cs="Arial" w:eastAsia="Arial" w:hAnsi="Arial"/>
          <w:sz w:val="14"/>
          <w:szCs w:val="14"/>
          <w:color w:val="auto"/>
        </w:rPr>
      </w:pPr>
    </w:p>
    <w:p>
      <w:pPr>
        <w:ind w:left="1080" w:right="4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changes in operating costs, including the effect of changes in our manufacturing processes; changes in costs associated with varying levels of operations and manufacturing capacity; availability of raw materials and energy; our ability to mitigate the impact of fluctuations in raw materials and energy costs and the effectiveness of our surcharge mechanism; changes in the expected costs associated with product warranty claims; changes resulting from inventory management, cost reduction initiatives and different levels of customer demands; the effects of unplanned work stoppages; and changes in the cost of labor and benefits;</w:t>
      </w:r>
    </w:p>
    <w:p>
      <w:pPr>
        <w:ind w:left="108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success of our operating plans, announced programs, initiatives and capital investments; and our ability to maintain appropriate relations with unions that represent our associates in certain locations in order to avoid disruptions of business;</w:t>
      </w:r>
    </w:p>
    <w:p>
      <w:pPr>
        <w:ind w:left="1080" w:right="72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unanticipated litigation, claims or assessments, including claims or problems related to intellectual property, product liability or warranty, and environmental issues and taxes, among other matters;</w:t>
      </w: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our ability to achieve our ESG goals, including our 2030 ESG goals;</w:t>
      </w:r>
    </w:p>
    <w:p>
      <w:pPr>
        <w:spacing w:after="0" w:line="18" w:lineRule="exact"/>
        <w:rPr>
          <w:rFonts w:ascii="Arial" w:cs="Arial" w:eastAsia="Arial" w:hAnsi="Arial"/>
          <w:sz w:val="16"/>
          <w:szCs w:val="16"/>
          <w:color w:val="auto"/>
        </w:rPr>
      </w:pPr>
    </w:p>
    <w:p>
      <w:pPr>
        <w:ind w:left="1080" w:right="12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availability of financing and interest rates, which affect our cost of funds and/or ability to raise capital, including our ability to refinance or repay at maturity the convertible notes due December 1, 2025; our pension obligations and investment performance; and/or customer demand and the ability of customers to obtain financing to purchase our products or equipment that contain our products;</w:t>
      </w: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overall impact of the pension and postretirement mark-to-market accounting;</w:t>
      </w:r>
    </w:p>
    <w:p>
      <w:pPr>
        <w:spacing w:after="0" w:line="18" w:lineRule="exact"/>
        <w:rPr>
          <w:rFonts w:ascii="Arial" w:cs="Arial" w:eastAsia="Arial" w:hAnsi="Arial"/>
          <w:sz w:val="16"/>
          <w:szCs w:val="16"/>
          <w:color w:val="auto"/>
        </w:rPr>
      </w:pPr>
    </w:p>
    <w:p>
      <w:pPr>
        <w:ind w:left="1080" w:right="40" w:hanging="532"/>
        <w:spacing w:after="0" w:line="264"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effects of the conditional conversion feature of the convertible notes due December 1, 2025, which, if triggered, entitles holders to convert the notes at any time during specified periods at their option and therefore could result in potential dilution if the holder elects to convert and the company elects to satisfy a portion or all of the conversion obligation by delivering common shares instead of cash;</w:t>
      </w: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the impacts from any repurchases of our common shares, including the timing and amount of any repurchases; and</w:t>
      </w:r>
    </w:p>
    <w:p>
      <w:pPr>
        <w:spacing w:after="0" w:line="18" w:lineRule="exact"/>
        <w:rPr>
          <w:rFonts w:ascii="Arial" w:cs="Arial" w:eastAsia="Arial" w:hAnsi="Arial"/>
          <w:sz w:val="16"/>
          <w:szCs w:val="16"/>
          <w:color w:val="auto"/>
        </w:rPr>
      </w:pP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i w:val="1"/>
          <w:iCs w:val="1"/>
          <w:color w:val="auto"/>
        </w:rPr>
        <w:t>those items identified under the caption Risk Factors in our Annual Report on Form 10-K for the year ended December 31, 2021.</w:t>
      </w:r>
    </w:p>
    <w:p>
      <w:pPr>
        <w:spacing w:after="0" w:line="163" w:lineRule="exact"/>
        <w:rPr>
          <w:sz w:val="20"/>
          <w:szCs w:val="20"/>
          <w:color w:val="auto"/>
        </w:rPr>
      </w:pPr>
    </w:p>
    <w:p>
      <w:pPr>
        <w:ind w:left="120"/>
        <w:spacing w:after="0" w:line="273" w:lineRule="auto"/>
        <w:rPr>
          <w:sz w:val="20"/>
          <w:szCs w:val="20"/>
          <w:color w:val="auto"/>
        </w:rPr>
      </w:pPr>
      <w:r>
        <w:rPr>
          <w:rFonts w:ascii="Arial" w:cs="Arial" w:eastAsia="Arial" w:hAnsi="Arial"/>
          <w:sz w:val="16"/>
          <w:szCs w:val="16"/>
          <w:i w:val="1"/>
          <w:iCs w:val="1"/>
          <w:color w:val="auto"/>
        </w:rPr>
        <w:t>All of these risk factors are difficult to predict, are subject to material uncertainties that may affect actual results and may be beyond our control. It is not possible to predict or identify all of the risks, uncertainties and other factors that may affect future results, and the above list should not be considered to be a complete list. Except as required by the federal securities laws, we undertake no obligation to publicly update or revise any forward-looking statement, whether as a result of new information, future events or otherwise.</w:t>
      </w:r>
    </w:p>
    <w:p>
      <w:pPr>
        <w:sectPr>
          <w:pgSz w:w="11900" w:h="16838" w:orient="portrait"/>
          <w:cols w:equalWidth="0" w:num="1">
            <w:col w:w="11100"/>
          </w:cols>
          <w:pgMar w:left="320" w:top="459" w:right="47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Proxy summary</w:t>
      </w:r>
    </w:p>
    <w:p>
      <w:pPr>
        <w:spacing w:after="0" w:line="259" w:lineRule="exact"/>
        <w:rPr>
          <w:sz w:val="20"/>
          <w:szCs w:val="20"/>
          <w:color w:val="auto"/>
        </w:rPr>
      </w:pPr>
    </w:p>
    <w:p>
      <w:pPr>
        <w:ind w:left="120"/>
        <w:spacing w:after="0"/>
        <w:rPr>
          <w:sz w:val="20"/>
          <w:szCs w:val="20"/>
          <w:color w:val="auto"/>
        </w:rPr>
      </w:pPr>
      <w:r>
        <w:rPr>
          <w:rFonts w:ascii="Arial" w:cs="Arial" w:eastAsia="Arial" w:hAnsi="Arial"/>
          <w:sz w:val="16"/>
          <w:szCs w:val="16"/>
          <w:i w:val="1"/>
          <w:iCs w:val="1"/>
          <w:color w:val="auto"/>
        </w:rPr>
        <w:t>This summary highlights information contained elsewhere in this proxy statement and contains only a portion of the information you should consider.</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You should read the entire proxy statement carefully before voting.</w:t>
      </w:r>
    </w:p>
    <w:p>
      <w:pPr>
        <w:spacing w:after="0" w:line="20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Our annual meeting</w:t>
      </w:r>
    </w:p>
    <w:p>
      <w:pPr>
        <w:sectPr>
          <w:pgSz w:w="11900" w:h="16838" w:orient="portrait"/>
          <w:cols w:equalWidth="0" w:num="1">
            <w:col w:w="11140"/>
          </w:cols>
          <w:pgMar w:left="320" w:top="459" w:right="439" w:bottom="1440" w:gutter="0" w:footer="0" w:header="0"/>
        </w:sectPr>
      </w:pPr>
    </w:p>
    <w:p>
      <w:pPr>
        <w:spacing w:after="0" w:line="311" w:lineRule="exact"/>
        <w:rPr>
          <w:sz w:val="20"/>
          <w:szCs w:val="20"/>
          <w:color w:val="auto"/>
        </w:rPr>
      </w:pPr>
    </w:p>
    <w:tbl>
      <w:tblPr>
        <w:tblLayout w:type="fixed"/>
        <w:tblInd w:w="200" w:type="dxa"/>
        <w:tblCellMar>
          <w:top w:w="0" w:type="dxa"/>
          <w:left w:w="0" w:type="dxa"/>
          <w:bottom w:w="0" w:type="dxa"/>
          <w:right w:w="0" w:type="dxa"/>
        </w:tblCellMar>
      </w:tblPr>
      <w:tr>
        <w:trPr>
          <w:trHeight w:val="234"/>
        </w:trPr>
        <w:tc>
          <w:tcPr>
            <w:tcW w:w="2360" w:type="dxa"/>
            <w:vAlign w:val="bottom"/>
          </w:tcPr>
          <w:p>
            <w:pPr>
              <w:spacing w:after="0"/>
              <w:rPr>
                <w:sz w:val="20"/>
                <w:szCs w:val="20"/>
                <w:color w:val="auto"/>
              </w:rPr>
            </w:pPr>
            <w:r>
              <w:rPr>
                <w:rFonts w:ascii="Arial" w:cs="Arial" w:eastAsia="Arial" w:hAnsi="Arial"/>
                <w:sz w:val="18"/>
                <w:szCs w:val="18"/>
                <w:b w:val="1"/>
                <w:bCs w:val="1"/>
                <w:color w:val="FFFFFF"/>
              </w:rPr>
              <w:t>Date and time</w:t>
            </w:r>
          </w:p>
        </w:tc>
        <w:tc>
          <w:tcPr>
            <w:tcW w:w="2820" w:type="dxa"/>
            <w:vAlign w:val="bottom"/>
          </w:tcPr>
          <w:p>
            <w:pPr>
              <w:ind w:left="860"/>
              <w:spacing w:after="0"/>
              <w:rPr>
                <w:sz w:val="20"/>
                <w:szCs w:val="20"/>
                <w:color w:val="auto"/>
              </w:rPr>
            </w:pPr>
            <w:r>
              <w:rPr>
                <w:rFonts w:ascii="Arial" w:cs="Arial" w:eastAsia="Arial" w:hAnsi="Arial"/>
                <w:sz w:val="18"/>
                <w:szCs w:val="18"/>
                <w:b w:val="1"/>
                <w:bCs w:val="1"/>
                <w:color w:val="FFFFFF"/>
              </w:rPr>
              <w:t>Record date</w:t>
            </w:r>
          </w:p>
        </w:tc>
        <w:tc>
          <w:tcPr>
            <w:tcW w:w="3320" w:type="dxa"/>
            <w:vAlign w:val="bottom"/>
          </w:tcPr>
          <w:p>
            <w:pPr>
              <w:ind w:left="920"/>
              <w:spacing w:after="0"/>
              <w:rPr>
                <w:sz w:val="20"/>
                <w:szCs w:val="20"/>
                <w:color w:val="auto"/>
              </w:rPr>
            </w:pPr>
            <w:r>
              <w:rPr>
                <w:rFonts w:ascii="Arial" w:cs="Arial" w:eastAsia="Arial" w:hAnsi="Arial"/>
                <w:sz w:val="18"/>
                <w:szCs w:val="18"/>
                <w:b w:val="1"/>
                <w:bCs w:val="1"/>
                <w:color w:val="FFFFFF"/>
              </w:rPr>
              <w:t>Place</w:t>
            </w:r>
          </w:p>
        </w:tc>
      </w:tr>
      <w:tr>
        <w:trPr>
          <w:trHeight w:val="256"/>
        </w:trPr>
        <w:tc>
          <w:tcPr>
            <w:tcW w:w="2360" w:type="dxa"/>
            <w:vAlign w:val="bottom"/>
          </w:tcPr>
          <w:p>
            <w:pPr>
              <w:spacing w:after="0"/>
              <w:rPr>
                <w:sz w:val="20"/>
                <w:szCs w:val="20"/>
                <w:color w:val="auto"/>
              </w:rPr>
            </w:pPr>
            <w:r>
              <w:rPr>
                <w:rFonts w:ascii="Arial" w:cs="Arial" w:eastAsia="Arial" w:hAnsi="Arial"/>
                <w:sz w:val="18"/>
                <w:szCs w:val="18"/>
                <w:color w:val="auto"/>
              </w:rPr>
              <w:t>May 4, 2022</w:t>
            </w:r>
          </w:p>
        </w:tc>
        <w:tc>
          <w:tcPr>
            <w:tcW w:w="2820" w:type="dxa"/>
            <w:vAlign w:val="bottom"/>
          </w:tcPr>
          <w:p>
            <w:pPr>
              <w:ind w:left="860"/>
              <w:spacing w:after="0"/>
              <w:rPr>
                <w:sz w:val="20"/>
                <w:szCs w:val="20"/>
                <w:color w:val="auto"/>
              </w:rPr>
            </w:pPr>
            <w:r>
              <w:rPr>
                <w:rFonts w:ascii="Arial" w:cs="Arial" w:eastAsia="Arial" w:hAnsi="Arial"/>
                <w:sz w:val="18"/>
                <w:szCs w:val="18"/>
                <w:color w:val="auto"/>
              </w:rPr>
              <w:t>March 1, 2022</w:t>
            </w:r>
          </w:p>
        </w:tc>
        <w:tc>
          <w:tcPr>
            <w:tcW w:w="3320" w:type="dxa"/>
            <w:vAlign w:val="bottom"/>
          </w:tcPr>
          <w:p>
            <w:pPr>
              <w:ind w:left="920"/>
              <w:spacing w:after="0"/>
              <w:rPr>
                <w:sz w:val="20"/>
                <w:szCs w:val="20"/>
                <w:color w:val="auto"/>
              </w:rPr>
            </w:pPr>
            <w:r>
              <w:rPr>
                <w:rFonts w:ascii="Arial" w:cs="Arial" w:eastAsia="Arial" w:hAnsi="Arial"/>
                <w:sz w:val="18"/>
                <w:szCs w:val="18"/>
                <w:color w:val="auto"/>
              </w:rPr>
              <w:t>There will be no in-person</w:t>
            </w:r>
          </w:p>
        </w:tc>
      </w:tr>
      <w:tr>
        <w:trPr>
          <w:trHeight w:val="216"/>
        </w:trPr>
        <w:tc>
          <w:tcPr>
            <w:tcW w:w="2360" w:type="dxa"/>
            <w:vAlign w:val="bottom"/>
          </w:tcPr>
          <w:p>
            <w:pPr>
              <w:spacing w:after="0"/>
              <w:rPr>
                <w:sz w:val="20"/>
                <w:szCs w:val="20"/>
                <w:color w:val="auto"/>
              </w:rPr>
            </w:pPr>
            <w:r>
              <w:rPr>
                <w:rFonts w:ascii="Arial" w:cs="Arial" w:eastAsia="Arial" w:hAnsi="Arial"/>
                <w:sz w:val="18"/>
                <w:szCs w:val="18"/>
                <w:color w:val="auto"/>
              </w:rPr>
              <w:t>10 a.m. Eastern time</w:t>
            </w:r>
          </w:p>
        </w:tc>
        <w:tc>
          <w:tcPr>
            <w:tcW w:w="2820" w:type="dxa"/>
            <w:vAlign w:val="bottom"/>
          </w:tcPr>
          <w:p>
            <w:pPr>
              <w:spacing w:after="0"/>
              <w:rPr>
                <w:sz w:val="18"/>
                <w:szCs w:val="18"/>
                <w:color w:val="auto"/>
              </w:rPr>
            </w:pPr>
          </w:p>
        </w:tc>
        <w:tc>
          <w:tcPr>
            <w:tcW w:w="3320" w:type="dxa"/>
            <w:vAlign w:val="bottom"/>
          </w:tcPr>
          <w:p>
            <w:pPr>
              <w:ind w:left="920"/>
              <w:spacing w:after="0"/>
              <w:rPr>
                <w:sz w:val="20"/>
                <w:szCs w:val="20"/>
                <w:color w:val="auto"/>
              </w:rPr>
            </w:pPr>
            <w:r>
              <w:rPr>
                <w:rFonts w:ascii="Arial" w:cs="Arial" w:eastAsia="Arial" w:hAnsi="Arial"/>
                <w:sz w:val="18"/>
                <w:szCs w:val="18"/>
                <w:color w:val="auto"/>
              </w:rPr>
              <w:t>meeting. The meeting will be</w:t>
            </w:r>
          </w:p>
        </w:tc>
      </w:tr>
      <w:tr>
        <w:trPr>
          <w:trHeight w:val="230"/>
        </w:trPr>
        <w:tc>
          <w:tcPr>
            <w:tcW w:w="2360" w:type="dxa"/>
            <w:vAlign w:val="bottom"/>
          </w:tcPr>
          <w:p>
            <w:pPr>
              <w:spacing w:after="0"/>
              <w:rPr>
                <w:sz w:val="20"/>
                <w:szCs w:val="20"/>
                <w:color w:val="auto"/>
              </w:rPr>
            </w:pPr>
          </w:p>
        </w:tc>
        <w:tc>
          <w:tcPr>
            <w:tcW w:w="2820" w:type="dxa"/>
            <w:vAlign w:val="bottom"/>
          </w:tcPr>
          <w:p>
            <w:pPr>
              <w:spacing w:after="0"/>
              <w:rPr>
                <w:sz w:val="20"/>
                <w:szCs w:val="20"/>
                <w:color w:val="auto"/>
              </w:rPr>
            </w:pPr>
          </w:p>
        </w:tc>
        <w:tc>
          <w:tcPr>
            <w:tcW w:w="3320" w:type="dxa"/>
            <w:vAlign w:val="bottom"/>
          </w:tcPr>
          <w:p>
            <w:pPr>
              <w:ind w:left="920"/>
              <w:spacing w:after="0"/>
              <w:rPr>
                <w:sz w:val="20"/>
                <w:szCs w:val="20"/>
                <w:color w:val="auto"/>
              </w:rPr>
            </w:pPr>
            <w:r>
              <w:rPr>
                <w:rFonts w:ascii="Arial" w:cs="Arial" w:eastAsia="Arial" w:hAnsi="Arial"/>
                <w:sz w:val="18"/>
                <w:szCs w:val="18"/>
                <w:color w:val="auto"/>
                <w:w w:val="94"/>
              </w:rPr>
              <w:t>held “virtually” over the internet.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-582295</wp:posOffset>
            </wp:positionV>
            <wp:extent cx="6995160" cy="137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FFFFFF"/>
        </w:rPr>
        <w:t>Who can vote</w:t>
      </w:r>
    </w:p>
    <w:p>
      <w:pPr>
        <w:spacing w:after="0" w:line="67" w:lineRule="exact"/>
        <w:rPr>
          <w:sz w:val="20"/>
          <w:szCs w:val="20"/>
          <w:color w:val="auto"/>
        </w:rPr>
      </w:pPr>
    </w:p>
    <w:p>
      <w:pPr>
        <w:ind w:right="140"/>
        <w:spacing w:after="0" w:line="311" w:lineRule="auto"/>
        <w:rPr>
          <w:sz w:val="20"/>
          <w:szCs w:val="20"/>
          <w:color w:val="auto"/>
        </w:rPr>
      </w:pPr>
      <w:r>
        <w:rPr>
          <w:rFonts w:ascii="Arial" w:cs="Arial" w:eastAsia="Arial" w:hAnsi="Arial"/>
          <w:sz w:val="16"/>
          <w:szCs w:val="16"/>
          <w:color w:val="auto"/>
        </w:rPr>
        <w:t>Shareholders of record of common shares at the close of business on March 1, 2022</w:t>
      </w:r>
    </w:p>
    <w:p>
      <w:pPr>
        <w:spacing w:after="0" w:line="200" w:lineRule="exact"/>
        <w:rPr>
          <w:sz w:val="20"/>
          <w:szCs w:val="20"/>
          <w:color w:val="auto"/>
        </w:rPr>
      </w:pPr>
    </w:p>
    <w:p>
      <w:pPr>
        <w:sectPr>
          <w:pgSz w:w="11900" w:h="16838" w:orient="portrait"/>
          <w:cols w:equalWidth="0" w:num="2">
            <w:col w:w="8700" w:space="120"/>
            <w:col w:w="2320"/>
          </w:cols>
          <w:pgMar w:left="320" w:top="459" w:right="439" w:bottom="1440" w:gutter="0" w:footer="0" w:header="0"/>
          <w:type w:val="continuous"/>
        </w:sectPr>
      </w:pPr>
    </w:p>
    <w:p>
      <w:pPr>
        <w:spacing w:after="0" w:line="260" w:lineRule="exact"/>
        <w:rPr>
          <w:sz w:val="20"/>
          <w:szCs w:val="20"/>
          <w:color w:val="auto"/>
        </w:rPr>
      </w:pPr>
    </w:p>
    <w:tbl>
      <w:tblPr>
        <w:tblLayout w:type="fixed"/>
        <w:tblInd w:w="120" w:type="dxa"/>
        <w:tblCellMar>
          <w:top w:w="0" w:type="dxa"/>
          <w:left w:w="0" w:type="dxa"/>
          <w:bottom w:w="0" w:type="dxa"/>
          <w:right w:w="0" w:type="dxa"/>
        </w:tblCellMar>
      </w:tblPr>
      <w:tr>
        <w:trPr>
          <w:trHeight w:val="216"/>
        </w:trPr>
        <w:tc>
          <w:tcPr>
            <w:tcW w:w="540" w:type="dxa"/>
            <w:vAlign w:val="bottom"/>
            <w:shd w:val="clear" w:color="auto" w:fill="9A9B9C"/>
          </w:tcPr>
          <w:p>
            <w:pPr>
              <w:ind w:left="80"/>
              <w:spacing w:after="0"/>
              <w:rPr>
                <w:sz w:val="20"/>
                <w:szCs w:val="20"/>
                <w:color w:val="auto"/>
              </w:rPr>
            </w:pPr>
            <w:r>
              <w:rPr>
                <w:rFonts w:ascii="Arial" w:cs="Arial" w:eastAsia="Arial" w:hAnsi="Arial"/>
                <w:sz w:val="18"/>
                <w:szCs w:val="18"/>
                <w:b w:val="1"/>
                <w:bCs w:val="1"/>
                <w:color w:val="FFFFFF"/>
              </w:rPr>
              <w:t>Item</w:t>
            </w:r>
          </w:p>
        </w:tc>
        <w:tc>
          <w:tcPr>
            <w:tcW w:w="1100" w:type="dxa"/>
            <w:vAlign w:val="bottom"/>
            <w:shd w:val="clear" w:color="auto" w:fill="9A9B9C"/>
          </w:tcPr>
          <w:p>
            <w:pPr>
              <w:ind w:left="220"/>
              <w:spacing w:after="0"/>
              <w:rPr>
                <w:sz w:val="20"/>
                <w:szCs w:val="20"/>
                <w:color w:val="auto"/>
              </w:rPr>
            </w:pPr>
            <w:r>
              <w:rPr>
                <w:rFonts w:ascii="Arial" w:cs="Arial" w:eastAsia="Arial" w:hAnsi="Arial"/>
                <w:sz w:val="18"/>
                <w:szCs w:val="18"/>
                <w:b w:val="1"/>
                <w:bCs w:val="1"/>
                <w:color w:val="FFFFFF"/>
                <w:w w:val="98"/>
              </w:rPr>
              <w:t>Proposals</w:t>
            </w:r>
          </w:p>
        </w:tc>
        <w:tc>
          <w:tcPr>
            <w:tcW w:w="620" w:type="dxa"/>
            <w:vAlign w:val="bottom"/>
            <w:shd w:val="clear" w:color="auto" w:fill="9A9B9C"/>
          </w:tcPr>
          <w:p>
            <w:pPr>
              <w:spacing w:after="0"/>
              <w:rPr>
                <w:sz w:val="18"/>
                <w:szCs w:val="18"/>
                <w:color w:val="auto"/>
              </w:rPr>
            </w:pPr>
          </w:p>
        </w:tc>
        <w:tc>
          <w:tcPr>
            <w:tcW w:w="920" w:type="dxa"/>
            <w:vAlign w:val="bottom"/>
            <w:shd w:val="clear" w:color="auto" w:fill="9A9B9C"/>
          </w:tcPr>
          <w:p>
            <w:pPr>
              <w:spacing w:after="0"/>
              <w:rPr>
                <w:sz w:val="18"/>
                <w:szCs w:val="18"/>
                <w:color w:val="auto"/>
              </w:rPr>
            </w:pPr>
          </w:p>
        </w:tc>
        <w:tc>
          <w:tcPr>
            <w:tcW w:w="2440" w:type="dxa"/>
            <w:vAlign w:val="bottom"/>
            <w:shd w:val="clear" w:color="auto" w:fill="9A9B9C"/>
          </w:tcPr>
          <w:p>
            <w:pPr>
              <w:spacing w:after="0"/>
              <w:rPr>
                <w:sz w:val="18"/>
                <w:szCs w:val="18"/>
                <w:color w:val="auto"/>
              </w:rPr>
            </w:pPr>
          </w:p>
        </w:tc>
        <w:tc>
          <w:tcPr>
            <w:tcW w:w="3220" w:type="dxa"/>
            <w:vAlign w:val="bottom"/>
            <w:gridSpan w:val="3"/>
            <w:shd w:val="clear" w:color="auto" w:fill="9A9B9C"/>
          </w:tcPr>
          <w:p>
            <w:pPr>
              <w:ind w:left="920"/>
              <w:spacing w:after="0"/>
              <w:rPr>
                <w:sz w:val="20"/>
                <w:szCs w:val="20"/>
                <w:color w:val="auto"/>
              </w:rPr>
            </w:pPr>
            <w:r>
              <w:rPr>
                <w:rFonts w:ascii="Arial" w:cs="Arial" w:eastAsia="Arial" w:hAnsi="Arial"/>
                <w:sz w:val="18"/>
                <w:szCs w:val="18"/>
                <w:b w:val="1"/>
                <w:bCs w:val="1"/>
                <w:color w:val="FFFFFF"/>
                <w:w w:val="89"/>
              </w:rPr>
              <w:t>Board vote recommendations</w:t>
            </w:r>
          </w:p>
        </w:tc>
        <w:tc>
          <w:tcPr>
            <w:tcW w:w="1280" w:type="dxa"/>
            <w:vAlign w:val="bottom"/>
            <w:shd w:val="clear" w:color="auto" w:fill="9A9B9C"/>
          </w:tcPr>
          <w:p>
            <w:pPr>
              <w:spacing w:after="0"/>
              <w:rPr>
                <w:sz w:val="18"/>
                <w:szCs w:val="18"/>
                <w:color w:val="auto"/>
              </w:rPr>
            </w:pPr>
          </w:p>
        </w:tc>
        <w:tc>
          <w:tcPr>
            <w:tcW w:w="900" w:type="dxa"/>
            <w:vAlign w:val="bottom"/>
            <w:shd w:val="clear" w:color="auto" w:fill="9A9B9C"/>
          </w:tcPr>
          <w:p>
            <w:pPr>
              <w:ind w:left="120"/>
              <w:spacing w:after="0"/>
              <w:rPr>
                <w:sz w:val="20"/>
                <w:szCs w:val="20"/>
                <w:color w:val="auto"/>
              </w:rPr>
            </w:pPr>
            <w:r>
              <w:rPr>
                <w:rFonts w:ascii="Arial" w:cs="Arial" w:eastAsia="Arial" w:hAnsi="Arial"/>
                <w:sz w:val="18"/>
                <w:szCs w:val="18"/>
                <w:b w:val="1"/>
                <w:bCs w:val="1"/>
                <w:color w:val="FFFFFF"/>
              </w:rPr>
              <w:t>Page #</w:t>
            </w:r>
          </w:p>
        </w:tc>
        <w:tc>
          <w:tcPr>
            <w:tcW w:w="0" w:type="dxa"/>
            <w:vAlign w:val="bottom"/>
          </w:tcPr>
          <w:p>
            <w:pPr>
              <w:spacing w:after="0"/>
              <w:rPr>
                <w:sz w:val="1"/>
                <w:szCs w:val="1"/>
                <w:color w:val="auto"/>
              </w:rPr>
            </w:pPr>
          </w:p>
        </w:tc>
      </w:tr>
      <w:tr>
        <w:trPr>
          <w:trHeight w:val="311"/>
        </w:trPr>
        <w:tc>
          <w:tcPr>
            <w:tcW w:w="540" w:type="dxa"/>
            <w:vAlign w:val="bottom"/>
          </w:tcPr>
          <w:p>
            <w:pPr>
              <w:ind w:left="80"/>
              <w:spacing w:after="0"/>
              <w:rPr>
                <w:sz w:val="20"/>
                <w:szCs w:val="20"/>
                <w:color w:val="auto"/>
              </w:rPr>
            </w:pPr>
            <w:r>
              <w:rPr>
                <w:rFonts w:ascii="Arial" w:cs="Arial" w:eastAsia="Arial" w:hAnsi="Arial"/>
                <w:sz w:val="16"/>
                <w:szCs w:val="16"/>
                <w:b w:val="1"/>
                <w:bCs w:val="1"/>
                <w:color w:val="auto"/>
              </w:rPr>
              <w:t>1</w:t>
            </w:r>
          </w:p>
        </w:tc>
        <w:tc>
          <w:tcPr>
            <w:tcW w:w="6160" w:type="dxa"/>
            <w:vAlign w:val="bottom"/>
            <w:gridSpan w:val="5"/>
          </w:tcPr>
          <w:p>
            <w:pPr>
              <w:ind w:left="220"/>
              <w:spacing w:after="0"/>
              <w:rPr>
                <w:sz w:val="20"/>
                <w:szCs w:val="20"/>
                <w:color w:val="auto"/>
              </w:rPr>
            </w:pPr>
            <w:r>
              <w:rPr>
                <w:rFonts w:ascii="Arial" w:cs="Arial" w:eastAsia="Arial" w:hAnsi="Arial"/>
                <w:sz w:val="18"/>
                <w:szCs w:val="18"/>
                <w:color w:val="auto"/>
                <w:w w:val="94"/>
              </w:rPr>
              <w:t>Election of four directors to serve a three-year term expiring at the 2025 annual</w:t>
            </w:r>
          </w:p>
        </w:tc>
        <w:tc>
          <w:tcPr>
            <w:tcW w:w="3420" w:type="dxa"/>
            <w:vAlign w:val="bottom"/>
            <w:gridSpan w:val="3"/>
          </w:tcPr>
          <w:p>
            <w:pPr>
              <w:ind w:left="160"/>
              <w:spacing w:after="0"/>
              <w:rPr>
                <w:sz w:val="20"/>
                <w:szCs w:val="20"/>
                <w:color w:val="auto"/>
              </w:rPr>
            </w:pPr>
            <w:r>
              <w:rPr>
                <w:rFonts w:ascii="Arial" w:cs="Arial" w:eastAsia="Arial" w:hAnsi="Arial"/>
                <w:sz w:val="22"/>
                <w:szCs w:val="22"/>
                <w:b w:val="1"/>
                <w:bCs w:val="1"/>
                <w:color w:val="auto"/>
              </w:rPr>
              <w:t xml:space="preserve">FOR </w:t>
            </w:r>
            <w:r>
              <w:rPr>
                <w:rFonts w:ascii="Arial" w:cs="Arial" w:eastAsia="Arial" w:hAnsi="Arial"/>
                <w:sz w:val="19"/>
                <w:szCs w:val="19"/>
                <w:color w:val="auto"/>
              </w:rPr>
              <w:t>each director nominee</w:t>
            </w:r>
          </w:p>
        </w:tc>
        <w:tc>
          <w:tcPr>
            <w:tcW w:w="900" w:type="dxa"/>
            <w:vAlign w:val="bottom"/>
          </w:tcPr>
          <w:p>
            <w:pPr>
              <w:jc w:val="center"/>
              <w:ind w:left="36"/>
              <w:spacing w:after="0"/>
              <w:rPr>
                <w:sz w:val="20"/>
                <w:szCs w:val="20"/>
                <w:color w:val="auto"/>
              </w:rPr>
            </w:pPr>
            <w:r>
              <w:rPr>
                <w:rFonts w:ascii="Arial" w:cs="Arial" w:eastAsia="Arial" w:hAnsi="Arial"/>
                <w:sz w:val="18"/>
                <w:szCs w:val="18"/>
                <w:color w:val="auto"/>
                <w:w w:val="89"/>
              </w:rPr>
              <w:t>10</w:t>
            </w:r>
          </w:p>
        </w:tc>
        <w:tc>
          <w:tcPr>
            <w:tcW w:w="0" w:type="dxa"/>
            <w:vAlign w:val="bottom"/>
          </w:tcPr>
          <w:p>
            <w:pPr>
              <w:spacing w:after="0"/>
              <w:rPr>
                <w:sz w:val="1"/>
                <w:szCs w:val="1"/>
                <w:color w:val="auto"/>
              </w:rPr>
            </w:pPr>
          </w:p>
        </w:tc>
      </w:tr>
      <w:tr>
        <w:trPr>
          <w:trHeight w:val="175"/>
        </w:trPr>
        <w:tc>
          <w:tcPr>
            <w:tcW w:w="540" w:type="dxa"/>
            <w:vAlign w:val="bottom"/>
            <w:tcBorders>
              <w:bottom w:val="single" w:sz="8" w:color="999999"/>
            </w:tcBorders>
          </w:tcPr>
          <w:p>
            <w:pPr>
              <w:spacing w:after="0"/>
              <w:rPr>
                <w:sz w:val="15"/>
                <w:szCs w:val="15"/>
                <w:color w:val="auto"/>
              </w:rPr>
            </w:pPr>
          </w:p>
        </w:tc>
        <w:tc>
          <w:tcPr>
            <w:tcW w:w="1100" w:type="dxa"/>
            <w:vAlign w:val="bottom"/>
            <w:tcBorders>
              <w:bottom w:val="single" w:sz="8" w:color="999999"/>
            </w:tcBorders>
          </w:tcPr>
          <w:p>
            <w:pPr>
              <w:ind w:left="220"/>
              <w:spacing w:after="0" w:line="176" w:lineRule="exact"/>
              <w:rPr>
                <w:sz w:val="20"/>
                <w:szCs w:val="20"/>
                <w:color w:val="auto"/>
              </w:rPr>
            </w:pPr>
            <w:r>
              <w:rPr>
                <w:rFonts w:ascii="Arial" w:cs="Arial" w:eastAsia="Arial" w:hAnsi="Arial"/>
                <w:sz w:val="18"/>
                <w:szCs w:val="18"/>
                <w:color w:val="auto"/>
              </w:rPr>
              <w:t>meeting</w:t>
            </w:r>
          </w:p>
        </w:tc>
        <w:tc>
          <w:tcPr>
            <w:tcW w:w="620" w:type="dxa"/>
            <w:vAlign w:val="bottom"/>
            <w:tcBorders>
              <w:bottom w:val="single" w:sz="8" w:color="999999"/>
            </w:tcBorders>
          </w:tcPr>
          <w:p>
            <w:pPr>
              <w:spacing w:after="0"/>
              <w:rPr>
                <w:sz w:val="15"/>
                <w:szCs w:val="15"/>
                <w:color w:val="auto"/>
              </w:rPr>
            </w:pPr>
          </w:p>
        </w:tc>
        <w:tc>
          <w:tcPr>
            <w:tcW w:w="920" w:type="dxa"/>
            <w:vAlign w:val="bottom"/>
            <w:tcBorders>
              <w:bottom w:val="single" w:sz="8" w:color="999999"/>
            </w:tcBorders>
          </w:tcPr>
          <w:p>
            <w:pPr>
              <w:spacing w:after="0"/>
              <w:rPr>
                <w:sz w:val="15"/>
                <w:szCs w:val="15"/>
                <w:color w:val="auto"/>
              </w:rPr>
            </w:pPr>
          </w:p>
        </w:tc>
        <w:tc>
          <w:tcPr>
            <w:tcW w:w="2440" w:type="dxa"/>
            <w:vAlign w:val="bottom"/>
            <w:tcBorders>
              <w:bottom w:val="single" w:sz="8" w:color="999999"/>
            </w:tcBorders>
          </w:tcPr>
          <w:p>
            <w:pPr>
              <w:spacing w:after="0"/>
              <w:rPr>
                <w:sz w:val="15"/>
                <w:szCs w:val="15"/>
                <w:color w:val="auto"/>
              </w:rPr>
            </w:pPr>
          </w:p>
        </w:tc>
        <w:tc>
          <w:tcPr>
            <w:tcW w:w="1080" w:type="dxa"/>
            <w:vAlign w:val="bottom"/>
            <w:tcBorders>
              <w:bottom w:val="single" w:sz="8" w:color="999999"/>
            </w:tcBorders>
          </w:tcPr>
          <w:p>
            <w:pPr>
              <w:spacing w:after="0"/>
              <w:rPr>
                <w:sz w:val="15"/>
                <w:szCs w:val="15"/>
                <w:color w:val="auto"/>
              </w:rPr>
            </w:pPr>
          </w:p>
        </w:tc>
        <w:tc>
          <w:tcPr>
            <w:tcW w:w="600" w:type="dxa"/>
            <w:vAlign w:val="bottom"/>
            <w:tcBorders>
              <w:bottom w:val="single" w:sz="8" w:color="999999"/>
            </w:tcBorders>
          </w:tcPr>
          <w:p>
            <w:pPr>
              <w:spacing w:after="0"/>
              <w:rPr>
                <w:sz w:val="15"/>
                <w:szCs w:val="15"/>
                <w:color w:val="auto"/>
              </w:rPr>
            </w:pPr>
          </w:p>
        </w:tc>
        <w:tc>
          <w:tcPr>
            <w:tcW w:w="1540" w:type="dxa"/>
            <w:vAlign w:val="bottom"/>
            <w:tcBorders>
              <w:bottom w:val="single" w:sz="8" w:color="999999"/>
            </w:tcBorders>
          </w:tcPr>
          <w:p>
            <w:pPr>
              <w:spacing w:after="0"/>
              <w:rPr>
                <w:sz w:val="15"/>
                <w:szCs w:val="15"/>
                <w:color w:val="auto"/>
              </w:rPr>
            </w:pPr>
          </w:p>
        </w:tc>
        <w:tc>
          <w:tcPr>
            <w:tcW w:w="1280" w:type="dxa"/>
            <w:vAlign w:val="bottom"/>
            <w:tcBorders>
              <w:bottom w:val="single" w:sz="8" w:color="999999"/>
            </w:tcBorders>
          </w:tcPr>
          <w:p>
            <w:pPr>
              <w:spacing w:after="0"/>
              <w:rPr>
                <w:sz w:val="15"/>
                <w:szCs w:val="15"/>
                <w:color w:val="auto"/>
              </w:rPr>
            </w:pPr>
          </w:p>
        </w:tc>
        <w:tc>
          <w:tcPr>
            <w:tcW w:w="900" w:type="dxa"/>
            <w:vAlign w:val="bottom"/>
            <w:tcBorders>
              <w:bottom w:val="single" w:sz="8" w:color="999999"/>
            </w:tcBorders>
          </w:tcPr>
          <w:p>
            <w:pPr>
              <w:spacing w:after="0"/>
              <w:rPr>
                <w:sz w:val="15"/>
                <w:szCs w:val="15"/>
                <w:color w:val="auto"/>
              </w:rPr>
            </w:pPr>
          </w:p>
        </w:tc>
        <w:tc>
          <w:tcPr>
            <w:tcW w:w="0" w:type="dxa"/>
            <w:vAlign w:val="bottom"/>
          </w:tcPr>
          <w:p>
            <w:pPr>
              <w:spacing w:after="0"/>
              <w:rPr>
                <w:sz w:val="1"/>
                <w:szCs w:val="1"/>
                <w:color w:val="auto"/>
              </w:rPr>
            </w:pPr>
          </w:p>
        </w:tc>
      </w:tr>
      <w:tr>
        <w:trPr>
          <w:trHeight w:val="225"/>
        </w:trPr>
        <w:tc>
          <w:tcPr>
            <w:tcW w:w="540" w:type="dxa"/>
            <w:vAlign w:val="bottom"/>
          </w:tcPr>
          <w:p>
            <w:pPr>
              <w:ind w:left="80"/>
              <w:spacing w:after="0"/>
              <w:rPr>
                <w:sz w:val="20"/>
                <w:szCs w:val="20"/>
                <w:color w:val="auto"/>
              </w:rPr>
            </w:pPr>
            <w:r>
              <w:rPr>
                <w:rFonts w:ascii="Arial" w:cs="Arial" w:eastAsia="Arial" w:hAnsi="Arial"/>
                <w:sz w:val="16"/>
                <w:szCs w:val="16"/>
                <w:b w:val="1"/>
                <w:bCs w:val="1"/>
                <w:color w:val="auto"/>
              </w:rPr>
              <w:t>2</w:t>
            </w:r>
          </w:p>
        </w:tc>
        <w:tc>
          <w:tcPr>
            <w:tcW w:w="6160" w:type="dxa"/>
            <w:vAlign w:val="bottom"/>
            <w:gridSpan w:val="5"/>
          </w:tcPr>
          <w:p>
            <w:pPr>
              <w:ind w:left="220"/>
              <w:spacing w:after="0"/>
              <w:rPr>
                <w:sz w:val="20"/>
                <w:szCs w:val="20"/>
                <w:color w:val="auto"/>
              </w:rPr>
            </w:pPr>
            <w:r>
              <w:rPr>
                <w:rFonts w:ascii="Arial" w:cs="Arial" w:eastAsia="Arial" w:hAnsi="Arial"/>
                <w:sz w:val="18"/>
                <w:szCs w:val="18"/>
                <w:color w:val="auto"/>
              </w:rPr>
              <w:t>Ratification of the selection of Ernst &amp; Young LLP as the company’s</w:t>
            </w:r>
          </w:p>
        </w:tc>
        <w:tc>
          <w:tcPr>
            <w:tcW w:w="600" w:type="dxa"/>
            <w:vAlign w:val="bottom"/>
          </w:tcPr>
          <w:p>
            <w:pPr>
              <w:ind w:left="160"/>
              <w:spacing w:after="0" w:line="225" w:lineRule="exact"/>
              <w:rPr>
                <w:sz w:val="20"/>
                <w:szCs w:val="20"/>
                <w:color w:val="auto"/>
              </w:rPr>
            </w:pPr>
            <w:r>
              <w:rPr>
                <w:rFonts w:ascii="Arial" w:cs="Arial" w:eastAsia="Arial" w:hAnsi="Arial"/>
                <w:sz w:val="22"/>
                <w:szCs w:val="22"/>
                <w:b w:val="1"/>
                <w:bCs w:val="1"/>
                <w:color w:val="auto"/>
                <w:w w:val="90"/>
              </w:rPr>
              <w:t>FOR</w:t>
            </w:r>
          </w:p>
        </w:tc>
        <w:tc>
          <w:tcPr>
            <w:tcW w:w="154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900" w:type="dxa"/>
            <w:vAlign w:val="bottom"/>
          </w:tcPr>
          <w:p>
            <w:pPr>
              <w:jc w:val="center"/>
              <w:ind w:left="36"/>
              <w:spacing w:after="0"/>
              <w:rPr>
                <w:sz w:val="20"/>
                <w:szCs w:val="20"/>
                <w:color w:val="auto"/>
              </w:rPr>
            </w:pPr>
            <w:r>
              <w:rPr>
                <w:rFonts w:ascii="Arial" w:cs="Arial" w:eastAsia="Arial" w:hAnsi="Arial"/>
                <w:sz w:val="18"/>
                <w:szCs w:val="18"/>
                <w:color w:val="auto"/>
                <w:w w:val="89"/>
              </w:rPr>
              <w:t>33</w:t>
            </w:r>
          </w:p>
        </w:tc>
        <w:tc>
          <w:tcPr>
            <w:tcW w:w="0" w:type="dxa"/>
            <w:vAlign w:val="bottom"/>
          </w:tcPr>
          <w:p>
            <w:pPr>
              <w:spacing w:after="0"/>
              <w:rPr>
                <w:sz w:val="1"/>
                <w:szCs w:val="1"/>
                <w:color w:val="auto"/>
              </w:rPr>
            </w:pPr>
          </w:p>
        </w:tc>
      </w:tr>
      <w:tr>
        <w:trPr>
          <w:trHeight w:val="214"/>
        </w:trPr>
        <w:tc>
          <w:tcPr>
            <w:tcW w:w="540" w:type="dxa"/>
            <w:vAlign w:val="bottom"/>
            <w:tcBorders>
              <w:bottom w:val="single" w:sz="8" w:color="999999"/>
            </w:tcBorders>
          </w:tcPr>
          <w:p>
            <w:pPr>
              <w:spacing w:after="0"/>
              <w:rPr>
                <w:sz w:val="18"/>
                <w:szCs w:val="18"/>
                <w:color w:val="auto"/>
              </w:rPr>
            </w:pPr>
          </w:p>
        </w:tc>
        <w:tc>
          <w:tcPr>
            <w:tcW w:w="5080" w:type="dxa"/>
            <w:vAlign w:val="bottom"/>
            <w:tcBorders>
              <w:bottom w:val="single" w:sz="8" w:color="999999"/>
            </w:tcBorders>
            <w:gridSpan w:val="4"/>
          </w:tcPr>
          <w:p>
            <w:pPr>
              <w:ind w:left="220"/>
              <w:spacing w:after="0"/>
              <w:rPr>
                <w:sz w:val="20"/>
                <w:szCs w:val="20"/>
                <w:color w:val="auto"/>
              </w:rPr>
            </w:pPr>
            <w:r>
              <w:rPr>
                <w:rFonts w:ascii="Arial" w:cs="Arial" w:eastAsia="Arial" w:hAnsi="Arial"/>
                <w:sz w:val="18"/>
                <w:szCs w:val="18"/>
                <w:color w:val="auto"/>
                <w:w w:val="92"/>
              </w:rPr>
              <w:t>independent auditor for the fiscal year ending December 31, 2022</w:t>
            </w:r>
          </w:p>
        </w:tc>
        <w:tc>
          <w:tcPr>
            <w:tcW w:w="1080" w:type="dxa"/>
            <w:vAlign w:val="bottom"/>
            <w:tcBorders>
              <w:bottom w:val="single" w:sz="8" w:color="999999"/>
            </w:tcBorders>
          </w:tcPr>
          <w:p>
            <w:pPr>
              <w:spacing w:after="0"/>
              <w:rPr>
                <w:sz w:val="18"/>
                <w:szCs w:val="18"/>
                <w:color w:val="auto"/>
              </w:rPr>
            </w:pPr>
          </w:p>
        </w:tc>
        <w:tc>
          <w:tcPr>
            <w:tcW w:w="600" w:type="dxa"/>
            <w:vAlign w:val="bottom"/>
            <w:tcBorders>
              <w:bottom w:val="single" w:sz="8" w:color="999999"/>
            </w:tcBorders>
          </w:tcPr>
          <w:p>
            <w:pPr>
              <w:spacing w:after="0"/>
              <w:rPr>
                <w:sz w:val="18"/>
                <w:szCs w:val="18"/>
                <w:color w:val="auto"/>
              </w:rPr>
            </w:pPr>
          </w:p>
        </w:tc>
        <w:tc>
          <w:tcPr>
            <w:tcW w:w="1540" w:type="dxa"/>
            <w:vAlign w:val="bottom"/>
            <w:tcBorders>
              <w:bottom w:val="single" w:sz="8" w:color="999999"/>
            </w:tcBorders>
          </w:tcPr>
          <w:p>
            <w:pPr>
              <w:spacing w:after="0"/>
              <w:rPr>
                <w:sz w:val="18"/>
                <w:szCs w:val="18"/>
                <w:color w:val="auto"/>
              </w:rPr>
            </w:pPr>
          </w:p>
        </w:tc>
        <w:tc>
          <w:tcPr>
            <w:tcW w:w="1280" w:type="dxa"/>
            <w:vAlign w:val="bottom"/>
            <w:tcBorders>
              <w:bottom w:val="single" w:sz="8" w:color="999999"/>
            </w:tcBorders>
          </w:tcPr>
          <w:p>
            <w:pPr>
              <w:spacing w:after="0"/>
              <w:rPr>
                <w:sz w:val="18"/>
                <w:szCs w:val="18"/>
                <w:color w:val="auto"/>
              </w:rPr>
            </w:pPr>
          </w:p>
        </w:tc>
        <w:tc>
          <w:tcPr>
            <w:tcW w:w="900" w:type="dxa"/>
            <w:vAlign w:val="bottom"/>
            <w:tcBorders>
              <w:bottom w:val="single" w:sz="8" w:color="999999"/>
            </w:tcBorders>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540" w:type="dxa"/>
            <w:vAlign w:val="bottom"/>
          </w:tcPr>
          <w:p>
            <w:pPr>
              <w:ind w:left="80"/>
              <w:spacing w:after="0"/>
              <w:rPr>
                <w:sz w:val="20"/>
                <w:szCs w:val="20"/>
                <w:color w:val="auto"/>
              </w:rPr>
            </w:pPr>
            <w:r>
              <w:rPr>
                <w:rFonts w:ascii="Arial" w:cs="Arial" w:eastAsia="Arial" w:hAnsi="Arial"/>
                <w:sz w:val="16"/>
                <w:szCs w:val="16"/>
                <w:b w:val="1"/>
                <w:bCs w:val="1"/>
                <w:color w:val="auto"/>
              </w:rPr>
              <w:t>3</w:t>
            </w:r>
          </w:p>
        </w:tc>
        <w:tc>
          <w:tcPr>
            <w:tcW w:w="6160" w:type="dxa"/>
            <w:vAlign w:val="bottom"/>
            <w:gridSpan w:val="5"/>
          </w:tcPr>
          <w:p>
            <w:pPr>
              <w:ind w:left="220"/>
              <w:spacing w:after="0"/>
              <w:rPr>
                <w:sz w:val="20"/>
                <w:szCs w:val="20"/>
                <w:color w:val="auto"/>
              </w:rPr>
            </w:pPr>
            <w:r>
              <w:rPr>
                <w:rFonts w:ascii="Arial" w:cs="Arial" w:eastAsia="Arial" w:hAnsi="Arial"/>
                <w:sz w:val="18"/>
                <w:szCs w:val="18"/>
                <w:color w:val="auto"/>
                <w:w w:val="95"/>
              </w:rPr>
              <w:t>Approval, on an advisory basis, of the compensation of the company’s named</w:t>
            </w:r>
          </w:p>
        </w:tc>
        <w:tc>
          <w:tcPr>
            <w:tcW w:w="600" w:type="dxa"/>
            <w:vAlign w:val="bottom"/>
          </w:tcPr>
          <w:p>
            <w:pPr>
              <w:ind w:left="160"/>
              <w:spacing w:after="0" w:line="225" w:lineRule="exact"/>
              <w:rPr>
                <w:sz w:val="20"/>
                <w:szCs w:val="20"/>
                <w:color w:val="auto"/>
              </w:rPr>
            </w:pPr>
            <w:r>
              <w:rPr>
                <w:rFonts w:ascii="Arial" w:cs="Arial" w:eastAsia="Arial" w:hAnsi="Arial"/>
                <w:sz w:val="22"/>
                <w:szCs w:val="22"/>
                <w:b w:val="1"/>
                <w:bCs w:val="1"/>
                <w:color w:val="auto"/>
                <w:w w:val="90"/>
              </w:rPr>
              <w:t>FOR</w:t>
            </w:r>
          </w:p>
        </w:tc>
        <w:tc>
          <w:tcPr>
            <w:tcW w:w="154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900" w:type="dxa"/>
            <w:vAlign w:val="bottom"/>
          </w:tcPr>
          <w:p>
            <w:pPr>
              <w:jc w:val="center"/>
              <w:ind w:left="36"/>
              <w:spacing w:after="0"/>
              <w:rPr>
                <w:sz w:val="20"/>
                <w:szCs w:val="20"/>
                <w:color w:val="auto"/>
              </w:rPr>
            </w:pPr>
            <w:r>
              <w:rPr>
                <w:rFonts w:ascii="Arial" w:cs="Arial" w:eastAsia="Arial" w:hAnsi="Arial"/>
                <w:sz w:val="18"/>
                <w:szCs w:val="18"/>
                <w:color w:val="auto"/>
                <w:w w:val="89"/>
              </w:rPr>
              <w:t>35</w:t>
            </w:r>
          </w:p>
        </w:tc>
        <w:tc>
          <w:tcPr>
            <w:tcW w:w="0" w:type="dxa"/>
            <w:vAlign w:val="bottom"/>
          </w:tcPr>
          <w:p>
            <w:pPr>
              <w:spacing w:after="0"/>
              <w:rPr>
                <w:sz w:val="1"/>
                <w:szCs w:val="1"/>
                <w:color w:val="auto"/>
              </w:rPr>
            </w:pPr>
          </w:p>
        </w:tc>
      </w:tr>
      <w:tr>
        <w:trPr>
          <w:trHeight w:val="214"/>
        </w:trPr>
        <w:tc>
          <w:tcPr>
            <w:tcW w:w="540" w:type="dxa"/>
            <w:vAlign w:val="bottom"/>
            <w:tcBorders>
              <w:bottom w:val="single" w:sz="8" w:color="999999"/>
            </w:tcBorders>
          </w:tcPr>
          <w:p>
            <w:pPr>
              <w:spacing w:after="0"/>
              <w:rPr>
                <w:sz w:val="18"/>
                <w:szCs w:val="18"/>
                <w:color w:val="auto"/>
              </w:rPr>
            </w:pPr>
          </w:p>
        </w:tc>
        <w:tc>
          <w:tcPr>
            <w:tcW w:w="1720" w:type="dxa"/>
            <w:vAlign w:val="bottom"/>
            <w:tcBorders>
              <w:bottom w:val="single" w:sz="8" w:color="999999"/>
            </w:tcBorders>
            <w:gridSpan w:val="2"/>
          </w:tcPr>
          <w:p>
            <w:pPr>
              <w:ind w:left="220"/>
              <w:spacing w:after="0"/>
              <w:rPr>
                <w:sz w:val="20"/>
                <w:szCs w:val="20"/>
                <w:color w:val="auto"/>
              </w:rPr>
            </w:pPr>
            <w:r>
              <w:rPr>
                <w:rFonts w:ascii="Arial" w:cs="Arial" w:eastAsia="Arial" w:hAnsi="Arial"/>
                <w:sz w:val="18"/>
                <w:szCs w:val="18"/>
                <w:color w:val="auto"/>
              </w:rPr>
              <w:t>executive officers</w:t>
            </w:r>
          </w:p>
        </w:tc>
        <w:tc>
          <w:tcPr>
            <w:tcW w:w="920" w:type="dxa"/>
            <w:vAlign w:val="bottom"/>
            <w:tcBorders>
              <w:bottom w:val="single" w:sz="8" w:color="999999"/>
            </w:tcBorders>
          </w:tcPr>
          <w:p>
            <w:pPr>
              <w:spacing w:after="0"/>
              <w:rPr>
                <w:sz w:val="18"/>
                <w:szCs w:val="18"/>
                <w:color w:val="auto"/>
              </w:rPr>
            </w:pPr>
          </w:p>
        </w:tc>
        <w:tc>
          <w:tcPr>
            <w:tcW w:w="2440" w:type="dxa"/>
            <w:vAlign w:val="bottom"/>
            <w:tcBorders>
              <w:bottom w:val="single" w:sz="8" w:color="999999"/>
            </w:tcBorders>
          </w:tcPr>
          <w:p>
            <w:pPr>
              <w:spacing w:after="0"/>
              <w:rPr>
                <w:sz w:val="18"/>
                <w:szCs w:val="18"/>
                <w:color w:val="auto"/>
              </w:rPr>
            </w:pPr>
          </w:p>
        </w:tc>
        <w:tc>
          <w:tcPr>
            <w:tcW w:w="1080" w:type="dxa"/>
            <w:vAlign w:val="bottom"/>
            <w:tcBorders>
              <w:bottom w:val="single" w:sz="8" w:color="999999"/>
            </w:tcBorders>
          </w:tcPr>
          <w:p>
            <w:pPr>
              <w:spacing w:after="0"/>
              <w:rPr>
                <w:sz w:val="18"/>
                <w:szCs w:val="18"/>
                <w:color w:val="auto"/>
              </w:rPr>
            </w:pPr>
          </w:p>
        </w:tc>
        <w:tc>
          <w:tcPr>
            <w:tcW w:w="600" w:type="dxa"/>
            <w:vAlign w:val="bottom"/>
            <w:tcBorders>
              <w:bottom w:val="single" w:sz="8" w:color="999999"/>
            </w:tcBorders>
          </w:tcPr>
          <w:p>
            <w:pPr>
              <w:spacing w:after="0"/>
              <w:rPr>
                <w:sz w:val="18"/>
                <w:szCs w:val="18"/>
                <w:color w:val="auto"/>
              </w:rPr>
            </w:pPr>
          </w:p>
        </w:tc>
        <w:tc>
          <w:tcPr>
            <w:tcW w:w="1540" w:type="dxa"/>
            <w:vAlign w:val="bottom"/>
            <w:tcBorders>
              <w:bottom w:val="single" w:sz="8" w:color="999999"/>
            </w:tcBorders>
          </w:tcPr>
          <w:p>
            <w:pPr>
              <w:spacing w:after="0"/>
              <w:rPr>
                <w:sz w:val="18"/>
                <w:szCs w:val="18"/>
                <w:color w:val="auto"/>
              </w:rPr>
            </w:pPr>
          </w:p>
        </w:tc>
        <w:tc>
          <w:tcPr>
            <w:tcW w:w="1280" w:type="dxa"/>
            <w:vAlign w:val="bottom"/>
            <w:tcBorders>
              <w:bottom w:val="single" w:sz="8" w:color="999999"/>
            </w:tcBorders>
          </w:tcPr>
          <w:p>
            <w:pPr>
              <w:spacing w:after="0"/>
              <w:rPr>
                <w:sz w:val="18"/>
                <w:szCs w:val="18"/>
                <w:color w:val="auto"/>
              </w:rPr>
            </w:pPr>
          </w:p>
        </w:tc>
        <w:tc>
          <w:tcPr>
            <w:tcW w:w="900" w:type="dxa"/>
            <w:vAlign w:val="bottom"/>
            <w:tcBorders>
              <w:bottom w:val="single" w:sz="8" w:color="999999"/>
            </w:tcBorders>
          </w:tcPr>
          <w:p>
            <w:pPr>
              <w:spacing w:after="0"/>
              <w:rPr>
                <w:sz w:val="18"/>
                <w:szCs w:val="18"/>
                <w:color w:val="auto"/>
              </w:rPr>
            </w:pPr>
          </w:p>
        </w:tc>
        <w:tc>
          <w:tcPr>
            <w:tcW w:w="0" w:type="dxa"/>
            <w:vAlign w:val="bottom"/>
          </w:tcPr>
          <w:p>
            <w:pPr>
              <w:spacing w:after="0"/>
              <w:rPr>
                <w:sz w:val="1"/>
                <w:szCs w:val="1"/>
                <w:color w:val="auto"/>
              </w:rPr>
            </w:pPr>
          </w:p>
        </w:tc>
      </w:tr>
      <w:tr>
        <w:trPr>
          <w:trHeight w:val="515"/>
        </w:trPr>
        <w:tc>
          <w:tcPr>
            <w:tcW w:w="5620" w:type="dxa"/>
            <w:vAlign w:val="bottom"/>
            <w:gridSpan w:val="5"/>
          </w:tcPr>
          <w:p>
            <w:pPr>
              <w:spacing w:after="0"/>
              <w:rPr>
                <w:sz w:val="20"/>
                <w:szCs w:val="20"/>
                <w:color w:val="auto"/>
              </w:rPr>
            </w:pPr>
            <w:r>
              <w:rPr>
                <w:rFonts w:ascii="Arial" w:cs="Arial" w:eastAsia="Arial" w:hAnsi="Arial"/>
                <w:sz w:val="25"/>
                <w:szCs w:val="25"/>
                <w:b w:val="1"/>
                <w:bCs w:val="1"/>
                <w:color w:val="auto"/>
              </w:rPr>
              <w:t>Director nominees – term to expire in 2025</w:t>
            </w:r>
          </w:p>
        </w:tc>
        <w:tc>
          <w:tcPr>
            <w:tcW w:w="10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5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9"/>
        </w:trPr>
        <w:tc>
          <w:tcPr>
            <w:tcW w:w="540" w:type="dxa"/>
            <w:vAlign w:val="bottom"/>
            <w:shd w:val="clear" w:color="auto" w:fill="939598"/>
          </w:tcPr>
          <w:p>
            <w:pPr>
              <w:spacing w:after="0"/>
              <w:rPr>
                <w:sz w:val="16"/>
                <w:szCs w:val="16"/>
                <w:color w:val="auto"/>
              </w:rPr>
            </w:pPr>
          </w:p>
        </w:tc>
        <w:tc>
          <w:tcPr>
            <w:tcW w:w="1100" w:type="dxa"/>
            <w:vAlign w:val="bottom"/>
            <w:shd w:val="clear" w:color="auto" w:fill="939598"/>
          </w:tcPr>
          <w:p>
            <w:pPr>
              <w:spacing w:after="0"/>
              <w:rPr>
                <w:sz w:val="16"/>
                <w:szCs w:val="16"/>
                <w:color w:val="auto"/>
              </w:rPr>
            </w:pPr>
          </w:p>
        </w:tc>
        <w:tc>
          <w:tcPr>
            <w:tcW w:w="620" w:type="dxa"/>
            <w:vAlign w:val="bottom"/>
            <w:shd w:val="clear" w:color="auto" w:fill="939598"/>
          </w:tcPr>
          <w:p>
            <w:pPr>
              <w:spacing w:after="0"/>
              <w:rPr>
                <w:sz w:val="16"/>
                <w:szCs w:val="16"/>
                <w:color w:val="auto"/>
              </w:rPr>
            </w:pPr>
          </w:p>
        </w:tc>
        <w:tc>
          <w:tcPr>
            <w:tcW w:w="920" w:type="dxa"/>
            <w:vAlign w:val="bottom"/>
            <w:shd w:val="clear" w:color="auto" w:fill="939598"/>
          </w:tcPr>
          <w:p>
            <w:pPr>
              <w:spacing w:after="0"/>
              <w:rPr>
                <w:sz w:val="16"/>
                <w:szCs w:val="16"/>
                <w:color w:val="auto"/>
              </w:rPr>
            </w:pPr>
          </w:p>
        </w:tc>
        <w:tc>
          <w:tcPr>
            <w:tcW w:w="2440" w:type="dxa"/>
            <w:vAlign w:val="bottom"/>
            <w:shd w:val="clear" w:color="auto" w:fill="939598"/>
          </w:tcPr>
          <w:p>
            <w:pPr>
              <w:spacing w:after="0"/>
              <w:rPr>
                <w:sz w:val="16"/>
                <w:szCs w:val="16"/>
                <w:color w:val="auto"/>
              </w:rPr>
            </w:pPr>
          </w:p>
        </w:tc>
        <w:tc>
          <w:tcPr>
            <w:tcW w:w="1080" w:type="dxa"/>
            <w:vAlign w:val="bottom"/>
            <w:shd w:val="clear" w:color="auto" w:fill="939598"/>
          </w:tcPr>
          <w:p>
            <w:pPr>
              <w:spacing w:after="0"/>
              <w:rPr>
                <w:sz w:val="16"/>
                <w:szCs w:val="16"/>
                <w:color w:val="auto"/>
              </w:rPr>
            </w:pPr>
          </w:p>
        </w:tc>
        <w:tc>
          <w:tcPr>
            <w:tcW w:w="600" w:type="dxa"/>
            <w:vAlign w:val="bottom"/>
            <w:shd w:val="clear" w:color="auto" w:fill="939598"/>
          </w:tcPr>
          <w:p>
            <w:pPr>
              <w:spacing w:after="0"/>
              <w:rPr>
                <w:sz w:val="16"/>
                <w:szCs w:val="16"/>
                <w:color w:val="auto"/>
              </w:rPr>
            </w:pPr>
          </w:p>
        </w:tc>
        <w:tc>
          <w:tcPr>
            <w:tcW w:w="1540" w:type="dxa"/>
            <w:vAlign w:val="bottom"/>
            <w:shd w:val="clear" w:color="auto" w:fill="939598"/>
          </w:tcPr>
          <w:p>
            <w:pPr>
              <w:spacing w:after="0"/>
              <w:rPr>
                <w:sz w:val="16"/>
                <w:szCs w:val="16"/>
                <w:color w:val="auto"/>
              </w:rPr>
            </w:pPr>
          </w:p>
        </w:tc>
        <w:tc>
          <w:tcPr>
            <w:tcW w:w="1280" w:type="dxa"/>
            <w:vAlign w:val="bottom"/>
            <w:shd w:val="clear" w:color="auto" w:fill="939598"/>
          </w:tcPr>
          <w:p>
            <w:pPr>
              <w:spacing w:after="0"/>
              <w:rPr>
                <w:sz w:val="16"/>
                <w:szCs w:val="16"/>
                <w:color w:val="auto"/>
              </w:rPr>
            </w:pPr>
          </w:p>
        </w:tc>
        <w:tc>
          <w:tcPr>
            <w:tcW w:w="900" w:type="dxa"/>
            <w:vAlign w:val="bottom"/>
            <w:shd w:val="clear" w:color="auto" w:fill="939598"/>
          </w:tcPr>
          <w:p>
            <w:pPr>
              <w:jc w:val="center"/>
              <w:ind w:left="36"/>
              <w:spacing w:after="0"/>
              <w:rPr>
                <w:sz w:val="20"/>
                <w:szCs w:val="20"/>
                <w:color w:val="auto"/>
              </w:rPr>
            </w:pPr>
            <w:r>
              <w:rPr>
                <w:rFonts w:ascii="Arial" w:cs="Arial" w:eastAsia="Arial" w:hAnsi="Arial"/>
                <w:sz w:val="16"/>
                <w:szCs w:val="16"/>
                <w:b w:val="1"/>
                <w:bCs w:val="1"/>
                <w:color w:val="FFFFFF"/>
                <w:w w:val="98"/>
              </w:rPr>
              <w:t>Other</w:t>
            </w:r>
          </w:p>
        </w:tc>
        <w:tc>
          <w:tcPr>
            <w:tcW w:w="0" w:type="dxa"/>
            <w:vAlign w:val="bottom"/>
          </w:tcPr>
          <w:p>
            <w:pPr>
              <w:spacing w:after="0"/>
              <w:rPr>
                <w:sz w:val="1"/>
                <w:szCs w:val="1"/>
                <w:color w:val="auto"/>
              </w:rPr>
            </w:pPr>
          </w:p>
        </w:tc>
      </w:tr>
      <w:tr>
        <w:trPr>
          <w:trHeight w:val="203"/>
        </w:trPr>
        <w:tc>
          <w:tcPr>
            <w:tcW w:w="540" w:type="dxa"/>
            <w:vAlign w:val="bottom"/>
            <w:shd w:val="clear" w:color="auto" w:fill="939598"/>
          </w:tcPr>
          <w:p>
            <w:pPr>
              <w:spacing w:after="0"/>
              <w:rPr>
                <w:sz w:val="17"/>
                <w:szCs w:val="17"/>
                <w:color w:val="auto"/>
              </w:rPr>
            </w:pPr>
          </w:p>
        </w:tc>
        <w:tc>
          <w:tcPr>
            <w:tcW w:w="1100" w:type="dxa"/>
            <w:vAlign w:val="bottom"/>
            <w:shd w:val="clear" w:color="auto" w:fill="939598"/>
          </w:tcPr>
          <w:p>
            <w:pPr>
              <w:spacing w:after="0"/>
              <w:rPr>
                <w:sz w:val="17"/>
                <w:szCs w:val="17"/>
                <w:color w:val="auto"/>
              </w:rPr>
            </w:pPr>
          </w:p>
        </w:tc>
        <w:tc>
          <w:tcPr>
            <w:tcW w:w="620" w:type="dxa"/>
            <w:vAlign w:val="bottom"/>
            <w:shd w:val="clear" w:color="auto" w:fill="939598"/>
          </w:tcPr>
          <w:p>
            <w:pPr>
              <w:spacing w:after="0"/>
              <w:rPr>
                <w:sz w:val="17"/>
                <w:szCs w:val="17"/>
                <w:color w:val="auto"/>
              </w:rPr>
            </w:pPr>
          </w:p>
        </w:tc>
        <w:tc>
          <w:tcPr>
            <w:tcW w:w="920" w:type="dxa"/>
            <w:vAlign w:val="bottom"/>
            <w:vMerge w:val="restart"/>
            <w:shd w:val="clear" w:color="auto" w:fill="939598"/>
          </w:tcPr>
          <w:p>
            <w:pPr>
              <w:jc w:val="center"/>
              <w:spacing w:after="0"/>
              <w:rPr>
                <w:sz w:val="20"/>
                <w:szCs w:val="20"/>
                <w:color w:val="auto"/>
              </w:rPr>
            </w:pPr>
            <w:r>
              <w:rPr>
                <w:rFonts w:ascii="Arial" w:cs="Arial" w:eastAsia="Arial" w:hAnsi="Arial"/>
                <w:sz w:val="16"/>
                <w:szCs w:val="16"/>
                <w:b w:val="1"/>
                <w:bCs w:val="1"/>
                <w:color w:val="FFFFFF"/>
                <w:w w:val="94"/>
              </w:rPr>
              <w:t>Director</w:t>
            </w:r>
          </w:p>
        </w:tc>
        <w:tc>
          <w:tcPr>
            <w:tcW w:w="2440" w:type="dxa"/>
            <w:vAlign w:val="bottom"/>
            <w:vMerge w:val="restart"/>
            <w:shd w:val="clear" w:color="auto" w:fill="939598"/>
          </w:tcPr>
          <w:p>
            <w:pPr>
              <w:ind w:left="920"/>
              <w:spacing w:after="0"/>
              <w:rPr>
                <w:sz w:val="20"/>
                <w:szCs w:val="20"/>
                <w:color w:val="auto"/>
              </w:rPr>
            </w:pPr>
            <w:r>
              <w:rPr>
                <w:rFonts w:ascii="Arial" w:cs="Arial" w:eastAsia="Arial" w:hAnsi="Arial"/>
                <w:sz w:val="16"/>
                <w:szCs w:val="16"/>
                <w:b w:val="1"/>
                <w:bCs w:val="1"/>
                <w:color w:val="FFFFFF"/>
              </w:rPr>
              <w:t>Principal</w:t>
            </w:r>
          </w:p>
        </w:tc>
        <w:tc>
          <w:tcPr>
            <w:tcW w:w="1080" w:type="dxa"/>
            <w:vAlign w:val="bottom"/>
            <w:shd w:val="clear" w:color="auto" w:fill="939598"/>
          </w:tcPr>
          <w:p>
            <w:pPr>
              <w:spacing w:after="0"/>
              <w:rPr>
                <w:sz w:val="17"/>
                <w:szCs w:val="17"/>
                <w:color w:val="auto"/>
              </w:rPr>
            </w:pPr>
          </w:p>
        </w:tc>
        <w:tc>
          <w:tcPr>
            <w:tcW w:w="600" w:type="dxa"/>
            <w:vAlign w:val="bottom"/>
            <w:shd w:val="clear" w:color="auto" w:fill="939598"/>
          </w:tcPr>
          <w:p>
            <w:pPr>
              <w:spacing w:after="0"/>
              <w:rPr>
                <w:sz w:val="17"/>
                <w:szCs w:val="17"/>
                <w:color w:val="auto"/>
              </w:rPr>
            </w:pPr>
          </w:p>
        </w:tc>
        <w:tc>
          <w:tcPr>
            <w:tcW w:w="1540" w:type="dxa"/>
            <w:vAlign w:val="bottom"/>
            <w:shd w:val="clear" w:color="auto" w:fill="939598"/>
          </w:tcPr>
          <w:p>
            <w:pPr>
              <w:spacing w:after="0"/>
              <w:rPr>
                <w:sz w:val="17"/>
                <w:szCs w:val="17"/>
                <w:color w:val="auto"/>
              </w:rPr>
            </w:pPr>
          </w:p>
        </w:tc>
        <w:tc>
          <w:tcPr>
            <w:tcW w:w="1280" w:type="dxa"/>
            <w:vAlign w:val="bottom"/>
            <w:shd w:val="clear" w:color="auto" w:fill="939598"/>
          </w:tcPr>
          <w:p>
            <w:pPr>
              <w:spacing w:after="0"/>
              <w:rPr>
                <w:sz w:val="17"/>
                <w:szCs w:val="17"/>
                <w:color w:val="auto"/>
              </w:rPr>
            </w:pPr>
          </w:p>
        </w:tc>
        <w:tc>
          <w:tcPr>
            <w:tcW w:w="900" w:type="dxa"/>
            <w:vAlign w:val="bottom"/>
            <w:shd w:val="clear" w:color="auto" w:fill="939598"/>
          </w:tcPr>
          <w:p>
            <w:pPr>
              <w:jc w:val="center"/>
              <w:ind w:left="36"/>
              <w:spacing w:after="0"/>
              <w:rPr>
                <w:sz w:val="20"/>
                <w:szCs w:val="20"/>
                <w:color w:val="auto"/>
              </w:rPr>
            </w:pPr>
            <w:r>
              <w:rPr>
                <w:rFonts w:ascii="Arial" w:cs="Arial" w:eastAsia="Arial" w:hAnsi="Arial"/>
                <w:sz w:val="16"/>
                <w:szCs w:val="16"/>
                <w:b w:val="1"/>
                <w:bCs w:val="1"/>
                <w:color w:val="FFFFFF"/>
                <w:w w:val="89"/>
              </w:rPr>
              <w:t>public</w:t>
            </w:r>
          </w:p>
        </w:tc>
        <w:tc>
          <w:tcPr>
            <w:tcW w:w="0" w:type="dxa"/>
            <w:vAlign w:val="bottom"/>
          </w:tcPr>
          <w:p>
            <w:pPr>
              <w:spacing w:after="0"/>
              <w:rPr>
                <w:sz w:val="1"/>
                <w:szCs w:val="1"/>
                <w:color w:val="auto"/>
              </w:rPr>
            </w:pPr>
          </w:p>
        </w:tc>
      </w:tr>
      <w:tr>
        <w:trPr>
          <w:trHeight w:val="189"/>
        </w:trPr>
        <w:tc>
          <w:tcPr>
            <w:tcW w:w="540" w:type="dxa"/>
            <w:vAlign w:val="bottom"/>
            <w:shd w:val="clear" w:color="auto" w:fill="939598"/>
          </w:tcPr>
          <w:p>
            <w:pPr>
              <w:spacing w:after="0"/>
              <w:rPr>
                <w:sz w:val="16"/>
                <w:szCs w:val="16"/>
                <w:color w:val="auto"/>
              </w:rPr>
            </w:pPr>
          </w:p>
        </w:tc>
        <w:tc>
          <w:tcPr>
            <w:tcW w:w="1100" w:type="dxa"/>
            <w:vAlign w:val="bottom"/>
            <w:shd w:val="clear" w:color="auto" w:fill="939598"/>
          </w:tcPr>
          <w:p>
            <w:pPr>
              <w:spacing w:after="0"/>
              <w:rPr>
                <w:sz w:val="16"/>
                <w:szCs w:val="16"/>
                <w:color w:val="auto"/>
              </w:rPr>
            </w:pPr>
          </w:p>
        </w:tc>
        <w:tc>
          <w:tcPr>
            <w:tcW w:w="620" w:type="dxa"/>
            <w:vAlign w:val="bottom"/>
            <w:shd w:val="clear" w:color="auto" w:fill="939598"/>
          </w:tcPr>
          <w:p>
            <w:pPr>
              <w:spacing w:after="0"/>
              <w:rPr>
                <w:sz w:val="16"/>
                <w:szCs w:val="16"/>
                <w:color w:val="auto"/>
              </w:rPr>
            </w:pPr>
          </w:p>
        </w:tc>
        <w:tc>
          <w:tcPr>
            <w:tcW w:w="920" w:type="dxa"/>
            <w:vAlign w:val="bottom"/>
            <w:vMerge w:val="continue"/>
            <w:shd w:val="clear" w:color="auto" w:fill="939598"/>
          </w:tcPr>
          <w:p>
            <w:pPr>
              <w:spacing w:after="0"/>
              <w:rPr>
                <w:sz w:val="16"/>
                <w:szCs w:val="16"/>
                <w:color w:val="auto"/>
              </w:rPr>
            </w:pPr>
          </w:p>
        </w:tc>
        <w:tc>
          <w:tcPr>
            <w:tcW w:w="2440" w:type="dxa"/>
            <w:vAlign w:val="bottom"/>
            <w:vMerge w:val="continue"/>
            <w:shd w:val="clear" w:color="auto" w:fill="939598"/>
          </w:tcPr>
          <w:p>
            <w:pPr>
              <w:spacing w:after="0"/>
              <w:rPr>
                <w:sz w:val="16"/>
                <w:szCs w:val="16"/>
                <w:color w:val="auto"/>
              </w:rPr>
            </w:pPr>
          </w:p>
        </w:tc>
        <w:tc>
          <w:tcPr>
            <w:tcW w:w="1080" w:type="dxa"/>
            <w:vAlign w:val="bottom"/>
            <w:shd w:val="clear" w:color="auto" w:fill="939598"/>
          </w:tcPr>
          <w:p>
            <w:pPr>
              <w:spacing w:after="0"/>
              <w:rPr>
                <w:sz w:val="16"/>
                <w:szCs w:val="16"/>
                <w:color w:val="auto"/>
              </w:rPr>
            </w:pPr>
          </w:p>
        </w:tc>
        <w:tc>
          <w:tcPr>
            <w:tcW w:w="600" w:type="dxa"/>
            <w:vAlign w:val="bottom"/>
            <w:shd w:val="clear" w:color="auto" w:fill="939598"/>
          </w:tcPr>
          <w:p>
            <w:pPr>
              <w:spacing w:after="0"/>
              <w:rPr>
                <w:sz w:val="16"/>
                <w:szCs w:val="16"/>
                <w:color w:val="auto"/>
              </w:rPr>
            </w:pPr>
          </w:p>
        </w:tc>
        <w:tc>
          <w:tcPr>
            <w:tcW w:w="1540" w:type="dxa"/>
            <w:vAlign w:val="bottom"/>
            <w:shd w:val="clear" w:color="auto" w:fill="939598"/>
          </w:tcPr>
          <w:p>
            <w:pPr>
              <w:spacing w:after="0"/>
              <w:rPr>
                <w:sz w:val="16"/>
                <w:szCs w:val="16"/>
                <w:color w:val="auto"/>
              </w:rPr>
            </w:pPr>
          </w:p>
        </w:tc>
        <w:tc>
          <w:tcPr>
            <w:tcW w:w="1280" w:type="dxa"/>
            <w:vAlign w:val="bottom"/>
            <w:shd w:val="clear" w:color="auto" w:fill="939598"/>
          </w:tcPr>
          <w:p>
            <w:pPr>
              <w:spacing w:after="0"/>
              <w:rPr>
                <w:sz w:val="16"/>
                <w:szCs w:val="16"/>
                <w:color w:val="auto"/>
              </w:rPr>
            </w:pPr>
          </w:p>
        </w:tc>
        <w:tc>
          <w:tcPr>
            <w:tcW w:w="900" w:type="dxa"/>
            <w:vAlign w:val="bottom"/>
            <w:shd w:val="clear" w:color="auto" w:fill="939598"/>
          </w:tcPr>
          <w:p>
            <w:pPr>
              <w:jc w:val="center"/>
              <w:ind w:left="36"/>
              <w:spacing w:after="0"/>
              <w:rPr>
                <w:sz w:val="20"/>
                <w:szCs w:val="20"/>
                <w:color w:val="auto"/>
              </w:rPr>
            </w:pPr>
            <w:r>
              <w:rPr>
                <w:rFonts w:ascii="Arial" w:cs="Arial" w:eastAsia="Arial" w:hAnsi="Arial"/>
                <w:sz w:val="16"/>
                <w:szCs w:val="16"/>
                <w:b w:val="1"/>
                <w:bCs w:val="1"/>
                <w:color w:val="FFFFFF"/>
                <w:w w:val="88"/>
              </w:rPr>
              <w:t>company</w:t>
            </w:r>
          </w:p>
        </w:tc>
        <w:tc>
          <w:tcPr>
            <w:tcW w:w="0" w:type="dxa"/>
            <w:vAlign w:val="bottom"/>
          </w:tcPr>
          <w:p>
            <w:pPr>
              <w:spacing w:after="0"/>
              <w:rPr>
                <w:sz w:val="1"/>
                <w:szCs w:val="1"/>
                <w:color w:val="auto"/>
              </w:rPr>
            </w:pPr>
          </w:p>
        </w:tc>
      </w:tr>
      <w:tr>
        <w:trPr>
          <w:trHeight w:val="227"/>
        </w:trPr>
        <w:tc>
          <w:tcPr>
            <w:tcW w:w="540" w:type="dxa"/>
            <w:vAlign w:val="bottom"/>
            <w:shd w:val="clear" w:color="auto" w:fill="939598"/>
          </w:tcPr>
          <w:p>
            <w:pPr>
              <w:spacing w:after="0"/>
              <w:rPr>
                <w:sz w:val="19"/>
                <w:szCs w:val="19"/>
                <w:color w:val="auto"/>
              </w:rPr>
            </w:pPr>
          </w:p>
        </w:tc>
        <w:tc>
          <w:tcPr>
            <w:tcW w:w="1100" w:type="dxa"/>
            <w:vAlign w:val="bottom"/>
            <w:shd w:val="clear" w:color="auto" w:fill="939598"/>
          </w:tcPr>
          <w:p>
            <w:pPr>
              <w:ind w:left="80"/>
              <w:spacing w:after="0"/>
              <w:rPr>
                <w:sz w:val="20"/>
                <w:szCs w:val="20"/>
                <w:color w:val="auto"/>
              </w:rPr>
            </w:pPr>
            <w:r>
              <w:rPr>
                <w:rFonts w:ascii="Arial" w:cs="Arial" w:eastAsia="Arial" w:hAnsi="Arial"/>
                <w:sz w:val="16"/>
                <w:szCs w:val="16"/>
                <w:b w:val="1"/>
                <w:bCs w:val="1"/>
                <w:color w:val="FFFFFF"/>
              </w:rPr>
              <w:t>Name</w:t>
            </w:r>
          </w:p>
        </w:tc>
        <w:tc>
          <w:tcPr>
            <w:tcW w:w="620" w:type="dxa"/>
            <w:vAlign w:val="bottom"/>
            <w:shd w:val="clear" w:color="auto" w:fill="939598"/>
          </w:tcPr>
          <w:p>
            <w:pPr>
              <w:jc w:val="center"/>
              <w:spacing w:after="0"/>
              <w:rPr>
                <w:sz w:val="20"/>
                <w:szCs w:val="20"/>
                <w:color w:val="auto"/>
              </w:rPr>
            </w:pPr>
            <w:r>
              <w:rPr>
                <w:rFonts w:ascii="Arial" w:cs="Arial" w:eastAsia="Arial" w:hAnsi="Arial"/>
                <w:sz w:val="16"/>
                <w:szCs w:val="16"/>
                <w:b w:val="1"/>
                <w:bCs w:val="1"/>
                <w:color w:val="FFFFFF"/>
                <w:w w:val="92"/>
              </w:rPr>
              <w:t>Age</w:t>
            </w:r>
          </w:p>
        </w:tc>
        <w:tc>
          <w:tcPr>
            <w:tcW w:w="920" w:type="dxa"/>
            <w:vAlign w:val="bottom"/>
            <w:shd w:val="clear" w:color="auto" w:fill="939598"/>
          </w:tcPr>
          <w:p>
            <w:pPr>
              <w:jc w:val="center"/>
              <w:spacing w:after="0"/>
              <w:rPr>
                <w:sz w:val="20"/>
                <w:szCs w:val="20"/>
                <w:color w:val="auto"/>
              </w:rPr>
            </w:pPr>
            <w:r>
              <w:rPr>
                <w:rFonts w:ascii="Arial" w:cs="Arial" w:eastAsia="Arial" w:hAnsi="Arial"/>
                <w:sz w:val="16"/>
                <w:szCs w:val="16"/>
                <w:b w:val="1"/>
                <w:bCs w:val="1"/>
                <w:color w:val="FFFFFF"/>
                <w:w w:val="82"/>
              </w:rPr>
              <w:t>since</w:t>
            </w:r>
          </w:p>
        </w:tc>
        <w:tc>
          <w:tcPr>
            <w:tcW w:w="2440" w:type="dxa"/>
            <w:vAlign w:val="bottom"/>
            <w:shd w:val="clear" w:color="auto" w:fill="939598"/>
          </w:tcPr>
          <w:p>
            <w:pPr>
              <w:ind w:left="860"/>
              <w:spacing w:after="0"/>
              <w:rPr>
                <w:sz w:val="20"/>
                <w:szCs w:val="20"/>
                <w:color w:val="auto"/>
              </w:rPr>
            </w:pPr>
            <w:r>
              <w:rPr>
                <w:rFonts w:ascii="Arial" w:cs="Arial" w:eastAsia="Arial" w:hAnsi="Arial"/>
                <w:sz w:val="16"/>
                <w:szCs w:val="16"/>
                <w:b w:val="1"/>
                <w:bCs w:val="1"/>
                <w:color w:val="FFFFFF"/>
              </w:rPr>
              <w:t>occupation</w:t>
            </w:r>
          </w:p>
        </w:tc>
        <w:tc>
          <w:tcPr>
            <w:tcW w:w="1080" w:type="dxa"/>
            <w:vAlign w:val="bottom"/>
            <w:shd w:val="clear" w:color="auto" w:fill="939598"/>
          </w:tcPr>
          <w:p>
            <w:pPr>
              <w:jc w:val="center"/>
              <w:spacing w:after="0"/>
              <w:rPr>
                <w:sz w:val="20"/>
                <w:szCs w:val="20"/>
                <w:color w:val="auto"/>
              </w:rPr>
            </w:pPr>
            <w:r>
              <w:rPr>
                <w:rFonts w:ascii="Arial" w:cs="Arial" w:eastAsia="Arial" w:hAnsi="Arial"/>
                <w:sz w:val="16"/>
                <w:szCs w:val="16"/>
                <w:b w:val="1"/>
                <w:bCs w:val="1"/>
                <w:color w:val="FFFFFF"/>
                <w:w w:val="90"/>
              </w:rPr>
              <w:t>Independent</w:t>
            </w:r>
          </w:p>
        </w:tc>
        <w:tc>
          <w:tcPr>
            <w:tcW w:w="600" w:type="dxa"/>
            <w:vAlign w:val="bottom"/>
            <w:shd w:val="clear" w:color="auto" w:fill="939598"/>
          </w:tcPr>
          <w:p>
            <w:pPr>
              <w:spacing w:after="0"/>
              <w:rPr>
                <w:sz w:val="19"/>
                <w:szCs w:val="19"/>
                <w:color w:val="auto"/>
              </w:rPr>
            </w:pPr>
          </w:p>
        </w:tc>
        <w:tc>
          <w:tcPr>
            <w:tcW w:w="2820" w:type="dxa"/>
            <w:vAlign w:val="bottom"/>
            <w:gridSpan w:val="2"/>
            <w:shd w:val="clear" w:color="auto" w:fill="939598"/>
          </w:tcPr>
          <w:p>
            <w:pPr>
              <w:spacing w:after="0"/>
              <w:rPr>
                <w:sz w:val="20"/>
                <w:szCs w:val="20"/>
                <w:color w:val="auto"/>
              </w:rPr>
            </w:pPr>
            <w:r>
              <w:rPr>
                <w:rFonts w:ascii="Arial" w:cs="Arial" w:eastAsia="Arial" w:hAnsi="Arial"/>
                <w:sz w:val="16"/>
                <w:szCs w:val="16"/>
                <w:b w:val="1"/>
                <w:bCs w:val="1"/>
                <w:color w:val="FFFFFF"/>
              </w:rPr>
              <w:t>Current committee memberships</w:t>
            </w:r>
          </w:p>
        </w:tc>
        <w:tc>
          <w:tcPr>
            <w:tcW w:w="900" w:type="dxa"/>
            <w:vAlign w:val="bottom"/>
            <w:shd w:val="clear" w:color="auto" w:fill="939598"/>
          </w:tcPr>
          <w:p>
            <w:pPr>
              <w:jc w:val="center"/>
              <w:ind w:left="16"/>
              <w:spacing w:after="0"/>
              <w:rPr>
                <w:sz w:val="20"/>
                <w:szCs w:val="20"/>
                <w:color w:val="auto"/>
              </w:rPr>
            </w:pPr>
            <w:r>
              <w:rPr>
                <w:rFonts w:ascii="Arial" w:cs="Arial" w:eastAsia="Arial" w:hAnsi="Arial"/>
                <w:sz w:val="16"/>
                <w:szCs w:val="16"/>
                <w:b w:val="1"/>
                <w:bCs w:val="1"/>
                <w:color w:val="FFFFFF"/>
                <w:w w:val="89"/>
              </w:rPr>
              <w:t>boards</w:t>
            </w:r>
          </w:p>
        </w:tc>
        <w:tc>
          <w:tcPr>
            <w:tcW w:w="0" w:type="dxa"/>
            <w:vAlign w:val="bottom"/>
          </w:tcPr>
          <w:p>
            <w:pPr>
              <w:spacing w:after="0"/>
              <w:rPr>
                <w:sz w:val="1"/>
                <w:szCs w:val="1"/>
                <w:color w:val="auto"/>
              </w:rPr>
            </w:pPr>
          </w:p>
        </w:tc>
      </w:tr>
      <w:tr>
        <w:trPr>
          <w:trHeight w:val="219"/>
        </w:trPr>
        <w:tc>
          <w:tcPr>
            <w:tcW w:w="540" w:type="dxa"/>
            <w:vAlign w:val="bottom"/>
            <w:shd w:val="clear" w:color="auto" w:fill="58595B"/>
          </w:tcPr>
          <w:p>
            <w:pPr>
              <w:spacing w:after="0"/>
              <w:rPr>
                <w:sz w:val="19"/>
                <w:szCs w:val="19"/>
                <w:color w:val="auto"/>
              </w:rPr>
            </w:pPr>
          </w:p>
        </w:tc>
        <w:tc>
          <w:tcPr>
            <w:tcW w:w="1100" w:type="dxa"/>
            <w:vAlign w:val="bottom"/>
            <w:shd w:val="clear" w:color="auto" w:fill="58595B"/>
          </w:tcPr>
          <w:p>
            <w:pPr>
              <w:spacing w:after="0"/>
              <w:rPr>
                <w:sz w:val="19"/>
                <w:szCs w:val="19"/>
                <w:color w:val="auto"/>
              </w:rPr>
            </w:pPr>
          </w:p>
        </w:tc>
        <w:tc>
          <w:tcPr>
            <w:tcW w:w="620" w:type="dxa"/>
            <w:vAlign w:val="bottom"/>
            <w:shd w:val="clear" w:color="auto" w:fill="58595B"/>
          </w:tcPr>
          <w:p>
            <w:pPr>
              <w:spacing w:after="0"/>
              <w:rPr>
                <w:sz w:val="19"/>
                <w:szCs w:val="19"/>
                <w:color w:val="auto"/>
              </w:rPr>
            </w:pPr>
          </w:p>
        </w:tc>
        <w:tc>
          <w:tcPr>
            <w:tcW w:w="920" w:type="dxa"/>
            <w:vAlign w:val="bottom"/>
            <w:shd w:val="clear" w:color="auto" w:fill="58595B"/>
          </w:tcPr>
          <w:p>
            <w:pPr>
              <w:spacing w:after="0"/>
              <w:rPr>
                <w:sz w:val="19"/>
                <w:szCs w:val="19"/>
                <w:color w:val="auto"/>
              </w:rPr>
            </w:pPr>
          </w:p>
        </w:tc>
        <w:tc>
          <w:tcPr>
            <w:tcW w:w="2440" w:type="dxa"/>
            <w:vAlign w:val="bottom"/>
            <w:shd w:val="clear" w:color="auto" w:fill="58595B"/>
          </w:tcPr>
          <w:p>
            <w:pPr>
              <w:spacing w:after="0"/>
              <w:rPr>
                <w:sz w:val="19"/>
                <w:szCs w:val="19"/>
                <w:color w:val="auto"/>
              </w:rPr>
            </w:pPr>
          </w:p>
        </w:tc>
        <w:tc>
          <w:tcPr>
            <w:tcW w:w="1080" w:type="dxa"/>
            <w:vAlign w:val="bottom"/>
            <w:shd w:val="clear" w:color="auto" w:fill="58595B"/>
          </w:tcPr>
          <w:p>
            <w:pPr>
              <w:spacing w:after="0"/>
              <w:rPr>
                <w:sz w:val="19"/>
                <w:szCs w:val="19"/>
                <w:color w:val="auto"/>
              </w:rPr>
            </w:pPr>
          </w:p>
        </w:tc>
        <w:tc>
          <w:tcPr>
            <w:tcW w:w="600" w:type="dxa"/>
            <w:vAlign w:val="bottom"/>
            <w:shd w:val="clear" w:color="auto" w:fill="58595B"/>
          </w:tcPr>
          <w:p>
            <w:pPr>
              <w:spacing w:after="0"/>
              <w:rPr>
                <w:sz w:val="19"/>
                <w:szCs w:val="19"/>
                <w:color w:val="auto"/>
              </w:rPr>
            </w:pPr>
          </w:p>
        </w:tc>
        <w:tc>
          <w:tcPr>
            <w:tcW w:w="1540" w:type="dxa"/>
            <w:vAlign w:val="bottom"/>
            <w:shd w:val="clear" w:color="auto" w:fill="58595B"/>
          </w:tcPr>
          <w:p>
            <w:pPr>
              <w:spacing w:after="0"/>
              <w:rPr>
                <w:sz w:val="19"/>
                <w:szCs w:val="19"/>
                <w:color w:val="auto"/>
              </w:rPr>
            </w:pPr>
          </w:p>
        </w:tc>
        <w:tc>
          <w:tcPr>
            <w:tcW w:w="128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2"/>
              </w:rPr>
              <w:t>Nominating and</w:t>
            </w:r>
          </w:p>
        </w:tc>
        <w:tc>
          <w:tcPr>
            <w:tcW w:w="900" w:type="dxa"/>
            <w:vAlign w:val="bottom"/>
            <w:shd w:val="clear" w:color="auto" w:fill="58595B"/>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540" w:type="dxa"/>
            <w:vAlign w:val="bottom"/>
            <w:shd w:val="clear" w:color="auto" w:fill="58595B"/>
          </w:tcPr>
          <w:p>
            <w:pPr>
              <w:spacing w:after="0"/>
              <w:rPr>
                <w:sz w:val="17"/>
                <w:szCs w:val="17"/>
                <w:color w:val="auto"/>
              </w:rPr>
            </w:pPr>
          </w:p>
        </w:tc>
        <w:tc>
          <w:tcPr>
            <w:tcW w:w="1100" w:type="dxa"/>
            <w:vAlign w:val="bottom"/>
            <w:shd w:val="clear" w:color="auto" w:fill="58595B"/>
          </w:tcPr>
          <w:p>
            <w:pPr>
              <w:spacing w:after="0"/>
              <w:rPr>
                <w:sz w:val="17"/>
                <w:szCs w:val="17"/>
                <w:color w:val="auto"/>
              </w:rPr>
            </w:pPr>
          </w:p>
        </w:tc>
        <w:tc>
          <w:tcPr>
            <w:tcW w:w="620" w:type="dxa"/>
            <w:vAlign w:val="bottom"/>
            <w:shd w:val="clear" w:color="auto" w:fill="58595B"/>
          </w:tcPr>
          <w:p>
            <w:pPr>
              <w:spacing w:after="0"/>
              <w:rPr>
                <w:sz w:val="17"/>
                <w:szCs w:val="17"/>
                <w:color w:val="auto"/>
              </w:rPr>
            </w:pPr>
          </w:p>
        </w:tc>
        <w:tc>
          <w:tcPr>
            <w:tcW w:w="920" w:type="dxa"/>
            <w:vAlign w:val="bottom"/>
            <w:shd w:val="clear" w:color="auto" w:fill="58595B"/>
          </w:tcPr>
          <w:p>
            <w:pPr>
              <w:spacing w:after="0"/>
              <w:rPr>
                <w:sz w:val="17"/>
                <w:szCs w:val="17"/>
                <w:color w:val="auto"/>
              </w:rPr>
            </w:pPr>
          </w:p>
        </w:tc>
        <w:tc>
          <w:tcPr>
            <w:tcW w:w="2440" w:type="dxa"/>
            <w:vAlign w:val="bottom"/>
            <w:shd w:val="clear" w:color="auto" w:fill="58595B"/>
          </w:tcPr>
          <w:p>
            <w:pPr>
              <w:spacing w:after="0"/>
              <w:rPr>
                <w:sz w:val="17"/>
                <w:szCs w:val="17"/>
                <w:color w:val="auto"/>
              </w:rPr>
            </w:pPr>
          </w:p>
        </w:tc>
        <w:tc>
          <w:tcPr>
            <w:tcW w:w="1080" w:type="dxa"/>
            <w:vAlign w:val="bottom"/>
            <w:shd w:val="clear" w:color="auto" w:fill="58595B"/>
          </w:tcPr>
          <w:p>
            <w:pPr>
              <w:spacing w:after="0"/>
              <w:rPr>
                <w:sz w:val="17"/>
                <w:szCs w:val="17"/>
                <w:color w:val="auto"/>
              </w:rPr>
            </w:pPr>
          </w:p>
        </w:tc>
        <w:tc>
          <w:tcPr>
            <w:tcW w:w="600" w:type="dxa"/>
            <w:vAlign w:val="bottom"/>
            <w:shd w:val="clear" w:color="auto" w:fill="58595B"/>
          </w:tcPr>
          <w:p>
            <w:pPr>
              <w:spacing w:after="0"/>
              <w:rPr>
                <w:sz w:val="17"/>
                <w:szCs w:val="17"/>
                <w:color w:val="auto"/>
              </w:rPr>
            </w:pPr>
          </w:p>
        </w:tc>
        <w:tc>
          <w:tcPr>
            <w:tcW w:w="1540" w:type="dxa"/>
            <w:vAlign w:val="bottom"/>
            <w:shd w:val="clear" w:color="auto" w:fill="58595B"/>
          </w:tcPr>
          <w:p>
            <w:pPr>
              <w:spacing w:after="0"/>
              <w:rPr>
                <w:sz w:val="17"/>
                <w:szCs w:val="17"/>
                <w:color w:val="auto"/>
              </w:rPr>
            </w:pPr>
          </w:p>
        </w:tc>
        <w:tc>
          <w:tcPr>
            <w:tcW w:w="128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4"/>
              </w:rPr>
              <w:t>Corporate</w:t>
            </w:r>
          </w:p>
        </w:tc>
        <w:tc>
          <w:tcPr>
            <w:tcW w:w="900" w:type="dxa"/>
            <w:vAlign w:val="bottom"/>
            <w:shd w:val="clear" w:color="auto" w:fill="58595B"/>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40" w:type="dxa"/>
            <w:vAlign w:val="bottom"/>
            <w:shd w:val="clear" w:color="auto" w:fill="58595B"/>
          </w:tcPr>
          <w:p>
            <w:pPr>
              <w:spacing w:after="0"/>
              <w:rPr>
                <w:sz w:val="18"/>
                <w:szCs w:val="18"/>
                <w:color w:val="auto"/>
              </w:rPr>
            </w:pPr>
          </w:p>
        </w:tc>
        <w:tc>
          <w:tcPr>
            <w:tcW w:w="1100" w:type="dxa"/>
            <w:vAlign w:val="bottom"/>
            <w:shd w:val="clear" w:color="auto" w:fill="58595B"/>
          </w:tcPr>
          <w:p>
            <w:pPr>
              <w:spacing w:after="0"/>
              <w:rPr>
                <w:sz w:val="18"/>
                <w:szCs w:val="18"/>
                <w:color w:val="auto"/>
              </w:rPr>
            </w:pPr>
          </w:p>
        </w:tc>
        <w:tc>
          <w:tcPr>
            <w:tcW w:w="620" w:type="dxa"/>
            <w:vAlign w:val="bottom"/>
            <w:shd w:val="clear" w:color="auto" w:fill="58595B"/>
          </w:tcPr>
          <w:p>
            <w:pPr>
              <w:spacing w:after="0"/>
              <w:rPr>
                <w:sz w:val="18"/>
                <w:szCs w:val="18"/>
                <w:color w:val="auto"/>
              </w:rPr>
            </w:pPr>
          </w:p>
        </w:tc>
        <w:tc>
          <w:tcPr>
            <w:tcW w:w="920" w:type="dxa"/>
            <w:vAlign w:val="bottom"/>
            <w:shd w:val="clear" w:color="auto" w:fill="58595B"/>
          </w:tcPr>
          <w:p>
            <w:pPr>
              <w:spacing w:after="0"/>
              <w:rPr>
                <w:sz w:val="18"/>
                <w:szCs w:val="18"/>
                <w:color w:val="auto"/>
              </w:rPr>
            </w:pPr>
          </w:p>
        </w:tc>
        <w:tc>
          <w:tcPr>
            <w:tcW w:w="2440" w:type="dxa"/>
            <w:vAlign w:val="bottom"/>
            <w:shd w:val="clear" w:color="auto" w:fill="58595B"/>
          </w:tcPr>
          <w:p>
            <w:pPr>
              <w:spacing w:after="0"/>
              <w:rPr>
                <w:sz w:val="18"/>
                <w:szCs w:val="18"/>
                <w:color w:val="auto"/>
              </w:rPr>
            </w:pPr>
          </w:p>
        </w:tc>
        <w:tc>
          <w:tcPr>
            <w:tcW w:w="1080" w:type="dxa"/>
            <w:vAlign w:val="bottom"/>
            <w:shd w:val="clear" w:color="auto" w:fill="58595B"/>
          </w:tcPr>
          <w:p>
            <w:pPr>
              <w:spacing w:after="0"/>
              <w:rPr>
                <w:sz w:val="18"/>
                <w:szCs w:val="18"/>
                <w:color w:val="auto"/>
              </w:rPr>
            </w:pPr>
          </w:p>
        </w:tc>
        <w:tc>
          <w:tcPr>
            <w:tcW w:w="60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7"/>
              </w:rPr>
              <w:t>Audit</w:t>
            </w:r>
          </w:p>
        </w:tc>
        <w:tc>
          <w:tcPr>
            <w:tcW w:w="1540" w:type="dxa"/>
            <w:vAlign w:val="bottom"/>
            <w:shd w:val="clear" w:color="auto" w:fill="58595B"/>
          </w:tcPr>
          <w:p>
            <w:pPr>
              <w:jc w:val="center"/>
              <w:ind w:right="59"/>
              <w:spacing w:after="0"/>
              <w:rPr>
                <w:sz w:val="20"/>
                <w:szCs w:val="20"/>
                <w:color w:val="auto"/>
              </w:rPr>
            </w:pPr>
            <w:r>
              <w:rPr>
                <w:rFonts w:ascii="Arial" w:cs="Arial" w:eastAsia="Arial" w:hAnsi="Arial"/>
                <w:sz w:val="16"/>
                <w:szCs w:val="16"/>
                <w:b w:val="1"/>
                <w:bCs w:val="1"/>
                <w:color w:val="FFFFFF"/>
                <w:w w:val="89"/>
              </w:rPr>
              <w:t>Compensation</w:t>
            </w:r>
          </w:p>
        </w:tc>
        <w:tc>
          <w:tcPr>
            <w:tcW w:w="128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0"/>
              </w:rPr>
              <w:t>Governance</w:t>
            </w:r>
          </w:p>
        </w:tc>
        <w:tc>
          <w:tcPr>
            <w:tcW w:w="900" w:type="dxa"/>
            <w:vAlign w:val="bottom"/>
            <w:shd w:val="clear" w:color="auto" w:fill="58595B"/>
          </w:tcPr>
          <w:p>
            <w:pPr>
              <w:spacing w:after="0"/>
              <w:rPr>
                <w:sz w:val="18"/>
                <w:szCs w:val="18"/>
                <w:color w:val="auto"/>
              </w:rPr>
            </w:pPr>
          </w:p>
        </w:tc>
        <w:tc>
          <w:tcPr>
            <w:tcW w:w="0" w:type="dxa"/>
            <w:vAlign w:val="bottom"/>
          </w:tcPr>
          <w:p>
            <w:pPr>
              <w:spacing w:after="0"/>
              <w:rPr>
                <w:sz w:val="1"/>
                <w:szCs w:val="1"/>
                <w:color w:val="auto"/>
              </w:rPr>
            </w:pPr>
          </w:p>
        </w:tc>
      </w:tr>
      <w:tr>
        <w:trPr>
          <w:trHeight w:val="206"/>
        </w:trPr>
        <w:tc>
          <w:tcPr>
            <w:tcW w:w="1640" w:type="dxa"/>
            <w:vAlign w:val="bottom"/>
            <w:gridSpan w:val="2"/>
          </w:tcPr>
          <w:p>
            <w:pPr>
              <w:spacing w:after="0"/>
              <w:rPr>
                <w:sz w:val="20"/>
                <w:szCs w:val="20"/>
                <w:color w:val="auto"/>
              </w:rPr>
            </w:pPr>
            <w:r>
              <w:rPr>
                <w:rFonts w:ascii="Arial" w:cs="Arial" w:eastAsia="Arial" w:hAnsi="Arial"/>
                <w:sz w:val="16"/>
                <w:szCs w:val="16"/>
                <w:b w:val="1"/>
                <w:bCs w:val="1"/>
                <w:color w:val="auto"/>
              </w:rPr>
              <w:t>Diane C. Creel</w:t>
            </w:r>
          </w:p>
        </w:tc>
        <w:tc>
          <w:tcPr>
            <w:tcW w:w="620" w:type="dxa"/>
            <w:vAlign w:val="bottom"/>
          </w:tcPr>
          <w:p>
            <w:pPr>
              <w:jc w:val="center"/>
              <w:spacing w:after="0"/>
              <w:rPr>
                <w:sz w:val="20"/>
                <w:szCs w:val="20"/>
                <w:color w:val="auto"/>
              </w:rPr>
            </w:pPr>
            <w:r>
              <w:rPr>
                <w:rFonts w:ascii="Arial" w:cs="Arial" w:eastAsia="Arial" w:hAnsi="Arial"/>
                <w:sz w:val="16"/>
                <w:szCs w:val="16"/>
                <w:color w:val="auto"/>
                <w:w w:val="89"/>
              </w:rPr>
              <w:t>73</w:t>
            </w:r>
          </w:p>
        </w:tc>
        <w:tc>
          <w:tcPr>
            <w:tcW w:w="920" w:type="dxa"/>
            <w:vAlign w:val="bottom"/>
          </w:tcPr>
          <w:p>
            <w:pPr>
              <w:jc w:val="center"/>
              <w:spacing w:after="0"/>
              <w:rPr>
                <w:sz w:val="20"/>
                <w:szCs w:val="20"/>
                <w:color w:val="auto"/>
              </w:rPr>
            </w:pPr>
            <w:r>
              <w:rPr>
                <w:rFonts w:ascii="Arial" w:cs="Arial" w:eastAsia="Arial" w:hAnsi="Arial"/>
                <w:sz w:val="16"/>
                <w:szCs w:val="16"/>
                <w:color w:val="auto"/>
                <w:w w:val="89"/>
              </w:rPr>
              <w:t>2014</w:t>
            </w:r>
          </w:p>
        </w:tc>
        <w:tc>
          <w:tcPr>
            <w:tcW w:w="2440" w:type="dxa"/>
            <w:vAlign w:val="bottom"/>
          </w:tcPr>
          <w:p>
            <w:pPr>
              <w:ind w:left="140"/>
              <w:spacing w:after="0"/>
              <w:rPr>
                <w:sz w:val="20"/>
                <w:szCs w:val="20"/>
                <w:color w:val="auto"/>
              </w:rPr>
            </w:pPr>
            <w:r>
              <w:rPr>
                <w:rFonts w:ascii="Arial" w:cs="Arial" w:eastAsia="Arial" w:hAnsi="Arial"/>
                <w:sz w:val="16"/>
                <w:szCs w:val="16"/>
                <w:color w:val="auto"/>
              </w:rPr>
              <w:t>Retired Chairman, CEO and</w:t>
            </w:r>
          </w:p>
        </w:tc>
        <w:tc>
          <w:tcPr>
            <w:tcW w:w="1080" w:type="dxa"/>
            <w:vAlign w:val="bottom"/>
          </w:tcPr>
          <w:p>
            <w:pPr>
              <w:jc w:val="center"/>
              <w:spacing w:after="0"/>
              <w:rPr>
                <w:sz w:val="20"/>
                <w:szCs w:val="20"/>
                <w:color w:val="auto"/>
              </w:rPr>
            </w:pPr>
            <w:r>
              <w:rPr>
                <w:rFonts w:ascii="Arial" w:cs="Arial" w:eastAsia="Arial" w:hAnsi="Arial"/>
                <w:sz w:val="16"/>
                <w:szCs w:val="16"/>
                <w:color w:val="auto"/>
              </w:rPr>
              <w:t>•</w:t>
            </w:r>
          </w:p>
        </w:tc>
        <w:tc>
          <w:tcPr>
            <w:tcW w:w="600" w:type="dxa"/>
            <w:vAlign w:val="bottom"/>
          </w:tcPr>
          <w:p>
            <w:pPr>
              <w:spacing w:after="0"/>
              <w:rPr>
                <w:sz w:val="17"/>
                <w:szCs w:val="17"/>
                <w:color w:val="auto"/>
              </w:rPr>
            </w:pPr>
          </w:p>
        </w:tc>
        <w:tc>
          <w:tcPr>
            <w:tcW w:w="1540" w:type="dxa"/>
            <w:vAlign w:val="bottom"/>
          </w:tcPr>
          <w:p>
            <w:pPr>
              <w:jc w:val="center"/>
              <w:ind w:right="39"/>
              <w:spacing w:after="0"/>
              <w:rPr>
                <w:sz w:val="20"/>
                <w:szCs w:val="20"/>
                <w:color w:val="auto"/>
              </w:rPr>
            </w:pPr>
            <w:r>
              <w:rPr>
                <w:rFonts w:ascii="Arial" w:cs="Arial" w:eastAsia="Arial" w:hAnsi="Arial"/>
                <w:sz w:val="16"/>
                <w:szCs w:val="16"/>
                <w:color w:val="auto"/>
              </w:rPr>
              <w:t>•</w:t>
            </w:r>
          </w:p>
        </w:tc>
        <w:tc>
          <w:tcPr>
            <w:tcW w:w="1280" w:type="dxa"/>
            <w:vAlign w:val="bottom"/>
          </w:tcPr>
          <w:p>
            <w:pPr>
              <w:spacing w:after="0"/>
              <w:rPr>
                <w:sz w:val="17"/>
                <w:szCs w:val="17"/>
                <w:color w:val="auto"/>
              </w:rPr>
            </w:pPr>
          </w:p>
        </w:tc>
        <w:tc>
          <w:tcPr>
            <w:tcW w:w="900" w:type="dxa"/>
            <w:vAlign w:val="bottom"/>
          </w:tcPr>
          <w:p>
            <w:pPr>
              <w:jc w:val="center"/>
              <w:ind w:left="16"/>
              <w:spacing w:after="0"/>
              <w:rPr>
                <w:sz w:val="20"/>
                <w:szCs w:val="20"/>
                <w:color w:val="auto"/>
              </w:rPr>
            </w:pPr>
            <w:r>
              <w:rPr>
                <w:rFonts w:ascii="Arial" w:cs="Arial" w:eastAsia="Arial" w:hAnsi="Arial"/>
                <w:sz w:val="16"/>
                <w:szCs w:val="16"/>
                <w:color w:val="auto"/>
                <w:w w:val="89"/>
              </w:rPr>
              <w:t>2</w:t>
            </w:r>
          </w:p>
        </w:tc>
        <w:tc>
          <w:tcPr>
            <w:tcW w:w="0" w:type="dxa"/>
            <w:vAlign w:val="bottom"/>
          </w:tcPr>
          <w:p>
            <w:pPr>
              <w:spacing w:after="0"/>
              <w:rPr>
                <w:sz w:val="1"/>
                <w:szCs w:val="1"/>
                <w:color w:val="auto"/>
              </w:rPr>
            </w:pPr>
          </w:p>
        </w:tc>
      </w:tr>
      <w:tr>
        <w:trPr>
          <w:trHeight w:val="203"/>
        </w:trPr>
        <w:tc>
          <w:tcPr>
            <w:tcW w:w="5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440" w:type="dxa"/>
            <w:vAlign w:val="bottom"/>
          </w:tcPr>
          <w:p>
            <w:pPr>
              <w:ind w:left="140"/>
              <w:spacing w:after="0"/>
              <w:rPr>
                <w:sz w:val="20"/>
                <w:szCs w:val="20"/>
                <w:color w:val="auto"/>
              </w:rPr>
            </w:pPr>
            <w:r>
              <w:rPr>
                <w:rFonts w:ascii="Arial" w:cs="Arial" w:eastAsia="Arial" w:hAnsi="Arial"/>
                <w:sz w:val="16"/>
                <w:szCs w:val="16"/>
                <w:color w:val="auto"/>
              </w:rPr>
              <w:t>President,</w:t>
            </w:r>
          </w:p>
        </w:tc>
        <w:tc>
          <w:tcPr>
            <w:tcW w:w="10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9"/>
        </w:trPr>
        <w:tc>
          <w:tcPr>
            <w:tcW w:w="540" w:type="dxa"/>
            <w:vAlign w:val="bottom"/>
            <w:tcBorders>
              <w:bottom w:val="single" w:sz="8" w:color="999999"/>
            </w:tcBorders>
          </w:tcPr>
          <w:p>
            <w:pPr>
              <w:spacing w:after="0"/>
              <w:rPr>
                <w:sz w:val="19"/>
                <w:szCs w:val="19"/>
                <w:color w:val="auto"/>
              </w:rPr>
            </w:pPr>
          </w:p>
        </w:tc>
        <w:tc>
          <w:tcPr>
            <w:tcW w:w="1100" w:type="dxa"/>
            <w:vAlign w:val="bottom"/>
            <w:tcBorders>
              <w:bottom w:val="single" w:sz="8" w:color="999999"/>
            </w:tcBorders>
          </w:tcPr>
          <w:p>
            <w:pPr>
              <w:spacing w:after="0"/>
              <w:rPr>
                <w:sz w:val="19"/>
                <w:szCs w:val="19"/>
                <w:color w:val="auto"/>
              </w:rPr>
            </w:pPr>
          </w:p>
        </w:tc>
        <w:tc>
          <w:tcPr>
            <w:tcW w:w="620" w:type="dxa"/>
            <w:vAlign w:val="bottom"/>
            <w:tcBorders>
              <w:bottom w:val="single" w:sz="8" w:color="999999"/>
            </w:tcBorders>
          </w:tcPr>
          <w:p>
            <w:pPr>
              <w:spacing w:after="0"/>
              <w:rPr>
                <w:sz w:val="19"/>
                <w:szCs w:val="19"/>
                <w:color w:val="auto"/>
              </w:rPr>
            </w:pPr>
          </w:p>
        </w:tc>
        <w:tc>
          <w:tcPr>
            <w:tcW w:w="920" w:type="dxa"/>
            <w:vAlign w:val="bottom"/>
            <w:tcBorders>
              <w:bottom w:val="single" w:sz="8" w:color="999999"/>
            </w:tcBorders>
          </w:tcPr>
          <w:p>
            <w:pPr>
              <w:spacing w:after="0"/>
              <w:rPr>
                <w:sz w:val="19"/>
                <w:szCs w:val="19"/>
                <w:color w:val="auto"/>
              </w:rPr>
            </w:pPr>
          </w:p>
        </w:tc>
        <w:tc>
          <w:tcPr>
            <w:tcW w:w="2440" w:type="dxa"/>
            <w:vAlign w:val="bottom"/>
            <w:tcBorders>
              <w:bottom w:val="single" w:sz="8" w:color="999999"/>
            </w:tcBorders>
          </w:tcPr>
          <w:p>
            <w:pPr>
              <w:ind w:left="140"/>
              <w:spacing w:after="0"/>
              <w:rPr>
                <w:sz w:val="20"/>
                <w:szCs w:val="20"/>
                <w:color w:val="auto"/>
              </w:rPr>
            </w:pPr>
            <w:r>
              <w:rPr>
                <w:rFonts w:ascii="Arial" w:cs="Arial" w:eastAsia="Arial" w:hAnsi="Arial"/>
                <w:sz w:val="16"/>
                <w:szCs w:val="16"/>
                <w:color w:val="auto"/>
              </w:rPr>
              <w:t>Ecovation Inc.</w:t>
            </w:r>
          </w:p>
        </w:tc>
        <w:tc>
          <w:tcPr>
            <w:tcW w:w="1080" w:type="dxa"/>
            <w:vAlign w:val="bottom"/>
            <w:tcBorders>
              <w:bottom w:val="single" w:sz="8" w:color="999999"/>
            </w:tcBorders>
          </w:tcPr>
          <w:p>
            <w:pPr>
              <w:spacing w:after="0"/>
              <w:rPr>
                <w:sz w:val="19"/>
                <w:szCs w:val="19"/>
                <w:color w:val="auto"/>
              </w:rPr>
            </w:pPr>
          </w:p>
        </w:tc>
        <w:tc>
          <w:tcPr>
            <w:tcW w:w="600" w:type="dxa"/>
            <w:vAlign w:val="bottom"/>
            <w:tcBorders>
              <w:bottom w:val="single" w:sz="8" w:color="999999"/>
            </w:tcBorders>
          </w:tcPr>
          <w:p>
            <w:pPr>
              <w:spacing w:after="0"/>
              <w:rPr>
                <w:sz w:val="19"/>
                <w:szCs w:val="19"/>
                <w:color w:val="auto"/>
              </w:rPr>
            </w:pPr>
          </w:p>
        </w:tc>
        <w:tc>
          <w:tcPr>
            <w:tcW w:w="1540" w:type="dxa"/>
            <w:vAlign w:val="bottom"/>
            <w:tcBorders>
              <w:bottom w:val="single" w:sz="8" w:color="999999"/>
            </w:tcBorders>
          </w:tcPr>
          <w:p>
            <w:pPr>
              <w:spacing w:after="0"/>
              <w:rPr>
                <w:sz w:val="19"/>
                <w:szCs w:val="19"/>
                <w:color w:val="auto"/>
              </w:rPr>
            </w:pPr>
          </w:p>
        </w:tc>
        <w:tc>
          <w:tcPr>
            <w:tcW w:w="1280" w:type="dxa"/>
            <w:vAlign w:val="bottom"/>
            <w:tcBorders>
              <w:bottom w:val="single" w:sz="8" w:color="999999"/>
            </w:tcBorders>
          </w:tcPr>
          <w:p>
            <w:pPr>
              <w:spacing w:after="0"/>
              <w:rPr>
                <w:sz w:val="19"/>
                <w:szCs w:val="19"/>
                <w:color w:val="auto"/>
              </w:rPr>
            </w:pPr>
          </w:p>
        </w:tc>
        <w:tc>
          <w:tcPr>
            <w:tcW w:w="900" w:type="dxa"/>
            <w:vAlign w:val="bottom"/>
            <w:tcBorders>
              <w:bottom w:val="single" w:sz="8" w:color="999999"/>
            </w:tcBorders>
          </w:tcPr>
          <w:p>
            <w:pPr>
              <w:spacing w:after="0"/>
              <w:rPr>
                <w:sz w:val="19"/>
                <w:szCs w:val="19"/>
                <w:color w:val="auto"/>
              </w:rPr>
            </w:pPr>
          </w:p>
        </w:tc>
        <w:tc>
          <w:tcPr>
            <w:tcW w:w="0" w:type="dxa"/>
            <w:vAlign w:val="bottom"/>
          </w:tcPr>
          <w:p>
            <w:pPr>
              <w:spacing w:after="0"/>
              <w:rPr>
                <w:sz w:val="1"/>
                <w:szCs w:val="1"/>
                <w:color w:val="auto"/>
              </w:rPr>
            </w:pPr>
          </w:p>
        </w:tc>
      </w:tr>
      <w:tr>
        <w:trPr>
          <w:trHeight w:val="193"/>
        </w:trPr>
        <w:tc>
          <w:tcPr>
            <w:tcW w:w="1640" w:type="dxa"/>
            <w:vAlign w:val="bottom"/>
            <w:gridSpan w:val="2"/>
          </w:tcPr>
          <w:p>
            <w:pPr>
              <w:spacing w:after="0"/>
              <w:rPr>
                <w:sz w:val="20"/>
                <w:szCs w:val="20"/>
                <w:color w:val="auto"/>
              </w:rPr>
            </w:pPr>
            <w:r>
              <w:rPr>
                <w:rFonts w:ascii="Arial" w:cs="Arial" w:eastAsia="Arial" w:hAnsi="Arial"/>
                <w:sz w:val="16"/>
                <w:szCs w:val="16"/>
                <w:b w:val="1"/>
                <w:bCs w:val="1"/>
                <w:color w:val="auto"/>
              </w:rPr>
              <w:t>Kenneth V. Garcia</w:t>
            </w:r>
          </w:p>
        </w:tc>
        <w:tc>
          <w:tcPr>
            <w:tcW w:w="620" w:type="dxa"/>
            <w:vAlign w:val="bottom"/>
          </w:tcPr>
          <w:p>
            <w:pPr>
              <w:jc w:val="center"/>
              <w:spacing w:after="0"/>
              <w:rPr>
                <w:sz w:val="20"/>
                <w:szCs w:val="20"/>
                <w:color w:val="auto"/>
              </w:rPr>
            </w:pPr>
            <w:r>
              <w:rPr>
                <w:rFonts w:ascii="Arial" w:cs="Arial" w:eastAsia="Arial" w:hAnsi="Arial"/>
                <w:sz w:val="16"/>
                <w:szCs w:val="16"/>
                <w:color w:val="auto"/>
                <w:w w:val="89"/>
              </w:rPr>
              <w:t>52</w:t>
            </w:r>
          </w:p>
        </w:tc>
        <w:tc>
          <w:tcPr>
            <w:tcW w:w="920" w:type="dxa"/>
            <w:vAlign w:val="bottom"/>
          </w:tcPr>
          <w:p>
            <w:pPr>
              <w:jc w:val="center"/>
              <w:spacing w:after="0"/>
              <w:rPr>
                <w:sz w:val="20"/>
                <w:szCs w:val="20"/>
                <w:color w:val="auto"/>
              </w:rPr>
            </w:pPr>
            <w:r>
              <w:rPr>
                <w:rFonts w:ascii="Arial" w:cs="Arial" w:eastAsia="Arial" w:hAnsi="Arial"/>
                <w:sz w:val="16"/>
                <w:szCs w:val="16"/>
                <w:color w:val="auto"/>
                <w:w w:val="89"/>
              </w:rPr>
              <w:t>2021</w:t>
            </w:r>
          </w:p>
        </w:tc>
        <w:tc>
          <w:tcPr>
            <w:tcW w:w="2440" w:type="dxa"/>
            <w:vAlign w:val="bottom"/>
          </w:tcPr>
          <w:p>
            <w:pPr>
              <w:ind w:left="140"/>
              <w:spacing w:after="0"/>
              <w:rPr>
                <w:sz w:val="20"/>
                <w:szCs w:val="20"/>
                <w:color w:val="auto"/>
              </w:rPr>
            </w:pPr>
            <w:r>
              <w:rPr>
                <w:rFonts w:ascii="Arial" w:cs="Arial" w:eastAsia="Arial" w:hAnsi="Arial"/>
                <w:sz w:val="16"/>
                <w:szCs w:val="16"/>
                <w:color w:val="auto"/>
              </w:rPr>
              <w:t>Executive Fellow, Q2 Software,</w:t>
            </w:r>
          </w:p>
        </w:tc>
        <w:tc>
          <w:tcPr>
            <w:tcW w:w="1080" w:type="dxa"/>
            <w:vAlign w:val="bottom"/>
          </w:tcPr>
          <w:p>
            <w:pPr>
              <w:jc w:val="center"/>
              <w:spacing w:after="0"/>
              <w:rPr>
                <w:sz w:val="20"/>
                <w:szCs w:val="20"/>
                <w:color w:val="auto"/>
              </w:rPr>
            </w:pPr>
            <w:r>
              <w:rPr>
                <w:rFonts w:ascii="Arial" w:cs="Arial" w:eastAsia="Arial" w:hAnsi="Arial"/>
                <w:sz w:val="16"/>
                <w:szCs w:val="16"/>
                <w:color w:val="auto"/>
              </w:rPr>
              <w:t>•</w:t>
            </w:r>
          </w:p>
        </w:tc>
        <w:tc>
          <w:tcPr>
            <w:tcW w:w="600" w:type="dxa"/>
            <w:vAlign w:val="bottom"/>
          </w:tcPr>
          <w:p>
            <w:pPr>
              <w:jc w:val="center"/>
              <w:spacing w:after="0"/>
              <w:rPr>
                <w:sz w:val="20"/>
                <w:szCs w:val="20"/>
                <w:color w:val="auto"/>
              </w:rPr>
            </w:pPr>
            <w:r>
              <w:rPr>
                <w:rFonts w:ascii="Arial" w:cs="Arial" w:eastAsia="Arial" w:hAnsi="Arial"/>
                <w:sz w:val="16"/>
                <w:szCs w:val="16"/>
                <w:color w:val="auto"/>
              </w:rPr>
              <w:t>•</w:t>
            </w:r>
          </w:p>
        </w:tc>
        <w:tc>
          <w:tcPr>
            <w:tcW w:w="15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900" w:type="dxa"/>
            <w:vAlign w:val="bottom"/>
          </w:tcPr>
          <w:p>
            <w:pPr>
              <w:jc w:val="center"/>
              <w:ind w:left="16"/>
              <w:spacing w:after="0"/>
              <w:rPr>
                <w:sz w:val="20"/>
                <w:szCs w:val="20"/>
                <w:color w:val="auto"/>
              </w:rPr>
            </w:pPr>
            <w:r>
              <w:rPr>
                <w:rFonts w:ascii="Arial" w:cs="Arial" w:eastAsia="Arial" w:hAnsi="Arial"/>
                <w:sz w:val="16"/>
                <w:szCs w:val="16"/>
                <w:color w:val="auto"/>
                <w:w w:val="89"/>
              </w:rPr>
              <w:t>0</w:t>
            </w:r>
          </w:p>
        </w:tc>
        <w:tc>
          <w:tcPr>
            <w:tcW w:w="0" w:type="dxa"/>
            <w:vAlign w:val="bottom"/>
          </w:tcPr>
          <w:p>
            <w:pPr>
              <w:spacing w:after="0"/>
              <w:rPr>
                <w:sz w:val="1"/>
                <w:szCs w:val="1"/>
                <w:color w:val="auto"/>
              </w:rPr>
            </w:pPr>
          </w:p>
        </w:tc>
      </w:tr>
      <w:tr>
        <w:trPr>
          <w:trHeight w:val="209"/>
        </w:trPr>
        <w:tc>
          <w:tcPr>
            <w:tcW w:w="540" w:type="dxa"/>
            <w:vAlign w:val="bottom"/>
            <w:tcBorders>
              <w:bottom w:val="single" w:sz="8" w:color="7F7F7F"/>
            </w:tcBorders>
          </w:tcPr>
          <w:p>
            <w:pPr>
              <w:spacing w:after="0"/>
              <w:rPr>
                <w:sz w:val="18"/>
                <w:szCs w:val="18"/>
                <w:color w:val="auto"/>
              </w:rPr>
            </w:pPr>
          </w:p>
        </w:tc>
        <w:tc>
          <w:tcPr>
            <w:tcW w:w="1100" w:type="dxa"/>
            <w:vAlign w:val="bottom"/>
            <w:tcBorders>
              <w:bottom w:val="single" w:sz="8" w:color="7F7F7F"/>
            </w:tcBorders>
          </w:tcPr>
          <w:p>
            <w:pPr>
              <w:spacing w:after="0"/>
              <w:rPr>
                <w:sz w:val="18"/>
                <w:szCs w:val="18"/>
                <w:color w:val="auto"/>
              </w:rPr>
            </w:pPr>
          </w:p>
        </w:tc>
        <w:tc>
          <w:tcPr>
            <w:tcW w:w="620" w:type="dxa"/>
            <w:vAlign w:val="bottom"/>
            <w:tcBorders>
              <w:bottom w:val="single" w:sz="8" w:color="7F7F7F"/>
            </w:tcBorders>
          </w:tcPr>
          <w:p>
            <w:pPr>
              <w:spacing w:after="0"/>
              <w:rPr>
                <w:sz w:val="18"/>
                <w:szCs w:val="18"/>
                <w:color w:val="auto"/>
              </w:rPr>
            </w:pPr>
          </w:p>
        </w:tc>
        <w:tc>
          <w:tcPr>
            <w:tcW w:w="920" w:type="dxa"/>
            <w:vAlign w:val="bottom"/>
            <w:tcBorders>
              <w:bottom w:val="single" w:sz="8" w:color="7F7F7F"/>
            </w:tcBorders>
          </w:tcPr>
          <w:p>
            <w:pPr>
              <w:spacing w:after="0"/>
              <w:rPr>
                <w:sz w:val="18"/>
                <w:szCs w:val="18"/>
                <w:color w:val="auto"/>
              </w:rPr>
            </w:pPr>
          </w:p>
        </w:tc>
        <w:tc>
          <w:tcPr>
            <w:tcW w:w="2440" w:type="dxa"/>
            <w:vAlign w:val="bottom"/>
            <w:tcBorders>
              <w:bottom w:val="single" w:sz="8" w:color="7F7F7F"/>
            </w:tcBorders>
          </w:tcPr>
          <w:p>
            <w:pPr>
              <w:ind w:left="140"/>
              <w:spacing w:after="0"/>
              <w:rPr>
                <w:sz w:val="20"/>
                <w:szCs w:val="20"/>
                <w:color w:val="auto"/>
              </w:rPr>
            </w:pPr>
            <w:r>
              <w:rPr>
                <w:rFonts w:ascii="Arial" w:cs="Arial" w:eastAsia="Arial" w:hAnsi="Arial"/>
                <w:sz w:val="16"/>
                <w:szCs w:val="16"/>
                <w:color w:val="auto"/>
              </w:rPr>
              <w:t>Inc.</w:t>
            </w:r>
          </w:p>
        </w:tc>
        <w:tc>
          <w:tcPr>
            <w:tcW w:w="1080" w:type="dxa"/>
            <w:vAlign w:val="bottom"/>
            <w:tcBorders>
              <w:bottom w:val="single" w:sz="8" w:color="7F7F7F"/>
            </w:tcBorders>
          </w:tcPr>
          <w:p>
            <w:pPr>
              <w:spacing w:after="0"/>
              <w:rPr>
                <w:sz w:val="18"/>
                <w:szCs w:val="18"/>
                <w:color w:val="auto"/>
              </w:rPr>
            </w:pPr>
          </w:p>
        </w:tc>
        <w:tc>
          <w:tcPr>
            <w:tcW w:w="600" w:type="dxa"/>
            <w:vAlign w:val="bottom"/>
            <w:tcBorders>
              <w:bottom w:val="single" w:sz="8" w:color="7F7F7F"/>
            </w:tcBorders>
          </w:tcPr>
          <w:p>
            <w:pPr>
              <w:spacing w:after="0"/>
              <w:rPr>
                <w:sz w:val="18"/>
                <w:szCs w:val="18"/>
                <w:color w:val="auto"/>
              </w:rPr>
            </w:pPr>
          </w:p>
        </w:tc>
        <w:tc>
          <w:tcPr>
            <w:tcW w:w="1540" w:type="dxa"/>
            <w:vAlign w:val="bottom"/>
            <w:tcBorders>
              <w:bottom w:val="single" w:sz="8" w:color="7F7F7F"/>
            </w:tcBorders>
          </w:tcPr>
          <w:p>
            <w:pPr>
              <w:spacing w:after="0"/>
              <w:rPr>
                <w:sz w:val="18"/>
                <w:szCs w:val="18"/>
                <w:color w:val="auto"/>
              </w:rPr>
            </w:pPr>
          </w:p>
        </w:tc>
        <w:tc>
          <w:tcPr>
            <w:tcW w:w="1280" w:type="dxa"/>
            <w:vAlign w:val="bottom"/>
            <w:tcBorders>
              <w:bottom w:val="single" w:sz="8" w:color="7F7F7F"/>
            </w:tcBorders>
          </w:tcPr>
          <w:p>
            <w:pPr>
              <w:spacing w:after="0"/>
              <w:rPr>
                <w:sz w:val="18"/>
                <w:szCs w:val="18"/>
                <w:color w:val="auto"/>
              </w:rPr>
            </w:pPr>
          </w:p>
        </w:tc>
        <w:tc>
          <w:tcPr>
            <w:tcW w:w="900" w:type="dxa"/>
            <w:vAlign w:val="bottom"/>
            <w:tcBorders>
              <w:bottom w:val="single" w:sz="8" w:color="7F7F7F"/>
            </w:tcBorders>
          </w:tcPr>
          <w:p>
            <w:pPr>
              <w:spacing w:after="0"/>
              <w:rPr>
                <w:sz w:val="18"/>
                <w:szCs w:val="18"/>
                <w:color w:val="auto"/>
              </w:rPr>
            </w:pPr>
          </w:p>
        </w:tc>
        <w:tc>
          <w:tcPr>
            <w:tcW w:w="0" w:type="dxa"/>
            <w:vAlign w:val="bottom"/>
          </w:tcPr>
          <w:p>
            <w:pPr>
              <w:spacing w:after="0"/>
              <w:rPr>
                <w:sz w:val="1"/>
                <w:szCs w:val="1"/>
                <w:color w:val="auto"/>
              </w:rPr>
            </w:pPr>
          </w:p>
        </w:tc>
      </w:tr>
      <w:tr>
        <w:trPr>
          <w:trHeight w:val="189"/>
        </w:trPr>
        <w:tc>
          <w:tcPr>
            <w:tcW w:w="1640" w:type="dxa"/>
            <w:vAlign w:val="bottom"/>
            <w:gridSpan w:val="2"/>
          </w:tcPr>
          <w:p>
            <w:pPr>
              <w:spacing w:after="0"/>
              <w:rPr>
                <w:sz w:val="20"/>
                <w:szCs w:val="20"/>
                <w:color w:val="auto"/>
              </w:rPr>
            </w:pPr>
            <w:r>
              <w:rPr>
                <w:rFonts w:ascii="Arial" w:cs="Arial" w:eastAsia="Arial" w:hAnsi="Arial"/>
                <w:sz w:val="16"/>
                <w:szCs w:val="16"/>
                <w:b w:val="1"/>
                <w:bCs w:val="1"/>
                <w:color w:val="auto"/>
              </w:rPr>
              <w:t>Ellis A. Jones</w:t>
            </w:r>
          </w:p>
        </w:tc>
        <w:tc>
          <w:tcPr>
            <w:tcW w:w="620" w:type="dxa"/>
            <w:vAlign w:val="bottom"/>
          </w:tcPr>
          <w:p>
            <w:pPr>
              <w:jc w:val="center"/>
              <w:spacing w:after="0"/>
              <w:rPr>
                <w:sz w:val="20"/>
                <w:szCs w:val="20"/>
                <w:color w:val="auto"/>
              </w:rPr>
            </w:pPr>
            <w:r>
              <w:rPr>
                <w:rFonts w:ascii="Arial" w:cs="Arial" w:eastAsia="Arial" w:hAnsi="Arial"/>
                <w:sz w:val="16"/>
                <w:szCs w:val="16"/>
                <w:color w:val="auto"/>
                <w:w w:val="89"/>
              </w:rPr>
              <w:t>56</w:t>
            </w:r>
          </w:p>
        </w:tc>
        <w:tc>
          <w:tcPr>
            <w:tcW w:w="920" w:type="dxa"/>
            <w:vAlign w:val="bottom"/>
          </w:tcPr>
          <w:p>
            <w:pPr>
              <w:jc w:val="center"/>
              <w:spacing w:after="0"/>
              <w:rPr>
                <w:sz w:val="20"/>
                <w:szCs w:val="20"/>
                <w:color w:val="auto"/>
              </w:rPr>
            </w:pPr>
            <w:r>
              <w:rPr>
                <w:rFonts w:ascii="Arial" w:cs="Arial" w:eastAsia="Arial" w:hAnsi="Arial"/>
                <w:sz w:val="16"/>
                <w:szCs w:val="16"/>
                <w:color w:val="auto"/>
                <w:w w:val="89"/>
              </w:rPr>
              <w:t>2021</w:t>
            </w:r>
          </w:p>
        </w:tc>
        <w:tc>
          <w:tcPr>
            <w:tcW w:w="2440" w:type="dxa"/>
            <w:vAlign w:val="bottom"/>
          </w:tcPr>
          <w:p>
            <w:pPr>
              <w:ind w:left="140"/>
              <w:spacing w:after="0"/>
              <w:rPr>
                <w:sz w:val="20"/>
                <w:szCs w:val="20"/>
                <w:color w:val="auto"/>
              </w:rPr>
            </w:pPr>
            <w:r>
              <w:rPr>
                <w:rFonts w:ascii="Arial" w:cs="Arial" w:eastAsia="Arial" w:hAnsi="Arial"/>
                <w:sz w:val="16"/>
                <w:szCs w:val="16"/>
                <w:color w:val="auto"/>
              </w:rPr>
              <w:t>Vice President and Chief</w:t>
            </w:r>
          </w:p>
        </w:tc>
        <w:tc>
          <w:tcPr>
            <w:tcW w:w="1080" w:type="dxa"/>
            <w:vAlign w:val="bottom"/>
          </w:tcPr>
          <w:p>
            <w:pPr>
              <w:jc w:val="center"/>
              <w:spacing w:after="0"/>
              <w:rPr>
                <w:sz w:val="20"/>
                <w:szCs w:val="20"/>
                <w:color w:val="auto"/>
              </w:rPr>
            </w:pPr>
            <w:r>
              <w:rPr>
                <w:rFonts w:ascii="Arial" w:cs="Arial" w:eastAsia="Arial" w:hAnsi="Arial"/>
                <w:sz w:val="16"/>
                <w:szCs w:val="16"/>
                <w:color w:val="auto"/>
              </w:rPr>
              <w:t>•</w:t>
            </w:r>
          </w:p>
        </w:tc>
        <w:tc>
          <w:tcPr>
            <w:tcW w:w="600" w:type="dxa"/>
            <w:vAlign w:val="bottom"/>
          </w:tcPr>
          <w:p>
            <w:pPr>
              <w:jc w:val="center"/>
              <w:spacing w:after="0"/>
              <w:rPr>
                <w:sz w:val="20"/>
                <w:szCs w:val="20"/>
                <w:color w:val="auto"/>
              </w:rPr>
            </w:pPr>
            <w:r>
              <w:rPr>
                <w:rFonts w:ascii="Arial" w:cs="Arial" w:eastAsia="Arial" w:hAnsi="Arial"/>
                <w:sz w:val="16"/>
                <w:szCs w:val="16"/>
                <w:color w:val="auto"/>
              </w:rPr>
              <w:t>•</w:t>
            </w:r>
          </w:p>
        </w:tc>
        <w:tc>
          <w:tcPr>
            <w:tcW w:w="15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900" w:type="dxa"/>
            <w:vAlign w:val="bottom"/>
          </w:tcPr>
          <w:p>
            <w:pPr>
              <w:jc w:val="center"/>
              <w:ind w:left="16"/>
              <w:spacing w:after="0"/>
              <w:rPr>
                <w:sz w:val="20"/>
                <w:szCs w:val="20"/>
                <w:color w:val="auto"/>
              </w:rPr>
            </w:pPr>
            <w:r>
              <w:rPr>
                <w:rFonts w:ascii="Arial" w:cs="Arial" w:eastAsia="Arial" w:hAnsi="Arial"/>
                <w:sz w:val="16"/>
                <w:szCs w:val="16"/>
                <w:color w:val="auto"/>
                <w:w w:val="89"/>
              </w:rPr>
              <w:t>0</w:t>
            </w:r>
          </w:p>
        </w:tc>
        <w:tc>
          <w:tcPr>
            <w:tcW w:w="0" w:type="dxa"/>
            <w:vAlign w:val="bottom"/>
          </w:tcPr>
          <w:p>
            <w:pPr>
              <w:spacing w:after="0"/>
              <w:rPr>
                <w:sz w:val="1"/>
                <w:szCs w:val="1"/>
                <w:color w:val="auto"/>
              </w:rPr>
            </w:pPr>
          </w:p>
        </w:tc>
      </w:tr>
      <w:tr>
        <w:trPr>
          <w:trHeight w:val="203"/>
        </w:trPr>
        <w:tc>
          <w:tcPr>
            <w:tcW w:w="5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440" w:type="dxa"/>
            <w:vAlign w:val="bottom"/>
          </w:tcPr>
          <w:p>
            <w:pPr>
              <w:ind w:left="140"/>
              <w:spacing w:after="0"/>
              <w:rPr>
                <w:sz w:val="20"/>
                <w:szCs w:val="20"/>
                <w:color w:val="auto"/>
              </w:rPr>
            </w:pPr>
            <w:r>
              <w:rPr>
                <w:rFonts w:ascii="Arial" w:cs="Arial" w:eastAsia="Arial" w:hAnsi="Arial"/>
                <w:sz w:val="16"/>
                <w:szCs w:val="16"/>
                <w:color w:val="auto"/>
              </w:rPr>
              <w:t>Sustainability Officer,</w:t>
            </w:r>
          </w:p>
        </w:tc>
        <w:tc>
          <w:tcPr>
            <w:tcW w:w="10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440" w:type="dxa"/>
            <w:vAlign w:val="bottom"/>
          </w:tcPr>
          <w:p>
            <w:pPr>
              <w:ind w:left="140"/>
              <w:spacing w:after="0"/>
              <w:rPr>
                <w:sz w:val="20"/>
                <w:szCs w:val="20"/>
                <w:color w:val="auto"/>
              </w:rPr>
            </w:pPr>
            <w:r>
              <w:rPr>
                <w:rFonts w:ascii="Arial" w:cs="Arial" w:eastAsia="Arial" w:hAnsi="Arial"/>
                <w:sz w:val="16"/>
                <w:szCs w:val="16"/>
                <w:color w:val="auto"/>
              </w:rPr>
              <w:t>The Goodyear Tire and Rubber</w:t>
            </w:r>
          </w:p>
        </w:tc>
        <w:tc>
          <w:tcPr>
            <w:tcW w:w="10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9"/>
        </w:trPr>
        <w:tc>
          <w:tcPr>
            <w:tcW w:w="540" w:type="dxa"/>
            <w:vAlign w:val="bottom"/>
            <w:tcBorders>
              <w:bottom w:val="single" w:sz="8" w:color="7F7F7F"/>
            </w:tcBorders>
          </w:tcPr>
          <w:p>
            <w:pPr>
              <w:spacing w:after="0"/>
              <w:rPr>
                <w:sz w:val="19"/>
                <w:szCs w:val="19"/>
                <w:color w:val="auto"/>
              </w:rPr>
            </w:pPr>
          </w:p>
        </w:tc>
        <w:tc>
          <w:tcPr>
            <w:tcW w:w="1100" w:type="dxa"/>
            <w:vAlign w:val="bottom"/>
            <w:tcBorders>
              <w:bottom w:val="single" w:sz="8" w:color="7F7F7F"/>
            </w:tcBorders>
          </w:tcPr>
          <w:p>
            <w:pPr>
              <w:spacing w:after="0"/>
              <w:rPr>
                <w:sz w:val="19"/>
                <w:szCs w:val="19"/>
                <w:color w:val="auto"/>
              </w:rPr>
            </w:pPr>
          </w:p>
        </w:tc>
        <w:tc>
          <w:tcPr>
            <w:tcW w:w="620" w:type="dxa"/>
            <w:vAlign w:val="bottom"/>
            <w:tcBorders>
              <w:bottom w:val="single" w:sz="8" w:color="7F7F7F"/>
            </w:tcBorders>
          </w:tcPr>
          <w:p>
            <w:pPr>
              <w:spacing w:after="0"/>
              <w:rPr>
                <w:sz w:val="19"/>
                <w:szCs w:val="19"/>
                <w:color w:val="auto"/>
              </w:rPr>
            </w:pPr>
          </w:p>
        </w:tc>
        <w:tc>
          <w:tcPr>
            <w:tcW w:w="920" w:type="dxa"/>
            <w:vAlign w:val="bottom"/>
            <w:tcBorders>
              <w:bottom w:val="single" w:sz="8" w:color="7F7F7F"/>
            </w:tcBorders>
          </w:tcPr>
          <w:p>
            <w:pPr>
              <w:spacing w:after="0"/>
              <w:rPr>
                <w:sz w:val="19"/>
                <w:szCs w:val="19"/>
                <w:color w:val="auto"/>
              </w:rPr>
            </w:pPr>
          </w:p>
        </w:tc>
        <w:tc>
          <w:tcPr>
            <w:tcW w:w="2440" w:type="dxa"/>
            <w:vAlign w:val="bottom"/>
            <w:tcBorders>
              <w:bottom w:val="single" w:sz="8" w:color="7F7F7F"/>
            </w:tcBorders>
          </w:tcPr>
          <w:p>
            <w:pPr>
              <w:ind w:left="140"/>
              <w:spacing w:after="0"/>
              <w:rPr>
                <w:sz w:val="20"/>
                <w:szCs w:val="20"/>
                <w:color w:val="auto"/>
              </w:rPr>
            </w:pPr>
            <w:r>
              <w:rPr>
                <w:rFonts w:ascii="Arial" w:cs="Arial" w:eastAsia="Arial" w:hAnsi="Arial"/>
                <w:sz w:val="16"/>
                <w:szCs w:val="16"/>
                <w:color w:val="auto"/>
              </w:rPr>
              <w:t>Company</w:t>
            </w:r>
          </w:p>
        </w:tc>
        <w:tc>
          <w:tcPr>
            <w:tcW w:w="1080" w:type="dxa"/>
            <w:vAlign w:val="bottom"/>
            <w:tcBorders>
              <w:bottom w:val="single" w:sz="8" w:color="7F7F7F"/>
            </w:tcBorders>
          </w:tcPr>
          <w:p>
            <w:pPr>
              <w:spacing w:after="0"/>
              <w:rPr>
                <w:sz w:val="19"/>
                <w:szCs w:val="19"/>
                <w:color w:val="auto"/>
              </w:rPr>
            </w:pPr>
          </w:p>
        </w:tc>
        <w:tc>
          <w:tcPr>
            <w:tcW w:w="600" w:type="dxa"/>
            <w:vAlign w:val="bottom"/>
            <w:tcBorders>
              <w:bottom w:val="single" w:sz="8" w:color="7F7F7F"/>
            </w:tcBorders>
          </w:tcPr>
          <w:p>
            <w:pPr>
              <w:spacing w:after="0"/>
              <w:rPr>
                <w:sz w:val="19"/>
                <w:szCs w:val="19"/>
                <w:color w:val="auto"/>
              </w:rPr>
            </w:pPr>
          </w:p>
        </w:tc>
        <w:tc>
          <w:tcPr>
            <w:tcW w:w="1540" w:type="dxa"/>
            <w:vAlign w:val="bottom"/>
            <w:tcBorders>
              <w:bottom w:val="single" w:sz="8" w:color="7F7F7F"/>
            </w:tcBorders>
          </w:tcPr>
          <w:p>
            <w:pPr>
              <w:spacing w:after="0"/>
              <w:rPr>
                <w:sz w:val="19"/>
                <w:szCs w:val="19"/>
                <w:color w:val="auto"/>
              </w:rPr>
            </w:pPr>
          </w:p>
        </w:tc>
        <w:tc>
          <w:tcPr>
            <w:tcW w:w="1280" w:type="dxa"/>
            <w:vAlign w:val="bottom"/>
            <w:tcBorders>
              <w:bottom w:val="single" w:sz="8" w:color="7F7F7F"/>
            </w:tcBorders>
          </w:tcPr>
          <w:p>
            <w:pPr>
              <w:spacing w:after="0"/>
              <w:rPr>
                <w:sz w:val="19"/>
                <w:szCs w:val="19"/>
                <w:color w:val="auto"/>
              </w:rPr>
            </w:pPr>
          </w:p>
        </w:tc>
        <w:tc>
          <w:tcPr>
            <w:tcW w:w="900" w:type="dxa"/>
            <w:vAlign w:val="bottom"/>
            <w:tcBorders>
              <w:bottom w:val="single" w:sz="8" w:color="7F7F7F"/>
            </w:tcBorders>
          </w:tcPr>
          <w:p>
            <w:pPr>
              <w:spacing w:after="0"/>
              <w:rPr>
                <w:sz w:val="19"/>
                <w:szCs w:val="19"/>
                <w:color w:val="auto"/>
              </w:rPr>
            </w:pPr>
          </w:p>
        </w:tc>
        <w:tc>
          <w:tcPr>
            <w:tcW w:w="0" w:type="dxa"/>
            <w:vAlign w:val="bottom"/>
          </w:tcPr>
          <w:p>
            <w:pPr>
              <w:spacing w:after="0"/>
              <w:rPr>
                <w:sz w:val="1"/>
                <w:szCs w:val="1"/>
                <w:color w:val="auto"/>
              </w:rPr>
            </w:pPr>
          </w:p>
        </w:tc>
      </w:tr>
      <w:tr>
        <w:trPr>
          <w:trHeight w:val="193"/>
        </w:trPr>
        <w:tc>
          <w:tcPr>
            <w:tcW w:w="1640" w:type="dxa"/>
            <w:vAlign w:val="bottom"/>
            <w:gridSpan w:val="2"/>
          </w:tcPr>
          <w:p>
            <w:pPr>
              <w:spacing w:after="0"/>
              <w:rPr>
                <w:sz w:val="20"/>
                <w:szCs w:val="20"/>
                <w:color w:val="auto"/>
              </w:rPr>
            </w:pPr>
            <w:r>
              <w:rPr>
                <w:rFonts w:ascii="Arial" w:cs="Arial" w:eastAsia="Arial" w:hAnsi="Arial"/>
                <w:sz w:val="16"/>
                <w:szCs w:val="16"/>
                <w:b w:val="1"/>
                <w:bCs w:val="1"/>
                <w:color w:val="auto"/>
              </w:rPr>
              <w:t>Donald T. Misheff</w:t>
            </w:r>
          </w:p>
        </w:tc>
        <w:tc>
          <w:tcPr>
            <w:tcW w:w="620" w:type="dxa"/>
            <w:vAlign w:val="bottom"/>
          </w:tcPr>
          <w:p>
            <w:pPr>
              <w:jc w:val="center"/>
              <w:spacing w:after="0"/>
              <w:rPr>
                <w:sz w:val="20"/>
                <w:szCs w:val="20"/>
                <w:color w:val="auto"/>
              </w:rPr>
            </w:pPr>
            <w:r>
              <w:rPr>
                <w:rFonts w:ascii="Arial" w:cs="Arial" w:eastAsia="Arial" w:hAnsi="Arial"/>
                <w:sz w:val="16"/>
                <w:szCs w:val="16"/>
                <w:color w:val="auto"/>
                <w:w w:val="89"/>
              </w:rPr>
              <w:t>65</w:t>
            </w:r>
          </w:p>
        </w:tc>
        <w:tc>
          <w:tcPr>
            <w:tcW w:w="920" w:type="dxa"/>
            <w:vAlign w:val="bottom"/>
          </w:tcPr>
          <w:p>
            <w:pPr>
              <w:jc w:val="center"/>
              <w:spacing w:after="0"/>
              <w:rPr>
                <w:sz w:val="20"/>
                <w:szCs w:val="20"/>
                <w:color w:val="auto"/>
              </w:rPr>
            </w:pPr>
            <w:r>
              <w:rPr>
                <w:rFonts w:ascii="Arial" w:cs="Arial" w:eastAsia="Arial" w:hAnsi="Arial"/>
                <w:sz w:val="16"/>
                <w:szCs w:val="16"/>
                <w:color w:val="auto"/>
                <w:w w:val="89"/>
              </w:rPr>
              <w:t>2014</w:t>
            </w:r>
          </w:p>
        </w:tc>
        <w:tc>
          <w:tcPr>
            <w:tcW w:w="2440" w:type="dxa"/>
            <w:vAlign w:val="bottom"/>
          </w:tcPr>
          <w:p>
            <w:pPr>
              <w:ind w:left="140"/>
              <w:spacing w:after="0"/>
              <w:rPr>
                <w:sz w:val="20"/>
                <w:szCs w:val="20"/>
                <w:color w:val="auto"/>
              </w:rPr>
            </w:pPr>
            <w:r>
              <w:rPr>
                <w:rFonts w:ascii="Arial" w:cs="Arial" w:eastAsia="Arial" w:hAnsi="Arial"/>
                <w:sz w:val="16"/>
                <w:szCs w:val="16"/>
                <w:color w:val="auto"/>
              </w:rPr>
              <w:t>Retired Managing Partner,</w:t>
            </w:r>
          </w:p>
        </w:tc>
        <w:tc>
          <w:tcPr>
            <w:tcW w:w="1080" w:type="dxa"/>
            <w:vAlign w:val="bottom"/>
          </w:tcPr>
          <w:p>
            <w:pPr>
              <w:jc w:val="center"/>
              <w:spacing w:after="0"/>
              <w:rPr>
                <w:sz w:val="20"/>
                <w:szCs w:val="20"/>
                <w:color w:val="auto"/>
              </w:rPr>
            </w:pPr>
            <w:r>
              <w:rPr>
                <w:rFonts w:ascii="Arial" w:cs="Arial" w:eastAsia="Arial" w:hAnsi="Arial"/>
                <w:sz w:val="16"/>
                <w:szCs w:val="16"/>
                <w:color w:val="auto"/>
              </w:rPr>
              <w:t>•</w:t>
            </w:r>
          </w:p>
        </w:tc>
        <w:tc>
          <w:tcPr>
            <w:tcW w:w="600" w:type="dxa"/>
            <w:vAlign w:val="bottom"/>
          </w:tcPr>
          <w:p>
            <w:pPr>
              <w:jc w:val="center"/>
              <w:spacing w:after="0"/>
              <w:rPr>
                <w:sz w:val="20"/>
                <w:szCs w:val="20"/>
                <w:color w:val="auto"/>
              </w:rPr>
            </w:pPr>
            <w:r>
              <w:rPr>
                <w:rFonts w:ascii="Arial" w:cs="Arial" w:eastAsia="Arial" w:hAnsi="Arial"/>
                <w:sz w:val="16"/>
                <w:szCs w:val="16"/>
                <w:color w:val="auto"/>
              </w:rPr>
              <w:t>•</w:t>
            </w:r>
          </w:p>
        </w:tc>
        <w:tc>
          <w:tcPr>
            <w:tcW w:w="15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900" w:type="dxa"/>
            <w:vAlign w:val="bottom"/>
          </w:tcPr>
          <w:p>
            <w:pPr>
              <w:jc w:val="center"/>
              <w:ind w:left="16"/>
              <w:spacing w:after="0"/>
              <w:rPr>
                <w:sz w:val="20"/>
                <w:szCs w:val="20"/>
                <w:color w:val="auto"/>
              </w:rPr>
            </w:pPr>
            <w:r>
              <w:rPr>
                <w:rFonts w:ascii="Arial" w:cs="Arial" w:eastAsia="Arial" w:hAnsi="Arial"/>
                <w:sz w:val="16"/>
                <w:szCs w:val="16"/>
                <w:color w:val="auto"/>
                <w:w w:val="89"/>
              </w:rPr>
              <w:t>2</w:t>
            </w:r>
          </w:p>
        </w:tc>
        <w:tc>
          <w:tcPr>
            <w:tcW w:w="0" w:type="dxa"/>
            <w:vAlign w:val="bottom"/>
          </w:tcPr>
          <w:p>
            <w:pPr>
              <w:spacing w:after="0"/>
              <w:rPr>
                <w:sz w:val="1"/>
                <w:szCs w:val="1"/>
                <w:color w:val="auto"/>
              </w:rPr>
            </w:pPr>
          </w:p>
        </w:tc>
      </w:tr>
      <w:tr>
        <w:trPr>
          <w:trHeight w:val="203"/>
        </w:trPr>
        <w:tc>
          <w:tcPr>
            <w:tcW w:w="5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440" w:type="dxa"/>
            <w:vAlign w:val="bottom"/>
          </w:tcPr>
          <w:p>
            <w:pPr>
              <w:ind w:left="140"/>
              <w:spacing w:after="0"/>
              <w:rPr>
                <w:sz w:val="20"/>
                <w:szCs w:val="20"/>
                <w:color w:val="auto"/>
              </w:rPr>
            </w:pPr>
            <w:r>
              <w:rPr>
                <w:rFonts w:ascii="Arial" w:cs="Arial" w:eastAsia="Arial" w:hAnsi="Arial"/>
                <w:sz w:val="16"/>
                <w:szCs w:val="16"/>
                <w:color w:val="auto"/>
              </w:rPr>
              <w:t>Northeast Ohio, Ernst &amp; Young</w:t>
            </w:r>
          </w:p>
        </w:tc>
        <w:tc>
          <w:tcPr>
            <w:tcW w:w="10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540" w:type="dxa"/>
            <w:vAlign w:val="bottom"/>
            <w:tcBorders>
              <w:bottom w:val="single" w:sz="8" w:color="7F7F7F"/>
            </w:tcBorders>
          </w:tcPr>
          <w:p>
            <w:pPr>
              <w:spacing w:after="0"/>
              <w:rPr>
                <w:sz w:val="18"/>
                <w:szCs w:val="18"/>
                <w:color w:val="auto"/>
              </w:rPr>
            </w:pPr>
          </w:p>
        </w:tc>
        <w:tc>
          <w:tcPr>
            <w:tcW w:w="1100" w:type="dxa"/>
            <w:vAlign w:val="bottom"/>
            <w:tcBorders>
              <w:bottom w:val="single" w:sz="8" w:color="7F7F7F"/>
            </w:tcBorders>
          </w:tcPr>
          <w:p>
            <w:pPr>
              <w:spacing w:after="0"/>
              <w:rPr>
                <w:sz w:val="18"/>
                <w:szCs w:val="18"/>
                <w:color w:val="auto"/>
              </w:rPr>
            </w:pPr>
          </w:p>
        </w:tc>
        <w:tc>
          <w:tcPr>
            <w:tcW w:w="620" w:type="dxa"/>
            <w:vAlign w:val="bottom"/>
            <w:tcBorders>
              <w:bottom w:val="single" w:sz="8" w:color="7F7F7F"/>
            </w:tcBorders>
          </w:tcPr>
          <w:p>
            <w:pPr>
              <w:spacing w:after="0"/>
              <w:rPr>
                <w:sz w:val="18"/>
                <w:szCs w:val="18"/>
                <w:color w:val="auto"/>
              </w:rPr>
            </w:pPr>
          </w:p>
        </w:tc>
        <w:tc>
          <w:tcPr>
            <w:tcW w:w="920" w:type="dxa"/>
            <w:vAlign w:val="bottom"/>
            <w:tcBorders>
              <w:bottom w:val="single" w:sz="8" w:color="7F7F7F"/>
            </w:tcBorders>
          </w:tcPr>
          <w:p>
            <w:pPr>
              <w:spacing w:after="0"/>
              <w:rPr>
                <w:sz w:val="18"/>
                <w:szCs w:val="18"/>
                <w:color w:val="auto"/>
              </w:rPr>
            </w:pPr>
          </w:p>
        </w:tc>
        <w:tc>
          <w:tcPr>
            <w:tcW w:w="2440" w:type="dxa"/>
            <w:vAlign w:val="bottom"/>
            <w:tcBorders>
              <w:bottom w:val="single" w:sz="8" w:color="7F7F7F"/>
            </w:tcBorders>
          </w:tcPr>
          <w:p>
            <w:pPr>
              <w:ind w:left="140"/>
              <w:spacing w:after="0"/>
              <w:rPr>
                <w:sz w:val="20"/>
                <w:szCs w:val="20"/>
                <w:color w:val="auto"/>
              </w:rPr>
            </w:pPr>
            <w:r>
              <w:rPr>
                <w:rFonts w:ascii="Arial" w:cs="Arial" w:eastAsia="Arial" w:hAnsi="Arial"/>
                <w:sz w:val="16"/>
                <w:szCs w:val="16"/>
                <w:color w:val="auto"/>
              </w:rPr>
              <w:t>LLP</w:t>
            </w:r>
          </w:p>
        </w:tc>
        <w:tc>
          <w:tcPr>
            <w:tcW w:w="1080" w:type="dxa"/>
            <w:vAlign w:val="bottom"/>
            <w:tcBorders>
              <w:bottom w:val="single" w:sz="8" w:color="7F7F7F"/>
            </w:tcBorders>
          </w:tcPr>
          <w:p>
            <w:pPr>
              <w:spacing w:after="0"/>
              <w:rPr>
                <w:sz w:val="18"/>
                <w:szCs w:val="18"/>
                <w:color w:val="auto"/>
              </w:rPr>
            </w:pPr>
          </w:p>
        </w:tc>
        <w:tc>
          <w:tcPr>
            <w:tcW w:w="600" w:type="dxa"/>
            <w:vAlign w:val="bottom"/>
            <w:tcBorders>
              <w:bottom w:val="single" w:sz="8" w:color="7F7F7F"/>
            </w:tcBorders>
          </w:tcPr>
          <w:p>
            <w:pPr>
              <w:spacing w:after="0"/>
              <w:rPr>
                <w:sz w:val="18"/>
                <w:szCs w:val="18"/>
                <w:color w:val="auto"/>
              </w:rPr>
            </w:pPr>
          </w:p>
        </w:tc>
        <w:tc>
          <w:tcPr>
            <w:tcW w:w="1540" w:type="dxa"/>
            <w:vAlign w:val="bottom"/>
            <w:tcBorders>
              <w:bottom w:val="single" w:sz="8" w:color="7F7F7F"/>
            </w:tcBorders>
          </w:tcPr>
          <w:p>
            <w:pPr>
              <w:spacing w:after="0"/>
              <w:rPr>
                <w:sz w:val="18"/>
                <w:szCs w:val="18"/>
                <w:color w:val="auto"/>
              </w:rPr>
            </w:pPr>
          </w:p>
        </w:tc>
        <w:tc>
          <w:tcPr>
            <w:tcW w:w="1280" w:type="dxa"/>
            <w:vAlign w:val="bottom"/>
            <w:tcBorders>
              <w:bottom w:val="single" w:sz="8" w:color="7F7F7F"/>
            </w:tcBorders>
          </w:tcPr>
          <w:p>
            <w:pPr>
              <w:spacing w:after="0"/>
              <w:rPr>
                <w:sz w:val="18"/>
                <w:szCs w:val="18"/>
                <w:color w:val="auto"/>
              </w:rPr>
            </w:pPr>
          </w:p>
        </w:tc>
        <w:tc>
          <w:tcPr>
            <w:tcW w:w="900" w:type="dxa"/>
            <w:vAlign w:val="bottom"/>
            <w:tcBorders>
              <w:bottom w:val="single" w:sz="8" w:color="7F7F7F"/>
            </w:tcBorders>
          </w:tcPr>
          <w:p>
            <w:pPr>
              <w:spacing w:after="0"/>
              <w:rPr>
                <w:sz w:val="18"/>
                <w:szCs w:val="18"/>
                <w:color w:val="auto"/>
              </w:rPr>
            </w:pPr>
          </w:p>
        </w:tc>
        <w:tc>
          <w:tcPr>
            <w:tcW w:w="0" w:type="dxa"/>
            <w:vAlign w:val="bottom"/>
          </w:tcPr>
          <w:p>
            <w:pPr>
              <w:spacing w:after="0"/>
              <w:rPr>
                <w:sz w:val="1"/>
                <w:szCs w:val="1"/>
                <w:color w:val="auto"/>
              </w:rPr>
            </w:pPr>
          </w:p>
        </w:tc>
      </w:tr>
      <w:tr>
        <w:trPr>
          <w:trHeight w:val="341"/>
        </w:trPr>
        <w:tc>
          <w:tcPr>
            <w:tcW w:w="5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440" w:type="dxa"/>
            <w:vAlign w:val="bottom"/>
          </w:tcPr>
          <w:p>
            <w:pPr>
              <w:ind w:left="2280"/>
              <w:spacing w:after="0"/>
              <w:rPr>
                <w:sz w:val="20"/>
                <w:szCs w:val="20"/>
                <w:color w:val="auto"/>
              </w:rPr>
            </w:pPr>
            <w:r>
              <w:rPr>
                <w:rFonts w:ascii="Arial" w:cs="Arial" w:eastAsia="Arial" w:hAnsi="Arial"/>
                <w:sz w:val="16"/>
                <w:szCs w:val="16"/>
                <w:color w:val="auto"/>
              </w:rPr>
              <w:t>1</w:t>
            </w:r>
          </w:p>
        </w:tc>
        <w:tc>
          <w:tcPr>
            <w:tcW w:w="10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4231005</wp:posOffset>
            </wp:positionH>
            <wp:positionV relativeFrom="paragraph">
              <wp:posOffset>-4118610</wp:posOffset>
            </wp:positionV>
            <wp:extent cx="163195" cy="1631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-3827145</wp:posOffset>
            </wp:positionV>
            <wp:extent cx="163195" cy="1631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-3535680</wp:posOffset>
            </wp:positionV>
            <wp:extent cx="163195" cy="1631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63195" cy="16319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type w:val="continuous"/>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Diverse board skills and composition</w:t>
      </w:r>
    </w:p>
    <w:p>
      <w:pPr>
        <w:spacing w:after="0" w:line="207"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Members of TimkenSteel’s Board of Directors possess a broad and diverse mix of executive leadership, strategic, financial, human resources, ESG and industry experience and skills that enable them to effectively oversee the management of the business and drive strategy that creates long-term, sustainable shareholder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125730</wp:posOffset>
            </wp:positionV>
            <wp:extent cx="5323205" cy="53320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5323205" cy="5332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259"/>
        <w:spacing w:after="0"/>
        <w:rPr>
          <w:sz w:val="20"/>
          <w:szCs w:val="20"/>
          <w:color w:val="auto"/>
        </w:rPr>
      </w:pPr>
      <w:r>
        <w:rPr>
          <w:rFonts w:ascii="Arial" w:cs="Arial" w:eastAsia="Arial" w:hAnsi="Arial"/>
          <w:sz w:val="16"/>
          <w:szCs w:val="16"/>
          <w:color w:val="auto"/>
        </w:rPr>
        <w:t>2</w:t>
      </w:r>
    </w:p>
    <w:p>
      <w:pPr>
        <w:sectPr>
          <w:pgSz w:w="11900" w:h="16838" w:orient="portrait"/>
          <w:cols w:equalWidth="0" w:num="1">
            <w:col w:w="11000"/>
          </w:cols>
          <w:pgMar w:left="320" w:top="459" w:right="57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337820</wp:posOffset>
            </wp:positionV>
            <wp:extent cx="6429375" cy="13112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429375" cy="1311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939"/>
        <w:spacing w:after="0"/>
        <w:rPr>
          <w:sz w:val="20"/>
          <w:szCs w:val="20"/>
          <w:color w:val="auto"/>
        </w:rPr>
      </w:pPr>
      <w:r>
        <w:rPr>
          <w:rFonts w:ascii="Arial" w:cs="Arial" w:eastAsia="Arial" w:hAnsi="Arial"/>
          <w:sz w:val="32"/>
          <w:szCs w:val="32"/>
          <w:b w:val="1"/>
          <w:bCs w:val="1"/>
          <w:color w:val="FFFFFF"/>
        </w:rPr>
        <w:t>Strong profitability</w:t>
      </w:r>
    </w:p>
    <w:p>
      <w:pPr>
        <w:spacing w:after="0" w:line="43" w:lineRule="exact"/>
        <w:rPr>
          <w:sz w:val="20"/>
          <w:szCs w:val="20"/>
          <w:color w:val="auto"/>
        </w:rPr>
      </w:pPr>
    </w:p>
    <w:p>
      <w:pPr>
        <w:jc w:val="center"/>
        <w:ind w:right="-939"/>
        <w:spacing w:after="0"/>
        <w:rPr>
          <w:sz w:val="20"/>
          <w:szCs w:val="20"/>
          <w:color w:val="auto"/>
        </w:rPr>
      </w:pPr>
      <w:r>
        <w:rPr>
          <w:rFonts w:ascii="Arial" w:cs="Arial" w:eastAsia="Arial" w:hAnsi="Arial"/>
          <w:sz w:val="25"/>
          <w:szCs w:val="25"/>
          <w:b w:val="1"/>
          <w:bCs w:val="1"/>
          <w:color w:val="FFFFFF"/>
        </w:rPr>
        <w:t>including $171.0M of net income</w:t>
      </w:r>
    </w:p>
    <w:p>
      <w:pPr>
        <w:jc w:val="center"/>
        <w:ind w:right="-939"/>
        <w:spacing w:after="0" w:line="181" w:lineRule="auto"/>
        <w:rPr>
          <w:sz w:val="20"/>
          <w:szCs w:val="20"/>
          <w:color w:val="auto"/>
        </w:rPr>
      </w:pPr>
      <w:r>
        <w:rPr>
          <w:rFonts w:ascii="Arial" w:cs="Arial" w:eastAsia="Arial" w:hAnsi="Arial"/>
          <w:sz w:val="21"/>
          <w:szCs w:val="21"/>
          <w:b w:val="1"/>
          <w:bCs w:val="1"/>
          <w:color w:val="FFFFFF"/>
        </w:rPr>
        <w:t>and $245.9M of adjusted EBITDA</w:t>
      </w:r>
      <w:r>
        <w:rPr>
          <w:rFonts w:ascii="Arial" w:cs="Arial" w:eastAsia="Arial" w:hAnsi="Arial"/>
          <w:sz w:val="34"/>
          <w:szCs w:val="34"/>
          <w:b w:val="1"/>
          <w:bCs w:val="1"/>
          <w:color w:val="FFFFFF"/>
          <w:vertAlign w:val="superscript"/>
        </w:rPr>
        <w:t>(2)</w:t>
      </w:r>
    </w:p>
    <w:p>
      <w:pPr>
        <w:spacing w:after="0" w:line="1" w:lineRule="exact"/>
        <w:rPr>
          <w:sz w:val="20"/>
          <w:szCs w:val="20"/>
          <w:color w:val="auto"/>
        </w:rPr>
      </w:pPr>
    </w:p>
    <w:p>
      <w:pPr>
        <w:ind w:left="3300"/>
        <w:spacing w:after="0"/>
        <w:rPr>
          <w:sz w:val="20"/>
          <w:szCs w:val="20"/>
          <w:color w:val="auto"/>
        </w:rPr>
      </w:pPr>
      <w:r>
        <w:rPr>
          <w:rFonts w:ascii="Arial" w:cs="Arial" w:eastAsia="Arial" w:hAnsi="Arial"/>
          <w:sz w:val="25"/>
          <w:szCs w:val="25"/>
          <w:b w:val="1"/>
          <w:bCs w:val="1"/>
          <w:color w:val="FFFFFF"/>
        </w:rPr>
        <w:t xml:space="preserve">drove $196.9M of </w:t>
      </w:r>
      <w:r>
        <w:rPr>
          <w:rFonts w:ascii="Arial" w:cs="Arial" w:eastAsia="Arial" w:hAnsi="Arial"/>
          <w:sz w:val="32"/>
          <w:szCs w:val="32"/>
          <w:b w:val="1"/>
          <w:bCs w:val="1"/>
          <w:color w:val="FFFFFF"/>
        </w:rPr>
        <w:t>operating cash flow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472440</wp:posOffset>
            </wp:positionV>
            <wp:extent cx="6429375" cy="12001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429375" cy="1200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right="-939"/>
        <w:spacing w:after="0"/>
        <w:rPr>
          <w:sz w:val="20"/>
          <w:szCs w:val="20"/>
          <w:color w:val="auto"/>
        </w:rPr>
      </w:pPr>
      <w:r>
        <w:rPr>
          <w:rFonts w:ascii="Arial" w:cs="Arial" w:eastAsia="Arial" w:hAnsi="Arial"/>
          <w:sz w:val="32"/>
          <w:szCs w:val="32"/>
          <w:b w:val="1"/>
          <w:bCs w:val="1"/>
          <w:color w:val="FFFFFF"/>
        </w:rPr>
        <w:t xml:space="preserve">Record cash </w:t>
      </w:r>
      <w:r>
        <w:rPr>
          <w:rFonts w:ascii="Arial" w:cs="Arial" w:eastAsia="Arial" w:hAnsi="Arial"/>
          <w:sz w:val="25"/>
          <w:szCs w:val="25"/>
          <w:b w:val="1"/>
          <w:bCs w:val="1"/>
          <w:color w:val="FFFFFF"/>
        </w:rPr>
        <w:t>of $259.6M and</w:t>
      </w:r>
    </w:p>
    <w:p>
      <w:pPr>
        <w:spacing w:after="0" w:line="33" w:lineRule="exact"/>
        <w:rPr>
          <w:sz w:val="20"/>
          <w:szCs w:val="20"/>
          <w:color w:val="auto"/>
        </w:rPr>
      </w:pPr>
    </w:p>
    <w:p>
      <w:pPr>
        <w:jc w:val="center"/>
        <w:ind w:right="-939"/>
        <w:spacing w:after="0"/>
        <w:rPr>
          <w:sz w:val="20"/>
          <w:szCs w:val="20"/>
          <w:color w:val="auto"/>
        </w:rPr>
      </w:pPr>
      <w:r>
        <w:rPr>
          <w:rFonts w:ascii="Arial" w:cs="Arial" w:eastAsia="Arial" w:hAnsi="Arial"/>
          <w:sz w:val="32"/>
          <w:szCs w:val="32"/>
          <w:b w:val="1"/>
          <w:bCs w:val="1"/>
          <w:color w:val="FFFFFF"/>
        </w:rPr>
        <w:t xml:space="preserve">record total liquidity </w:t>
      </w:r>
      <w:r>
        <w:rPr>
          <w:rFonts w:ascii="Arial" w:cs="Arial" w:eastAsia="Arial" w:hAnsi="Arial"/>
          <w:sz w:val="25"/>
          <w:szCs w:val="25"/>
          <w:b w:val="1"/>
          <w:bCs w:val="1"/>
          <w:color w:val="FFFFFF"/>
        </w:rPr>
        <w:t>of $510.7M</w:t>
      </w:r>
    </w:p>
    <w:p>
      <w:pPr>
        <w:spacing w:after="0" w:line="7" w:lineRule="exact"/>
        <w:rPr>
          <w:sz w:val="20"/>
          <w:szCs w:val="20"/>
          <w:color w:val="auto"/>
        </w:rPr>
      </w:pPr>
    </w:p>
    <w:p>
      <w:pPr>
        <w:ind w:left="4320"/>
        <w:spacing w:after="0"/>
        <w:rPr>
          <w:sz w:val="20"/>
          <w:szCs w:val="20"/>
          <w:color w:val="auto"/>
        </w:rPr>
      </w:pPr>
      <w:r>
        <w:rPr>
          <w:rFonts w:ascii="Arial" w:cs="Arial" w:eastAsia="Arial" w:hAnsi="Arial"/>
          <w:sz w:val="25"/>
          <w:szCs w:val="25"/>
          <w:b w:val="1"/>
          <w:bCs w:val="1"/>
          <w:color w:val="FFFFFF"/>
        </w:rPr>
        <w:t>as of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551180</wp:posOffset>
            </wp:positionV>
            <wp:extent cx="5194935" cy="29914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194935" cy="2991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540" w:hanging="424"/>
        <w:spacing w:after="0"/>
        <w:tabs>
          <w:tab w:leader="none" w:pos="540" w:val="left"/>
        </w:tabs>
        <w:numPr>
          <w:ilvl w:val="0"/>
          <w:numId w:val="7"/>
        </w:numPr>
        <w:rPr>
          <w:rFonts w:ascii="Arial" w:cs="Arial" w:eastAsia="Arial" w:hAnsi="Arial"/>
          <w:sz w:val="14"/>
          <w:szCs w:val="14"/>
          <w:color w:val="auto"/>
        </w:rPr>
      </w:pPr>
      <w:r>
        <w:rPr>
          <w:rFonts w:ascii="Arial" w:cs="Arial" w:eastAsia="Arial" w:hAnsi="Arial"/>
          <w:sz w:val="14"/>
          <w:szCs w:val="14"/>
          <w:color w:val="auto"/>
        </w:rPr>
        <w:t>Net income (loss) includes a loss of $40.6M in 2019, a loss of $14.7M in 2020 and a gain of $20.1M in 2021 from the remeasurement of benefit plans.</w:t>
      </w:r>
    </w:p>
    <w:p>
      <w:pPr>
        <w:ind w:left="540" w:hanging="424"/>
        <w:spacing w:after="0"/>
        <w:tabs>
          <w:tab w:leader="none" w:pos="540" w:val="left"/>
        </w:tabs>
        <w:numPr>
          <w:ilvl w:val="0"/>
          <w:numId w:val="7"/>
        </w:numPr>
        <w:rPr>
          <w:rFonts w:ascii="Arial" w:cs="Arial" w:eastAsia="Arial" w:hAnsi="Arial"/>
          <w:sz w:val="13"/>
          <w:szCs w:val="13"/>
          <w:color w:val="auto"/>
        </w:rPr>
      </w:pPr>
      <w:r>
        <w:rPr>
          <w:rFonts w:ascii="Arial" w:cs="Arial" w:eastAsia="Arial" w:hAnsi="Arial"/>
          <w:sz w:val="13"/>
          <w:szCs w:val="13"/>
          <w:color w:val="auto"/>
        </w:rPr>
        <w:t>Adjusted EBITDA is a non-GAAP financial measure. Please see appendix for a reconciliation of this financial measure to the most comparable GAAP financial measure.</w:t>
      </w:r>
    </w:p>
    <w:p>
      <w:pPr>
        <w:spacing w:after="0" w:line="144" w:lineRule="exact"/>
        <w:rPr>
          <w:sz w:val="20"/>
          <w:szCs w:val="20"/>
          <w:color w:val="auto"/>
        </w:rPr>
      </w:pPr>
    </w:p>
    <w:p>
      <w:pPr>
        <w:ind w:left="5580"/>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0320"/>
          </w:cols>
          <w:pgMar w:left="320" w:top="459" w:right="125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Environmental, social and governance (ESG) highlights</w:t>
      </w:r>
    </w:p>
    <w:p>
      <w:pPr>
        <w:spacing w:after="0" w:line="207" w:lineRule="exact"/>
        <w:rPr>
          <w:sz w:val="20"/>
          <w:szCs w:val="20"/>
          <w:color w:val="auto"/>
        </w:rPr>
      </w:pPr>
    </w:p>
    <w:p>
      <w:pPr>
        <w:ind w:left="120" w:right="200"/>
        <w:spacing w:after="0" w:line="311" w:lineRule="auto"/>
        <w:rPr>
          <w:sz w:val="20"/>
          <w:szCs w:val="20"/>
          <w:color w:val="auto"/>
        </w:rPr>
      </w:pPr>
      <w:r>
        <w:rPr>
          <w:rFonts w:ascii="Arial" w:cs="Arial" w:eastAsia="Arial" w:hAnsi="Arial"/>
          <w:sz w:val="16"/>
          <w:szCs w:val="16"/>
          <w:color w:val="auto"/>
        </w:rPr>
        <w:t>At TimkenSteel, our ESG program reflects our vision to harness the enduring power of steel to make the world a better place. We focus on creating long-term shareholder value by employing sustainable practices. Our commitment to operating responsibly helps ensure we create and maintain a safe and healthy workplace, protect our natural resources and deliver sustainable technologies that contribute to economic growth and prosperity.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103505</wp:posOffset>
            </wp:positionV>
            <wp:extent cx="6429375" cy="10883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429375" cy="1088390"/>
                    </a:xfrm>
                    <a:prstGeom prst="rect">
                      <a:avLst/>
                    </a:prstGeom>
                    <a:noFill/>
                  </pic:spPr>
                </pic:pic>
              </a:graphicData>
            </a:graphic>
          </wp:anchor>
        </w:drawing>
      </w:r>
    </w:p>
    <w:p>
      <w:pPr>
        <w:spacing w:after="0" w:line="169" w:lineRule="exact"/>
        <w:rPr>
          <w:sz w:val="20"/>
          <w:szCs w:val="20"/>
          <w:color w:val="auto"/>
        </w:rPr>
      </w:pPr>
    </w:p>
    <w:p>
      <w:pPr>
        <w:ind w:left="660" w:right="500"/>
        <w:spacing w:after="0" w:line="275" w:lineRule="auto"/>
        <w:rPr>
          <w:sz w:val="20"/>
          <w:szCs w:val="20"/>
          <w:color w:val="auto"/>
        </w:rPr>
      </w:pPr>
      <w:r>
        <w:rPr>
          <w:rFonts w:ascii="Arial" w:cs="Arial" w:eastAsia="Arial" w:hAnsi="Arial"/>
          <w:sz w:val="17"/>
          <w:szCs w:val="17"/>
          <w:color w:val="auto"/>
        </w:rPr>
        <w:t>“Environmental sustainability is not new to us – we moved all production to electric arc furnaces in 1952 and produce 100 percent of our steel primarily from recycled scrap metal. Our aim is to always operate with the environment in mind and our past efforts around energy conservation, recycled metal sourcing and handling, and water management and reuse illustrate this commitment. Steel will continue to be a critical component of a reduced-carbon future and establishing our 2030 environmental goals focuses our company on areas where we can have the greatest impact and further contribute to that future.”</w:t>
      </w:r>
    </w:p>
    <w:p>
      <w:pPr>
        <w:spacing w:after="0" w:line="203" w:lineRule="exact"/>
        <w:rPr>
          <w:sz w:val="20"/>
          <w:szCs w:val="20"/>
          <w:color w:val="auto"/>
        </w:rPr>
      </w:pPr>
    </w:p>
    <w:p>
      <w:pPr>
        <w:ind w:left="6080"/>
        <w:spacing w:after="0"/>
        <w:tabs>
          <w:tab w:leader="none" w:pos="6340" w:val="left"/>
        </w:tabs>
        <w:rPr>
          <w:sz w:val="20"/>
          <w:szCs w:val="20"/>
          <w:color w:val="auto"/>
        </w:rPr>
      </w:pPr>
      <w:r>
        <w:rPr>
          <w:rFonts w:ascii="Arial" w:cs="Arial" w:eastAsia="Arial" w:hAnsi="Arial"/>
          <w:sz w:val="18"/>
          <w:szCs w:val="18"/>
          <w:color w:val="auto"/>
        </w:rPr>
        <w:t>-</w:t>
        <w:tab/>
        <w:t>Mike Williams, president and chief executive officer</w:t>
      </w:r>
    </w:p>
    <w:p>
      <w:pPr>
        <w:spacing w:after="0" w:line="360" w:lineRule="exact"/>
        <w:rPr>
          <w:sz w:val="20"/>
          <w:szCs w:val="20"/>
          <w:color w:val="auto"/>
        </w:rPr>
      </w:pPr>
    </w:p>
    <w:p>
      <w:pPr>
        <w:ind w:left="120" w:right="80"/>
        <w:spacing w:after="0" w:line="257" w:lineRule="auto"/>
        <w:rPr>
          <w:sz w:val="20"/>
          <w:szCs w:val="20"/>
          <w:color w:val="auto"/>
        </w:rPr>
      </w:pPr>
      <w:r>
        <w:rPr>
          <w:rFonts w:ascii="Arial" w:cs="Arial" w:eastAsia="Arial" w:hAnsi="Arial"/>
          <w:sz w:val="18"/>
          <w:szCs w:val="18"/>
          <w:color w:val="auto"/>
        </w:rPr>
        <w:t>With oversight of our ESG strategy provided by our Board of Directors, we are committed to addressing areas where we can have the most impact and to making progress towards our long-term goals. We report on key ESG metrics, including providing disclosures in accordance with the Sustainability Accounting Standards Board (SASB) for our sector, and we are committed to communicating progress toward our ESG goals. See “Our commitment to sustainability” for additional information regarding ESG oversight and risk management, our materiality assessment and the pillars and focus areas of our ESG program.</w:t>
      </w:r>
    </w:p>
    <w:p>
      <w:pPr>
        <w:spacing w:after="0" w:line="184" w:lineRule="exact"/>
        <w:rPr>
          <w:sz w:val="20"/>
          <w:szCs w:val="20"/>
          <w:color w:val="auto"/>
        </w:rPr>
      </w:pPr>
    </w:p>
    <w:p>
      <w:pPr>
        <w:ind w:left="1180" w:right="420"/>
        <w:spacing w:after="0" w:line="261" w:lineRule="auto"/>
        <w:rPr>
          <w:sz w:val="20"/>
          <w:szCs w:val="20"/>
          <w:color w:val="auto"/>
        </w:rPr>
      </w:pPr>
      <w:r>
        <w:rPr>
          <w:rFonts w:ascii="Arial" w:cs="Arial" w:eastAsia="Arial" w:hAnsi="Arial"/>
          <w:sz w:val="18"/>
          <w:szCs w:val="18"/>
          <w:b w:val="1"/>
          <w:bCs w:val="1"/>
          <w:color w:val="auto"/>
        </w:rPr>
        <w:t xml:space="preserve">Environmental stewardship </w:t>
      </w:r>
      <w:r>
        <w:rPr>
          <w:rFonts w:ascii="Arial" w:cs="Arial" w:eastAsia="Arial" w:hAnsi="Arial"/>
          <w:sz w:val="18"/>
          <w:szCs w:val="18"/>
          <w:color w:val="auto"/>
        </w:rPr>
        <w:t>– Our environmental efforts are focused on maintaining clean air, water and land, and complying with</w:t>
      </w:r>
      <w:r>
        <w:rPr>
          <w:rFonts w:ascii="Arial" w:cs="Arial" w:eastAsia="Arial" w:hAnsi="Arial"/>
          <w:sz w:val="18"/>
          <w:szCs w:val="18"/>
          <w:b w:val="1"/>
          <w:bCs w:val="1"/>
          <w:color w:val="auto"/>
        </w:rPr>
        <w:t xml:space="preserve"> </w:t>
      </w:r>
      <w:r>
        <w:rPr>
          <w:rFonts w:ascii="Arial" w:cs="Arial" w:eastAsia="Arial" w:hAnsi="Arial"/>
          <w:sz w:val="18"/>
          <w:szCs w:val="18"/>
          <w:color w:val="auto"/>
        </w:rPr>
        <w:t>environmental rules and regulations by integrating material efficiency and conservation of energy and natural resources into our operations. We continue to seek opportunities to reduce the amount of waste we generate, increase recycling, and reduce energy consumption and emissions.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-508000</wp:posOffset>
            </wp:positionV>
            <wp:extent cx="377190" cy="4368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77190" cy="436880"/>
                    </a:xfrm>
                    <a:prstGeom prst="rect">
                      <a:avLst/>
                    </a:prstGeom>
                    <a:noFill/>
                  </pic:spPr>
                </pic:pic>
              </a:graphicData>
            </a:graphic>
          </wp:anchor>
        </w:drawing>
      </w:r>
    </w:p>
    <w:p>
      <w:pPr>
        <w:spacing w:after="0" w:line="164" w:lineRule="exact"/>
        <w:rPr>
          <w:sz w:val="20"/>
          <w:szCs w:val="20"/>
          <w:color w:val="auto"/>
        </w:rPr>
      </w:pPr>
    </w:p>
    <w:p>
      <w:pPr>
        <w:ind w:left="540" w:hanging="424"/>
        <w:spacing w:after="0"/>
        <w:tabs>
          <w:tab w:leader="none" w:pos="540" w:val="left"/>
        </w:tabs>
        <w:numPr>
          <w:ilvl w:val="0"/>
          <w:numId w:val="8"/>
        </w:numPr>
        <w:rPr>
          <w:rFonts w:ascii="MS PGothic" w:cs="MS PGothic" w:eastAsia="MS PGothic" w:hAnsi="MS PGothic"/>
          <w:sz w:val="18"/>
          <w:szCs w:val="18"/>
          <w:color w:val="auto"/>
        </w:rPr>
      </w:pPr>
      <w:r>
        <w:rPr>
          <w:rFonts w:ascii="Arial" w:cs="Arial" w:eastAsia="Arial" w:hAnsi="Arial"/>
          <w:sz w:val="18"/>
          <w:szCs w:val="18"/>
          <w:b w:val="1"/>
          <w:bCs w:val="1"/>
          <w:i w:val="1"/>
          <w:iCs w:val="1"/>
          <w:color w:val="auto"/>
        </w:rPr>
        <w:t>Commitment to sound environmental management</w:t>
      </w:r>
    </w:p>
    <w:p>
      <w:pPr>
        <w:sectPr>
          <w:pgSz w:w="11900" w:h="16838" w:orient="portrait"/>
          <w:cols w:equalWidth="0" w:num="1">
            <w:col w:w="11120"/>
          </w:cols>
          <w:pgMar w:left="320" w:top="459" w:right="459" w:bottom="1440" w:gutter="0" w:footer="0" w:header="0"/>
        </w:sectPr>
      </w:pPr>
    </w:p>
    <w:p>
      <w:pPr>
        <w:spacing w:after="0" w:line="226" w:lineRule="exact"/>
        <w:rPr>
          <w:sz w:val="20"/>
          <w:szCs w:val="20"/>
          <w:color w:val="auto"/>
        </w:rPr>
      </w:pPr>
    </w:p>
    <w:p>
      <w:pPr>
        <w:ind w:left="1300" w:right="1080"/>
        <w:spacing w:after="0" w:line="200" w:lineRule="auto"/>
        <w:rPr>
          <w:sz w:val="20"/>
          <w:szCs w:val="20"/>
          <w:color w:val="auto"/>
        </w:rPr>
      </w:pPr>
      <w:r>
        <w:rPr>
          <w:rFonts w:ascii="Arial" w:cs="Arial" w:eastAsia="Arial" w:hAnsi="Arial"/>
          <w:sz w:val="16"/>
          <w:szCs w:val="16"/>
          <w:color w:val="auto"/>
        </w:rPr>
        <w:t>TimkenSteel maintained ISO 14001</w:t>
      </w:r>
      <w:r>
        <w:rPr>
          <w:rFonts w:ascii="Arial" w:cs="Arial" w:eastAsia="Arial" w:hAnsi="Arial"/>
          <w:sz w:val="27"/>
          <w:szCs w:val="27"/>
          <w:color w:val="auto"/>
          <w:vertAlign w:val="superscript"/>
        </w:rPr>
        <w:t>(1)</w:t>
      </w:r>
      <w:r>
        <w:rPr>
          <w:rFonts w:ascii="Arial" w:cs="Arial" w:eastAsia="Arial" w:hAnsi="Arial"/>
          <w:sz w:val="16"/>
          <w:szCs w:val="16"/>
          <w:color w:val="auto"/>
        </w:rPr>
        <w:t xml:space="preserve"> certifications for all of its domestic facilities which produce or process steel.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-252730</wp:posOffset>
            </wp:positionV>
            <wp:extent cx="471170" cy="419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71170" cy="41973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-252730</wp:posOffset>
            </wp:positionV>
            <wp:extent cx="377190" cy="4197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377190" cy="419735"/>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1300" w:right="1180"/>
        <w:spacing w:after="0" w:line="289" w:lineRule="auto"/>
        <w:rPr>
          <w:sz w:val="20"/>
          <w:szCs w:val="20"/>
          <w:color w:val="auto"/>
        </w:rPr>
      </w:pPr>
      <w:r>
        <w:rPr>
          <w:rFonts w:ascii="Arial" w:cs="Arial" w:eastAsia="Arial" w:hAnsi="Arial"/>
          <w:sz w:val="16"/>
          <w:szCs w:val="16"/>
          <w:color w:val="auto"/>
        </w:rPr>
        <w:t>TimkenSteel’s Greenhouse Gas Emissions are consistently less than the industry average.</w:t>
      </w:r>
      <w:r>
        <w:rPr>
          <w:rFonts w:ascii="Arial" w:cs="Arial" w:eastAsia="Arial" w:hAnsi="Arial"/>
          <w:sz w:val="27"/>
          <w:szCs w:val="27"/>
          <w:color w:val="auto"/>
          <w:vertAlign w:val="superscript"/>
        </w:rPr>
        <w:t>(2)</w:t>
      </w:r>
    </w:p>
    <w:p>
      <w:pPr>
        <w:spacing w:after="0" w:line="20" w:lineRule="exact"/>
        <w:rPr>
          <w:sz w:val="20"/>
          <w:szCs w:val="20"/>
          <w:color w:val="auto"/>
        </w:rPr>
      </w:pPr>
      <w:r>
        <w:rPr>
          <w:sz w:val="20"/>
          <w:szCs w:val="20"/>
          <w:color w:val="auto"/>
        </w:rPr>
        <w:br w:type="column"/>
      </w:r>
    </w:p>
    <w:p>
      <w:pPr>
        <w:spacing w:after="0" w:line="210" w:lineRule="exact"/>
        <w:rPr>
          <w:sz w:val="20"/>
          <w:szCs w:val="20"/>
          <w:color w:val="auto"/>
        </w:rPr>
      </w:pPr>
    </w:p>
    <w:p>
      <w:pPr>
        <w:ind w:right="580"/>
        <w:spacing w:after="0" w:line="328" w:lineRule="auto"/>
        <w:rPr>
          <w:sz w:val="20"/>
          <w:szCs w:val="20"/>
          <w:color w:val="auto"/>
        </w:rPr>
      </w:pPr>
      <w:r>
        <w:rPr>
          <w:rFonts w:ascii="Arial" w:cs="Arial" w:eastAsia="Arial" w:hAnsi="Arial"/>
          <w:sz w:val="15"/>
          <w:szCs w:val="15"/>
          <w:color w:val="auto"/>
        </w:rPr>
        <w:t>TimkenSteel completed its 4th consecutive year of consuming less raw water than the prior year.</w:t>
      </w:r>
    </w:p>
    <w:p>
      <w:pPr>
        <w:spacing w:after="0" w:line="393" w:lineRule="exact"/>
        <w:rPr>
          <w:sz w:val="20"/>
          <w:szCs w:val="20"/>
          <w:color w:val="auto"/>
        </w:rPr>
      </w:pPr>
    </w:p>
    <w:p>
      <w:pPr>
        <w:ind w:right="680"/>
        <w:spacing w:after="0" w:line="328" w:lineRule="auto"/>
        <w:rPr>
          <w:sz w:val="20"/>
          <w:szCs w:val="20"/>
          <w:color w:val="auto"/>
        </w:rPr>
      </w:pPr>
      <w:r>
        <w:rPr>
          <w:rFonts w:ascii="Arial" w:cs="Arial" w:eastAsia="Arial" w:hAnsi="Arial"/>
          <w:sz w:val="15"/>
          <w:szCs w:val="15"/>
          <w:color w:val="auto"/>
        </w:rPr>
        <w:t>1.1 million tons of recycled scrap were melted in TimkenSteel’s electric arc furnaces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-224155</wp:posOffset>
            </wp:positionV>
            <wp:extent cx="480060" cy="3517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80060" cy="351790"/>
                    </a:xfrm>
                    <a:prstGeom prst="rect">
                      <a:avLst/>
                    </a:prstGeom>
                    <a:noFill/>
                  </pic:spPr>
                </pic:pic>
              </a:graphicData>
            </a:graphic>
          </wp:anchor>
        </w:drawing>
      </w:r>
    </w:p>
    <w:p>
      <w:pPr>
        <w:spacing w:after="0" w:line="323" w:lineRule="exact"/>
        <w:rPr>
          <w:sz w:val="20"/>
          <w:szCs w:val="20"/>
          <w:color w:val="auto"/>
        </w:rPr>
      </w:pPr>
    </w:p>
    <w:p>
      <w:pPr>
        <w:sectPr>
          <w:pgSz w:w="11900" w:h="16838" w:orient="portrait"/>
          <w:cols w:equalWidth="0" w:num="2">
            <w:col w:w="6560" w:space="720"/>
            <w:col w:w="3840"/>
          </w:cols>
          <w:pgMar w:left="320" w:top="459" w:right="459" w:bottom="1440" w:gutter="0" w:footer="0" w:header="0"/>
          <w:type w:val="continuous"/>
        </w:sectPr>
      </w:pPr>
    </w:p>
    <w:p>
      <w:pPr>
        <w:spacing w:after="0" w:line="181" w:lineRule="exact"/>
        <w:rPr>
          <w:sz w:val="20"/>
          <w:szCs w:val="20"/>
          <w:color w:val="auto"/>
        </w:rPr>
      </w:pPr>
    </w:p>
    <w:p>
      <w:pPr>
        <w:ind w:left="540" w:hanging="424"/>
        <w:spacing w:after="0"/>
        <w:tabs>
          <w:tab w:leader="none" w:pos="540" w:val="left"/>
        </w:tabs>
        <w:numPr>
          <w:ilvl w:val="0"/>
          <w:numId w:val="9"/>
        </w:numPr>
        <w:rPr>
          <w:rFonts w:ascii="Arial" w:cs="Arial" w:eastAsia="Arial" w:hAnsi="Arial"/>
          <w:sz w:val="14"/>
          <w:szCs w:val="14"/>
          <w:color w:val="auto"/>
        </w:rPr>
      </w:pPr>
      <w:r>
        <w:rPr>
          <w:rFonts w:ascii="Arial" w:cs="Arial" w:eastAsia="Arial" w:hAnsi="Arial"/>
          <w:sz w:val="14"/>
          <w:szCs w:val="14"/>
          <w:color w:val="auto"/>
        </w:rPr>
        <w:t>ISO 14001 is an international standard that sets out the requirements for an environmental management system.</w:t>
      </w:r>
    </w:p>
    <w:p>
      <w:pPr>
        <w:ind w:left="540" w:hanging="424"/>
        <w:spacing w:after="0" w:line="229" w:lineRule="auto"/>
        <w:tabs>
          <w:tab w:leader="none" w:pos="540" w:val="left"/>
        </w:tabs>
        <w:numPr>
          <w:ilvl w:val="0"/>
          <w:numId w:val="9"/>
        </w:numPr>
        <w:rPr>
          <w:rFonts w:ascii="Arial" w:cs="Arial" w:eastAsia="Arial" w:hAnsi="Arial"/>
          <w:sz w:val="14"/>
          <w:szCs w:val="14"/>
          <w:color w:val="auto"/>
        </w:rPr>
      </w:pPr>
      <w:r>
        <w:rPr>
          <w:rFonts w:ascii="Arial" w:cs="Arial" w:eastAsia="Arial" w:hAnsi="Arial"/>
          <w:sz w:val="14"/>
          <w:szCs w:val="14"/>
          <w:color w:val="auto"/>
        </w:rPr>
        <w:t>Global industry average data source: https://www.worldsteel.org/steel-by-topic/sustainability/sustainability-indicators.html. In addition to scopes 1 (direct) and 2 (indirect), global industry average GHG emissions may include scope 3 emissions. TimkenSteel data incorporates scopes 1 and 2 only as TimkenSteel has not created a scope 3 inventory. Global industry average includes all types of steel furnaces. Electric arc furnaces (EAFs) are widely acknowledged to be cleaner than blast furnaces and TimkenSteel produces steel only using EAFs.</w:t>
      </w:r>
    </w:p>
    <w:p>
      <w:pPr>
        <w:spacing w:after="0" w:line="188" w:lineRule="exact"/>
        <w:rPr>
          <w:sz w:val="20"/>
          <w:szCs w:val="20"/>
          <w:color w:val="auto"/>
        </w:rPr>
      </w:pPr>
    </w:p>
    <w:p>
      <w:pPr>
        <w:ind w:left="540" w:hanging="424"/>
        <w:spacing w:after="0"/>
        <w:tabs>
          <w:tab w:leader="none" w:pos="540" w:val="left"/>
        </w:tabs>
        <w:numPr>
          <w:ilvl w:val="0"/>
          <w:numId w:val="10"/>
        </w:numPr>
        <w:rPr>
          <w:rFonts w:ascii="MS PGothic" w:cs="MS PGothic" w:eastAsia="MS PGothic" w:hAnsi="MS PGothic"/>
          <w:sz w:val="18"/>
          <w:szCs w:val="18"/>
          <w:color w:val="auto"/>
        </w:rPr>
      </w:pPr>
      <w:r>
        <w:rPr>
          <w:rFonts w:ascii="Arial" w:cs="Arial" w:eastAsia="Arial" w:hAnsi="Arial"/>
          <w:sz w:val="18"/>
          <w:szCs w:val="18"/>
          <w:b w:val="1"/>
          <w:bCs w:val="1"/>
          <w:i w:val="1"/>
          <w:iCs w:val="1"/>
          <w:color w:val="auto"/>
        </w:rPr>
        <w:t>TimkenSteel is committed to the following 2030 environmental goals, compared with a 2018 baseline:</w:t>
      </w:r>
    </w:p>
    <w:p>
      <w:pPr>
        <w:spacing w:after="0" w:line="130" w:lineRule="exact"/>
        <w:rPr>
          <w:rFonts w:ascii="MS PGothic" w:cs="MS PGothic" w:eastAsia="MS PGothic" w:hAnsi="MS PGothic"/>
          <w:sz w:val="18"/>
          <w:szCs w:val="18"/>
          <w:color w:val="auto"/>
        </w:rPr>
      </w:pPr>
    </w:p>
    <w:p>
      <w:pPr>
        <w:ind w:left="1320" w:hanging="327"/>
        <w:spacing w:after="0"/>
        <w:tabs>
          <w:tab w:leader="none" w:pos="1320" w:val="left"/>
        </w:tabs>
        <w:numPr>
          <w:ilvl w:val="1"/>
          <w:numId w:val="10"/>
        </w:numPr>
        <w:rPr>
          <w:rFonts w:ascii="Arial" w:cs="Arial" w:eastAsia="Arial" w:hAnsi="Arial"/>
          <w:sz w:val="18"/>
          <w:szCs w:val="18"/>
          <w:color w:val="auto"/>
        </w:rPr>
      </w:pPr>
      <w:r>
        <w:rPr>
          <w:rFonts w:ascii="Arial" w:cs="Arial" w:eastAsia="Arial" w:hAnsi="Arial"/>
          <w:sz w:val="18"/>
          <w:szCs w:val="18"/>
          <w:color w:val="auto"/>
        </w:rPr>
        <w:t>40% absolute reduction in combined Scope 1 and Scope 2 greenhouse gas emissions</w:t>
      </w:r>
    </w:p>
    <w:p>
      <w:pPr>
        <w:spacing w:after="0" w:line="23" w:lineRule="exact"/>
        <w:rPr>
          <w:rFonts w:ascii="Arial" w:cs="Arial" w:eastAsia="Arial" w:hAnsi="Arial"/>
          <w:sz w:val="18"/>
          <w:szCs w:val="18"/>
          <w:color w:val="auto"/>
        </w:rPr>
      </w:pPr>
    </w:p>
    <w:p>
      <w:pPr>
        <w:ind w:left="1320" w:hanging="327"/>
        <w:spacing w:after="0"/>
        <w:tabs>
          <w:tab w:leader="none" w:pos="1320" w:val="left"/>
        </w:tabs>
        <w:numPr>
          <w:ilvl w:val="1"/>
          <w:numId w:val="10"/>
        </w:numPr>
        <w:rPr>
          <w:rFonts w:ascii="Arial" w:cs="Arial" w:eastAsia="Arial" w:hAnsi="Arial"/>
          <w:sz w:val="18"/>
          <w:szCs w:val="18"/>
          <w:color w:val="auto"/>
        </w:rPr>
      </w:pPr>
      <w:r>
        <w:rPr>
          <w:rFonts w:ascii="Arial" w:cs="Arial" w:eastAsia="Arial" w:hAnsi="Arial"/>
          <w:sz w:val="18"/>
          <w:szCs w:val="18"/>
          <w:color w:val="auto"/>
        </w:rPr>
        <w:t>30% absolute reduction in total energy consumption (direct and indirect)</w:t>
      </w:r>
    </w:p>
    <w:p>
      <w:pPr>
        <w:spacing w:after="0" w:line="9" w:lineRule="exact"/>
        <w:rPr>
          <w:rFonts w:ascii="Arial" w:cs="Arial" w:eastAsia="Arial" w:hAnsi="Arial"/>
          <w:sz w:val="18"/>
          <w:szCs w:val="18"/>
          <w:color w:val="auto"/>
        </w:rPr>
      </w:pPr>
    </w:p>
    <w:p>
      <w:pPr>
        <w:ind w:left="1320" w:hanging="327"/>
        <w:spacing w:after="0"/>
        <w:tabs>
          <w:tab w:leader="none" w:pos="1320" w:val="left"/>
        </w:tabs>
        <w:numPr>
          <w:ilvl w:val="1"/>
          <w:numId w:val="10"/>
        </w:numPr>
        <w:rPr>
          <w:rFonts w:ascii="Arial" w:cs="Arial" w:eastAsia="Arial" w:hAnsi="Arial"/>
          <w:sz w:val="18"/>
          <w:szCs w:val="18"/>
          <w:color w:val="auto"/>
        </w:rPr>
      </w:pPr>
      <w:r>
        <w:rPr>
          <w:rFonts w:ascii="Arial" w:cs="Arial" w:eastAsia="Arial" w:hAnsi="Arial"/>
          <w:sz w:val="18"/>
          <w:szCs w:val="18"/>
          <w:color w:val="auto"/>
        </w:rPr>
        <w:t>35% absolute reduction in fresh water withdrawn</w:t>
      </w:r>
    </w:p>
    <w:p>
      <w:pPr>
        <w:spacing w:after="0" w:line="9" w:lineRule="exact"/>
        <w:rPr>
          <w:rFonts w:ascii="Arial" w:cs="Arial" w:eastAsia="Arial" w:hAnsi="Arial"/>
          <w:sz w:val="18"/>
          <w:szCs w:val="18"/>
          <w:color w:val="auto"/>
        </w:rPr>
      </w:pPr>
    </w:p>
    <w:p>
      <w:pPr>
        <w:ind w:left="1320" w:hanging="327"/>
        <w:spacing w:after="0"/>
        <w:tabs>
          <w:tab w:leader="none" w:pos="1320" w:val="left"/>
        </w:tabs>
        <w:numPr>
          <w:ilvl w:val="1"/>
          <w:numId w:val="10"/>
        </w:numPr>
        <w:rPr>
          <w:rFonts w:ascii="Arial" w:cs="Arial" w:eastAsia="Arial" w:hAnsi="Arial"/>
          <w:sz w:val="18"/>
          <w:szCs w:val="18"/>
          <w:color w:val="auto"/>
        </w:rPr>
      </w:pPr>
      <w:r>
        <w:rPr>
          <w:rFonts w:ascii="Arial" w:cs="Arial" w:eastAsia="Arial" w:hAnsi="Arial"/>
          <w:sz w:val="18"/>
          <w:szCs w:val="18"/>
          <w:color w:val="auto"/>
        </w:rPr>
        <w:t>10% reduction in waste-to-landfill intensity</w:t>
      </w:r>
    </w:p>
    <w:p>
      <w:pPr>
        <w:spacing w:after="0" w:line="148"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4</w:t>
      </w:r>
    </w:p>
    <w:p>
      <w:pPr>
        <w:sectPr>
          <w:pgSz w:w="11900" w:h="16838" w:orient="portrait"/>
          <w:cols w:equalWidth="0" w:num="1">
            <w:col w:w="11120"/>
          </w:cols>
          <w:pgMar w:left="320" w:top="459" w:right="459" w:bottom="1440" w:gutter="0" w:footer="0" w:header="0"/>
          <w:type w:val="continuous"/>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73" w:lineRule="auto"/>
        <w:rPr>
          <w:sz w:val="20"/>
          <w:szCs w:val="20"/>
          <w:color w:val="auto"/>
        </w:rPr>
      </w:pPr>
      <w:r>
        <w:rPr>
          <w:rFonts w:ascii="Arial" w:cs="Arial" w:eastAsia="Arial" w:hAnsi="Arial"/>
          <w:sz w:val="17"/>
          <w:szCs w:val="17"/>
          <w:color w:val="auto"/>
        </w:rPr>
        <w:t>The company’s 2030 targets for GHG emissions, energy consumption and fresh water withdrawn are based on an absolute or total reduction in the amount of GHG emissions, energy consumption and fresh water withdrawn as compared to a 2018 baseline. In contrast, the company’s waste-to-landfill target is based on an intensity or percentage reduction of waste-to-landfill per ton of steel shipped as compared to a 2018 baseline. All 2030 targets are based on the company’s operating assets as of 2018 and do not account for any future inorganic growth or other expansion of its facilities or operating assets, for which an adjustment to the absolute reduction may be required. The company selected 2018 as the baseline year as it aligns with the baseline used in the company’s Sustainability Accounting Standards Board (SASB) disclosure.</w:t>
      </w:r>
    </w:p>
    <w:p>
      <w:pPr>
        <w:spacing w:after="0" w:line="15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Beyond our 2030 environmental goals, TimkenSteel aspires to achieve carbon neutrality.</w:t>
      </w:r>
    </w:p>
    <w:p>
      <w:pPr>
        <w:spacing w:after="0" w:line="185" w:lineRule="exact"/>
        <w:rPr>
          <w:sz w:val="20"/>
          <w:szCs w:val="20"/>
          <w:color w:val="auto"/>
        </w:rPr>
      </w:pPr>
    </w:p>
    <w:p>
      <w:pPr>
        <w:ind w:left="120" w:right="360"/>
        <w:spacing w:after="0" w:line="342" w:lineRule="auto"/>
        <w:rPr>
          <w:sz w:val="20"/>
          <w:szCs w:val="20"/>
          <w:color w:val="auto"/>
        </w:rPr>
      </w:pPr>
      <w:r>
        <w:rPr>
          <w:rFonts w:ascii="Arial" w:cs="Arial" w:eastAsia="Arial" w:hAnsi="Arial"/>
          <w:sz w:val="16"/>
          <w:szCs w:val="16"/>
          <w:color w:val="auto"/>
        </w:rPr>
        <w:t>The company’s 2030 targets are supported by projects across the company’s manufacturing, supply chain and corporate operations and, in 2021, the indefinite idling of the company’s Harrison melt and casting assets enabled meaningful progress towards reducing greenhouse gas emissions.</w:t>
      </w:r>
    </w:p>
    <w:p>
      <w:pPr>
        <w:spacing w:after="0" w:line="241" w:lineRule="exact"/>
        <w:rPr>
          <w:sz w:val="20"/>
          <w:szCs w:val="20"/>
          <w:color w:val="auto"/>
        </w:rPr>
      </w:pPr>
    </w:p>
    <w:p>
      <w:pPr>
        <w:ind w:left="1320"/>
        <w:spacing w:after="0" w:line="266" w:lineRule="auto"/>
        <w:rPr>
          <w:sz w:val="20"/>
          <w:szCs w:val="20"/>
          <w:color w:val="auto"/>
        </w:rPr>
      </w:pPr>
      <w:r>
        <w:rPr>
          <w:rFonts w:ascii="Arial" w:cs="Arial" w:eastAsia="Arial" w:hAnsi="Arial"/>
          <w:sz w:val="18"/>
          <w:szCs w:val="18"/>
          <w:b w:val="1"/>
          <w:bCs w:val="1"/>
          <w:color w:val="auto"/>
        </w:rPr>
        <w:t xml:space="preserve">Social Commitment </w:t>
      </w:r>
      <w:r>
        <w:rPr>
          <w:rFonts w:ascii="Arial" w:cs="Arial" w:eastAsia="Arial" w:hAnsi="Arial"/>
          <w:sz w:val="18"/>
          <w:szCs w:val="18"/>
          <w:color w:val="auto"/>
        </w:rPr>
        <w:t>– The health and safety of our employees is paramount. In addition to meeting that fundamental obligation, we</w:t>
      </w:r>
      <w:r>
        <w:rPr>
          <w:rFonts w:ascii="Arial" w:cs="Arial" w:eastAsia="Arial" w:hAnsi="Arial"/>
          <w:sz w:val="18"/>
          <w:szCs w:val="18"/>
          <w:b w:val="1"/>
          <w:bCs w:val="1"/>
          <w:color w:val="auto"/>
        </w:rPr>
        <w:t xml:space="preserve"> </w:t>
      </w:r>
      <w:r>
        <w:rPr>
          <w:rFonts w:ascii="Arial" w:cs="Arial" w:eastAsia="Arial" w:hAnsi="Arial"/>
          <w:sz w:val="18"/>
          <w:szCs w:val="18"/>
          <w:color w:val="auto"/>
        </w:rPr>
        <w:t>strive to foster a culture that thrives on diversity, equity and inclusion, and operate our business as a good corporate citizen that supports our communities.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-424815</wp:posOffset>
            </wp:positionV>
            <wp:extent cx="445770" cy="4457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45770" cy="445770"/>
                    </a:xfrm>
                    <a:prstGeom prst="rect">
                      <a:avLst/>
                    </a:prstGeom>
                    <a:noFill/>
                  </pic:spPr>
                </pic:pic>
              </a:graphicData>
            </a:graphic>
          </wp:anchor>
        </w:drawing>
      </w:r>
    </w:p>
    <w:p>
      <w:pPr>
        <w:spacing w:after="0" w:line="214" w:lineRule="exact"/>
        <w:rPr>
          <w:sz w:val="20"/>
          <w:szCs w:val="20"/>
          <w:color w:val="auto"/>
        </w:rPr>
      </w:pPr>
    </w:p>
    <w:p>
      <w:pPr>
        <w:ind w:left="540" w:right="160" w:hanging="424"/>
        <w:spacing w:after="0" w:line="259" w:lineRule="auto"/>
        <w:tabs>
          <w:tab w:leader="none" w:pos="540" w:val="left"/>
        </w:tabs>
        <w:numPr>
          <w:ilvl w:val="0"/>
          <w:numId w:val="11"/>
        </w:numPr>
        <w:rPr>
          <w:rFonts w:ascii="MS PGothic" w:cs="MS PGothic" w:eastAsia="MS PGothic" w:hAnsi="MS PGothic"/>
          <w:sz w:val="18"/>
          <w:szCs w:val="18"/>
          <w:color w:val="auto"/>
        </w:rPr>
      </w:pPr>
      <w:r>
        <w:rPr>
          <w:rFonts w:ascii="Arial" w:cs="Arial" w:eastAsia="Arial" w:hAnsi="Arial"/>
          <w:sz w:val="18"/>
          <w:szCs w:val="18"/>
          <w:b w:val="1"/>
          <w:bCs w:val="1"/>
          <w:i w:val="1"/>
          <w:iCs w:val="1"/>
          <w:color w:val="auto"/>
        </w:rPr>
        <w:t xml:space="preserve">Commitment to safety and health – </w:t>
      </w:r>
      <w:r>
        <w:rPr>
          <w:rFonts w:ascii="Arial" w:cs="Arial" w:eastAsia="Arial" w:hAnsi="Arial"/>
          <w:sz w:val="18"/>
          <w:szCs w:val="18"/>
          <w:color w:val="auto"/>
        </w:rPr>
        <w:t>TimkenSteel commits to being a safe and good place to work and seeks to achieve and maintain industry-leading safety performance through our Occupational Safety and Health Administration (OSHA) recordable rates and lost-time accident rates. A safety metric is included in the annual incentive compensation plan for all salaried employees. We aspire to achieve zero workplace injuries and are committed to improving our safety record year-over-year.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990600</wp:posOffset>
            </wp:positionH>
            <wp:positionV relativeFrom="paragraph">
              <wp:posOffset>144780</wp:posOffset>
            </wp:positionV>
            <wp:extent cx="5160645" cy="11741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160645" cy="1174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540" w:right="680" w:hanging="424"/>
        <w:spacing w:after="0" w:line="277" w:lineRule="auto"/>
        <w:tabs>
          <w:tab w:leader="none" w:pos="540" w:val="left"/>
        </w:tabs>
        <w:numPr>
          <w:ilvl w:val="0"/>
          <w:numId w:val="12"/>
        </w:numPr>
        <w:rPr>
          <w:rFonts w:ascii="MS PGothic" w:cs="MS PGothic" w:eastAsia="MS PGothic" w:hAnsi="MS PGothic"/>
          <w:sz w:val="18"/>
          <w:szCs w:val="18"/>
          <w:color w:val="auto"/>
        </w:rPr>
      </w:pPr>
      <w:r>
        <w:rPr>
          <w:rFonts w:ascii="Arial" w:cs="Arial" w:eastAsia="Arial" w:hAnsi="Arial"/>
          <w:sz w:val="18"/>
          <w:szCs w:val="18"/>
          <w:b w:val="1"/>
          <w:bCs w:val="1"/>
          <w:i w:val="1"/>
          <w:iCs w:val="1"/>
          <w:color w:val="auto"/>
        </w:rPr>
        <w:t xml:space="preserve">Commitment to diversity, equity and inclusion </w:t>
      </w:r>
      <w:r>
        <w:rPr>
          <w:rFonts w:ascii="Arial" w:cs="Arial" w:eastAsia="Arial" w:hAnsi="Arial"/>
          <w:sz w:val="18"/>
          <w:szCs w:val="18"/>
          <w:color w:val="auto"/>
        </w:rPr>
        <w:t>– Our commitment to diverse perspectives fuels our success and has enabled us to deliver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innovative solutions throughout our history.</w:t>
      </w:r>
    </w:p>
    <w:p>
      <w:pPr>
        <w:spacing w:after="0" w:line="75" w:lineRule="exact"/>
        <w:rPr>
          <w:rFonts w:ascii="MS PGothic" w:cs="MS PGothic" w:eastAsia="MS PGothic" w:hAnsi="MS PGothic"/>
          <w:sz w:val="18"/>
          <w:szCs w:val="18"/>
          <w:color w:val="auto"/>
        </w:rPr>
      </w:pPr>
    </w:p>
    <w:p>
      <w:pPr>
        <w:ind w:left="1320" w:right="280" w:hanging="327"/>
        <w:spacing w:after="0" w:line="277" w:lineRule="auto"/>
        <w:tabs>
          <w:tab w:leader="none" w:pos="1320" w:val="left"/>
        </w:tabs>
        <w:numPr>
          <w:ilvl w:val="1"/>
          <w:numId w:val="12"/>
        </w:numPr>
        <w:rPr>
          <w:rFonts w:ascii="Arial" w:cs="Arial" w:eastAsia="Arial" w:hAnsi="Arial"/>
          <w:sz w:val="18"/>
          <w:szCs w:val="18"/>
          <w:color w:val="auto"/>
        </w:rPr>
      </w:pPr>
      <w:r>
        <w:rPr>
          <w:rFonts w:ascii="Arial" w:cs="Arial" w:eastAsia="Arial" w:hAnsi="Arial"/>
          <w:sz w:val="18"/>
          <w:szCs w:val="18"/>
          <w:i w:val="1"/>
          <w:iCs w:val="1"/>
          <w:color w:val="auto"/>
        </w:rPr>
        <w:t xml:space="preserve">We are committed to diversity at all levels of the organization: </w:t>
      </w:r>
      <w:r>
        <w:rPr>
          <w:rFonts w:ascii="Arial" w:cs="Arial" w:eastAsia="Arial" w:hAnsi="Arial"/>
          <w:sz w:val="18"/>
          <w:szCs w:val="18"/>
          <w:color w:val="auto"/>
        </w:rPr>
        <w:t>44 percent of our Board members are women or racially or ethnically</w:t>
      </w:r>
      <w:r>
        <w:rPr>
          <w:rFonts w:ascii="Arial" w:cs="Arial" w:eastAsia="Arial" w:hAnsi="Arial"/>
          <w:sz w:val="18"/>
          <w:szCs w:val="18"/>
          <w:i w:val="1"/>
          <w:iCs w:val="1"/>
          <w:color w:val="auto"/>
        </w:rPr>
        <w:t xml:space="preserve"> </w:t>
      </w:r>
      <w:r>
        <w:rPr>
          <w:rFonts w:ascii="Arial" w:cs="Arial" w:eastAsia="Arial" w:hAnsi="Arial"/>
          <w:sz w:val="18"/>
          <w:szCs w:val="18"/>
          <w:color w:val="auto"/>
        </w:rPr>
        <w:t>diverse.</w:t>
      </w:r>
    </w:p>
    <w:p>
      <w:pPr>
        <w:spacing w:after="0" w:line="75" w:lineRule="exact"/>
        <w:rPr>
          <w:rFonts w:ascii="Arial" w:cs="Arial" w:eastAsia="Arial" w:hAnsi="Arial"/>
          <w:sz w:val="18"/>
          <w:szCs w:val="18"/>
          <w:color w:val="auto"/>
        </w:rPr>
      </w:pPr>
    </w:p>
    <w:p>
      <w:pPr>
        <w:ind w:left="1320" w:right="80" w:hanging="327"/>
        <w:spacing w:after="0" w:line="279" w:lineRule="auto"/>
        <w:tabs>
          <w:tab w:leader="none" w:pos="1320" w:val="left"/>
        </w:tabs>
        <w:numPr>
          <w:ilvl w:val="1"/>
          <w:numId w:val="12"/>
        </w:numPr>
        <w:rPr>
          <w:rFonts w:ascii="Arial" w:cs="Arial" w:eastAsia="Arial" w:hAnsi="Arial"/>
          <w:sz w:val="17"/>
          <w:szCs w:val="17"/>
          <w:color w:val="auto"/>
        </w:rPr>
      </w:pPr>
      <w:r>
        <w:rPr>
          <w:rFonts w:ascii="Arial" w:cs="Arial" w:eastAsia="Arial" w:hAnsi="Arial"/>
          <w:sz w:val="17"/>
          <w:szCs w:val="17"/>
          <w:i w:val="1"/>
          <w:iCs w:val="1"/>
          <w:color w:val="auto"/>
        </w:rPr>
        <w:t xml:space="preserve">We foster a culture that lends a variety of perspectives and expertise to our operations and reflects the communities in which we operate: </w:t>
      </w:r>
      <w:r>
        <w:rPr>
          <w:rFonts w:ascii="Arial" w:cs="Arial" w:eastAsia="Arial" w:hAnsi="Arial"/>
          <w:sz w:val="17"/>
          <w:szCs w:val="17"/>
          <w:color w:val="auto"/>
        </w:rPr>
        <w:t>our Employee Resource Groups (ERGs), centered around supporting the development of women and young professionals, the</w:t>
      </w:r>
      <w:r>
        <w:rPr>
          <w:rFonts w:ascii="Arial" w:cs="Arial" w:eastAsia="Arial" w:hAnsi="Arial"/>
          <w:sz w:val="17"/>
          <w:szCs w:val="17"/>
          <w:i w:val="1"/>
          <w:iCs w:val="1"/>
          <w:color w:val="auto"/>
        </w:rPr>
        <w:t xml:space="preserve"> </w:t>
      </w:r>
      <w:r>
        <w:rPr>
          <w:rFonts w:ascii="Arial" w:cs="Arial" w:eastAsia="Arial" w:hAnsi="Arial"/>
          <w:sz w:val="17"/>
          <w:szCs w:val="17"/>
          <w:color w:val="auto"/>
        </w:rPr>
        <w:t>advancement of multicultural understanding, the recognition and integration of veterans, and maximizing employee wellbeing, provide networking, personal growth and professional development opportunities for all employees.</w:t>
      </w:r>
    </w:p>
    <w:p>
      <w:pPr>
        <w:spacing w:after="0" w:line="108"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5</w:t>
      </w:r>
    </w:p>
    <w:p>
      <w:pPr>
        <w:sectPr>
          <w:pgSz w:w="11900" w:h="16838" w:orient="portrait"/>
          <w:cols w:equalWidth="0" w:num="1">
            <w:col w:w="11120"/>
          </w:cols>
          <w:pgMar w:left="320" w:top="459" w:right="45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0" w:right="220"/>
        <w:spacing w:after="0" w:line="266" w:lineRule="auto"/>
        <w:rPr>
          <w:sz w:val="20"/>
          <w:szCs w:val="20"/>
          <w:color w:val="auto"/>
        </w:rPr>
      </w:pPr>
      <w:r>
        <w:rPr>
          <w:rFonts w:ascii="Arial" w:cs="Arial" w:eastAsia="Arial" w:hAnsi="Arial"/>
          <w:sz w:val="18"/>
          <w:szCs w:val="18"/>
          <w:b w:val="1"/>
          <w:bCs w:val="1"/>
          <w:color w:val="auto"/>
        </w:rPr>
        <w:t xml:space="preserve">Governance and ethics </w:t>
      </w:r>
      <w:r>
        <w:rPr>
          <w:rFonts w:ascii="Arial" w:cs="Arial" w:eastAsia="Arial" w:hAnsi="Arial"/>
          <w:sz w:val="18"/>
          <w:szCs w:val="18"/>
          <w:color w:val="auto"/>
        </w:rPr>
        <w:t>– TimkenSteel is committed to promoting the long-term interests of shareholders and building public trust</w:t>
      </w:r>
      <w:r>
        <w:rPr>
          <w:rFonts w:ascii="Arial" w:cs="Arial" w:eastAsia="Arial" w:hAnsi="Arial"/>
          <w:sz w:val="18"/>
          <w:szCs w:val="18"/>
          <w:b w:val="1"/>
          <w:bCs w:val="1"/>
          <w:color w:val="auto"/>
        </w:rPr>
        <w:t xml:space="preserve"> </w:t>
      </w:r>
      <w:r>
        <w:rPr>
          <w:rFonts w:ascii="Arial" w:cs="Arial" w:eastAsia="Arial" w:hAnsi="Arial"/>
          <w:sz w:val="18"/>
          <w:szCs w:val="18"/>
          <w:color w:val="auto"/>
        </w:rPr>
        <w:t>through good governance practices. We are committed to operating in accordance with the highest standards of ethics and integrity and maintaining robust programs focused on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-424815</wp:posOffset>
            </wp:positionV>
            <wp:extent cx="402590" cy="3943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02590" cy="394335"/>
                    </a:xfrm>
                    <a:prstGeom prst="rect">
                      <a:avLst/>
                    </a:prstGeom>
                    <a:noFill/>
                  </pic:spPr>
                </pic:pic>
              </a:graphicData>
            </a:graphic>
          </wp:anchor>
        </w:drawing>
      </w:r>
    </w:p>
    <w:p>
      <w:pPr>
        <w:spacing w:after="0" w:line="160" w:lineRule="exact"/>
        <w:rPr>
          <w:sz w:val="20"/>
          <w:szCs w:val="20"/>
          <w:color w:val="auto"/>
        </w:rPr>
      </w:pPr>
    </w:p>
    <w:p>
      <w:pPr>
        <w:ind w:left="540" w:right="160" w:hanging="424"/>
        <w:spacing w:after="0" w:line="277" w:lineRule="auto"/>
        <w:tabs>
          <w:tab w:leader="none" w:pos="540" w:val="left"/>
        </w:tabs>
        <w:numPr>
          <w:ilvl w:val="0"/>
          <w:numId w:val="13"/>
        </w:numPr>
        <w:rPr>
          <w:rFonts w:ascii="MS PGothic" w:cs="MS PGothic" w:eastAsia="MS PGothic" w:hAnsi="MS PGothic"/>
          <w:sz w:val="18"/>
          <w:szCs w:val="18"/>
          <w:color w:val="auto"/>
        </w:rPr>
      </w:pPr>
      <w:r>
        <w:rPr>
          <w:rFonts w:ascii="Arial" w:cs="Arial" w:eastAsia="Arial" w:hAnsi="Arial"/>
          <w:sz w:val="18"/>
          <w:szCs w:val="18"/>
          <w:b w:val="1"/>
          <w:bCs w:val="1"/>
          <w:i w:val="1"/>
          <w:iCs w:val="1"/>
          <w:color w:val="auto"/>
        </w:rPr>
        <w:t xml:space="preserve">Commitment to good governance practices </w:t>
      </w:r>
      <w:r>
        <w:rPr>
          <w:rFonts w:ascii="Arial" w:cs="Arial" w:eastAsia="Arial" w:hAnsi="Arial"/>
          <w:sz w:val="18"/>
          <w:szCs w:val="18"/>
          <w:color w:val="auto"/>
        </w:rPr>
        <w:t>– The “Corporate governance” section of this proxy statement describes our governance framework,</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which includes the following highlights:</w:t>
      </w:r>
    </w:p>
    <w:p>
      <w:pPr>
        <w:spacing w:after="0" w:line="165" w:lineRule="exact"/>
        <w:rPr>
          <w:sz w:val="20"/>
          <w:szCs w:val="20"/>
          <w:color w:val="auto"/>
        </w:rPr>
      </w:pPr>
    </w:p>
    <w:tbl>
      <w:tblPr>
        <w:tblLayout w:type="fixed"/>
        <w:tblInd w:w="120" w:type="dxa"/>
        <w:tblCellMar>
          <w:top w:w="0" w:type="dxa"/>
          <w:left w:w="0" w:type="dxa"/>
          <w:bottom w:w="0" w:type="dxa"/>
          <w:right w:w="0" w:type="dxa"/>
        </w:tblCellMar>
      </w:tblPr>
      <w:tr>
        <w:trPr>
          <w:trHeight w:val="215"/>
        </w:trPr>
        <w:tc>
          <w:tcPr>
            <w:tcW w:w="380" w:type="dxa"/>
            <w:vAlign w:val="bottom"/>
            <w:tcBorders>
              <w:top w:val="single" w:sz="8" w:color="7F7F7F"/>
            </w:tcBorders>
            <w:shd w:val="clear" w:color="auto" w:fill="D8D8D8"/>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tcBorders>
              <w:top w:val="single" w:sz="8" w:color="7F7F7F"/>
            </w:tcBorders>
            <w:shd w:val="clear" w:color="auto" w:fill="D8D8D8"/>
          </w:tcPr>
          <w:p>
            <w:pPr>
              <w:ind w:left="160"/>
              <w:spacing w:after="0"/>
              <w:rPr>
                <w:sz w:val="20"/>
                <w:szCs w:val="20"/>
                <w:color w:val="auto"/>
              </w:rPr>
            </w:pPr>
            <w:r>
              <w:rPr>
                <w:rFonts w:ascii="Arial" w:cs="Arial" w:eastAsia="Arial" w:hAnsi="Arial"/>
                <w:sz w:val="18"/>
                <w:szCs w:val="18"/>
                <w:color w:val="auto"/>
              </w:rPr>
              <w:t>Non-executive Chairman of the Board</w:t>
            </w:r>
          </w:p>
        </w:tc>
        <w:tc>
          <w:tcPr>
            <w:tcW w:w="520" w:type="dxa"/>
            <w:vAlign w:val="bottom"/>
            <w:tcBorders>
              <w:top w:val="single" w:sz="8" w:color="7F7F7F"/>
            </w:tcBorders>
            <w:shd w:val="clear" w:color="auto" w:fill="D8D8D8"/>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tcBorders>
              <w:top w:val="single" w:sz="8" w:color="7F7F7F"/>
            </w:tcBorders>
            <w:shd w:val="clear" w:color="auto" w:fill="D8D8D8"/>
          </w:tcPr>
          <w:p>
            <w:pPr>
              <w:ind w:left="200"/>
              <w:spacing w:after="0"/>
              <w:rPr>
                <w:sz w:val="20"/>
                <w:szCs w:val="20"/>
                <w:color w:val="auto"/>
              </w:rPr>
            </w:pPr>
            <w:r>
              <w:rPr>
                <w:rFonts w:ascii="Arial" w:cs="Arial" w:eastAsia="Arial" w:hAnsi="Arial"/>
                <w:sz w:val="18"/>
                <w:szCs w:val="18"/>
                <w:color w:val="auto"/>
                <w:w w:val="92"/>
              </w:rPr>
              <w:t>Independent Audit, Compensation and Nominating and Corporate</w:t>
            </w:r>
          </w:p>
        </w:tc>
      </w:tr>
      <w:tr>
        <w:trPr>
          <w:trHeight w:val="230"/>
        </w:trPr>
        <w:tc>
          <w:tcPr>
            <w:tcW w:w="380" w:type="dxa"/>
            <w:vAlign w:val="bottom"/>
            <w:shd w:val="clear" w:color="auto" w:fill="D8D8D8"/>
          </w:tcPr>
          <w:p>
            <w:pPr>
              <w:spacing w:after="0"/>
              <w:rPr>
                <w:sz w:val="20"/>
                <w:szCs w:val="20"/>
                <w:color w:val="auto"/>
              </w:rPr>
            </w:pPr>
          </w:p>
        </w:tc>
        <w:tc>
          <w:tcPr>
            <w:tcW w:w="5080" w:type="dxa"/>
            <w:vAlign w:val="bottom"/>
            <w:shd w:val="clear" w:color="auto" w:fill="D8D8D8"/>
          </w:tcPr>
          <w:p>
            <w:pPr>
              <w:spacing w:after="0"/>
              <w:rPr>
                <w:sz w:val="20"/>
                <w:szCs w:val="20"/>
                <w:color w:val="auto"/>
              </w:rPr>
            </w:pPr>
          </w:p>
        </w:tc>
        <w:tc>
          <w:tcPr>
            <w:tcW w:w="520" w:type="dxa"/>
            <w:vAlign w:val="bottom"/>
            <w:shd w:val="clear" w:color="auto" w:fill="D8D8D8"/>
          </w:tcPr>
          <w:p>
            <w:pPr>
              <w:spacing w:after="0"/>
              <w:rPr>
                <w:sz w:val="20"/>
                <w:szCs w:val="20"/>
                <w:color w:val="auto"/>
              </w:rPr>
            </w:pP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rPr>
              <w:t>Governance Committees</w:t>
            </w:r>
          </w:p>
        </w:tc>
      </w:tr>
      <w:tr>
        <w:trPr>
          <w:trHeight w:val="81"/>
        </w:trPr>
        <w:tc>
          <w:tcPr>
            <w:tcW w:w="380" w:type="dxa"/>
            <w:vAlign w:val="bottom"/>
            <w:shd w:val="clear" w:color="auto" w:fill="D8D8D8"/>
          </w:tcPr>
          <w:p>
            <w:pPr>
              <w:spacing w:after="0"/>
              <w:rPr>
                <w:sz w:val="7"/>
                <w:szCs w:val="7"/>
                <w:color w:val="auto"/>
              </w:rPr>
            </w:pPr>
          </w:p>
        </w:tc>
        <w:tc>
          <w:tcPr>
            <w:tcW w:w="5080" w:type="dxa"/>
            <w:vAlign w:val="bottom"/>
            <w:shd w:val="clear" w:color="auto" w:fill="D8D8D8"/>
          </w:tcPr>
          <w:p>
            <w:pPr>
              <w:spacing w:after="0"/>
              <w:rPr>
                <w:sz w:val="7"/>
                <w:szCs w:val="7"/>
                <w:color w:val="auto"/>
              </w:rPr>
            </w:pPr>
          </w:p>
        </w:tc>
        <w:tc>
          <w:tcPr>
            <w:tcW w:w="520" w:type="dxa"/>
            <w:vAlign w:val="bottom"/>
            <w:shd w:val="clear" w:color="auto" w:fill="D8D8D8"/>
          </w:tcPr>
          <w:p>
            <w:pPr>
              <w:spacing w:after="0"/>
              <w:rPr>
                <w:sz w:val="7"/>
                <w:szCs w:val="7"/>
                <w:color w:val="auto"/>
              </w:rPr>
            </w:pPr>
          </w:p>
        </w:tc>
        <w:tc>
          <w:tcPr>
            <w:tcW w:w="5040" w:type="dxa"/>
            <w:vAlign w:val="bottom"/>
            <w:shd w:val="clear" w:color="auto" w:fill="D8D8D8"/>
          </w:tcPr>
          <w:p>
            <w:pPr>
              <w:spacing w:after="0"/>
              <w:rPr>
                <w:sz w:val="7"/>
                <w:szCs w:val="7"/>
                <w:color w:val="auto"/>
              </w:rPr>
            </w:pPr>
          </w:p>
        </w:tc>
      </w:tr>
      <w:tr>
        <w:trPr>
          <w:trHeight w:val="202"/>
        </w:trPr>
        <w:tc>
          <w:tcPr>
            <w:tcW w:w="380" w:type="dxa"/>
            <w:vAlign w:val="bottom"/>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tcPr>
          <w:p>
            <w:pPr>
              <w:ind w:left="160"/>
              <w:spacing w:after="0" w:line="201" w:lineRule="exact"/>
              <w:rPr>
                <w:sz w:val="20"/>
                <w:szCs w:val="20"/>
                <w:color w:val="auto"/>
              </w:rPr>
            </w:pPr>
            <w:r>
              <w:rPr>
                <w:rFonts w:ascii="Arial" w:cs="Arial" w:eastAsia="Arial" w:hAnsi="Arial"/>
                <w:sz w:val="18"/>
                <w:szCs w:val="18"/>
                <w:color w:val="auto"/>
              </w:rPr>
              <w:t>All directors, other than Mr. Williams, are independent</w:t>
            </w:r>
          </w:p>
        </w:tc>
        <w:tc>
          <w:tcPr>
            <w:tcW w:w="520" w:type="dxa"/>
            <w:vAlign w:val="bottom"/>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tcPr>
          <w:p>
            <w:pPr>
              <w:ind w:left="200"/>
              <w:spacing w:after="0" w:line="201" w:lineRule="exact"/>
              <w:rPr>
                <w:sz w:val="20"/>
                <w:szCs w:val="20"/>
                <w:color w:val="auto"/>
              </w:rPr>
            </w:pPr>
            <w:r>
              <w:rPr>
                <w:rFonts w:ascii="Arial" w:cs="Arial" w:eastAsia="Arial" w:hAnsi="Arial"/>
                <w:sz w:val="18"/>
                <w:szCs w:val="18"/>
                <w:color w:val="auto"/>
                <w:w w:val="91"/>
              </w:rPr>
              <w:t>Regular executive sessions of independent directors at Board and</w:t>
            </w:r>
          </w:p>
        </w:tc>
      </w:tr>
      <w:tr>
        <w:trPr>
          <w:trHeight w:val="230"/>
        </w:trPr>
        <w:tc>
          <w:tcPr>
            <w:tcW w:w="380" w:type="dxa"/>
            <w:vAlign w:val="bottom"/>
          </w:tcPr>
          <w:p>
            <w:pPr>
              <w:spacing w:after="0"/>
              <w:rPr>
                <w:sz w:val="20"/>
                <w:szCs w:val="20"/>
                <w:color w:val="auto"/>
              </w:rPr>
            </w:pPr>
          </w:p>
        </w:tc>
        <w:tc>
          <w:tcPr>
            <w:tcW w:w="508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5040" w:type="dxa"/>
            <w:vAlign w:val="bottom"/>
          </w:tcPr>
          <w:p>
            <w:pPr>
              <w:ind w:left="200"/>
              <w:spacing w:after="0"/>
              <w:rPr>
                <w:sz w:val="20"/>
                <w:szCs w:val="20"/>
                <w:color w:val="auto"/>
              </w:rPr>
            </w:pPr>
            <w:r>
              <w:rPr>
                <w:rFonts w:ascii="Arial" w:cs="Arial" w:eastAsia="Arial" w:hAnsi="Arial"/>
                <w:sz w:val="18"/>
                <w:szCs w:val="18"/>
                <w:color w:val="auto"/>
              </w:rPr>
              <w:t>committee meetings</w:t>
            </w:r>
          </w:p>
        </w:tc>
      </w:tr>
      <w:tr>
        <w:trPr>
          <w:trHeight w:val="81"/>
        </w:trPr>
        <w:tc>
          <w:tcPr>
            <w:tcW w:w="380" w:type="dxa"/>
            <w:vAlign w:val="bottom"/>
          </w:tcPr>
          <w:p>
            <w:pPr>
              <w:spacing w:after="0"/>
              <w:rPr>
                <w:sz w:val="7"/>
                <w:szCs w:val="7"/>
                <w:color w:val="auto"/>
              </w:rPr>
            </w:pPr>
          </w:p>
        </w:tc>
        <w:tc>
          <w:tcPr>
            <w:tcW w:w="5080" w:type="dxa"/>
            <w:vAlign w:val="bottom"/>
          </w:tcPr>
          <w:p>
            <w:pPr>
              <w:spacing w:after="0"/>
              <w:rPr>
                <w:sz w:val="7"/>
                <w:szCs w:val="7"/>
                <w:color w:val="auto"/>
              </w:rPr>
            </w:pPr>
          </w:p>
        </w:tc>
        <w:tc>
          <w:tcPr>
            <w:tcW w:w="520" w:type="dxa"/>
            <w:vAlign w:val="bottom"/>
          </w:tcPr>
          <w:p>
            <w:pPr>
              <w:spacing w:after="0"/>
              <w:rPr>
                <w:sz w:val="7"/>
                <w:szCs w:val="7"/>
                <w:color w:val="auto"/>
              </w:rPr>
            </w:pPr>
          </w:p>
        </w:tc>
        <w:tc>
          <w:tcPr>
            <w:tcW w:w="5040" w:type="dxa"/>
            <w:vAlign w:val="bottom"/>
          </w:tcPr>
          <w:p>
            <w:pPr>
              <w:spacing w:after="0"/>
              <w:rPr>
                <w:sz w:val="7"/>
                <w:szCs w:val="7"/>
                <w:color w:val="auto"/>
              </w:rPr>
            </w:pPr>
          </w:p>
        </w:tc>
      </w:tr>
      <w:tr>
        <w:trPr>
          <w:trHeight w:val="297"/>
        </w:trPr>
        <w:tc>
          <w:tcPr>
            <w:tcW w:w="380" w:type="dxa"/>
            <w:vAlign w:val="bottom"/>
            <w:shd w:val="clear" w:color="auto" w:fill="D8D8D8"/>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shd w:val="clear" w:color="auto" w:fill="D8D8D8"/>
          </w:tcPr>
          <w:p>
            <w:pPr>
              <w:ind w:left="160"/>
              <w:spacing w:after="0"/>
              <w:rPr>
                <w:sz w:val="20"/>
                <w:szCs w:val="20"/>
                <w:color w:val="auto"/>
              </w:rPr>
            </w:pPr>
            <w:r>
              <w:rPr>
                <w:rFonts w:ascii="Arial" w:cs="Arial" w:eastAsia="Arial" w:hAnsi="Arial"/>
                <w:sz w:val="18"/>
                <w:szCs w:val="18"/>
                <w:color w:val="auto"/>
              </w:rPr>
              <w:t>Annual Board and committee evaluations</w:t>
            </w:r>
          </w:p>
        </w:tc>
        <w:tc>
          <w:tcPr>
            <w:tcW w:w="520" w:type="dxa"/>
            <w:vAlign w:val="bottom"/>
            <w:shd w:val="clear" w:color="auto" w:fill="D8D8D8"/>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rPr>
              <w:t>Majority voting policy in uncontested elections of directors</w:t>
            </w:r>
          </w:p>
        </w:tc>
      </w:tr>
      <w:tr>
        <w:trPr>
          <w:trHeight w:val="290"/>
        </w:trPr>
        <w:tc>
          <w:tcPr>
            <w:tcW w:w="380" w:type="dxa"/>
            <w:vAlign w:val="bottom"/>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tcPr>
          <w:p>
            <w:pPr>
              <w:ind w:left="160"/>
              <w:spacing w:after="0"/>
              <w:rPr>
                <w:sz w:val="20"/>
                <w:szCs w:val="20"/>
                <w:color w:val="auto"/>
              </w:rPr>
            </w:pPr>
            <w:r>
              <w:rPr>
                <w:rFonts w:ascii="Arial" w:cs="Arial" w:eastAsia="Arial" w:hAnsi="Arial"/>
                <w:sz w:val="18"/>
                <w:szCs w:val="18"/>
                <w:color w:val="auto"/>
              </w:rPr>
              <w:t>Limits on director “overboarding”</w:t>
            </w:r>
          </w:p>
        </w:tc>
        <w:tc>
          <w:tcPr>
            <w:tcW w:w="520" w:type="dxa"/>
            <w:vAlign w:val="bottom"/>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tcPr>
          <w:p>
            <w:pPr>
              <w:ind w:left="200"/>
              <w:spacing w:after="0"/>
              <w:rPr>
                <w:sz w:val="20"/>
                <w:szCs w:val="20"/>
                <w:color w:val="auto"/>
              </w:rPr>
            </w:pPr>
            <w:r>
              <w:rPr>
                <w:rFonts w:ascii="Arial" w:cs="Arial" w:eastAsia="Arial" w:hAnsi="Arial"/>
                <w:sz w:val="18"/>
                <w:szCs w:val="18"/>
                <w:color w:val="auto"/>
              </w:rPr>
              <w:t>Mandatory retirement age of 75 for directors</w:t>
            </w:r>
          </w:p>
        </w:tc>
      </w:tr>
      <w:tr>
        <w:trPr>
          <w:trHeight w:val="209"/>
        </w:trPr>
        <w:tc>
          <w:tcPr>
            <w:tcW w:w="380" w:type="dxa"/>
            <w:vAlign w:val="bottom"/>
            <w:shd w:val="clear" w:color="auto" w:fill="D8D8D8"/>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shd w:val="clear" w:color="auto" w:fill="D8D8D8"/>
          </w:tcPr>
          <w:p>
            <w:pPr>
              <w:ind w:left="160"/>
              <w:spacing w:after="0"/>
              <w:rPr>
                <w:sz w:val="20"/>
                <w:szCs w:val="20"/>
                <w:color w:val="auto"/>
              </w:rPr>
            </w:pPr>
            <w:r>
              <w:rPr>
                <w:rFonts w:ascii="Arial" w:cs="Arial" w:eastAsia="Arial" w:hAnsi="Arial"/>
                <w:sz w:val="18"/>
                <w:szCs w:val="18"/>
                <w:color w:val="auto"/>
                <w:w w:val="96"/>
              </w:rPr>
              <w:t>Risk oversight by the full Board of Directors and its committees,</w:t>
            </w:r>
          </w:p>
        </w:tc>
        <w:tc>
          <w:tcPr>
            <w:tcW w:w="520" w:type="dxa"/>
            <w:vAlign w:val="bottom"/>
            <w:shd w:val="clear" w:color="auto" w:fill="D8D8D8"/>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w w:val="92"/>
              </w:rPr>
              <w:t>Annual review by Board of Directors of succession plans for CEO</w:t>
            </w:r>
          </w:p>
        </w:tc>
      </w:tr>
      <w:tr>
        <w:trPr>
          <w:trHeight w:val="230"/>
        </w:trPr>
        <w:tc>
          <w:tcPr>
            <w:tcW w:w="380" w:type="dxa"/>
            <w:vAlign w:val="bottom"/>
            <w:shd w:val="clear" w:color="auto" w:fill="D8D8D8"/>
          </w:tcPr>
          <w:p>
            <w:pPr>
              <w:spacing w:after="0"/>
              <w:rPr>
                <w:sz w:val="20"/>
                <w:szCs w:val="20"/>
                <w:color w:val="auto"/>
              </w:rPr>
            </w:pPr>
          </w:p>
        </w:tc>
        <w:tc>
          <w:tcPr>
            <w:tcW w:w="5080" w:type="dxa"/>
            <w:vAlign w:val="bottom"/>
            <w:shd w:val="clear" w:color="auto" w:fill="D8D8D8"/>
          </w:tcPr>
          <w:p>
            <w:pPr>
              <w:ind w:left="160"/>
              <w:spacing w:after="0"/>
              <w:rPr>
                <w:sz w:val="20"/>
                <w:szCs w:val="20"/>
                <w:color w:val="auto"/>
              </w:rPr>
            </w:pPr>
            <w:r>
              <w:rPr>
                <w:rFonts w:ascii="Arial" w:cs="Arial" w:eastAsia="Arial" w:hAnsi="Arial"/>
                <w:sz w:val="18"/>
                <w:szCs w:val="18"/>
                <w:color w:val="auto"/>
              </w:rPr>
              <w:t>under Audit Committee guidance</w:t>
            </w:r>
          </w:p>
        </w:tc>
        <w:tc>
          <w:tcPr>
            <w:tcW w:w="520" w:type="dxa"/>
            <w:vAlign w:val="bottom"/>
            <w:shd w:val="clear" w:color="auto" w:fill="D8D8D8"/>
          </w:tcPr>
          <w:p>
            <w:pPr>
              <w:spacing w:after="0"/>
              <w:rPr>
                <w:sz w:val="20"/>
                <w:szCs w:val="20"/>
                <w:color w:val="auto"/>
              </w:rPr>
            </w:pP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rPr>
              <w:t>and key executives</w:t>
            </w:r>
          </w:p>
        </w:tc>
      </w:tr>
      <w:tr>
        <w:trPr>
          <w:trHeight w:val="81"/>
        </w:trPr>
        <w:tc>
          <w:tcPr>
            <w:tcW w:w="380" w:type="dxa"/>
            <w:vAlign w:val="bottom"/>
            <w:shd w:val="clear" w:color="auto" w:fill="D8D8D8"/>
          </w:tcPr>
          <w:p>
            <w:pPr>
              <w:spacing w:after="0"/>
              <w:rPr>
                <w:sz w:val="7"/>
                <w:szCs w:val="7"/>
                <w:color w:val="auto"/>
              </w:rPr>
            </w:pPr>
          </w:p>
        </w:tc>
        <w:tc>
          <w:tcPr>
            <w:tcW w:w="5080" w:type="dxa"/>
            <w:vAlign w:val="bottom"/>
            <w:shd w:val="clear" w:color="auto" w:fill="D8D8D8"/>
          </w:tcPr>
          <w:p>
            <w:pPr>
              <w:spacing w:after="0"/>
              <w:rPr>
                <w:sz w:val="7"/>
                <w:szCs w:val="7"/>
                <w:color w:val="auto"/>
              </w:rPr>
            </w:pPr>
          </w:p>
        </w:tc>
        <w:tc>
          <w:tcPr>
            <w:tcW w:w="520" w:type="dxa"/>
            <w:vAlign w:val="bottom"/>
            <w:shd w:val="clear" w:color="auto" w:fill="D8D8D8"/>
          </w:tcPr>
          <w:p>
            <w:pPr>
              <w:spacing w:after="0"/>
              <w:rPr>
                <w:sz w:val="7"/>
                <w:szCs w:val="7"/>
                <w:color w:val="auto"/>
              </w:rPr>
            </w:pPr>
          </w:p>
        </w:tc>
        <w:tc>
          <w:tcPr>
            <w:tcW w:w="5040" w:type="dxa"/>
            <w:vAlign w:val="bottom"/>
            <w:shd w:val="clear" w:color="auto" w:fill="D8D8D8"/>
          </w:tcPr>
          <w:p>
            <w:pPr>
              <w:spacing w:after="0"/>
              <w:rPr>
                <w:sz w:val="7"/>
                <w:szCs w:val="7"/>
                <w:color w:val="auto"/>
              </w:rPr>
            </w:pPr>
          </w:p>
        </w:tc>
      </w:tr>
      <w:tr>
        <w:trPr>
          <w:trHeight w:val="290"/>
        </w:trPr>
        <w:tc>
          <w:tcPr>
            <w:tcW w:w="380" w:type="dxa"/>
            <w:vAlign w:val="bottom"/>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tcPr>
          <w:p>
            <w:pPr>
              <w:ind w:left="160"/>
              <w:spacing w:after="0"/>
              <w:rPr>
                <w:sz w:val="20"/>
                <w:szCs w:val="20"/>
                <w:color w:val="auto"/>
              </w:rPr>
            </w:pPr>
            <w:r>
              <w:rPr>
                <w:rFonts w:ascii="Arial" w:cs="Arial" w:eastAsia="Arial" w:hAnsi="Arial"/>
                <w:sz w:val="18"/>
                <w:szCs w:val="18"/>
                <w:color w:val="auto"/>
              </w:rPr>
              <w:t>Related party transactions approval policy</w:t>
            </w:r>
          </w:p>
        </w:tc>
        <w:tc>
          <w:tcPr>
            <w:tcW w:w="520" w:type="dxa"/>
            <w:vAlign w:val="bottom"/>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tcPr>
          <w:p>
            <w:pPr>
              <w:ind w:left="200"/>
              <w:spacing w:after="0"/>
              <w:rPr>
                <w:sz w:val="20"/>
                <w:szCs w:val="20"/>
                <w:color w:val="auto"/>
              </w:rPr>
            </w:pPr>
            <w:r>
              <w:rPr>
                <w:rFonts w:ascii="Arial" w:cs="Arial" w:eastAsia="Arial" w:hAnsi="Arial"/>
                <w:sz w:val="18"/>
                <w:szCs w:val="18"/>
                <w:color w:val="auto"/>
              </w:rPr>
              <w:t>Anti-hedging and anti-pledging policies</w:t>
            </w:r>
          </w:p>
        </w:tc>
      </w:tr>
      <w:tr>
        <w:trPr>
          <w:trHeight w:val="209"/>
        </w:trPr>
        <w:tc>
          <w:tcPr>
            <w:tcW w:w="380" w:type="dxa"/>
            <w:vAlign w:val="bottom"/>
            <w:shd w:val="clear" w:color="auto" w:fill="D8D8D8"/>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shd w:val="clear" w:color="auto" w:fill="D8D8D8"/>
          </w:tcPr>
          <w:p>
            <w:pPr>
              <w:ind w:left="160"/>
              <w:spacing w:after="0"/>
              <w:rPr>
                <w:sz w:val="20"/>
                <w:szCs w:val="20"/>
                <w:color w:val="auto"/>
              </w:rPr>
            </w:pPr>
            <w:r>
              <w:rPr>
                <w:rFonts w:ascii="Arial" w:cs="Arial" w:eastAsia="Arial" w:hAnsi="Arial"/>
                <w:sz w:val="18"/>
                <w:szCs w:val="18"/>
                <w:color w:val="auto"/>
                <w:w w:val="96"/>
              </w:rPr>
              <w:t>Robust share ownership and holding requirements for executive</w:t>
            </w:r>
          </w:p>
        </w:tc>
        <w:tc>
          <w:tcPr>
            <w:tcW w:w="520" w:type="dxa"/>
            <w:vAlign w:val="bottom"/>
            <w:shd w:val="clear" w:color="auto" w:fill="D8D8D8"/>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w w:val="96"/>
              </w:rPr>
              <w:t>Commitment to sustainability with Board of Directors’ oversight</w:t>
            </w:r>
          </w:p>
        </w:tc>
      </w:tr>
      <w:tr>
        <w:trPr>
          <w:trHeight w:val="230"/>
        </w:trPr>
        <w:tc>
          <w:tcPr>
            <w:tcW w:w="380" w:type="dxa"/>
            <w:vAlign w:val="bottom"/>
            <w:shd w:val="clear" w:color="auto" w:fill="D8D8D8"/>
          </w:tcPr>
          <w:p>
            <w:pPr>
              <w:spacing w:after="0"/>
              <w:rPr>
                <w:sz w:val="20"/>
                <w:szCs w:val="20"/>
                <w:color w:val="auto"/>
              </w:rPr>
            </w:pPr>
          </w:p>
        </w:tc>
        <w:tc>
          <w:tcPr>
            <w:tcW w:w="5080" w:type="dxa"/>
            <w:vAlign w:val="bottom"/>
            <w:shd w:val="clear" w:color="auto" w:fill="D8D8D8"/>
          </w:tcPr>
          <w:p>
            <w:pPr>
              <w:ind w:left="160"/>
              <w:spacing w:after="0"/>
              <w:rPr>
                <w:sz w:val="20"/>
                <w:szCs w:val="20"/>
                <w:color w:val="auto"/>
              </w:rPr>
            </w:pPr>
            <w:r>
              <w:rPr>
                <w:rFonts w:ascii="Arial" w:cs="Arial" w:eastAsia="Arial" w:hAnsi="Arial"/>
                <w:sz w:val="18"/>
                <w:szCs w:val="18"/>
                <w:color w:val="auto"/>
              </w:rPr>
              <w:t>officers and directors</w:t>
            </w:r>
          </w:p>
        </w:tc>
        <w:tc>
          <w:tcPr>
            <w:tcW w:w="520" w:type="dxa"/>
            <w:vAlign w:val="bottom"/>
            <w:shd w:val="clear" w:color="auto" w:fill="D8D8D8"/>
          </w:tcPr>
          <w:p>
            <w:pPr>
              <w:spacing w:after="0"/>
              <w:rPr>
                <w:sz w:val="20"/>
                <w:szCs w:val="20"/>
                <w:color w:val="auto"/>
              </w:rPr>
            </w:pPr>
          </w:p>
        </w:tc>
        <w:tc>
          <w:tcPr>
            <w:tcW w:w="5040" w:type="dxa"/>
            <w:vAlign w:val="bottom"/>
            <w:shd w:val="clear" w:color="auto" w:fill="D8D8D8"/>
          </w:tcPr>
          <w:p>
            <w:pPr>
              <w:ind w:left="200"/>
              <w:spacing w:after="0"/>
              <w:rPr>
                <w:sz w:val="20"/>
                <w:szCs w:val="20"/>
                <w:color w:val="auto"/>
              </w:rPr>
            </w:pPr>
            <w:r>
              <w:rPr>
                <w:rFonts w:ascii="Arial" w:cs="Arial" w:eastAsia="Arial" w:hAnsi="Arial"/>
                <w:sz w:val="18"/>
                <w:szCs w:val="18"/>
                <w:color w:val="auto"/>
              </w:rPr>
              <w:t>of environmental, social and governance (ESG) strategy</w:t>
            </w:r>
          </w:p>
        </w:tc>
      </w:tr>
      <w:tr>
        <w:trPr>
          <w:trHeight w:val="81"/>
        </w:trPr>
        <w:tc>
          <w:tcPr>
            <w:tcW w:w="380" w:type="dxa"/>
            <w:vAlign w:val="bottom"/>
            <w:shd w:val="clear" w:color="auto" w:fill="D8D8D8"/>
          </w:tcPr>
          <w:p>
            <w:pPr>
              <w:spacing w:after="0"/>
              <w:rPr>
                <w:sz w:val="7"/>
                <w:szCs w:val="7"/>
                <w:color w:val="auto"/>
              </w:rPr>
            </w:pPr>
          </w:p>
        </w:tc>
        <w:tc>
          <w:tcPr>
            <w:tcW w:w="5080" w:type="dxa"/>
            <w:vAlign w:val="bottom"/>
            <w:shd w:val="clear" w:color="auto" w:fill="D8D8D8"/>
          </w:tcPr>
          <w:p>
            <w:pPr>
              <w:spacing w:after="0"/>
              <w:rPr>
                <w:sz w:val="7"/>
                <w:szCs w:val="7"/>
                <w:color w:val="auto"/>
              </w:rPr>
            </w:pPr>
          </w:p>
        </w:tc>
        <w:tc>
          <w:tcPr>
            <w:tcW w:w="520" w:type="dxa"/>
            <w:vAlign w:val="bottom"/>
            <w:shd w:val="clear" w:color="auto" w:fill="D8D8D8"/>
          </w:tcPr>
          <w:p>
            <w:pPr>
              <w:spacing w:after="0"/>
              <w:rPr>
                <w:sz w:val="7"/>
                <w:szCs w:val="7"/>
                <w:color w:val="auto"/>
              </w:rPr>
            </w:pPr>
          </w:p>
        </w:tc>
        <w:tc>
          <w:tcPr>
            <w:tcW w:w="5040" w:type="dxa"/>
            <w:vAlign w:val="bottom"/>
            <w:shd w:val="clear" w:color="auto" w:fill="D8D8D8"/>
          </w:tcPr>
          <w:p>
            <w:pPr>
              <w:spacing w:after="0"/>
              <w:rPr>
                <w:sz w:val="7"/>
                <w:szCs w:val="7"/>
                <w:color w:val="auto"/>
              </w:rPr>
            </w:pPr>
          </w:p>
        </w:tc>
      </w:tr>
      <w:tr>
        <w:trPr>
          <w:trHeight w:val="202"/>
        </w:trPr>
        <w:tc>
          <w:tcPr>
            <w:tcW w:w="380" w:type="dxa"/>
            <w:vAlign w:val="bottom"/>
          </w:tcPr>
          <w:p>
            <w:pPr>
              <w:ind w:left="60"/>
              <w:spacing w:after="0" w:line="181" w:lineRule="exact"/>
              <w:rPr>
                <w:sz w:val="20"/>
                <w:szCs w:val="20"/>
                <w:color w:val="auto"/>
              </w:rPr>
            </w:pPr>
            <w:r>
              <w:rPr>
                <w:rFonts w:ascii="MS PGothic" w:cs="MS PGothic" w:eastAsia="MS PGothic" w:hAnsi="MS PGothic"/>
                <w:sz w:val="18"/>
                <w:szCs w:val="18"/>
                <w:color w:val="auto"/>
              </w:rPr>
              <w:t>✓</w:t>
            </w:r>
          </w:p>
        </w:tc>
        <w:tc>
          <w:tcPr>
            <w:tcW w:w="5080" w:type="dxa"/>
            <w:vAlign w:val="bottom"/>
          </w:tcPr>
          <w:p>
            <w:pPr>
              <w:ind w:left="160"/>
              <w:spacing w:after="0" w:line="201" w:lineRule="exact"/>
              <w:rPr>
                <w:sz w:val="20"/>
                <w:szCs w:val="20"/>
                <w:color w:val="auto"/>
              </w:rPr>
            </w:pPr>
            <w:r>
              <w:rPr>
                <w:rFonts w:ascii="Arial" w:cs="Arial" w:eastAsia="Arial" w:hAnsi="Arial"/>
                <w:sz w:val="18"/>
                <w:szCs w:val="18"/>
                <w:color w:val="auto"/>
                <w:w w:val="92"/>
              </w:rPr>
              <w:t>Comprehensive director and employee code of conduct and ethics</w:t>
            </w:r>
          </w:p>
        </w:tc>
        <w:tc>
          <w:tcPr>
            <w:tcW w:w="520" w:type="dxa"/>
            <w:vAlign w:val="bottom"/>
          </w:tcPr>
          <w:p>
            <w:pPr>
              <w:ind w:left="180"/>
              <w:spacing w:after="0" w:line="181" w:lineRule="exact"/>
              <w:rPr>
                <w:sz w:val="20"/>
                <w:szCs w:val="20"/>
                <w:color w:val="auto"/>
              </w:rPr>
            </w:pPr>
            <w:r>
              <w:rPr>
                <w:rFonts w:ascii="MS PGothic" w:cs="MS PGothic" w:eastAsia="MS PGothic" w:hAnsi="MS PGothic"/>
                <w:sz w:val="18"/>
                <w:szCs w:val="18"/>
                <w:color w:val="auto"/>
              </w:rPr>
              <w:t>✓</w:t>
            </w:r>
          </w:p>
        </w:tc>
        <w:tc>
          <w:tcPr>
            <w:tcW w:w="5040" w:type="dxa"/>
            <w:vAlign w:val="bottom"/>
          </w:tcPr>
          <w:p>
            <w:pPr>
              <w:ind w:left="200"/>
              <w:spacing w:after="0" w:line="201" w:lineRule="exact"/>
              <w:rPr>
                <w:sz w:val="20"/>
                <w:szCs w:val="20"/>
                <w:color w:val="auto"/>
              </w:rPr>
            </w:pPr>
            <w:r>
              <w:rPr>
                <w:rFonts w:ascii="Arial" w:cs="Arial" w:eastAsia="Arial" w:hAnsi="Arial"/>
                <w:sz w:val="18"/>
                <w:szCs w:val="18"/>
                <w:color w:val="auto"/>
                <w:w w:val="98"/>
              </w:rPr>
              <w:t>Supplier Code of Conduct establishes expectations for ethical</w:t>
            </w:r>
          </w:p>
        </w:tc>
      </w:tr>
      <w:tr>
        <w:trPr>
          <w:trHeight w:val="230"/>
        </w:trPr>
        <w:tc>
          <w:tcPr>
            <w:tcW w:w="380" w:type="dxa"/>
            <w:vAlign w:val="bottom"/>
          </w:tcPr>
          <w:p>
            <w:pPr>
              <w:spacing w:after="0"/>
              <w:rPr>
                <w:sz w:val="20"/>
                <w:szCs w:val="20"/>
                <w:color w:val="auto"/>
              </w:rPr>
            </w:pPr>
          </w:p>
        </w:tc>
        <w:tc>
          <w:tcPr>
            <w:tcW w:w="5080" w:type="dxa"/>
            <w:vAlign w:val="bottom"/>
          </w:tcPr>
          <w:p>
            <w:pPr>
              <w:ind w:left="160"/>
              <w:spacing w:after="0"/>
              <w:rPr>
                <w:sz w:val="20"/>
                <w:szCs w:val="20"/>
                <w:color w:val="auto"/>
              </w:rPr>
            </w:pPr>
            <w:r>
              <w:rPr>
                <w:rFonts w:ascii="Arial" w:cs="Arial" w:eastAsia="Arial" w:hAnsi="Arial"/>
                <w:sz w:val="18"/>
                <w:szCs w:val="18"/>
                <w:color w:val="auto"/>
              </w:rPr>
              <w:t>and compliance program</w:t>
            </w:r>
          </w:p>
        </w:tc>
        <w:tc>
          <w:tcPr>
            <w:tcW w:w="520" w:type="dxa"/>
            <w:vAlign w:val="bottom"/>
          </w:tcPr>
          <w:p>
            <w:pPr>
              <w:spacing w:after="0"/>
              <w:rPr>
                <w:sz w:val="20"/>
                <w:szCs w:val="20"/>
                <w:color w:val="auto"/>
              </w:rPr>
            </w:pPr>
          </w:p>
        </w:tc>
        <w:tc>
          <w:tcPr>
            <w:tcW w:w="5040" w:type="dxa"/>
            <w:vAlign w:val="bottom"/>
          </w:tcPr>
          <w:p>
            <w:pPr>
              <w:ind w:left="200"/>
              <w:spacing w:after="0"/>
              <w:rPr>
                <w:sz w:val="20"/>
                <w:szCs w:val="20"/>
                <w:color w:val="auto"/>
              </w:rPr>
            </w:pPr>
            <w:r>
              <w:rPr>
                <w:rFonts w:ascii="Arial" w:cs="Arial" w:eastAsia="Arial" w:hAnsi="Arial"/>
                <w:sz w:val="18"/>
                <w:szCs w:val="18"/>
                <w:color w:val="auto"/>
              </w:rPr>
              <w:t>business practices in our global supply chain</w:t>
            </w:r>
          </w:p>
        </w:tc>
      </w:tr>
    </w:tbl>
    <w:p>
      <w:pPr>
        <w:spacing w:after="0" w:line="274"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Aligning pay with performance</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Our compensation objectives and philosophy</w:t>
      </w:r>
    </w:p>
    <w:p>
      <w:pPr>
        <w:spacing w:after="0" w:line="117" w:lineRule="exact"/>
        <w:rPr>
          <w:sz w:val="20"/>
          <w:szCs w:val="20"/>
          <w:color w:val="auto"/>
        </w:rPr>
      </w:pPr>
    </w:p>
    <w:p>
      <w:pPr>
        <w:jc w:val="both"/>
        <w:ind w:left="120" w:right="80"/>
        <w:spacing w:after="0" w:line="277" w:lineRule="auto"/>
        <w:rPr>
          <w:sz w:val="20"/>
          <w:szCs w:val="20"/>
          <w:color w:val="auto"/>
        </w:rPr>
      </w:pPr>
      <w:r>
        <w:rPr>
          <w:rFonts w:ascii="Arial" w:cs="Arial" w:eastAsia="Arial" w:hAnsi="Arial"/>
          <w:sz w:val="18"/>
          <w:szCs w:val="18"/>
          <w:color w:val="auto"/>
        </w:rPr>
        <w:t>At TimkenSteel, our executive compensation program is designed to align our executives’ interests with those of our shareholders; to reward leaders for strong business results; and to attract, retain and motivate the best talent in the industry.</w:t>
      </w:r>
    </w:p>
    <w:p>
      <w:pPr>
        <w:spacing w:after="0" w:line="13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Our executive compensation philosophy embodies the following principles:</w:t>
      </w:r>
    </w:p>
    <w:p>
      <w:pPr>
        <w:spacing w:after="0" w:line="117" w:lineRule="exact"/>
        <w:rPr>
          <w:sz w:val="20"/>
          <w:szCs w:val="20"/>
          <w:color w:val="auto"/>
        </w:rPr>
      </w:pPr>
    </w:p>
    <w:p>
      <w:pPr>
        <w:ind w:left="660" w:hanging="324"/>
        <w:spacing w:after="0"/>
        <w:tabs>
          <w:tab w:leader="none" w:pos="660" w:val="left"/>
        </w:tabs>
        <w:numPr>
          <w:ilvl w:val="0"/>
          <w:numId w:val="14"/>
        </w:numPr>
        <w:rPr>
          <w:rFonts w:ascii="MS PGothic" w:cs="MS PGothic" w:eastAsia="MS PGothic" w:hAnsi="MS PGothic"/>
          <w:sz w:val="18"/>
          <w:szCs w:val="18"/>
          <w:color w:val="auto"/>
        </w:rPr>
      </w:pPr>
      <w:r>
        <w:rPr>
          <w:rFonts w:ascii="Arial" w:cs="Arial" w:eastAsia="Arial" w:hAnsi="Arial"/>
          <w:sz w:val="18"/>
          <w:szCs w:val="18"/>
          <w:color w:val="auto"/>
        </w:rPr>
        <w:t>Recognizes people are our strongest asset</w:t>
      </w:r>
    </w:p>
    <w:p>
      <w:pPr>
        <w:spacing w:after="0" w:line="117" w:lineRule="exact"/>
        <w:rPr>
          <w:rFonts w:ascii="MS PGothic" w:cs="MS PGothic" w:eastAsia="MS PGothic" w:hAnsi="MS PGothic"/>
          <w:sz w:val="18"/>
          <w:szCs w:val="18"/>
          <w:color w:val="auto"/>
        </w:rPr>
      </w:pPr>
    </w:p>
    <w:p>
      <w:pPr>
        <w:ind w:left="660" w:hanging="324"/>
        <w:spacing w:after="0"/>
        <w:tabs>
          <w:tab w:leader="none" w:pos="660" w:val="left"/>
        </w:tabs>
        <w:numPr>
          <w:ilvl w:val="0"/>
          <w:numId w:val="14"/>
        </w:numPr>
        <w:rPr>
          <w:rFonts w:ascii="MS PGothic" w:cs="MS PGothic" w:eastAsia="MS PGothic" w:hAnsi="MS PGothic"/>
          <w:sz w:val="18"/>
          <w:szCs w:val="18"/>
          <w:color w:val="auto"/>
        </w:rPr>
      </w:pPr>
      <w:r>
        <w:rPr>
          <w:rFonts w:ascii="Arial" w:cs="Arial" w:eastAsia="Arial" w:hAnsi="Arial"/>
          <w:sz w:val="18"/>
          <w:szCs w:val="18"/>
          <w:color w:val="auto"/>
        </w:rPr>
        <w:t>Rewards results linked to short- and long-term performance (pay-for-performance)</w:t>
      </w:r>
    </w:p>
    <w:p>
      <w:pPr>
        <w:spacing w:after="0" w:line="117" w:lineRule="exact"/>
        <w:rPr>
          <w:rFonts w:ascii="MS PGothic" w:cs="MS PGothic" w:eastAsia="MS PGothic" w:hAnsi="MS PGothic"/>
          <w:sz w:val="18"/>
          <w:szCs w:val="18"/>
          <w:color w:val="auto"/>
        </w:rPr>
      </w:pPr>
    </w:p>
    <w:p>
      <w:pPr>
        <w:ind w:left="660" w:hanging="324"/>
        <w:spacing w:after="0"/>
        <w:tabs>
          <w:tab w:leader="none" w:pos="660" w:val="left"/>
        </w:tabs>
        <w:numPr>
          <w:ilvl w:val="0"/>
          <w:numId w:val="14"/>
        </w:numPr>
        <w:rPr>
          <w:rFonts w:ascii="MS PGothic" w:cs="MS PGothic" w:eastAsia="MS PGothic" w:hAnsi="MS PGothic"/>
          <w:sz w:val="18"/>
          <w:szCs w:val="18"/>
          <w:color w:val="auto"/>
        </w:rPr>
      </w:pPr>
      <w:r>
        <w:rPr>
          <w:rFonts w:ascii="Arial" w:cs="Arial" w:eastAsia="Arial" w:hAnsi="Arial"/>
          <w:sz w:val="18"/>
          <w:szCs w:val="18"/>
          <w:color w:val="auto"/>
        </w:rPr>
        <w:t>Positions pay affordably and competitively in the marketplace</w:t>
      </w:r>
    </w:p>
    <w:p>
      <w:pPr>
        <w:spacing w:after="0" w:line="117" w:lineRule="exact"/>
        <w:rPr>
          <w:rFonts w:ascii="MS PGothic" w:cs="MS PGothic" w:eastAsia="MS PGothic" w:hAnsi="MS PGothic"/>
          <w:sz w:val="18"/>
          <w:szCs w:val="18"/>
          <w:color w:val="auto"/>
        </w:rPr>
      </w:pPr>
    </w:p>
    <w:p>
      <w:pPr>
        <w:ind w:left="660" w:hanging="324"/>
        <w:spacing w:after="0"/>
        <w:tabs>
          <w:tab w:leader="none" w:pos="660" w:val="left"/>
        </w:tabs>
        <w:numPr>
          <w:ilvl w:val="0"/>
          <w:numId w:val="14"/>
        </w:numPr>
        <w:rPr>
          <w:rFonts w:ascii="MS PGothic" w:cs="MS PGothic" w:eastAsia="MS PGothic" w:hAnsi="MS PGothic"/>
          <w:sz w:val="18"/>
          <w:szCs w:val="18"/>
          <w:color w:val="auto"/>
        </w:rPr>
      </w:pPr>
      <w:r>
        <w:rPr>
          <w:rFonts w:ascii="Arial" w:cs="Arial" w:eastAsia="Arial" w:hAnsi="Arial"/>
          <w:sz w:val="18"/>
          <w:szCs w:val="18"/>
          <w:color w:val="auto"/>
        </w:rPr>
        <w:t>Drives a focus on increasing shareholder value</w:t>
      </w:r>
    </w:p>
    <w:p>
      <w:pPr>
        <w:spacing w:after="0" w:line="388" w:lineRule="exact"/>
        <w:rPr>
          <w:sz w:val="20"/>
          <w:szCs w:val="20"/>
          <w:color w:val="auto"/>
        </w:rPr>
      </w:pPr>
    </w:p>
    <w:tbl>
      <w:tblPr>
        <w:tblLayout w:type="fixed"/>
        <w:tblInd w:w="1780" w:type="dxa"/>
        <w:tblCellMar>
          <w:top w:w="0" w:type="dxa"/>
          <w:left w:w="0" w:type="dxa"/>
          <w:bottom w:w="0" w:type="dxa"/>
          <w:right w:w="0" w:type="dxa"/>
        </w:tblCellMar>
      </w:tblPr>
      <w:tr>
        <w:trPr>
          <w:trHeight w:val="203"/>
        </w:trPr>
        <w:tc>
          <w:tcPr>
            <w:tcW w:w="2380" w:type="dxa"/>
            <w:vAlign w:val="bottom"/>
            <w:shd w:val="clear" w:color="auto" w:fill="7F7F7F"/>
          </w:tcPr>
          <w:p>
            <w:pPr>
              <w:ind w:left="400"/>
              <w:spacing w:after="0"/>
              <w:rPr>
                <w:sz w:val="20"/>
                <w:szCs w:val="20"/>
                <w:color w:val="auto"/>
              </w:rPr>
            </w:pPr>
            <w:r>
              <w:rPr>
                <w:rFonts w:ascii="Arial" w:cs="Arial" w:eastAsia="Arial" w:hAnsi="Arial"/>
                <w:sz w:val="16"/>
                <w:szCs w:val="16"/>
                <w:b w:val="1"/>
                <w:bCs w:val="1"/>
                <w:color w:val="FFFFFF"/>
              </w:rPr>
              <w:t>Named executive officer</w:t>
            </w:r>
          </w:p>
        </w:tc>
        <w:tc>
          <w:tcPr>
            <w:tcW w:w="5320" w:type="dxa"/>
            <w:vAlign w:val="bottom"/>
            <w:shd w:val="clear" w:color="auto" w:fill="7F7F7F"/>
          </w:tcPr>
          <w:p>
            <w:pPr>
              <w:ind w:left="2660"/>
              <w:spacing w:after="0"/>
              <w:rPr>
                <w:sz w:val="20"/>
                <w:szCs w:val="20"/>
                <w:color w:val="auto"/>
              </w:rPr>
            </w:pPr>
            <w:r>
              <w:rPr>
                <w:rFonts w:ascii="Arial" w:cs="Arial" w:eastAsia="Arial" w:hAnsi="Arial"/>
                <w:sz w:val="16"/>
                <w:szCs w:val="16"/>
                <w:b w:val="1"/>
                <w:bCs w:val="1"/>
                <w:color w:val="FFFFFF"/>
              </w:rPr>
              <w:t>Title</w:t>
            </w:r>
          </w:p>
        </w:tc>
      </w:tr>
      <w:tr>
        <w:trPr>
          <w:trHeight w:val="189"/>
        </w:trPr>
        <w:tc>
          <w:tcPr>
            <w:tcW w:w="2380" w:type="dxa"/>
            <w:vAlign w:val="bottom"/>
            <w:shd w:val="clear" w:color="auto" w:fill="333333"/>
          </w:tcPr>
          <w:p>
            <w:pPr>
              <w:spacing w:after="0"/>
              <w:rPr>
                <w:sz w:val="16"/>
                <w:szCs w:val="16"/>
                <w:color w:val="auto"/>
              </w:rPr>
            </w:pPr>
          </w:p>
        </w:tc>
        <w:tc>
          <w:tcPr>
            <w:tcW w:w="5320" w:type="dxa"/>
            <w:vAlign w:val="bottom"/>
            <w:shd w:val="clear" w:color="auto" w:fill="333333"/>
          </w:tcPr>
          <w:p>
            <w:pPr>
              <w:spacing w:after="0"/>
              <w:rPr>
                <w:sz w:val="16"/>
                <w:szCs w:val="16"/>
                <w:color w:val="auto"/>
              </w:rPr>
            </w:pPr>
          </w:p>
        </w:tc>
      </w:tr>
      <w:tr>
        <w:trPr>
          <w:trHeight w:val="216"/>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Michael S. Williams</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President and Chief Executive Officer</w:t>
            </w:r>
          </w:p>
        </w:tc>
      </w:tr>
      <w:tr>
        <w:trPr>
          <w:trHeight w:val="210"/>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Kristopher R. Westbrooks</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Executive Vice President and Chief Financial Officer</w:t>
            </w:r>
          </w:p>
        </w:tc>
      </w:tr>
      <w:tr>
        <w:trPr>
          <w:trHeight w:val="196"/>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Kristine C. Syrvalin</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Executive Vice President, General Counsel and Secretary</w:t>
            </w:r>
          </w:p>
        </w:tc>
      </w:tr>
      <w:tr>
        <w:trPr>
          <w:trHeight w:val="196"/>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Kevin A. Raketich</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Executive Vice President, Sales, Marketing &amp; Business Development</w:t>
            </w:r>
          </w:p>
        </w:tc>
      </w:tr>
      <w:tr>
        <w:trPr>
          <w:trHeight w:val="210"/>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William P. Bryan</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Former Executive Vice President, Manufacturing and Supply Chain</w:t>
            </w:r>
          </w:p>
        </w:tc>
      </w:tr>
      <w:tr>
        <w:trPr>
          <w:trHeight w:val="196"/>
        </w:trPr>
        <w:tc>
          <w:tcPr>
            <w:tcW w:w="238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Thomas D. Moline</w:t>
            </w:r>
          </w:p>
        </w:tc>
        <w:tc>
          <w:tcPr>
            <w:tcW w:w="5320" w:type="dxa"/>
            <w:vAlign w:val="bottom"/>
            <w:tcBorders>
              <w:bottom w:val="single" w:sz="8" w:color="D8D8D8"/>
            </w:tcBorders>
          </w:tcPr>
          <w:p>
            <w:pPr>
              <w:ind w:left="300"/>
              <w:spacing w:after="0"/>
              <w:rPr>
                <w:sz w:val="20"/>
                <w:szCs w:val="20"/>
                <w:color w:val="auto"/>
              </w:rPr>
            </w:pPr>
            <w:r>
              <w:rPr>
                <w:rFonts w:ascii="Arial" w:cs="Arial" w:eastAsia="Arial" w:hAnsi="Arial"/>
                <w:sz w:val="14"/>
                <w:szCs w:val="14"/>
                <w:color w:val="auto"/>
              </w:rPr>
              <w:t>Former Executive Vice President, Commercial Operations</w:t>
            </w:r>
          </w:p>
        </w:tc>
      </w:tr>
      <w:tr>
        <w:trPr>
          <w:trHeight w:val="339"/>
        </w:trPr>
        <w:tc>
          <w:tcPr>
            <w:tcW w:w="2380" w:type="dxa"/>
            <w:vAlign w:val="bottom"/>
          </w:tcPr>
          <w:p>
            <w:pPr>
              <w:spacing w:after="0"/>
              <w:rPr>
                <w:sz w:val="24"/>
                <w:szCs w:val="24"/>
                <w:color w:val="auto"/>
              </w:rPr>
            </w:pPr>
          </w:p>
        </w:tc>
        <w:tc>
          <w:tcPr>
            <w:tcW w:w="5320" w:type="dxa"/>
            <w:vAlign w:val="bottom"/>
          </w:tcPr>
          <w:p>
            <w:pPr>
              <w:ind w:left="1420"/>
              <w:spacing w:after="0"/>
              <w:rPr>
                <w:sz w:val="20"/>
                <w:szCs w:val="20"/>
                <w:color w:val="auto"/>
              </w:rPr>
            </w:pPr>
            <w:r>
              <w:rPr>
                <w:rFonts w:ascii="Arial" w:cs="Arial" w:eastAsia="Arial" w:hAnsi="Arial"/>
                <w:sz w:val="16"/>
                <w:szCs w:val="16"/>
                <w:color w:val="auto"/>
              </w:rPr>
              <w:t>6</w:t>
            </w:r>
          </w:p>
        </w:tc>
      </w:tr>
    </w:tbl>
    <w:p>
      <w:pPr>
        <w:sectPr>
          <w:pgSz w:w="11900" w:h="16838" w:orient="portrait"/>
          <w:cols w:equalWidth="0" w:num="1">
            <w:col w:w="11140"/>
          </w:cols>
          <w:pgMar w:left="320" w:top="459" w:right="4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Appointment of a new president and chief executive officer for 2021</w:t>
      </w:r>
    </w:p>
    <w:p>
      <w:pPr>
        <w:spacing w:after="0" w:line="117" w:lineRule="exact"/>
        <w:rPr>
          <w:sz w:val="20"/>
          <w:szCs w:val="20"/>
          <w:color w:val="auto"/>
        </w:rPr>
      </w:pPr>
    </w:p>
    <w:p>
      <w:pPr>
        <w:ind w:left="120" w:right="240"/>
        <w:spacing w:after="0" w:line="257" w:lineRule="auto"/>
        <w:rPr>
          <w:sz w:val="20"/>
          <w:szCs w:val="20"/>
          <w:color w:val="auto"/>
        </w:rPr>
      </w:pPr>
      <w:r>
        <w:rPr>
          <w:rFonts w:ascii="Arial" w:cs="Arial" w:eastAsia="Arial" w:hAnsi="Arial"/>
          <w:sz w:val="18"/>
          <w:szCs w:val="18"/>
          <w:color w:val="auto"/>
        </w:rPr>
        <w:t>On December 16, 2020, Michael S. Williams was named President and Chief Executive Officer effective January 1, 2021. In connection with his appointment, the Compensation Committee approved a compensation package and structure for Mr. Williams that is competitive with the market and best practices and weighted significantly towards variable and performance-based compensation. As such, in December 2020, the Compensation Committee recommended and the Board approved the following compensation package for Mr. Williams for his service as President and Chief Executive Officer:</w:t>
      </w:r>
    </w:p>
    <w:p>
      <w:pPr>
        <w:spacing w:after="0" w:line="93" w:lineRule="exact"/>
        <w:rPr>
          <w:sz w:val="20"/>
          <w:szCs w:val="20"/>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 initial base salary of $800,000 per year;</w:t>
      </w:r>
    </w:p>
    <w:p>
      <w:pPr>
        <w:spacing w:after="0" w:line="130"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 target award opportunity under the company’s annual performance award plan equal to 100 percent of base salary; and</w:t>
      </w:r>
    </w:p>
    <w:p>
      <w:pPr>
        <w:spacing w:after="0" w:line="130" w:lineRule="exact"/>
        <w:rPr>
          <w:rFonts w:ascii="Arial" w:cs="Arial" w:eastAsia="Arial" w:hAnsi="Arial"/>
          <w:sz w:val="18"/>
          <w:szCs w:val="18"/>
          <w:color w:val="auto"/>
        </w:rPr>
      </w:pPr>
    </w:p>
    <w:p>
      <w:pPr>
        <w:ind w:left="1080" w:right="360" w:hanging="532"/>
        <w:spacing w:after="0" w:line="34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beginning in 2022, eligibility for consideration of an annual grant under the company’s long-term incentive plan with a target value of $2,000,000 and comprised of at least 50 percent performance shares with the balance in time-based restricted stock units.</w:t>
      </w:r>
    </w:p>
    <w:p>
      <w:pPr>
        <w:spacing w:after="0" w:line="16" w:lineRule="exact"/>
        <w:rPr>
          <w:sz w:val="20"/>
          <w:szCs w:val="20"/>
          <w:color w:val="auto"/>
        </w:rPr>
      </w:pPr>
    </w:p>
    <w:p>
      <w:pPr>
        <w:ind w:left="120" w:right="40"/>
        <w:spacing w:after="0" w:line="259" w:lineRule="auto"/>
        <w:rPr>
          <w:sz w:val="20"/>
          <w:szCs w:val="20"/>
          <w:color w:val="auto"/>
        </w:rPr>
      </w:pPr>
      <w:r>
        <w:rPr>
          <w:rFonts w:ascii="Arial" w:cs="Arial" w:eastAsia="Arial" w:hAnsi="Arial"/>
          <w:sz w:val="18"/>
          <w:szCs w:val="18"/>
          <w:color w:val="auto"/>
        </w:rPr>
        <w:t>As an inducement to enter into employment with the company, and to encourage stock ownership by Mr. Williams, thereby further aligning his interests with those of the company’s shareholders, Mr. Williams also was awarded a sign-on equity grant of 423,400 performance shares (representing a target value at grant of approximately $2,000,000) and 423,400 time-based restricted stock units (also representing a value at grant of approximately $2,000,000).</w:t>
      </w:r>
    </w:p>
    <w:p>
      <w:pPr>
        <w:spacing w:after="0" w:line="16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See “Compensation discussion and analysis — Analysis of 2021 compensation” for additional information.</w:t>
      </w:r>
    </w:p>
    <w:p>
      <w:pPr>
        <w:spacing w:after="0" w:line="33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target pay mix</w:t>
      </w:r>
    </w:p>
    <w:p>
      <w:pPr>
        <w:spacing w:after="0" w:line="117"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In support of our pay-for-performance philosophy, a substantial majority of the target total direct compensation for our named executive officers (“NEOs”) was allocated to variable compensation in 2021. The compensation structure approved for Mr. Williams as the company’s new President and Chief Executive Officer as of January 1, 2021, is weighted significantly towards variable and performance-based compensation, with more than 75 percent of his target total direct compensation designed to be at risk as variable compensation.</w:t>
      </w:r>
    </w:p>
    <w:p>
      <w:pPr>
        <w:spacing w:after="0" w:line="210" w:lineRule="exact"/>
        <w:rPr>
          <w:sz w:val="20"/>
          <w:szCs w:val="20"/>
          <w:color w:val="auto"/>
        </w:rPr>
      </w:pPr>
    </w:p>
    <w:p>
      <w:pPr>
        <w:ind w:left="2700"/>
        <w:spacing w:after="0"/>
        <w:tabs>
          <w:tab w:leader="none" w:pos="7580" w:val="left"/>
        </w:tabs>
        <w:rPr>
          <w:sz w:val="20"/>
          <w:szCs w:val="20"/>
          <w:color w:val="auto"/>
        </w:rPr>
      </w:pPr>
      <w:r>
        <w:rPr>
          <w:rFonts w:ascii="Arial" w:cs="Arial" w:eastAsia="Arial" w:hAnsi="Arial"/>
          <w:sz w:val="18"/>
          <w:szCs w:val="18"/>
          <w:b w:val="1"/>
          <w:bCs w:val="1"/>
          <w:color w:val="auto"/>
        </w:rPr>
        <w:t>CEO</w:t>
      </w:r>
      <w:r>
        <w:rPr>
          <w:sz w:val="20"/>
          <w:szCs w:val="20"/>
          <w:color w:val="auto"/>
        </w:rPr>
        <w:tab/>
      </w:r>
      <w:r>
        <w:rPr>
          <w:rFonts w:ascii="Arial" w:cs="Arial" w:eastAsia="Arial" w:hAnsi="Arial"/>
          <w:sz w:val="18"/>
          <w:szCs w:val="18"/>
          <w:b w:val="1"/>
          <w:bCs w:val="1"/>
          <w:color w:val="auto"/>
        </w:rPr>
        <w:t>Other NEOs (average)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879475</wp:posOffset>
            </wp:positionH>
            <wp:positionV relativeFrom="paragraph">
              <wp:posOffset>17145</wp:posOffset>
            </wp:positionV>
            <wp:extent cx="1920240" cy="14141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920240" cy="141414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205740</wp:posOffset>
            </wp:positionV>
            <wp:extent cx="1979930" cy="12344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979930" cy="1234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Pay and performance at a glance</w:t>
      </w:r>
    </w:p>
    <w:p>
      <w:pPr>
        <w:spacing w:after="0" w:line="117" w:lineRule="exact"/>
        <w:rPr>
          <w:sz w:val="20"/>
          <w:szCs w:val="20"/>
          <w:color w:val="auto"/>
        </w:rPr>
      </w:pPr>
    </w:p>
    <w:p>
      <w:pPr>
        <w:ind w:left="120"/>
        <w:spacing w:after="0" w:line="291" w:lineRule="auto"/>
        <w:rPr>
          <w:sz w:val="20"/>
          <w:szCs w:val="20"/>
          <w:color w:val="auto"/>
        </w:rPr>
      </w:pPr>
      <w:r>
        <w:rPr>
          <w:rFonts w:ascii="Arial" w:cs="Arial" w:eastAsia="Arial" w:hAnsi="Arial"/>
          <w:sz w:val="16"/>
          <w:szCs w:val="16"/>
          <w:color w:val="auto"/>
        </w:rPr>
        <w:t>We pay for performance, and our incentive compensation plans operated as intended across the organization in 2021. The company achieved strong adjusted earnings before interest, taxes, depreciation and amortization (EBITDA) and adjusted operating cash flow driven by an improved demand environment, higher melt utilization due to the consolidation of our melt shop capacity, and a continued focus on controlling costs with further streamlining of our organizational structure and administrative processes. Adjusted EBITDA and adjusted operating cash flow performance exceeded the maximum performance objectives established for 2021, resulting in a payout percentage on these metrics of 200 percent of target. Because the safety modifier was not achieved, this 200 percent payout percentage was multiplied by 95 percent to arrive at a total calculated payout under the annual incentive plan of 190 percent of target, validating that our pay-for-performance compensation plans operated as intended.</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7</w:t>
      </w:r>
    </w:p>
    <w:p>
      <w:pPr>
        <w:sectPr>
          <w:pgSz w:w="11900" w:h="16838" w:orient="portrait"/>
          <w:cols w:equalWidth="0" w:num="1">
            <w:col w:w="11100"/>
          </w:cols>
          <w:pgMar w:left="320" w:top="459" w:right="47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24" w:lineRule="exact"/>
        <w:rPr>
          <w:sz w:val="20"/>
          <w:szCs w:val="20"/>
          <w:color w:val="auto"/>
        </w:rPr>
      </w:pPr>
    </w:p>
    <w:tbl>
      <w:tblPr>
        <w:tblLayout w:type="fixed"/>
        <w:tblInd w:w="1780" w:type="dxa"/>
        <w:tblCellMar>
          <w:top w:w="0" w:type="dxa"/>
          <w:left w:w="0" w:type="dxa"/>
          <w:bottom w:w="0" w:type="dxa"/>
          <w:right w:w="0" w:type="dxa"/>
        </w:tblCellMar>
      </w:tblPr>
      <w:tr>
        <w:trPr>
          <w:trHeight w:val="253"/>
        </w:trPr>
        <w:tc>
          <w:tcPr>
            <w:tcW w:w="2760" w:type="dxa"/>
            <w:vAlign w:val="bottom"/>
            <w:shd w:val="clear" w:color="auto" w:fill="7F7F7F"/>
          </w:tcPr>
          <w:p>
            <w:pPr>
              <w:spacing w:after="0"/>
              <w:rPr>
                <w:sz w:val="22"/>
                <w:szCs w:val="22"/>
                <w:color w:val="auto"/>
              </w:rPr>
            </w:pPr>
          </w:p>
        </w:tc>
        <w:tc>
          <w:tcPr>
            <w:tcW w:w="2520" w:type="dxa"/>
            <w:vAlign w:val="bottom"/>
            <w:gridSpan w:val="2"/>
            <w:shd w:val="clear" w:color="auto" w:fill="7F7F7F"/>
          </w:tcPr>
          <w:p>
            <w:pPr>
              <w:jc w:val="right"/>
              <w:ind w:right="419"/>
              <w:spacing w:after="0"/>
              <w:rPr>
                <w:sz w:val="20"/>
                <w:szCs w:val="20"/>
                <w:color w:val="auto"/>
              </w:rPr>
            </w:pPr>
            <w:r>
              <w:rPr>
                <w:rFonts w:ascii="Arial" w:cs="Arial" w:eastAsia="Arial" w:hAnsi="Arial"/>
                <w:sz w:val="16"/>
                <w:szCs w:val="16"/>
                <w:b w:val="1"/>
                <w:bCs w:val="1"/>
                <w:color w:val="FFFFFF"/>
                <w:w w:val="97"/>
              </w:rPr>
              <w:t>2021 Annual incentive plan</w:t>
            </w:r>
          </w:p>
        </w:tc>
        <w:tc>
          <w:tcPr>
            <w:tcW w:w="2420" w:type="dxa"/>
            <w:vAlign w:val="bottom"/>
            <w:shd w:val="clear" w:color="auto" w:fill="7F7F7F"/>
          </w:tcPr>
          <w:p>
            <w:pPr>
              <w:spacing w:after="0"/>
              <w:rPr>
                <w:sz w:val="22"/>
                <w:szCs w:val="22"/>
                <w:color w:val="auto"/>
              </w:rPr>
            </w:pPr>
          </w:p>
        </w:tc>
        <w:tc>
          <w:tcPr>
            <w:tcW w:w="0" w:type="dxa"/>
            <w:vAlign w:val="bottom"/>
          </w:tcPr>
          <w:p>
            <w:pPr>
              <w:spacing w:after="0"/>
              <w:rPr>
                <w:sz w:val="1"/>
                <w:szCs w:val="1"/>
                <w:color w:val="auto"/>
              </w:rPr>
            </w:pPr>
          </w:p>
        </w:tc>
      </w:tr>
      <w:tr>
        <w:trPr>
          <w:trHeight w:val="246"/>
        </w:trPr>
        <w:tc>
          <w:tcPr>
            <w:tcW w:w="2760" w:type="dxa"/>
            <w:vAlign w:val="bottom"/>
            <w:shd w:val="clear" w:color="auto" w:fill="333333"/>
          </w:tcPr>
          <w:p>
            <w:pPr>
              <w:spacing w:after="0"/>
              <w:rPr>
                <w:sz w:val="21"/>
                <w:szCs w:val="21"/>
                <w:color w:val="auto"/>
              </w:rPr>
            </w:pPr>
          </w:p>
        </w:tc>
        <w:tc>
          <w:tcPr>
            <w:tcW w:w="1100" w:type="dxa"/>
            <w:vAlign w:val="bottom"/>
            <w:shd w:val="clear" w:color="auto" w:fill="333333"/>
          </w:tcPr>
          <w:p>
            <w:pPr>
              <w:spacing w:after="0"/>
              <w:rPr>
                <w:sz w:val="21"/>
                <w:szCs w:val="21"/>
                <w:color w:val="auto"/>
              </w:rPr>
            </w:pPr>
          </w:p>
        </w:tc>
        <w:tc>
          <w:tcPr>
            <w:tcW w:w="1420" w:type="dxa"/>
            <w:vAlign w:val="bottom"/>
            <w:shd w:val="clear" w:color="auto" w:fill="333333"/>
          </w:tcPr>
          <w:p>
            <w:pPr>
              <w:jc w:val="center"/>
              <w:ind w:right="219"/>
              <w:spacing w:after="0"/>
              <w:rPr>
                <w:sz w:val="20"/>
                <w:szCs w:val="20"/>
                <w:color w:val="auto"/>
              </w:rPr>
            </w:pPr>
            <w:r>
              <w:rPr>
                <w:rFonts w:ascii="Arial" w:cs="Arial" w:eastAsia="Arial" w:hAnsi="Arial"/>
                <w:sz w:val="16"/>
                <w:szCs w:val="16"/>
                <w:b w:val="1"/>
                <w:bCs w:val="1"/>
                <w:color w:val="FFFFFF"/>
                <w:w w:val="93"/>
              </w:rPr>
              <w:t>Adjusted</w:t>
            </w:r>
          </w:p>
        </w:tc>
        <w:tc>
          <w:tcPr>
            <w:tcW w:w="2420" w:type="dxa"/>
            <w:vAlign w:val="bottom"/>
            <w:shd w:val="clear" w:color="auto" w:fill="333333"/>
          </w:tcPr>
          <w:p>
            <w:pPr>
              <w:spacing w:after="0"/>
              <w:rPr>
                <w:sz w:val="21"/>
                <w:szCs w:val="21"/>
                <w:color w:val="auto"/>
              </w:rPr>
            </w:pPr>
          </w:p>
        </w:tc>
        <w:tc>
          <w:tcPr>
            <w:tcW w:w="0" w:type="dxa"/>
            <w:vAlign w:val="bottom"/>
          </w:tcPr>
          <w:p>
            <w:pPr>
              <w:spacing w:after="0"/>
              <w:rPr>
                <w:sz w:val="1"/>
                <w:szCs w:val="1"/>
                <w:color w:val="auto"/>
              </w:rPr>
            </w:pPr>
          </w:p>
        </w:tc>
      </w:tr>
      <w:tr>
        <w:trPr>
          <w:trHeight w:val="199"/>
        </w:trPr>
        <w:tc>
          <w:tcPr>
            <w:tcW w:w="2760" w:type="dxa"/>
            <w:vAlign w:val="bottom"/>
            <w:shd w:val="clear" w:color="auto" w:fill="333333"/>
          </w:tcPr>
          <w:p>
            <w:pPr>
              <w:spacing w:after="0"/>
              <w:rPr>
                <w:sz w:val="17"/>
                <w:szCs w:val="17"/>
                <w:color w:val="auto"/>
              </w:rPr>
            </w:pPr>
          </w:p>
        </w:tc>
        <w:tc>
          <w:tcPr>
            <w:tcW w:w="1100" w:type="dxa"/>
            <w:vAlign w:val="bottom"/>
            <w:shd w:val="clear" w:color="auto" w:fill="333333"/>
          </w:tcPr>
          <w:p>
            <w:pPr>
              <w:jc w:val="center"/>
              <w:spacing w:after="0"/>
              <w:rPr>
                <w:sz w:val="20"/>
                <w:szCs w:val="20"/>
                <w:color w:val="auto"/>
              </w:rPr>
            </w:pPr>
            <w:r>
              <w:rPr>
                <w:rFonts w:ascii="Arial" w:cs="Arial" w:eastAsia="Arial" w:hAnsi="Arial"/>
                <w:sz w:val="16"/>
                <w:szCs w:val="16"/>
                <w:b w:val="1"/>
                <w:bCs w:val="1"/>
                <w:color w:val="FFFFFF"/>
                <w:w w:val="90"/>
              </w:rPr>
              <w:t>Adjusted</w:t>
            </w:r>
          </w:p>
        </w:tc>
        <w:tc>
          <w:tcPr>
            <w:tcW w:w="1420" w:type="dxa"/>
            <w:vAlign w:val="bottom"/>
            <w:shd w:val="clear" w:color="auto" w:fill="333333"/>
          </w:tcPr>
          <w:p>
            <w:pPr>
              <w:jc w:val="center"/>
              <w:ind w:right="219"/>
              <w:spacing w:after="0"/>
              <w:rPr>
                <w:sz w:val="20"/>
                <w:szCs w:val="20"/>
                <w:color w:val="auto"/>
              </w:rPr>
            </w:pPr>
            <w:r>
              <w:rPr>
                <w:rFonts w:ascii="Arial" w:cs="Arial" w:eastAsia="Arial" w:hAnsi="Arial"/>
                <w:sz w:val="16"/>
                <w:szCs w:val="16"/>
                <w:b w:val="1"/>
                <w:bCs w:val="1"/>
                <w:color w:val="FFFFFF"/>
                <w:w w:val="95"/>
              </w:rPr>
              <w:t>Operating</w:t>
            </w:r>
          </w:p>
        </w:tc>
        <w:tc>
          <w:tcPr>
            <w:tcW w:w="2420" w:type="dxa"/>
            <w:vAlign w:val="bottom"/>
            <w:shd w:val="clear" w:color="auto" w:fill="333333"/>
          </w:tcPr>
          <w:p>
            <w:pPr>
              <w:jc w:val="center"/>
              <w:ind w:right="39"/>
              <w:spacing w:after="0"/>
              <w:rPr>
                <w:sz w:val="20"/>
                <w:szCs w:val="20"/>
                <w:color w:val="auto"/>
              </w:rPr>
            </w:pPr>
            <w:r>
              <w:rPr>
                <w:rFonts w:ascii="Arial" w:cs="Arial" w:eastAsia="Arial" w:hAnsi="Arial"/>
                <w:sz w:val="16"/>
                <w:szCs w:val="16"/>
                <w:b w:val="1"/>
                <w:bCs w:val="1"/>
                <w:color w:val="FFFFFF"/>
                <w:w w:val="87"/>
              </w:rPr>
              <w:t>Safety</w:t>
            </w:r>
          </w:p>
        </w:tc>
        <w:tc>
          <w:tcPr>
            <w:tcW w:w="0" w:type="dxa"/>
            <w:vAlign w:val="bottom"/>
          </w:tcPr>
          <w:p>
            <w:pPr>
              <w:spacing w:after="0"/>
              <w:rPr>
                <w:sz w:val="1"/>
                <w:szCs w:val="1"/>
                <w:color w:val="auto"/>
              </w:rPr>
            </w:pPr>
          </w:p>
        </w:tc>
      </w:tr>
      <w:tr>
        <w:trPr>
          <w:trHeight w:val="233"/>
        </w:trPr>
        <w:tc>
          <w:tcPr>
            <w:tcW w:w="2760" w:type="dxa"/>
            <w:vAlign w:val="bottom"/>
            <w:shd w:val="clear" w:color="auto" w:fill="333333"/>
          </w:tcPr>
          <w:p>
            <w:pPr>
              <w:spacing w:after="0"/>
              <w:rPr>
                <w:sz w:val="20"/>
                <w:szCs w:val="20"/>
                <w:color w:val="auto"/>
              </w:rPr>
            </w:pPr>
          </w:p>
        </w:tc>
        <w:tc>
          <w:tcPr>
            <w:tcW w:w="1100" w:type="dxa"/>
            <w:vAlign w:val="bottom"/>
            <w:shd w:val="clear" w:color="auto" w:fill="333333"/>
          </w:tcPr>
          <w:p>
            <w:pPr>
              <w:jc w:val="center"/>
              <w:spacing w:after="0" w:line="233" w:lineRule="exact"/>
              <w:rPr>
                <w:sz w:val="20"/>
                <w:szCs w:val="20"/>
                <w:color w:val="auto"/>
              </w:rPr>
            </w:pPr>
            <w:r>
              <w:rPr>
                <w:rFonts w:ascii="Arial" w:cs="Arial" w:eastAsia="Arial" w:hAnsi="Arial"/>
                <w:sz w:val="16"/>
                <w:szCs w:val="16"/>
                <w:b w:val="1"/>
                <w:bCs w:val="1"/>
                <w:color w:val="FFFFFF"/>
                <w:w w:val="95"/>
              </w:rPr>
              <w:t>EBITDA</w:t>
            </w:r>
            <w:r>
              <w:rPr>
                <w:rFonts w:ascii="Arial" w:cs="Arial" w:eastAsia="Arial" w:hAnsi="Arial"/>
                <w:sz w:val="27"/>
                <w:szCs w:val="27"/>
                <w:b w:val="1"/>
                <w:bCs w:val="1"/>
                <w:color w:val="FFFFFF"/>
                <w:w w:val="95"/>
                <w:vertAlign w:val="superscript"/>
              </w:rPr>
              <w:t>(1)</w:t>
            </w:r>
          </w:p>
        </w:tc>
        <w:tc>
          <w:tcPr>
            <w:tcW w:w="1420" w:type="dxa"/>
            <w:vAlign w:val="bottom"/>
            <w:shd w:val="clear" w:color="auto" w:fill="333333"/>
          </w:tcPr>
          <w:p>
            <w:pPr>
              <w:jc w:val="center"/>
              <w:ind w:right="219"/>
              <w:spacing w:after="0" w:line="233" w:lineRule="exact"/>
              <w:rPr>
                <w:sz w:val="20"/>
                <w:szCs w:val="20"/>
                <w:color w:val="auto"/>
              </w:rPr>
            </w:pPr>
            <w:r>
              <w:rPr>
                <w:rFonts w:ascii="Arial" w:cs="Arial" w:eastAsia="Arial" w:hAnsi="Arial"/>
                <w:sz w:val="16"/>
                <w:szCs w:val="16"/>
                <w:b w:val="1"/>
                <w:bCs w:val="1"/>
                <w:color w:val="FFFFFF"/>
                <w:w w:val="86"/>
              </w:rPr>
              <w:t>Cash flow</w:t>
            </w:r>
            <w:r>
              <w:rPr>
                <w:rFonts w:ascii="Arial" w:cs="Arial" w:eastAsia="Arial" w:hAnsi="Arial"/>
                <w:sz w:val="27"/>
                <w:szCs w:val="27"/>
                <w:b w:val="1"/>
                <w:bCs w:val="1"/>
                <w:color w:val="FFFFFF"/>
                <w:w w:val="86"/>
                <w:vertAlign w:val="superscript"/>
              </w:rPr>
              <w:t>(2)</w:t>
            </w:r>
          </w:p>
        </w:tc>
        <w:tc>
          <w:tcPr>
            <w:tcW w:w="2420" w:type="dxa"/>
            <w:vAlign w:val="bottom"/>
            <w:shd w:val="clear" w:color="auto" w:fill="333333"/>
          </w:tcPr>
          <w:p>
            <w:pPr>
              <w:jc w:val="center"/>
              <w:ind w:right="39"/>
              <w:spacing w:after="0"/>
              <w:rPr>
                <w:sz w:val="20"/>
                <w:szCs w:val="20"/>
                <w:color w:val="auto"/>
              </w:rPr>
            </w:pPr>
            <w:r>
              <w:rPr>
                <w:rFonts w:ascii="Arial" w:cs="Arial" w:eastAsia="Arial" w:hAnsi="Arial"/>
                <w:sz w:val="16"/>
                <w:szCs w:val="16"/>
                <w:b w:val="1"/>
                <w:bCs w:val="1"/>
                <w:color w:val="FFFFFF"/>
                <w:w w:val="91"/>
              </w:rPr>
              <w:t>modifier</w:t>
            </w:r>
          </w:p>
        </w:tc>
        <w:tc>
          <w:tcPr>
            <w:tcW w:w="0" w:type="dxa"/>
            <w:vAlign w:val="bottom"/>
          </w:tcPr>
          <w:p>
            <w:pPr>
              <w:spacing w:after="0"/>
              <w:rPr>
                <w:sz w:val="1"/>
                <w:szCs w:val="1"/>
                <w:color w:val="auto"/>
              </w:rPr>
            </w:pPr>
          </w:p>
        </w:tc>
      </w:tr>
      <w:tr>
        <w:trPr>
          <w:trHeight w:val="203"/>
        </w:trPr>
        <w:tc>
          <w:tcPr>
            <w:tcW w:w="2760" w:type="dxa"/>
            <w:vAlign w:val="bottom"/>
            <w:tcBorders>
              <w:bottom w:val="single" w:sz="8" w:color="D8D8D8"/>
            </w:tcBorders>
          </w:tcPr>
          <w:p>
            <w:pPr>
              <w:ind w:left="60"/>
              <w:spacing w:after="0"/>
              <w:rPr>
                <w:sz w:val="20"/>
                <w:szCs w:val="20"/>
                <w:color w:val="auto"/>
              </w:rPr>
            </w:pPr>
            <w:r>
              <w:rPr>
                <w:rFonts w:ascii="Arial" w:cs="Arial" w:eastAsia="Arial" w:hAnsi="Arial"/>
                <w:sz w:val="16"/>
                <w:szCs w:val="16"/>
                <w:color w:val="auto"/>
              </w:rPr>
              <w:t>Weighting</w:t>
            </w:r>
          </w:p>
        </w:tc>
        <w:tc>
          <w:tcPr>
            <w:tcW w:w="11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93"/>
              </w:rPr>
              <w:t>60%</w:t>
            </w:r>
          </w:p>
        </w:tc>
        <w:tc>
          <w:tcPr>
            <w:tcW w:w="1420" w:type="dxa"/>
            <w:vAlign w:val="bottom"/>
            <w:tcBorders>
              <w:bottom w:val="single" w:sz="8" w:color="D8D8D8"/>
            </w:tcBorders>
          </w:tcPr>
          <w:p>
            <w:pPr>
              <w:jc w:val="center"/>
              <w:ind w:right="159"/>
              <w:spacing w:after="0"/>
              <w:rPr>
                <w:sz w:val="20"/>
                <w:szCs w:val="20"/>
                <w:color w:val="auto"/>
              </w:rPr>
            </w:pPr>
            <w:r>
              <w:rPr>
                <w:rFonts w:ascii="Arial" w:cs="Arial" w:eastAsia="Arial" w:hAnsi="Arial"/>
                <w:sz w:val="16"/>
                <w:szCs w:val="16"/>
                <w:color w:val="auto"/>
                <w:w w:val="93"/>
              </w:rPr>
              <w:t>40%</w:t>
            </w:r>
          </w:p>
        </w:tc>
        <w:tc>
          <w:tcPr>
            <w:tcW w:w="2420" w:type="dxa"/>
            <w:vAlign w:val="bottom"/>
            <w:tcBorders>
              <w:bottom w:val="single" w:sz="8" w:color="D8D8D8"/>
            </w:tcBorders>
          </w:tcPr>
          <w:p>
            <w:pPr>
              <w:jc w:val="center"/>
              <w:ind w:right="39"/>
              <w:spacing w:after="0"/>
              <w:rPr>
                <w:sz w:val="20"/>
                <w:szCs w:val="20"/>
                <w:color w:val="auto"/>
              </w:rPr>
            </w:pPr>
            <w:r>
              <w:rPr>
                <w:rFonts w:ascii="Arial" w:cs="Arial" w:eastAsia="Arial" w:hAnsi="Arial"/>
                <w:sz w:val="16"/>
                <w:szCs w:val="16"/>
                <w:color w:val="auto"/>
                <w:w w:val="98"/>
              </w:rPr>
              <w:t>+/- 5%</w:t>
            </w:r>
          </w:p>
        </w:tc>
        <w:tc>
          <w:tcPr>
            <w:tcW w:w="0" w:type="dxa"/>
            <w:vAlign w:val="bottom"/>
          </w:tcPr>
          <w:p>
            <w:pPr>
              <w:spacing w:after="0"/>
              <w:rPr>
                <w:sz w:val="1"/>
                <w:szCs w:val="1"/>
                <w:color w:val="auto"/>
              </w:rPr>
            </w:pPr>
          </w:p>
        </w:tc>
      </w:tr>
      <w:tr>
        <w:trPr>
          <w:trHeight w:val="186"/>
        </w:trPr>
        <w:tc>
          <w:tcPr>
            <w:tcW w:w="276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420" w:type="dxa"/>
            <w:vAlign w:val="bottom"/>
            <w:vMerge w:val="restart"/>
          </w:tcPr>
          <w:p>
            <w:pPr>
              <w:jc w:val="right"/>
              <w:ind w:right="259"/>
              <w:spacing w:after="0"/>
              <w:rPr>
                <w:sz w:val="20"/>
                <w:szCs w:val="20"/>
                <w:color w:val="auto"/>
              </w:rPr>
            </w:pPr>
            <w:r>
              <w:rPr>
                <w:rFonts w:ascii="Arial" w:cs="Arial" w:eastAsia="Arial" w:hAnsi="Arial"/>
                <w:sz w:val="16"/>
                <w:szCs w:val="16"/>
                <w:color w:val="auto"/>
              </w:rPr>
              <w:t>1H: $(12.6)M</w:t>
            </w:r>
          </w:p>
        </w:tc>
        <w:tc>
          <w:tcPr>
            <w:tcW w:w="2420" w:type="dxa"/>
            <w:vAlign w:val="bottom"/>
          </w:tcPr>
          <w:p>
            <w:pPr>
              <w:jc w:val="center"/>
              <w:ind w:right="39"/>
              <w:spacing w:after="0"/>
              <w:rPr>
                <w:sz w:val="20"/>
                <w:szCs w:val="20"/>
                <w:color w:val="auto"/>
              </w:rPr>
            </w:pPr>
            <w:r>
              <w:rPr>
                <w:rFonts w:ascii="Arial" w:cs="Arial" w:eastAsia="Arial" w:hAnsi="Arial"/>
                <w:sz w:val="16"/>
                <w:szCs w:val="16"/>
                <w:color w:val="auto"/>
                <w:w w:val="94"/>
              </w:rPr>
              <w:t>&lt; 1.90 OSHA</w:t>
            </w:r>
          </w:p>
        </w:tc>
        <w:tc>
          <w:tcPr>
            <w:tcW w:w="0" w:type="dxa"/>
            <w:vAlign w:val="bottom"/>
          </w:tcPr>
          <w:p>
            <w:pPr>
              <w:spacing w:after="0"/>
              <w:rPr>
                <w:sz w:val="1"/>
                <w:szCs w:val="1"/>
                <w:color w:val="auto"/>
              </w:rPr>
            </w:pPr>
          </w:p>
        </w:tc>
      </w:tr>
      <w:tr>
        <w:trPr>
          <w:trHeight w:val="95"/>
        </w:trPr>
        <w:tc>
          <w:tcPr>
            <w:tcW w:w="2760" w:type="dxa"/>
            <w:vAlign w:val="bottom"/>
            <w:vMerge w:val="restart"/>
          </w:tcPr>
          <w:p>
            <w:pPr>
              <w:ind w:left="60"/>
              <w:spacing w:after="0"/>
              <w:rPr>
                <w:sz w:val="20"/>
                <w:szCs w:val="20"/>
                <w:color w:val="auto"/>
              </w:rPr>
            </w:pPr>
            <w:r>
              <w:rPr>
                <w:rFonts w:ascii="Arial" w:cs="Arial" w:eastAsia="Arial" w:hAnsi="Arial"/>
                <w:sz w:val="16"/>
                <w:szCs w:val="16"/>
                <w:color w:val="auto"/>
              </w:rPr>
              <w:t>Performance target</w:t>
            </w:r>
          </w:p>
        </w:tc>
        <w:tc>
          <w:tcPr>
            <w:tcW w:w="1100" w:type="dxa"/>
            <w:vAlign w:val="bottom"/>
            <w:vMerge w:val="restart"/>
          </w:tcPr>
          <w:p>
            <w:pPr>
              <w:jc w:val="center"/>
              <w:spacing w:after="0"/>
              <w:rPr>
                <w:sz w:val="20"/>
                <w:szCs w:val="20"/>
                <w:color w:val="auto"/>
              </w:rPr>
            </w:pPr>
            <w:r>
              <w:rPr>
                <w:rFonts w:ascii="Arial" w:cs="Arial" w:eastAsia="Arial" w:hAnsi="Arial"/>
                <w:sz w:val="16"/>
                <w:szCs w:val="16"/>
                <w:color w:val="auto"/>
                <w:w w:val="93"/>
              </w:rPr>
              <w:t>$74.1M</w:t>
            </w:r>
          </w:p>
        </w:tc>
        <w:tc>
          <w:tcPr>
            <w:tcW w:w="1420" w:type="dxa"/>
            <w:vAlign w:val="bottom"/>
            <w:vMerge w:val="continue"/>
          </w:tcPr>
          <w:p>
            <w:pPr>
              <w:spacing w:after="0"/>
              <w:rPr>
                <w:sz w:val="8"/>
                <w:szCs w:val="8"/>
                <w:color w:val="auto"/>
              </w:rPr>
            </w:pPr>
          </w:p>
        </w:tc>
        <w:tc>
          <w:tcPr>
            <w:tcW w:w="2420" w:type="dxa"/>
            <w:vAlign w:val="bottom"/>
            <w:vMerge w:val="restart"/>
          </w:tcPr>
          <w:p>
            <w:pPr>
              <w:jc w:val="center"/>
              <w:ind w:right="39"/>
              <w:spacing w:after="0"/>
              <w:rPr>
                <w:sz w:val="20"/>
                <w:szCs w:val="20"/>
                <w:color w:val="auto"/>
              </w:rPr>
            </w:pPr>
            <w:r>
              <w:rPr>
                <w:rFonts w:ascii="Arial" w:cs="Arial" w:eastAsia="Arial" w:hAnsi="Arial"/>
                <w:sz w:val="16"/>
                <w:szCs w:val="16"/>
                <w:color w:val="auto"/>
                <w:w w:val="91"/>
              </w:rPr>
              <w:t>recordables; &lt; 0.35 lost-</w:t>
            </w:r>
          </w:p>
        </w:tc>
        <w:tc>
          <w:tcPr>
            <w:tcW w:w="0" w:type="dxa"/>
            <w:vAlign w:val="bottom"/>
          </w:tcPr>
          <w:p>
            <w:pPr>
              <w:spacing w:after="0"/>
              <w:rPr>
                <w:sz w:val="1"/>
                <w:szCs w:val="1"/>
                <w:color w:val="auto"/>
              </w:rPr>
            </w:pPr>
          </w:p>
        </w:tc>
      </w:tr>
      <w:tr>
        <w:trPr>
          <w:trHeight w:val="108"/>
        </w:trPr>
        <w:tc>
          <w:tcPr>
            <w:tcW w:w="2760" w:type="dxa"/>
            <w:vAlign w:val="bottom"/>
            <w:vMerge w:val="continue"/>
          </w:tcPr>
          <w:p>
            <w:pPr>
              <w:spacing w:after="0"/>
              <w:rPr>
                <w:sz w:val="9"/>
                <w:szCs w:val="9"/>
                <w:color w:val="auto"/>
              </w:rPr>
            </w:pPr>
          </w:p>
        </w:tc>
        <w:tc>
          <w:tcPr>
            <w:tcW w:w="1100" w:type="dxa"/>
            <w:vAlign w:val="bottom"/>
            <w:vMerge w:val="continue"/>
          </w:tcPr>
          <w:p>
            <w:pPr>
              <w:spacing w:after="0"/>
              <w:rPr>
                <w:sz w:val="9"/>
                <w:szCs w:val="9"/>
                <w:color w:val="auto"/>
              </w:rPr>
            </w:pPr>
          </w:p>
        </w:tc>
        <w:tc>
          <w:tcPr>
            <w:tcW w:w="1420" w:type="dxa"/>
            <w:vAlign w:val="bottom"/>
            <w:vMerge w:val="restart"/>
          </w:tcPr>
          <w:p>
            <w:pPr>
              <w:jc w:val="right"/>
              <w:ind w:right="259"/>
              <w:spacing w:after="0"/>
              <w:rPr>
                <w:sz w:val="20"/>
                <w:szCs w:val="20"/>
                <w:color w:val="auto"/>
              </w:rPr>
            </w:pPr>
            <w:r>
              <w:rPr>
                <w:rFonts w:ascii="Arial" w:cs="Arial" w:eastAsia="Arial" w:hAnsi="Arial"/>
                <w:sz w:val="16"/>
                <w:szCs w:val="16"/>
                <w:color w:val="auto"/>
              </w:rPr>
              <w:t>2H: $25.0M</w:t>
            </w:r>
          </w:p>
        </w:tc>
        <w:tc>
          <w:tcPr>
            <w:tcW w:w="24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8"/>
        </w:trPr>
        <w:tc>
          <w:tcPr>
            <w:tcW w:w="27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1420" w:type="dxa"/>
            <w:vAlign w:val="bottom"/>
            <w:vMerge w:val="continue"/>
          </w:tcPr>
          <w:p>
            <w:pPr>
              <w:spacing w:after="0"/>
              <w:rPr>
                <w:sz w:val="8"/>
                <w:szCs w:val="8"/>
                <w:color w:val="auto"/>
              </w:rPr>
            </w:pPr>
          </w:p>
        </w:tc>
        <w:tc>
          <w:tcPr>
            <w:tcW w:w="2420" w:type="dxa"/>
            <w:vAlign w:val="bottom"/>
            <w:vMerge w:val="restart"/>
          </w:tcPr>
          <w:p>
            <w:pPr>
              <w:jc w:val="center"/>
              <w:ind w:right="39"/>
              <w:spacing w:after="0"/>
              <w:rPr>
                <w:sz w:val="20"/>
                <w:szCs w:val="20"/>
                <w:color w:val="auto"/>
              </w:rPr>
            </w:pPr>
            <w:r>
              <w:rPr>
                <w:rFonts w:ascii="Arial" w:cs="Arial" w:eastAsia="Arial" w:hAnsi="Arial"/>
                <w:sz w:val="16"/>
                <w:szCs w:val="16"/>
                <w:color w:val="auto"/>
                <w:w w:val="95"/>
              </w:rPr>
              <w:t>time incident</w:t>
            </w:r>
          </w:p>
        </w:tc>
        <w:tc>
          <w:tcPr>
            <w:tcW w:w="0" w:type="dxa"/>
            <w:vAlign w:val="bottom"/>
          </w:tcPr>
          <w:p>
            <w:pPr>
              <w:spacing w:after="0"/>
              <w:rPr>
                <w:sz w:val="1"/>
                <w:szCs w:val="1"/>
                <w:color w:val="auto"/>
              </w:rPr>
            </w:pPr>
          </w:p>
        </w:tc>
      </w:tr>
      <w:tr>
        <w:trPr>
          <w:trHeight w:val="121"/>
        </w:trPr>
        <w:tc>
          <w:tcPr>
            <w:tcW w:w="2760" w:type="dxa"/>
            <w:vAlign w:val="bottom"/>
            <w:tcBorders>
              <w:bottom w:val="single" w:sz="8" w:color="D8D8D8"/>
            </w:tcBorders>
          </w:tcPr>
          <w:p>
            <w:pPr>
              <w:spacing w:after="0"/>
              <w:rPr>
                <w:sz w:val="10"/>
                <w:szCs w:val="10"/>
                <w:color w:val="auto"/>
              </w:rPr>
            </w:pPr>
          </w:p>
        </w:tc>
        <w:tc>
          <w:tcPr>
            <w:tcW w:w="1100" w:type="dxa"/>
            <w:vAlign w:val="bottom"/>
            <w:tcBorders>
              <w:bottom w:val="single" w:sz="8" w:color="D8D8D8"/>
            </w:tcBorders>
          </w:tcPr>
          <w:p>
            <w:pPr>
              <w:spacing w:after="0"/>
              <w:rPr>
                <w:sz w:val="10"/>
                <w:szCs w:val="10"/>
                <w:color w:val="auto"/>
              </w:rPr>
            </w:pPr>
          </w:p>
        </w:tc>
        <w:tc>
          <w:tcPr>
            <w:tcW w:w="1420" w:type="dxa"/>
            <w:vAlign w:val="bottom"/>
            <w:tcBorders>
              <w:bottom w:val="single" w:sz="8" w:color="D8D8D8"/>
            </w:tcBorders>
          </w:tcPr>
          <w:p>
            <w:pPr>
              <w:spacing w:after="0"/>
              <w:rPr>
                <w:sz w:val="10"/>
                <w:szCs w:val="10"/>
                <w:color w:val="auto"/>
              </w:rPr>
            </w:pPr>
          </w:p>
        </w:tc>
        <w:tc>
          <w:tcPr>
            <w:tcW w:w="2420" w:type="dxa"/>
            <w:vAlign w:val="bottom"/>
            <w:tcBorders>
              <w:bottom w:val="single" w:sz="8" w:color="D8D8D8"/>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93"/>
        </w:trPr>
        <w:tc>
          <w:tcPr>
            <w:tcW w:w="2760" w:type="dxa"/>
            <w:vAlign w:val="bottom"/>
          </w:tcPr>
          <w:p>
            <w:pPr>
              <w:ind w:left="60"/>
              <w:spacing w:after="0"/>
              <w:rPr>
                <w:sz w:val="20"/>
                <w:szCs w:val="20"/>
                <w:color w:val="auto"/>
              </w:rPr>
            </w:pPr>
            <w:r>
              <w:rPr>
                <w:rFonts w:ascii="Arial" w:cs="Arial" w:eastAsia="Arial" w:hAnsi="Arial"/>
                <w:sz w:val="16"/>
                <w:szCs w:val="16"/>
                <w:color w:val="auto"/>
              </w:rPr>
              <w:t>Result</w:t>
            </w:r>
          </w:p>
        </w:tc>
        <w:tc>
          <w:tcPr>
            <w:tcW w:w="1100" w:type="dxa"/>
            <w:vAlign w:val="bottom"/>
          </w:tcPr>
          <w:p>
            <w:pPr>
              <w:jc w:val="center"/>
              <w:spacing w:after="0"/>
              <w:rPr>
                <w:sz w:val="20"/>
                <w:szCs w:val="20"/>
                <w:color w:val="auto"/>
              </w:rPr>
            </w:pPr>
            <w:r>
              <w:rPr>
                <w:rFonts w:ascii="Arial" w:cs="Arial" w:eastAsia="Arial" w:hAnsi="Arial"/>
                <w:sz w:val="16"/>
                <w:szCs w:val="16"/>
                <w:color w:val="auto"/>
                <w:w w:val="93"/>
              </w:rPr>
              <w:t>$247.3M</w:t>
            </w:r>
          </w:p>
        </w:tc>
        <w:tc>
          <w:tcPr>
            <w:tcW w:w="1420" w:type="dxa"/>
            <w:vAlign w:val="bottom"/>
          </w:tcPr>
          <w:p>
            <w:pPr>
              <w:jc w:val="right"/>
              <w:ind w:right="259"/>
              <w:spacing w:after="0"/>
              <w:rPr>
                <w:sz w:val="20"/>
                <w:szCs w:val="20"/>
                <w:color w:val="auto"/>
              </w:rPr>
            </w:pPr>
            <w:r>
              <w:rPr>
                <w:rFonts w:ascii="Arial" w:cs="Arial" w:eastAsia="Arial" w:hAnsi="Arial"/>
                <w:sz w:val="16"/>
                <w:szCs w:val="16"/>
                <w:color w:val="auto"/>
              </w:rPr>
              <w:t>1H: $49.0M</w:t>
            </w:r>
          </w:p>
        </w:tc>
        <w:tc>
          <w:tcPr>
            <w:tcW w:w="2420" w:type="dxa"/>
            <w:vAlign w:val="bottom"/>
          </w:tcPr>
          <w:p>
            <w:pPr>
              <w:jc w:val="center"/>
              <w:ind w:right="39"/>
              <w:spacing w:after="0"/>
              <w:rPr>
                <w:sz w:val="20"/>
                <w:szCs w:val="20"/>
                <w:color w:val="auto"/>
              </w:rPr>
            </w:pPr>
            <w:r>
              <w:rPr>
                <w:rFonts w:ascii="Arial" w:cs="Arial" w:eastAsia="Arial" w:hAnsi="Arial"/>
                <w:sz w:val="16"/>
                <w:szCs w:val="16"/>
                <w:color w:val="auto"/>
                <w:w w:val="91"/>
              </w:rPr>
              <w:t>1.85 OSHA recordables;</w:t>
            </w:r>
          </w:p>
        </w:tc>
        <w:tc>
          <w:tcPr>
            <w:tcW w:w="0" w:type="dxa"/>
            <w:vAlign w:val="bottom"/>
          </w:tcPr>
          <w:p>
            <w:pPr>
              <w:spacing w:after="0"/>
              <w:rPr>
                <w:sz w:val="1"/>
                <w:szCs w:val="1"/>
                <w:color w:val="auto"/>
              </w:rPr>
            </w:pPr>
          </w:p>
        </w:tc>
      </w:tr>
      <w:tr>
        <w:trPr>
          <w:trHeight w:val="219"/>
        </w:trPr>
        <w:tc>
          <w:tcPr>
            <w:tcW w:w="2760" w:type="dxa"/>
            <w:vAlign w:val="bottom"/>
            <w:tcBorders>
              <w:bottom w:val="single" w:sz="8" w:color="D8D8D8"/>
            </w:tcBorders>
          </w:tcPr>
          <w:p>
            <w:pPr>
              <w:spacing w:after="0"/>
              <w:rPr>
                <w:sz w:val="19"/>
                <w:szCs w:val="19"/>
                <w:color w:val="auto"/>
              </w:rPr>
            </w:pPr>
          </w:p>
        </w:tc>
        <w:tc>
          <w:tcPr>
            <w:tcW w:w="1100" w:type="dxa"/>
            <w:vAlign w:val="bottom"/>
            <w:tcBorders>
              <w:bottom w:val="single" w:sz="8" w:color="D8D8D8"/>
            </w:tcBorders>
          </w:tcPr>
          <w:p>
            <w:pPr>
              <w:spacing w:after="0"/>
              <w:rPr>
                <w:sz w:val="19"/>
                <w:szCs w:val="19"/>
                <w:color w:val="auto"/>
              </w:rPr>
            </w:pPr>
          </w:p>
        </w:tc>
        <w:tc>
          <w:tcPr>
            <w:tcW w:w="1420" w:type="dxa"/>
            <w:vAlign w:val="bottom"/>
            <w:tcBorders>
              <w:bottom w:val="single" w:sz="8" w:color="D8D8D8"/>
            </w:tcBorders>
          </w:tcPr>
          <w:p>
            <w:pPr>
              <w:jc w:val="right"/>
              <w:ind w:right="259"/>
              <w:spacing w:after="0"/>
              <w:rPr>
                <w:sz w:val="20"/>
                <w:szCs w:val="20"/>
                <w:color w:val="auto"/>
              </w:rPr>
            </w:pPr>
            <w:r>
              <w:rPr>
                <w:rFonts w:ascii="Arial" w:cs="Arial" w:eastAsia="Arial" w:hAnsi="Arial"/>
                <w:sz w:val="16"/>
                <w:szCs w:val="16"/>
                <w:color w:val="auto"/>
              </w:rPr>
              <w:t>2H: $166.1M</w:t>
            </w:r>
          </w:p>
        </w:tc>
        <w:tc>
          <w:tcPr>
            <w:tcW w:w="2420" w:type="dxa"/>
            <w:vAlign w:val="bottom"/>
            <w:tcBorders>
              <w:bottom w:val="single" w:sz="8" w:color="D8D8D8"/>
            </w:tcBorders>
          </w:tcPr>
          <w:p>
            <w:pPr>
              <w:jc w:val="center"/>
              <w:ind w:right="39"/>
              <w:spacing w:after="0"/>
              <w:rPr>
                <w:sz w:val="20"/>
                <w:szCs w:val="20"/>
                <w:color w:val="auto"/>
              </w:rPr>
            </w:pPr>
            <w:r>
              <w:rPr>
                <w:rFonts w:ascii="Arial" w:cs="Arial" w:eastAsia="Arial" w:hAnsi="Arial"/>
                <w:sz w:val="16"/>
                <w:szCs w:val="16"/>
                <w:color w:val="auto"/>
                <w:w w:val="93"/>
              </w:rPr>
              <w:t>0.32 lost-time incident</w:t>
            </w:r>
          </w:p>
        </w:tc>
        <w:tc>
          <w:tcPr>
            <w:tcW w:w="0" w:type="dxa"/>
            <w:vAlign w:val="bottom"/>
          </w:tcPr>
          <w:p>
            <w:pPr>
              <w:spacing w:after="0"/>
              <w:rPr>
                <w:sz w:val="1"/>
                <w:szCs w:val="1"/>
                <w:color w:val="auto"/>
              </w:rPr>
            </w:pPr>
          </w:p>
        </w:tc>
      </w:tr>
      <w:tr>
        <w:trPr>
          <w:trHeight w:val="216"/>
        </w:trPr>
        <w:tc>
          <w:tcPr>
            <w:tcW w:w="2760" w:type="dxa"/>
            <w:vAlign w:val="bottom"/>
            <w:tcBorders>
              <w:bottom w:val="single" w:sz="8" w:color="D8D8D8"/>
            </w:tcBorders>
          </w:tcPr>
          <w:p>
            <w:pPr>
              <w:ind w:left="60"/>
              <w:spacing w:after="0"/>
              <w:rPr>
                <w:sz w:val="20"/>
                <w:szCs w:val="20"/>
                <w:color w:val="auto"/>
              </w:rPr>
            </w:pPr>
            <w:r>
              <w:rPr>
                <w:rFonts w:ascii="Arial" w:cs="Arial" w:eastAsia="Arial" w:hAnsi="Arial"/>
                <w:sz w:val="16"/>
                <w:szCs w:val="16"/>
                <w:color w:val="auto"/>
              </w:rPr>
              <w:t>Metric performance</w:t>
            </w:r>
          </w:p>
        </w:tc>
        <w:tc>
          <w:tcPr>
            <w:tcW w:w="11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92"/>
              </w:rPr>
              <w:t>200%</w:t>
            </w:r>
          </w:p>
        </w:tc>
        <w:tc>
          <w:tcPr>
            <w:tcW w:w="1420" w:type="dxa"/>
            <w:vAlign w:val="bottom"/>
            <w:tcBorders>
              <w:bottom w:val="single" w:sz="8" w:color="D8D8D8"/>
            </w:tcBorders>
          </w:tcPr>
          <w:p>
            <w:pPr>
              <w:jc w:val="center"/>
              <w:ind w:right="159"/>
              <w:spacing w:after="0"/>
              <w:rPr>
                <w:sz w:val="20"/>
                <w:szCs w:val="20"/>
                <w:color w:val="auto"/>
              </w:rPr>
            </w:pPr>
            <w:r>
              <w:rPr>
                <w:rFonts w:ascii="Arial" w:cs="Arial" w:eastAsia="Arial" w:hAnsi="Arial"/>
                <w:sz w:val="16"/>
                <w:szCs w:val="16"/>
                <w:color w:val="auto"/>
                <w:w w:val="92"/>
              </w:rPr>
              <w:t>200%</w:t>
            </w:r>
          </w:p>
        </w:tc>
        <w:tc>
          <w:tcPr>
            <w:tcW w:w="2420" w:type="dxa"/>
            <w:vAlign w:val="bottom"/>
            <w:tcBorders>
              <w:bottom w:val="single" w:sz="8" w:color="D8D8D8"/>
            </w:tcBorders>
          </w:tcPr>
          <w:p>
            <w:pPr>
              <w:jc w:val="center"/>
              <w:ind w:right="39"/>
              <w:spacing w:after="0" w:line="216" w:lineRule="exact"/>
              <w:rPr>
                <w:sz w:val="20"/>
                <w:szCs w:val="20"/>
                <w:color w:val="auto"/>
              </w:rPr>
            </w:pPr>
            <w:r>
              <w:rPr>
                <w:rFonts w:ascii="Arial" w:cs="Arial" w:eastAsia="Arial" w:hAnsi="Arial"/>
                <w:sz w:val="15"/>
                <w:szCs w:val="15"/>
                <w:color w:val="auto"/>
                <w:w w:val="94"/>
              </w:rPr>
              <w:t>Not achieved</w:t>
            </w:r>
            <w:r>
              <w:rPr>
                <w:rFonts w:ascii="Arial" w:cs="Arial" w:eastAsia="Arial" w:hAnsi="Arial"/>
                <w:sz w:val="25"/>
                <w:szCs w:val="25"/>
                <w:color w:val="auto"/>
                <w:w w:val="94"/>
                <w:vertAlign w:val="superscript"/>
              </w:rPr>
              <w:t>(3)</w:t>
            </w:r>
          </w:p>
        </w:tc>
        <w:tc>
          <w:tcPr>
            <w:tcW w:w="0" w:type="dxa"/>
            <w:vAlign w:val="bottom"/>
          </w:tcPr>
          <w:p>
            <w:pPr>
              <w:spacing w:after="0"/>
              <w:rPr>
                <w:sz w:val="1"/>
                <w:szCs w:val="1"/>
                <w:color w:val="auto"/>
              </w:rPr>
            </w:pPr>
          </w:p>
        </w:tc>
      </w:tr>
      <w:tr>
        <w:trPr>
          <w:trHeight w:val="186"/>
        </w:trPr>
        <w:tc>
          <w:tcPr>
            <w:tcW w:w="2760" w:type="dxa"/>
            <w:vAlign w:val="bottom"/>
          </w:tcPr>
          <w:p>
            <w:pPr>
              <w:spacing w:after="0"/>
              <w:rPr>
                <w:sz w:val="16"/>
                <w:szCs w:val="16"/>
                <w:color w:val="auto"/>
              </w:rPr>
            </w:pPr>
          </w:p>
        </w:tc>
        <w:tc>
          <w:tcPr>
            <w:tcW w:w="1100" w:type="dxa"/>
            <w:vAlign w:val="bottom"/>
            <w:vMerge w:val="restart"/>
          </w:tcPr>
          <w:p>
            <w:pPr>
              <w:jc w:val="center"/>
              <w:spacing w:after="0"/>
              <w:rPr>
                <w:sz w:val="20"/>
                <w:szCs w:val="20"/>
                <w:color w:val="auto"/>
              </w:rPr>
            </w:pPr>
            <w:r>
              <w:rPr>
                <w:rFonts w:ascii="Arial" w:cs="Arial" w:eastAsia="Arial" w:hAnsi="Arial"/>
                <w:sz w:val="16"/>
                <w:szCs w:val="16"/>
                <w:b w:val="1"/>
                <w:bCs w:val="1"/>
                <w:color w:val="auto"/>
              </w:rPr>
              <w:t>120%</w:t>
            </w:r>
          </w:p>
        </w:tc>
        <w:tc>
          <w:tcPr>
            <w:tcW w:w="1420" w:type="dxa"/>
            <w:vAlign w:val="bottom"/>
            <w:vMerge w:val="restart"/>
          </w:tcPr>
          <w:p>
            <w:pPr>
              <w:jc w:val="center"/>
              <w:ind w:right="179"/>
              <w:spacing w:after="0"/>
              <w:rPr>
                <w:sz w:val="20"/>
                <w:szCs w:val="20"/>
                <w:color w:val="auto"/>
              </w:rPr>
            </w:pPr>
            <w:r>
              <w:rPr>
                <w:rFonts w:ascii="Arial" w:cs="Arial" w:eastAsia="Arial" w:hAnsi="Arial"/>
                <w:sz w:val="16"/>
                <w:szCs w:val="16"/>
                <w:b w:val="1"/>
                <w:bCs w:val="1"/>
                <w:color w:val="auto"/>
                <w:w w:val="99"/>
              </w:rPr>
              <w:t>80%</w:t>
            </w:r>
          </w:p>
        </w:tc>
        <w:tc>
          <w:tcPr>
            <w:tcW w:w="2420" w:type="dxa"/>
            <w:vAlign w:val="bottom"/>
          </w:tcPr>
          <w:p>
            <w:pPr>
              <w:jc w:val="center"/>
              <w:ind w:right="39"/>
              <w:spacing w:after="0"/>
              <w:rPr>
                <w:sz w:val="20"/>
                <w:szCs w:val="20"/>
                <w:color w:val="auto"/>
              </w:rPr>
            </w:pPr>
            <w:r>
              <w:rPr>
                <w:rFonts w:ascii="Arial" w:cs="Arial" w:eastAsia="Arial" w:hAnsi="Arial"/>
                <w:sz w:val="16"/>
                <w:szCs w:val="16"/>
                <w:b w:val="1"/>
                <w:bCs w:val="1"/>
                <w:color w:val="auto"/>
                <w:w w:val="94"/>
              </w:rPr>
              <w:t>Multiplied by:</w:t>
            </w:r>
          </w:p>
        </w:tc>
        <w:tc>
          <w:tcPr>
            <w:tcW w:w="0" w:type="dxa"/>
            <w:vAlign w:val="bottom"/>
          </w:tcPr>
          <w:p>
            <w:pPr>
              <w:spacing w:after="0"/>
              <w:rPr>
                <w:sz w:val="1"/>
                <w:szCs w:val="1"/>
                <w:color w:val="auto"/>
              </w:rPr>
            </w:pPr>
          </w:p>
        </w:tc>
      </w:tr>
      <w:tr>
        <w:trPr>
          <w:trHeight w:val="203"/>
        </w:trPr>
        <w:tc>
          <w:tcPr>
            <w:tcW w:w="2760" w:type="dxa"/>
            <w:vAlign w:val="bottom"/>
          </w:tcPr>
          <w:p>
            <w:pPr>
              <w:ind w:left="60"/>
              <w:spacing w:after="0"/>
              <w:rPr>
                <w:sz w:val="20"/>
                <w:szCs w:val="20"/>
                <w:color w:val="auto"/>
              </w:rPr>
            </w:pPr>
            <w:r>
              <w:rPr>
                <w:rFonts w:ascii="Arial" w:cs="Arial" w:eastAsia="Arial" w:hAnsi="Arial"/>
                <w:sz w:val="16"/>
                <w:szCs w:val="16"/>
                <w:color w:val="auto"/>
              </w:rPr>
              <w:t>Payout percentage</w:t>
            </w:r>
          </w:p>
        </w:tc>
        <w:tc>
          <w:tcPr>
            <w:tcW w:w="1100" w:type="dxa"/>
            <w:vAlign w:val="bottom"/>
            <w:vMerge w:val="continue"/>
          </w:tcPr>
          <w:p>
            <w:pPr>
              <w:spacing w:after="0"/>
              <w:rPr>
                <w:sz w:val="17"/>
                <w:szCs w:val="17"/>
                <w:color w:val="auto"/>
              </w:rPr>
            </w:pPr>
          </w:p>
        </w:tc>
        <w:tc>
          <w:tcPr>
            <w:tcW w:w="1420" w:type="dxa"/>
            <w:vAlign w:val="bottom"/>
            <w:vMerge w:val="continue"/>
          </w:tcPr>
          <w:p>
            <w:pPr>
              <w:spacing w:after="0"/>
              <w:rPr>
                <w:sz w:val="17"/>
                <w:szCs w:val="17"/>
                <w:color w:val="auto"/>
              </w:rPr>
            </w:pPr>
          </w:p>
        </w:tc>
        <w:tc>
          <w:tcPr>
            <w:tcW w:w="2420" w:type="dxa"/>
            <w:vAlign w:val="bottom"/>
          </w:tcPr>
          <w:p>
            <w:pPr>
              <w:jc w:val="center"/>
              <w:ind w:right="39"/>
              <w:spacing w:after="0"/>
              <w:rPr>
                <w:sz w:val="20"/>
                <w:szCs w:val="20"/>
                <w:color w:val="auto"/>
              </w:rPr>
            </w:pPr>
            <w:r>
              <w:rPr>
                <w:rFonts w:ascii="Arial" w:cs="Arial" w:eastAsia="Arial" w:hAnsi="Arial"/>
                <w:sz w:val="16"/>
                <w:szCs w:val="16"/>
                <w:color w:val="auto"/>
                <w:w w:val="93"/>
              </w:rPr>
              <w:t>105% if achieved</w:t>
            </w:r>
          </w:p>
        </w:tc>
        <w:tc>
          <w:tcPr>
            <w:tcW w:w="0" w:type="dxa"/>
            <w:vAlign w:val="bottom"/>
          </w:tcPr>
          <w:p>
            <w:pPr>
              <w:spacing w:after="0"/>
              <w:rPr>
                <w:sz w:val="1"/>
                <w:szCs w:val="1"/>
                <w:color w:val="auto"/>
              </w:rPr>
            </w:pPr>
          </w:p>
        </w:tc>
      </w:tr>
      <w:tr>
        <w:trPr>
          <w:trHeight w:val="219"/>
        </w:trPr>
        <w:tc>
          <w:tcPr>
            <w:tcW w:w="2760" w:type="dxa"/>
            <w:vAlign w:val="bottom"/>
            <w:tcBorders>
              <w:bottom w:val="single" w:sz="8" w:color="D8D8D8"/>
            </w:tcBorders>
          </w:tcPr>
          <w:p>
            <w:pPr>
              <w:spacing w:after="0"/>
              <w:rPr>
                <w:sz w:val="19"/>
                <w:szCs w:val="19"/>
                <w:color w:val="auto"/>
              </w:rPr>
            </w:pPr>
          </w:p>
        </w:tc>
        <w:tc>
          <w:tcPr>
            <w:tcW w:w="1100" w:type="dxa"/>
            <w:vAlign w:val="bottom"/>
            <w:tcBorders>
              <w:bottom w:val="single" w:sz="8" w:color="D8D8D8"/>
            </w:tcBorders>
          </w:tcPr>
          <w:p>
            <w:pPr>
              <w:spacing w:after="0"/>
              <w:rPr>
                <w:sz w:val="19"/>
                <w:szCs w:val="19"/>
                <w:color w:val="auto"/>
              </w:rPr>
            </w:pPr>
          </w:p>
        </w:tc>
        <w:tc>
          <w:tcPr>
            <w:tcW w:w="1420" w:type="dxa"/>
            <w:vAlign w:val="bottom"/>
            <w:tcBorders>
              <w:bottom w:val="single" w:sz="8" w:color="D8D8D8"/>
            </w:tcBorders>
          </w:tcPr>
          <w:p>
            <w:pPr>
              <w:spacing w:after="0"/>
              <w:rPr>
                <w:sz w:val="19"/>
                <w:szCs w:val="19"/>
                <w:color w:val="auto"/>
              </w:rPr>
            </w:pPr>
          </w:p>
        </w:tc>
        <w:tc>
          <w:tcPr>
            <w:tcW w:w="2420" w:type="dxa"/>
            <w:vAlign w:val="bottom"/>
            <w:tcBorders>
              <w:bottom w:val="single" w:sz="8" w:color="D8D8D8"/>
            </w:tcBorders>
          </w:tcPr>
          <w:p>
            <w:pPr>
              <w:jc w:val="center"/>
              <w:ind w:right="39"/>
              <w:spacing w:after="0"/>
              <w:rPr>
                <w:sz w:val="20"/>
                <w:szCs w:val="20"/>
                <w:color w:val="auto"/>
              </w:rPr>
            </w:pPr>
            <w:r>
              <w:rPr>
                <w:rFonts w:ascii="Arial" w:cs="Arial" w:eastAsia="Arial" w:hAnsi="Arial"/>
                <w:sz w:val="16"/>
                <w:szCs w:val="16"/>
                <w:color w:val="auto"/>
                <w:w w:val="93"/>
              </w:rPr>
              <w:t>95% if not achieved</w:t>
            </w:r>
          </w:p>
        </w:tc>
        <w:tc>
          <w:tcPr>
            <w:tcW w:w="0" w:type="dxa"/>
            <w:vAlign w:val="bottom"/>
          </w:tcPr>
          <w:p>
            <w:pPr>
              <w:spacing w:after="0"/>
              <w:rPr>
                <w:sz w:val="1"/>
                <w:szCs w:val="1"/>
                <w:color w:val="auto"/>
              </w:rPr>
            </w:pPr>
          </w:p>
        </w:tc>
      </w:tr>
      <w:tr>
        <w:trPr>
          <w:trHeight w:val="203"/>
        </w:trPr>
        <w:tc>
          <w:tcPr>
            <w:tcW w:w="27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Total calculated payout</w:t>
            </w:r>
          </w:p>
        </w:tc>
        <w:tc>
          <w:tcPr>
            <w:tcW w:w="1100" w:type="dxa"/>
            <w:vAlign w:val="bottom"/>
            <w:tcBorders>
              <w:bottom w:val="single" w:sz="8" w:color="D8D8D8"/>
            </w:tcBorders>
          </w:tcPr>
          <w:p>
            <w:pPr>
              <w:spacing w:after="0"/>
              <w:rPr>
                <w:sz w:val="17"/>
                <w:szCs w:val="17"/>
                <w:color w:val="auto"/>
              </w:rPr>
            </w:pPr>
          </w:p>
        </w:tc>
        <w:tc>
          <w:tcPr>
            <w:tcW w:w="1420" w:type="dxa"/>
            <w:vAlign w:val="bottom"/>
            <w:tcBorders>
              <w:bottom w:val="single" w:sz="8" w:color="D8D8D8"/>
            </w:tcBorders>
          </w:tcPr>
          <w:p>
            <w:pPr>
              <w:jc w:val="center"/>
              <w:ind w:right="179"/>
              <w:spacing w:after="0"/>
              <w:rPr>
                <w:sz w:val="20"/>
                <w:szCs w:val="20"/>
                <w:color w:val="auto"/>
              </w:rPr>
            </w:pPr>
            <w:r>
              <w:rPr>
                <w:rFonts w:ascii="Arial" w:cs="Arial" w:eastAsia="Arial" w:hAnsi="Arial"/>
                <w:sz w:val="16"/>
                <w:szCs w:val="16"/>
                <w:b w:val="1"/>
                <w:bCs w:val="1"/>
                <w:color w:val="auto"/>
                <w:w w:val="97"/>
              </w:rPr>
              <w:t>190%</w:t>
            </w:r>
          </w:p>
        </w:tc>
        <w:tc>
          <w:tcPr>
            <w:tcW w:w="2420" w:type="dxa"/>
            <w:vAlign w:val="bottom"/>
            <w:tcBorders>
              <w:bottom w:val="single" w:sz="8" w:color="D8D8D8"/>
            </w:tcBorders>
          </w:tcPr>
          <w:p>
            <w:pPr>
              <w:spacing w:after="0"/>
              <w:rPr>
                <w:sz w:val="17"/>
                <w:szCs w:val="17"/>
                <w:color w:val="auto"/>
              </w:rPr>
            </w:pPr>
          </w:p>
        </w:tc>
        <w:tc>
          <w:tcPr>
            <w:tcW w:w="0" w:type="dxa"/>
            <w:vAlign w:val="bottom"/>
          </w:tcPr>
          <w:p>
            <w:pPr>
              <w:spacing w:after="0"/>
              <w:rPr>
                <w:sz w:val="1"/>
                <w:szCs w:val="1"/>
                <w:color w:val="auto"/>
              </w:rPr>
            </w:pPr>
          </w:p>
        </w:tc>
      </w:tr>
    </w:tbl>
    <w:p>
      <w:pPr>
        <w:spacing w:after="0" w:line="103" w:lineRule="exact"/>
        <w:rPr>
          <w:sz w:val="20"/>
          <w:szCs w:val="20"/>
          <w:color w:val="auto"/>
        </w:rPr>
      </w:pPr>
    </w:p>
    <w:p>
      <w:pPr>
        <w:ind w:left="540" w:right="40" w:hanging="424"/>
        <w:spacing w:after="0" w:line="230" w:lineRule="auto"/>
        <w:tabs>
          <w:tab w:leader="none" w:pos="540" w:val="left"/>
        </w:tabs>
        <w:numPr>
          <w:ilvl w:val="0"/>
          <w:numId w:val="16"/>
        </w:numPr>
        <w:rPr>
          <w:rFonts w:ascii="Arial" w:cs="Arial" w:eastAsia="Arial" w:hAnsi="Arial"/>
          <w:sz w:val="14"/>
          <w:szCs w:val="14"/>
          <w:color w:val="auto"/>
        </w:rPr>
      </w:pPr>
      <w:r>
        <w:rPr>
          <w:rFonts w:ascii="Arial" w:cs="Arial" w:eastAsia="Arial" w:hAnsi="Arial"/>
          <w:sz w:val="14"/>
          <w:szCs w:val="14"/>
          <w:color w:val="auto"/>
        </w:rPr>
        <w:t>Please see “Compensation Discussion and Analysis – Analysis of 2021 compensation – 2021 Annual performance award decisions” for additional information, including how adjusted EBITDA is defined for incentive compensation plan purposes.</w:t>
      </w:r>
    </w:p>
    <w:p>
      <w:pPr>
        <w:ind w:left="540" w:right="60" w:hanging="424"/>
        <w:spacing w:after="0" w:line="238" w:lineRule="auto"/>
        <w:tabs>
          <w:tab w:leader="none" w:pos="540" w:val="left"/>
        </w:tabs>
        <w:numPr>
          <w:ilvl w:val="0"/>
          <w:numId w:val="16"/>
        </w:numPr>
        <w:rPr>
          <w:rFonts w:ascii="Arial" w:cs="Arial" w:eastAsia="Arial" w:hAnsi="Arial"/>
          <w:sz w:val="13"/>
          <w:szCs w:val="13"/>
          <w:color w:val="auto"/>
        </w:rPr>
      </w:pPr>
      <w:r>
        <w:rPr>
          <w:rFonts w:ascii="Arial" w:cs="Arial" w:eastAsia="Arial" w:hAnsi="Arial"/>
          <w:sz w:val="13"/>
          <w:szCs w:val="13"/>
          <w:color w:val="auto"/>
        </w:rPr>
        <w:t>With respect to the adjusted operating cash flow metric, a target was established for two six-month periods in order to drive cash flow management throughout the year, with the final payout calculated as the average of the calculated payout for the two six-month periods. See “Compensation Discussion and Analysis – Analysis of 2021 compensation – 2021 Annual performance award decisions” for additional information, including how adjusted operating cash flow is defined for incentive compensation plan purposes.</w:t>
      </w:r>
    </w:p>
    <w:p>
      <w:pPr>
        <w:ind w:left="540" w:right="240" w:hanging="424"/>
        <w:spacing w:after="0" w:line="237" w:lineRule="auto"/>
        <w:tabs>
          <w:tab w:leader="none" w:pos="540" w:val="left"/>
        </w:tabs>
        <w:numPr>
          <w:ilvl w:val="0"/>
          <w:numId w:val="16"/>
        </w:numPr>
        <w:rPr>
          <w:rFonts w:ascii="Arial" w:cs="Arial" w:eastAsia="Arial" w:hAnsi="Arial"/>
          <w:sz w:val="14"/>
          <w:szCs w:val="14"/>
          <w:color w:val="auto"/>
        </w:rPr>
      </w:pPr>
      <w:r>
        <w:rPr>
          <w:rFonts w:ascii="Arial" w:cs="Arial" w:eastAsia="Arial" w:hAnsi="Arial"/>
          <w:sz w:val="14"/>
          <w:szCs w:val="14"/>
          <w:color w:val="auto"/>
        </w:rPr>
        <w:t>While the target for OSHA recordables and lost time incidents was met, because the company failed to meet the threshold requirement of zero fatalities, the safety modifier was not achieved.</w:t>
      </w:r>
    </w:p>
    <w:p>
      <w:pPr>
        <w:spacing w:after="0" w:line="29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Total realizable compensation</w:t>
      </w:r>
    </w:p>
    <w:p>
      <w:pPr>
        <w:spacing w:after="0" w:line="117" w:lineRule="exact"/>
        <w:rPr>
          <w:sz w:val="20"/>
          <w:szCs w:val="20"/>
          <w:color w:val="auto"/>
        </w:rPr>
      </w:pPr>
    </w:p>
    <w:p>
      <w:pPr>
        <w:ind w:left="120" w:right="100"/>
        <w:spacing w:after="0" w:line="272" w:lineRule="auto"/>
        <w:rPr>
          <w:sz w:val="20"/>
          <w:szCs w:val="20"/>
          <w:color w:val="auto"/>
        </w:rPr>
      </w:pPr>
      <w:r>
        <w:rPr>
          <w:rFonts w:ascii="Arial" w:cs="Arial" w:eastAsia="Arial" w:hAnsi="Arial"/>
          <w:sz w:val="17"/>
          <w:szCs w:val="17"/>
          <w:color w:val="auto"/>
        </w:rPr>
        <w:t>The actual realizable compensation as compared to target compensation for our NEOs in 2021 reflects performance that substantially exceeded the targets for adjusted EBITDA and adjusted operating cash flow but failed to achieve the safety modifier, resulting in a payout of 190 percent of target on our 2021 annual incentive plan. The NEOs were paid accordingly; provided, however, with respect to each of Messrs. Williams and Westbrooks, the application of an individual performance multiplier of 110 percent (based on a performance rating of exceptionally achieving for 2021) resulted in a final payout equal to 209 percent of his target annual incentive opportunity. A year-over-year increase in the company’s common share price of more than 300 percent also contributed significantly to actual realizable compensation exceeding target. See “Compensation Discussion and Analysis – Analysis of 2021 compensation” for additional information.</w:t>
      </w:r>
    </w:p>
    <w:p>
      <w:pPr>
        <w:spacing w:after="0" w:line="219" w:lineRule="exact"/>
        <w:rPr>
          <w:sz w:val="20"/>
          <w:szCs w:val="20"/>
          <w:color w:val="auto"/>
        </w:rPr>
      </w:pPr>
    </w:p>
    <w:tbl>
      <w:tblPr>
        <w:tblLayout w:type="fixed"/>
        <w:tblInd w:w="120" w:type="dxa"/>
        <w:tblCellMar>
          <w:top w:w="0" w:type="dxa"/>
          <w:left w:w="0" w:type="dxa"/>
          <w:bottom w:w="0" w:type="dxa"/>
          <w:right w:w="0" w:type="dxa"/>
        </w:tblCellMar>
      </w:tblPr>
      <w:tr>
        <w:trPr>
          <w:trHeight w:val="189"/>
        </w:trPr>
        <w:tc>
          <w:tcPr>
            <w:tcW w:w="2440" w:type="dxa"/>
            <w:vAlign w:val="bottom"/>
            <w:shd w:val="clear" w:color="auto" w:fill="7F7F7F"/>
          </w:tcPr>
          <w:p>
            <w:pPr>
              <w:spacing w:after="0"/>
              <w:rPr>
                <w:sz w:val="16"/>
                <w:szCs w:val="16"/>
                <w:color w:val="auto"/>
              </w:rPr>
            </w:pPr>
          </w:p>
        </w:tc>
        <w:tc>
          <w:tcPr>
            <w:tcW w:w="4380" w:type="dxa"/>
            <w:vAlign w:val="bottom"/>
            <w:shd w:val="clear" w:color="auto" w:fill="7F7F7F"/>
          </w:tcPr>
          <w:p>
            <w:pPr>
              <w:spacing w:after="0"/>
              <w:rPr>
                <w:sz w:val="16"/>
                <w:szCs w:val="16"/>
                <w:color w:val="auto"/>
              </w:rPr>
            </w:pPr>
          </w:p>
        </w:tc>
        <w:tc>
          <w:tcPr>
            <w:tcW w:w="1780" w:type="dxa"/>
            <w:vAlign w:val="bottom"/>
            <w:shd w:val="clear" w:color="auto" w:fill="7F7F7F"/>
          </w:tcPr>
          <w:p>
            <w:pPr>
              <w:spacing w:after="0"/>
              <w:rPr>
                <w:sz w:val="16"/>
                <w:szCs w:val="16"/>
                <w:color w:val="auto"/>
              </w:rPr>
            </w:pPr>
          </w:p>
        </w:tc>
        <w:tc>
          <w:tcPr>
            <w:tcW w:w="1400" w:type="dxa"/>
            <w:vAlign w:val="bottom"/>
            <w:shd w:val="clear" w:color="auto" w:fill="7F7F7F"/>
          </w:tcPr>
          <w:p>
            <w:pPr>
              <w:spacing w:after="0"/>
              <w:rPr>
                <w:sz w:val="16"/>
                <w:szCs w:val="16"/>
                <w:color w:val="auto"/>
              </w:rPr>
            </w:pPr>
          </w:p>
        </w:tc>
        <w:tc>
          <w:tcPr>
            <w:tcW w:w="1020" w:type="dxa"/>
            <w:vAlign w:val="bottom"/>
            <w:shd w:val="clear" w:color="auto" w:fill="7F7F7F"/>
          </w:tcPr>
          <w:p>
            <w:pPr>
              <w:jc w:val="center"/>
              <w:spacing w:after="0"/>
              <w:rPr>
                <w:sz w:val="20"/>
                <w:szCs w:val="20"/>
                <w:color w:val="auto"/>
              </w:rPr>
            </w:pPr>
            <w:r>
              <w:rPr>
                <w:rFonts w:ascii="Arial" w:cs="Arial" w:eastAsia="Arial" w:hAnsi="Arial"/>
                <w:sz w:val="16"/>
                <w:szCs w:val="16"/>
                <w:b w:val="1"/>
                <w:bCs w:val="1"/>
                <w:color w:val="FFFFFF"/>
                <w:w w:val="91"/>
              </w:rPr>
              <w:t>Percent of</w:t>
            </w:r>
          </w:p>
        </w:tc>
      </w:tr>
      <w:tr>
        <w:trPr>
          <w:trHeight w:val="203"/>
        </w:trPr>
        <w:tc>
          <w:tcPr>
            <w:tcW w:w="2440" w:type="dxa"/>
            <w:vAlign w:val="bottom"/>
            <w:shd w:val="clear" w:color="auto" w:fill="7F7F7F"/>
          </w:tcPr>
          <w:p>
            <w:pPr>
              <w:spacing w:after="0"/>
              <w:rPr>
                <w:sz w:val="17"/>
                <w:szCs w:val="17"/>
                <w:color w:val="auto"/>
              </w:rPr>
            </w:pPr>
          </w:p>
        </w:tc>
        <w:tc>
          <w:tcPr>
            <w:tcW w:w="4380" w:type="dxa"/>
            <w:vAlign w:val="bottom"/>
            <w:shd w:val="clear" w:color="auto" w:fill="7F7F7F"/>
          </w:tcPr>
          <w:p>
            <w:pPr>
              <w:spacing w:after="0"/>
              <w:rPr>
                <w:sz w:val="17"/>
                <w:szCs w:val="17"/>
                <w:color w:val="auto"/>
              </w:rPr>
            </w:pPr>
          </w:p>
        </w:tc>
        <w:tc>
          <w:tcPr>
            <w:tcW w:w="1780" w:type="dxa"/>
            <w:vAlign w:val="bottom"/>
            <w:shd w:val="clear" w:color="auto" w:fill="7F7F7F"/>
          </w:tcPr>
          <w:p>
            <w:pPr>
              <w:jc w:val="center"/>
              <w:ind w:left="439"/>
              <w:spacing w:after="0"/>
              <w:rPr>
                <w:sz w:val="20"/>
                <w:szCs w:val="20"/>
                <w:color w:val="auto"/>
              </w:rPr>
            </w:pPr>
            <w:r>
              <w:rPr>
                <w:rFonts w:ascii="Arial" w:cs="Arial" w:eastAsia="Arial" w:hAnsi="Arial"/>
                <w:sz w:val="16"/>
                <w:szCs w:val="16"/>
                <w:b w:val="1"/>
                <w:bCs w:val="1"/>
                <w:color w:val="FFFFFF"/>
                <w:w w:val="92"/>
              </w:rPr>
              <w:t>2021 Target</w:t>
            </w:r>
          </w:p>
        </w:tc>
        <w:tc>
          <w:tcPr>
            <w:tcW w:w="1400" w:type="dxa"/>
            <w:vAlign w:val="bottom"/>
            <w:shd w:val="clear" w:color="auto" w:fill="7F7F7F"/>
          </w:tcPr>
          <w:p>
            <w:pPr>
              <w:ind w:left="160"/>
              <w:spacing w:after="0"/>
              <w:rPr>
                <w:sz w:val="20"/>
                <w:szCs w:val="20"/>
                <w:color w:val="auto"/>
              </w:rPr>
            </w:pPr>
            <w:r>
              <w:rPr>
                <w:rFonts w:ascii="Arial" w:cs="Arial" w:eastAsia="Arial" w:hAnsi="Arial"/>
                <w:sz w:val="16"/>
                <w:szCs w:val="16"/>
                <w:b w:val="1"/>
                <w:bCs w:val="1"/>
                <w:color w:val="FFFFFF"/>
              </w:rPr>
              <w:t>2021 Realizable</w:t>
            </w:r>
          </w:p>
        </w:tc>
        <w:tc>
          <w:tcPr>
            <w:tcW w:w="1020" w:type="dxa"/>
            <w:vAlign w:val="bottom"/>
            <w:shd w:val="clear" w:color="auto" w:fill="7F7F7F"/>
          </w:tcPr>
          <w:p>
            <w:pPr>
              <w:jc w:val="center"/>
              <w:spacing w:after="0"/>
              <w:rPr>
                <w:sz w:val="20"/>
                <w:szCs w:val="20"/>
                <w:color w:val="auto"/>
              </w:rPr>
            </w:pPr>
            <w:r>
              <w:rPr>
                <w:rFonts w:ascii="Arial" w:cs="Arial" w:eastAsia="Arial" w:hAnsi="Arial"/>
                <w:sz w:val="16"/>
                <w:szCs w:val="16"/>
                <w:b w:val="1"/>
                <w:bCs w:val="1"/>
                <w:color w:val="FFFFFF"/>
                <w:w w:val="89"/>
              </w:rPr>
              <w:t>target</w:t>
            </w:r>
          </w:p>
        </w:tc>
      </w:tr>
      <w:tr>
        <w:trPr>
          <w:trHeight w:val="230"/>
        </w:trPr>
        <w:tc>
          <w:tcPr>
            <w:tcW w:w="2440" w:type="dxa"/>
            <w:vAlign w:val="bottom"/>
            <w:shd w:val="clear" w:color="auto" w:fill="7F7F7F"/>
          </w:tcPr>
          <w:p>
            <w:pPr>
              <w:ind w:left="80"/>
              <w:spacing w:after="0" w:line="230" w:lineRule="exact"/>
              <w:rPr>
                <w:sz w:val="20"/>
                <w:szCs w:val="20"/>
                <w:color w:val="auto"/>
              </w:rPr>
            </w:pPr>
            <w:r>
              <w:rPr>
                <w:rFonts w:ascii="Arial" w:cs="Arial" w:eastAsia="Arial" w:hAnsi="Arial"/>
                <w:sz w:val="16"/>
                <w:szCs w:val="16"/>
                <w:b w:val="1"/>
                <w:bCs w:val="1"/>
                <w:color w:val="FFFFFF"/>
              </w:rPr>
              <w:t>Named executive officer</w:t>
            </w:r>
            <w:r>
              <w:rPr>
                <w:rFonts w:ascii="Arial" w:cs="Arial" w:eastAsia="Arial" w:hAnsi="Arial"/>
                <w:sz w:val="26"/>
                <w:szCs w:val="26"/>
                <w:b w:val="1"/>
                <w:bCs w:val="1"/>
                <w:color w:val="FFFFFF"/>
                <w:vertAlign w:val="superscript"/>
              </w:rPr>
              <w:t>(1)</w:t>
            </w:r>
          </w:p>
        </w:tc>
        <w:tc>
          <w:tcPr>
            <w:tcW w:w="4380" w:type="dxa"/>
            <w:vAlign w:val="bottom"/>
            <w:shd w:val="clear" w:color="auto" w:fill="7F7F7F"/>
          </w:tcPr>
          <w:p>
            <w:pPr>
              <w:ind w:left="2240"/>
              <w:spacing w:after="0"/>
              <w:rPr>
                <w:sz w:val="20"/>
                <w:szCs w:val="20"/>
                <w:color w:val="auto"/>
              </w:rPr>
            </w:pPr>
            <w:r>
              <w:rPr>
                <w:rFonts w:ascii="Arial" w:cs="Arial" w:eastAsia="Arial" w:hAnsi="Arial"/>
                <w:sz w:val="16"/>
                <w:szCs w:val="16"/>
                <w:b w:val="1"/>
                <w:bCs w:val="1"/>
                <w:color w:val="FFFFFF"/>
              </w:rPr>
              <w:t>Title</w:t>
            </w:r>
          </w:p>
        </w:tc>
        <w:tc>
          <w:tcPr>
            <w:tcW w:w="1780" w:type="dxa"/>
            <w:vAlign w:val="bottom"/>
            <w:shd w:val="clear" w:color="auto" w:fill="7F7F7F"/>
          </w:tcPr>
          <w:p>
            <w:pPr>
              <w:jc w:val="center"/>
              <w:ind w:left="439"/>
              <w:spacing w:after="0"/>
              <w:rPr>
                <w:sz w:val="20"/>
                <w:szCs w:val="20"/>
                <w:color w:val="auto"/>
              </w:rPr>
            </w:pPr>
            <w:r>
              <w:rPr>
                <w:rFonts w:ascii="Arial" w:cs="Arial" w:eastAsia="Arial" w:hAnsi="Arial"/>
                <w:sz w:val="16"/>
                <w:szCs w:val="16"/>
                <w:b w:val="1"/>
                <w:bCs w:val="1"/>
                <w:color w:val="FFFFFF"/>
                <w:w w:val="86"/>
              </w:rPr>
              <w:t>compensation</w:t>
            </w:r>
          </w:p>
        </w:tc>
        <w:tc>
          <w:tcPr>
            <w:tcW w:w="1400" w:type="dxa"/>
            <w:vAlign w:val="bottom"/>
            <w:shd w:val="clear" w:color="auto" w:fill="7F7F7F"/>
          </w:tcPr>
          <w:p>
            <w:pPr>
              <w:ind w:left="140"/>
              <w:spacing w:after="0" w:line="230" w:lineRule="exact"/>
              <w:rPr>
                <w:sz w:val="20"/>
                <w:szCs w:val="20"/>
                <w:color w:val="auto"/>
              </w:rPr>
            </w:pPr>
            <w:r>
              <w:rPr>
                <w:rFonts w:ascii="Arial" w:cs="Arial" w:eastAsia="Arial" w:hAnsi="Arial"/>
                <w:sz w:val="16"/>
                <w:szCs w:val="16"/>
                <w:b w:val="1"/>
                <w:bCs w:val="1"/>
                <w:color w:val="FFFFFF"/>
                <w:w w:val="95"/>
              </w:rPr>
              <w:t>compensation</w:t>
            </w:r>
            <w:r>
              <w:rPr>
                <w:rFonts w:ascii="Arial" w:cs="Arial" w:eastAsia="Arial" w:hAnsi="Arial"/>
                <w:sz w:val="26"/>
                <w:szCs w:val="26"/>
                <w:b w:val="1"/>
                <w:bCs w:val="1"/>
                <w:color w:val="FFFFFF"/>
                <w:w w:val="95"/>
                <w:vertAlign w:val="superscript"/>
              </w:rPr>
              <w:t>(2)</w:t>
            </w:r>
          </w:p>
        </w:tc>
        <w:tc>
          <w:tcPr>
            <w:tcW w:w="1020" w:type="dxa"/>
            <w:vAlign w:val="bottom"/>
            <w:shd w:val="clear" w:color="auto" w:fill="7F7F7F"/>
          </w:tcPr>
          <w:p>
            <w:pPr>
              <w:jc w:val="center"/>
              <w:spacing w:after="0"/>
              <w:rPr>
                <w:sz w:val="20"/>
                <w:szCs w:val="20"/>
                <w:color w:val="auto"/>
              </w:rPr>
            </w:pPr>
            <w:r>
              <w:rPr>
                <w:rFonts w:ascii="Arial" w:cs="Arial" w:eastAsia="Arial" w:hAnsi="Arial"/>
                <w:sz w:val="16"/>
                <w:szCs w:val="16"/>
                <w:b w:val="1"/>
                <w:bCs w:val="1"/>
                <w:color w:val="FFFFFF"/>
                <w:w w:val="93"/>
              </w:rPr>
              <w:t>realizable</w:t>
            </w:r>
          </w:p>
        </w:tc>
      </w:tr>
      <w:tr>
        <w:trPr>
          <w:trHeight w:val="203"/>
        </w:trPr>
        <w:tc>
          <w:tcPr>
            <w:tcW w:w="2440" w:type="dxa"/>
            <w:vAlign w:val="bottom"/>
            <w:shd w:val="clear" w:color="auto" w:fill="333333"/>
          </w:tcPr>
          <w:p>
            <w:pPr>
              <w:spacing w:after="0"/>
              <w:rPr>
                <w:sz w:val="17"/>
                <w:szCs w:val="17"/>
                <w:color w:val="auto"/>
              </w:rPr>
            </w:pPr>
          </w:p>
        </w:tc>
        <w:tc>
          <w:tcPr>
            <w:tcW w:w="4380" w:type="dxa"/>
            <w:vAlign w:val="bottom"/>
            <w:shd w:val="clear" w:color="auto" w:fill="333333"/>
          </w:tcPr>
          <w:p>
            <w:pPr>
              <w:spacing w:after="0"/>
              <w:rPr>
                <w:sz w:val="17"/>
                <w:szCs w:val="17"/>
                <w:color w:val="auto"/>
              </w:rPr>
            </w:pPr>
          </w:p>
        </w:tc>
        <w:tc>
          <w:tcPr>
            <w:tcW w:w="1780" w:type="dxa"/>
            <w:vAlign w:val="bottom"/>
            <w:shd w:val="clear" w:color="auto" w:fill="333333"/>
          </w:tcPr>
          <w:p>
            <w:pPr>
              <w:spacing w:after="0"/>
              <w:rPr>
                <w:sz w:val="17"/>
                <w:szCs w:val="17"/>
                <w:color w:val="auto"/>
              </w:rPr>
            </w:pPr>
          </w:p>
        </w:tc>
        <w:tc>
          <w:tcPr>
            <w:tcW w:w="1400" w:type="dxa"/>
            <w:vAlign w:val="bottom"/>
            <w:shd w:val="clear" w:color="auto" w:fill="333333"/>
          </w:tcPr>
          <w:p>
            <w:pPr>
              <w:spacing w:after="0"/>
              <w:rPr>
                <w:sz w:val="17"/>
                <w:szCs w:val="17"/>
                <w:color w:val="auto"/>
              </w:rPr>
            </w:pPr>
          </w:p>
        </w:tc>
        <w:tc>
          <w:tcPr>
            <w:tcW w:w="1020" w:type="dxa"/>
            <w:vAlign w:val="bottom"/>
            <w:shd w:val="clear" w:color="auto" w:fill="333333"/>
          </w:tcPr>
          <w:p>
            <w:pPr>
              <w:spacing w:after="0"/>
              <w:rPr>
                <w:sz w:val="17"/>
                <w:szCs w:val="17"/>
                <w:color w:val="auto"/>
              </w:rPr>
            </w:pPr>
          </w:p>
        </w:tc>
      </w:tr>
      <w:tr>
        <w:trPr>
          <w:trHeight w:val="203"/>
        </w:trPr>
        <w:tc>
          <w:tcPr>
            <w:tcW w:w="244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Michael S. Williams</w:t>
            </w:r>
          </w:p>
        </w:tc>
        <w:tc>
          <w:tcPr>
            <w:tcW w:w="4380" w:type="dxa"/>
            <w:vAlign w:val="bottom"/>
            <w:tcBorders>
              <w:bottom w:val="single" w:sz="8" w:color="D8D8D8"/>
            </w:tcBorders>
          </w:tcPr>
          <w:p>
            <w:pPr>
              <w:ind w:left="520"/>
              <w:spacing w:after="0"/>
              <w:rPr>
                <w:sz w:val="20"/>
                <w:szCs w:val="20"/>
                <w:color w:val="auto"/>
              </w:rPr>
            </w:pPr>
            <w:r>
              <w:rPr>
                <w:rFonts w:ascii="Arial" w:cs="Arial" w:eastAsia="Arial" w:hAnsi="Arial"/>
                <w:sz w:val="16"/>
                <w:szCs w:val="16"/>
                <w:color w:val="auto"/>
              </w:rPr>
              <w:t>CEO and President</w:t>
            </w:r>
          </w:p>
        </w:tc>
        <w:tc>
          <w:tcPr>
            <w:tcW w:w="1780" w:type="dxa"/>
            <w:vAlign w:val="bottom"/>
            <w:tcBorders>
              <w:bottom w:val="single" w:sz="8" w:color="D8D8D8"/>
            </w:tcBorders>
          </w:tcPr>
          <w:p>
            <w:pPr>
              <w:jc w:val="center"/>
              <w:ind w:left="439"/>
              <w:spacing w:after="0"/>
              <w:rPr>
                <w:sz w:val="20"/>
                <w:szCs w:val="20"/>
                <w:color w:val="auto"/>
              </w:rPr>
            </w:pPr>
            <w:r>
              <w:rPr>
                <w:rFonts w:ascii="Arial" w:cs="Arial" w:eastAsia="Arial" w:hAnsi="Arial"/>
                <w:sz w:val="16"/>
                <w:szCs w:val="16"/>
                <w:color w:val="auto"/>
                <w:w w:val="92"/>
              </w:rPr>
              <w:t>$3,600,000</w:t>
            </w:r>
          </w:p>
        </w:tc>
        <w:tc>
          <w:tcPr>
            <w:tcW w:w="14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89"/>
              </w:rPr>
              <w:t>$16,444,200</w:t>
            </w:r>
          </w:p>
        </w:tc>
        <w:tc>
          <w:tcPr>
            <w:tcW w:w="1020" w:type="dxa"/>
            <w:vAlign w:val="bottom"/>
            <w:tcBorders>
              <w:bottom w:val="single" w:sz="8" w:color="D8D8D8"/>
            </w:tcBorders>
          </w:tcPr>
          <w:p>
            <w:pPr>
              <w:jc w:val="right"/>
              <w:ind w:right="219"/>
              <w:spacing w:after="0"/>
              <w:rPr>
                <w:sz w:val="20"/>
                <w:szCs w:val="20"/>
                <w:color w:val="auto"/>
              </w:rPr>
            </w:pPr>
            <w:r>
              <w:rPr>
                <w:rFonts w:ascii="Arial" w:cs="Arial" w:eastAsia="Arial" w:hAnsi="Arial"/>
                <w:sz w:val="16"/>
                <w:szCs w:val="16"/>
                <w:color w:val="auto"/>
              </w:rPr>
              <w:t>457%</w:t>
            </w:r>
          </w:p>
        </w:tc>
      </w:tr>
      <w:tr>
        <w:trPr>
          <w:trHeight w:val="196"/>
        </w:trPr>
        <w:tc>
          <w:tcPr>
            <w:tcW w:w="244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Kristopher R. Westbrooks</w:t>
            </w:r>
          </w:p>
        </w:tc>
        <w:tc>
          <w:tcPr>
            <w:tcW w:w="4380" w:type="dxa"/>
            <w:vAlign w:val="bottom"/>
            <w:tcBorders>
              <w:bottom w:val="single" w:sz="8" w:color="D8D8D8"/>
            </w:tcBorders>
          </w:tcPr>
          <w:p>
            <w:pPr>
              <w:ind w:left="520"/>
              <w:spacing w:after="0"/>
              <w:rPr>
                <w:sz w:val="20"/>
                <w:szCs w:val="20"/>
                <w:color w:val="auto"/>
              </w:rPr>
            </w:pPr>
            <w:r>
              <w:rPr>
                <w:rFonts w:ascii="Arial" w:cs="Arial" w:eastAsia="Arial" w:hAnsi="Arial"/>
                <w:sz w:val="16"/>
                <w:szCs w:val="16"/>
                <w:color w:val="auto"/>
              </w:rPr>
              <w:t>EVP and Chief Financial Officer</w:t>
            </w:r>
          </w:p>
        </w:tc>
        <w:tc>
          <w:tcPr>
            <w:tcW w:w="1780" w:type="dxa"/>
            <w:vAlign w:val="bottom"/>
            <w:tcBorders>
              <w:bottom w:val="single" w:sz="8" w:color="D8D8D8"/>
            </w:tcBorders>
          </w:tcPr>
          <w:p>
            <w:pPr>
              <w:jc w:val="center"/>
              <w:ind w:left="439"/>
              <w:spacing w:after="0"/>
              <w:rPr>
                <w:sz w:val="20"/>
                <w:szCs w:val="20"/>
                <w:color w:val="auto"/>
              </w:rPr>
            </w:pPr>
            <w:r>
              <w:rPr>
                <w:rFonts w:ascii="Arial" w:cs="Arial" w:eastAsia="Arial" w:hAnsi="Arial"/>
                <w:sz w:val="16"/>
                <w:szCs w:val="16"/>
                <w:color w:val="auto"/>
                <w:w w:val="92"/>
              </w:rPr>
              <w:t>$1,387,350</w:t>
            </w:r>
          </w:p>
        </w:tc>
        <w:tc>
          <w:tcPr>
            <w:tcW w:w="14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89"/>
              </w:rPr>
              <w:t>$4,325,073</w:t>
            </w:r>
          </w:p>
        </w:tc>
        <w:tc>
          <w:tcPr>
            <w:tcW w:w="1020" w:type="dxa"/>
            <w:vAlign w:val="bottom"/>
            <w:tcBorders>
              <w:bottom w:val="single" w:sz="8" w:color="D8D8D8"/>
            </w:tcBorders>
          </w:tcPr>
          <w:p>
            <w:pPr>
              <w:jc w:val="right"/>
              <w:ind w:right="219"/>
              <w:spacing w:after="0"/>
              <w:rPr>
                <w:sz w:val="20"/>
                <w:szCs w:val="20"/>
                <w:color w:val="auto"/>
              </w:rPr>
            </w:pPr>
            <w:r>
              <w:rPr>
                <w:rFonts w:ascii="Arial" w:cs="Arial" w:eastAsia="Arial" w:hAnsi="Arial"/>
                <w:sz w:val="16"/>
                <w:szCs w:val="16"/>
                <w:color w:val="auto"/>
              </w:rPr>
              <w:t>312%</w:t>
            </w:r>
          </w:p>
        </w:tc>
      </w:tr>
      <w:tr>
        <w:trPr>
          <w:trHeight w:val="196"/>
        </w:trPr>
        <w:tc>
          <w:tcPr>
            <w:tcW w:w="244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Kristine C. Syrvalin</w:t>
            </w:r>
          </w:p>
        </w:tc>
        <w:tc>
          <w:tcPr>
            <w:tcW w:w="4380" w:type="dxa"/>
            <w:vAlign w:val="bottom"/>
            <w:tcBorders>
              <w:bottom w:val="single" w:sz="8" w:color="D8D8D8"/>
            </w:tcBorders>
          </w:tcPr>
          <w:p>
            <w:pPr>
              <w:ind w:left="520"/>
              <w:spacing w:after="0"/>
              <w:rPr>
                <w:sz w:val="20"/>
                <w:szCs w:val="20"/>
                <w:color w:val="auto"/>
              </w:rPr>
            </w:pPr>
            <w:r>
              <w:rPr>
                <w:rFonts w:ascii="Arial" w:cs="Arial" w:eastAsia="Arial" w:hAnsi="Arial"/>
                <w:sz w:val="16"/>
                <w:szCs w:val="16"/>
                <w:color w:val="auto"/>
              </w:rPr>
              <w:t>EVP, General Counsel and Secretary</w:t>
            </w:r>
          </w:p>
        </w:tc>
        <w:tc>
          <w:tcPr>
            <w:tcW w:w="1780" w:type="dxa"/>
            <w:vAlign w:val="bottom"/>
            <w:tcBorders>
              <w:bottom w:val="single" w:sz="8" w:color="D8D8D8"/>
            </w:tcBorders>
          </w:tcPr>
          <w:p>
            <w:pPr>
              <w:jc w:val="center"/>
              <w:ind w:left="439"/>
              <w:spacing w:after="0"/>
              <w:rPr>
                <w:sz w:val="20"/>
                <w:szCs w:val="20"/>
                <w:color w:val="auto"/>
              </w:rPr>
            </w:pPr>
            <w:r>
              <w:rPr>
                <w:rFonts w:ascii="Arial" w:cs="Arial" w:eastAsia="Arial" w:hAnsi="Arial"/>
                <w:sz w:val="16"/>
                <w:szCs w:val="16"/>
                <w:color w:val="auto"/>
                <w:w w:val="92"/>
              </w:rPr>
              <w:t>$795,100</w:t>
            </w:r>
          </w:p>
        </w:tc>
        <w:tc>
          <w:tcPr>
            <w:tcW w:w="14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89"/>
              </w:rPr>
              <w:t>$1,629,780</w:t>
            </w:r>
          </w:p>
        </w:tc>
        <w:tc>
          <w:tcPr>
            <w:tcW w:w="1020" w:type="dxa"/>
            <w:vAlign w:val="bottom"/>
            <w:tcBorders>
              <w:bottom w:val="single" w:sz="8" w:color="D8D8D8"/>
            </w:tcBorders>
          </w:tcPr>
          <w:p>
            <w:pPr>
              <w:jc w:val="right"/>
              <w:ind w:right="219"/>
              <w:spacing w:after="0"/>
              <w:rPr>
                <w:sz w:val="20"/>
                <w:szCs w:val="20"/>
                <w:color w:val="auto"/>
              </w:rPr>
            </w:pPr>
            <w:r>
              <w:rPr>
                <w:rFonts w:ascii="Arial" w:cs="Arial" w:eastAsia="Arial" w:hAnsi="Arial"/>
                <w:sz w:val="16"/>
                <w:szCs w:val="16"/>
                <w:color w:val="auto"/>
              </w:rPr>
              <w:t>205%</w:t>
            </w:r>
          </w:p>
        </w:tc>
      </w:tr>
      <w:tr>
        <w:trPr>
          <w:trHeight w:val="196"/>
        </w:trPr>
        <w:tc>
          <w:tcPr>
            <w:tcW w:w="244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Kevin Raketich</w:t>
            </w:r>
          </w:p>
        </w:tc>
        <w:tc>
          <w:tcPr>
            <w:tcW w:w="4380" w:type="dxa"/>
            <w:vAlign w:val="bottom"/>
            <w:tcBorders>
              <w:bottom w:val="single" w:sz="8" w:color="D8D8D8"/>
            </w:tcBorders>
          </w:tcPr>
          <w:p>
            <w:pPr>
              <w:ind w:left="520"/>
              <w:spacing w:after="0"/>
              <w:rPr>
                <w:sz w:val="20"/>
                <w:szCs w:val="20"/>
                <w:color w:val="auto"/>
              </w:rPr>
            </w:pPr>
            <w:r>
              <w:rPr>
                <w:rFonts w:ascii="Arial" w:cs="Arial" w:eastAsia="Arial" w:hAnsi="Arial"/>
                <w:sz w:val="16"/>
                <w:szCs w:val="16"/>
                <w:color w:val="auto"/>
              </w:rPr>
              <w:t>EVP, Sales, Marketing &amp; Business Development</w:t>
            </w:r>
          </w:p>
        </w:tc>
        <w:tc>
          <w:tcPr>
            <w:tcW w:w="1780" w:type="dxa"/>
            <w:vAlign w:val="bottom"/>
            <w:tcBorders>
              <w:bottom w:val="single" w:sz="8" w:color="D8D8D8"/>
            </w:tcBorders>
          </w:tcPr>
          <w:p>
            <w:pPr>
              <w:jc w:val="center"/>
              <w:ind w:left="439"/>
              <w:spacing w:after="0"/>
              <w:rPr>
                <w:sz w:val="20"/>
                <w:szCs w:val="20"/>
                <w:color w:val="auto"/>
              </w:rPr>
            </w:pPr>
            <w:r>
              <w:rPr>
                <w:rFonts w:ascii="Arial" w:cs="Arial" w:eastAsia="Arial" w:hAnsi="Arial"/>
                <w:sz w:val="16"/>
                <w:szCs w:val="16"/>
                <w:color w:val="auto"/>
                <w:w w:val="92"/>
              </w:rPr>
              <w:t>$713,500</w:t>
            </w:r>
          </w:p>
        </w:tc>
        <w:tc>
          <w:tcPr>
            <w:tcW w:w="1400" w:type="dxa"/>
            <w:vAlign w:val="bottom"/>
            <w:tcBorders>
              <w:bottom w:val="single" w:sz="8" w:color="D8D8D8"/>
            </w:tcBorders>
          </w:tcPr>
          <w:p>
            <w:pPr>
              <w:jc w:val="center"/>
              <w:spacing w:after="0"/>
              <w:rPr>
                <w:sz w:val="20"/>
                <w:szCs w:val="20"/>
                <w:color w:val="auto"/>
              </w:rPr>
            </w:pPr>
            <w:r>
              <w:rPr>
                <w:rFonts w:ascii="Arial" w:cs="Arial" w:eastAsia="Arial" w:hAnsi="Arial"/>
                <w:sz w:val="16"/>
                <w:szCs w:val="16"/>
                <w:color w:val="auto"/>
                <w:w w:val="89"/>
              </w:rPr>
              <w:t>$1,718,359</w:t>
            </w:r>
          </w:p>
        </w:tc>
        <w:tc>
          <w:tcPr>
            <w:tcW w:w="1020" w:type="dxa"/>
            <w:vAlign w:val="bottom"/>
            <w:tcBorders>
              <w:bottom w:val="single" w:sz="8" w:color="D8D8D8"/>
            </w:tcBorders>
          </w:tcPr>
          <w:p>
            <w:pPr>
              <w:jc w:val="right"/>
              <w:ind w:right="219"/>
              <w:spacing w:after="0"/>
              <w:rPr>
                <w:sz w:val="20"/>
                <w:szCs w:val="20"/>
                <w:color w:val="auto"/>
              </w:rPr>
            </w:pPr>
            <w:r>
              <w:rPr>
                <w:rFonts w:ascii="Arial" w:cs="Arial" w:eastAsia="Arial" w:hAnsi="Arial"/>
                <w:sz w:val="16"/>
                <w:szCs w:val="16"/>
                <w:color w:val="auto"/>
              </w:rPr>
              <w:t>241%</w:t>
            </w:r>
          </w:p>
        </w:tc>
      </w:tr>
    </w:tbl>
    <w:p>
      <w:pPr>
        <w:spacing w:after="0" w:line="197" w:lineRule="exact"/>
        <w:rPr>
          <w:sz w:val="20"/>
          <w:szCs w:val="20"/>
          <w:color w:val="auto"/>
        </w:rPr>
      </w:pPr>
    </w:p>
    <w:p>
      <w:pPr>
        <w:ind w:left="540" w:right="140" w:hanging="424"/>
        <w:spacing w:after="0" w:line="251" w:lineRule="auto"/>
        <w:tabs>
          <w:tab w:leader="none" w:pos="540" w:val="left"/>
        </w:tabs>
        <w:numPr>
          <w:ilvl w:val="0"/>
          <w:numId w:val="17"/>
        </w:numPr>
        <w:rPr>
          <w:rFonts w:ascii="Arial" w:cs="Arial" w:eastAsia="Arial" w:hAnsi="Arial"/>
          <w:sz w:val="14"/>
          <w:szCs w:val="14"/>
          <w:color w:val="auto"/>
        </w:rPr>
      </w:pPr>
      <w:r>
        <w:rPr>
          <w:rFonts w:ascii="Arial" w:cs="Arial" w:eastAsia="Arial" w:hAnsi="Arial"/>
          <w:sz w:val="14"/>
          <w:szCs w:val="14"/>
          <w:color w:val="auto"/>
        </w:rPr>
        <w:t>The table reflects realizable pay for NEOs serving as of December 31, 2021 with target compensation established for their positions as of that date. Messrs. Bryan and Moline are not included in this table as they were not NEOs as of December 31, 2021.</w:t>
      </w:r>
    </w:p>
    <w:p>
      <w:pPr>
        <w:ind w:left="540" w:right="340" w:hanging="424"/>
        <w:spacing w:after="0" w:line="238" w:lineRule="auto"/>
        <w:tabs>
          <w:tab w:leader="none" w:pos="540" w:val="left"/>
        </w:tabs>
        <w:numPr>
          <w:ilvl w:val="0"/>
          <w:numId w:val="17"/>
        </w:numPr>
        <w:rPr>
          <w:rFonts w:ascii="Arial" w:cs="Arial" w:eastAsia="Arial" w:hAnsi="Arial"/>
          <w:sz w:val="14"/>
          <w:szCs w:val="14"/>
          <w:color w:val="auto"/>
        </w:rPr>
      </w:pPr>
      <w:r>
        <w:rPr>
          <w:rFonts w:ascii="Arial" w:cs="Arial" w:eastAsia="Arial" w:hAnsi="Arial"/>
          <w:sz w:val="14"/>
          <w:szCs w:val="14"/>
          <w:color w:val="auto"/>
        </w:rPr>
        <w:t>Realizable compensation for 2021 includes base salary paid, annual incentive plan payments for 2021 and long-term incentives (unvested restricted stock units and performance shares) assuming target performance for the performance shares granted for the 2020-2022 and 2021-2023 performance periods. The value of long-term incentives is based on the closing price of the company’s stock on December 31, 2021 of $16.50 per share.</w:t>
      </w:r>
    </w:p>
    <w:p>
      <w:pPr>
        <w:spacing w:after="0" w:line="124"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8</w:t>
      </w:r>
    </w:p>
    <w:p>
      <w:pPr>
        <w:sectPr>
          <w:pgSz w:w="11900" w:h="16838" w:orient="portrait"/>
          <w:cols w:equalWidth="0" w:num="1">
            <w:col w:w="11140"/>
          </w:cols>
          <w:pgMar w:left="320" w:top="459" w:right="4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Looking ahead in 2022</w:t>
      </w:r>
    </w:p>
    <w:p>
      <w:pPr>
        <w:spacing w:after="0" w:line="207" w:lineRule="exact"/>
        <w:rPr>
          <w:sz w:val="20"/>
          <w:szCs w:val="20"/>
          <w:color w:val="auto"/>
        </w:rPr>
      </w:pPr>
    </w:p>
    <w:p>
      <w:pPr>
        <w:ind w:left="120" w:right="120"/>
        <w:spacing w:after="0" w:line="253" w:lineRule="auto"/>
        <w:rPr>
          <w:sz w:val="20"/>
          <w:szCs w:val="20"/>
          <w:color w:val="auto"/>
        </w:rPr>
      </w:pPr>
      <w:r>
        <w:rPr>
          <w:rFonts w:ascii="Arial" w:cs="Arial" w:eastAsia="Arial" w:hAnsi="Arial"/>
          <w:sz w:val="18"/>
          <w:szCs w:val="18"/>
          <w:color w:val="auto"/>
        </w:rPr>
        <w:t>In 2021, shareholders approved the compensation of our NEOs with approximately 95 percent of votes cast in favor of our “say-on-pay” proposal. Our Compensation Committee considered the results of this vote, shareholder feedback received in previous years, the changes made to executive compensation programs in recent years, and market data in its annual review of executive compensation plans. Based on this evaluation, for 2022 the Compensation Committee has determined to continue to focus the annual incentive plan on profitability, cash flow generation and safety, and to use relative total shareholder return, measured for the one-, two- and three-year periods within a three-year performance cycle, as the metric for the performance shares awarded under the company’s long term incentive plan. With respect to the form of long-term incentive plan awards for 2022, the Committee has determined that all long-term incentive grants made in 2022 will continue to be in the form of time-based restricted stock units and performance shares, with the long-term incentive mix for NEOs remaining approximately 50 percent time-based restricted stock units and 50 percent performance shares.</w:t>
      </w:r>
    </w:p>
    <w:p>
      <w:pPr>
        <w:spacing w:after="0" w:line="156" w:lineRule="exact"/>
        <w:rPr>
          <w:sz w:val="20"/>
          <w:szCs w:val="20"/>
          <w:color w:val="auto"/>
        </w:rPr>
      </w:pPr>
    </w:p>
    <w:p>
      <w:pPr>
        <w:ind w:left="120" w:right="40"/>
        <w:spacing w:after="0" w:line="255" w:lineRule="auto"/>
        <w:rPr>
          <w:sz w:val="20"/>
          <w:szCs w:val="20"/>
          <w:color w:val="auto"/>
        </w:rPr>
      </w:pPr>
      <w:r>
        <w:rPr>
          <w:rFonts w:ascii="Arial" w:cs="Arial" w:eastAsia="Arial" w:hAnsi="Arial"/>
          <w:sz w:val="18"/>
          <w:szCs w:val="18"/>
          <w:color w:val="auto"/>
        </w:rPr>
        <w:t>To better align with market, the Committee has determined to modify the payout structure for performance shares, beginning with the 2022–2024 performance cycle, by adding a 200 percent maximum payout opportunity if the company’s relative total shareholder return is at or above the 90</w:t>
      </w:r>
      <w:r>
        <w:rPr>
          <w:rFonts w:ascii="Arial" w:cs="Arial" w:eastAsia="Arial" w:hAnsi="Arial"/>
          <w:sz w:val="15"/>
          <w:szCs w:val="15"/>
          <w:color w:val="auto"/>
        </w:rPr>
        <w:t>th</w:t>
      </w:r>
      <w:r>
        <w:rPr>
          <w:rFonts w:ascii="Arial" w:cs="Arial" w:eastAsia="Arial" w:hAnsi="Arial"/>
          <w:sz w:val="18"/>
          <w:szCs w:val="18"/>
          <w:color w:val="auto"/>
        </w:rPr>
        <w:t xml:space="preserve"> percentile of the identified peer group; provided, however, that regardless of the percentile performance achieved, if relative total shareholder return for the three-year performance period is negative, any resulting payout will be limited to 150 percent. Previously, the maximum payout opportunity available for the performance shares was 150 percent of the target number of performance shares awarded for achieving relative total shareholder return at or above the 75</w:t>
      </w:r>
      <w:r>
        <w:rPr>
          <w:rFonts w:ascii="Arial" w:cs="Arial" w:eastAsia="Arial" w:hAnsi="Arial"/>
          <w:sz w:val="15"/>
          <w:szCs w:val="15"/>
          <w:color w:val="auto"/>
        </w:rPr>
        <w:t>th</w:t>
      </w:r>
      <w:r>
        <w:rPr>
          <w:rFonts w:ascii="Arial" w:cs="Arial" w:eastAsia="Arial" w:hAnsi="Arial"/>
          <w:sz w:val="18"/>
          <w:szCs w:val="18"/>
          <w:color w:val="auto"/>
        </w:rPr>
        <w:t xml:space="preserve"> percentile of the identified peer group.</w:t>
      </w:r>
    </w:p>
    <w:p>
      <w:pPr>
        <w:spacing w:after="0" w:line="152" w:lineRule="exact"/>
        <w:rPr>
          <w:sz w:val="20"/>
          <w:szCs w:val="20"/>
          <w:color w:val="auto"/>
        </w:rPr>
      </w:pPr>
    </w:p>
    <w:p>
      <w:pPr>
        <w:ind w:left="120"/>
        <w:spacing w:after="0" w:line="289" w:lineRule="auto"/>
        <w:rPr>
          <w:sz w:val="20"/>
          <w:szCs w:val="20"/>
          <w:color w:val="auto"/>
        </w:rPr>
      </w:pPr>
      <w:r>
        <w:rPr>
          <w:rFonts w:ascii="Arial" w:cs="Arial" w:eastAsia="Arial" w:hAnsi="Arial"/>
          <w:sz w:val="16"/>
          <w:szCs w:val="16"/>
          <w:color w:val="auto"/>
        </w:rPr>
        <w:t>Finally, in connection with the annual review of the compensation of the company’s President and CEO, in February 2022 the Compensation Committee recommended and the Board approved an increase in the target value of awards under the company’s long-term incentive plan for Mr. Williams from $2 million to $2.4 million annually. The Compensation Committee’s recommendation to increase the target value of Mr. Williams’ long-term incentive awards was based on a combination of factors, including a finding that the current target total direct compensation for the company’s President and CEO fell below the market median competitive range (as compared to peer group compensation data provided by the Committee’s independent compensation consultant, Meridian Compensation Partners, LLC), and Mr. Williams’ exceptional performance as CEO since joining the company in January 2021. The mix of long-term incentives for Mr. Williams will remain unchanged in 2022, with 50 percent of the target value being awarded in the form of performance shares and the balance in time-based restricted stock units. Upon recommendation of the Committee and with the approval of the Board, there was no increase to either base salary or the target annual incentive opportunity for Mr. Williams for 2022.</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9</w:t>
      </w:r>
    </w:p>
    <w:p>
      <w:pPr>
        <w:sectPr>
          <w:pgSz w:w="11900" w:h="16838" w:orient="portrait"/>
          <w:cols w:equalWidth="0" w:num="1">
            <w:col w:w="11100"/>
          </w:cols>
          <w:pgMar w:left="320" w:top="459" w:right="47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Proposal 1</w:t>
      </w:r>
    </w:p>
    <w:p>
      <w:pPr>
        <w:spacing w:after="0" w:line="76"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Election of directors</w:t>
      </w:r>
    </w:p>
    <w:p>
      <w:pPr>
        <w:spacing w:after="0" w:line="301" w:lineRule="exact"/>
        <w:rPr>
          <w:sz w:val="20"/>
          <w:szCs w:val="20"/>
          <w:color w:val="auto"/>
        </w:rPr>
      </w:pPr>
    </w:p>
    <w:p>
      <w:pPr>
        <w:ind w:left="120" w:right="80"/>
        <w:spacing w:after="0" w:line="293" w:lineRule="auto"/>
        <w:rPr>
          <w:sz w:val="20"/>
          <w:szCs w:val="20"/>
          <w:color w:val="auto"/>
        </w:rPr>
      </w:pPr>
      <w:r>
        <w:rPr>
          <w:rFonts w:ascii="Arial" w:cs="Arial" w:eastAsia="Arial" w:hAnsi="Arial"/>
          <w:sz w:val="15"/>
          <w:szCs w:val="15"/>
          <w:color w:val="auto"/>
        </w:rPr>
        <w:t>The company currently has nine members on its Board of Directors, divided into three classes for purposes of election, with three-year terms of office ending in successive years. Our Board of Directors is now composed of nine directors and one vacancy, with four directors in the class whose terms expire in 2022 and who are nominated for election at the 2022 annual meeting, three directors in the class whose terms expire in 2023, and two directors and one vacancy in the class whose terms expire in 2024. Terry L. Dunlap retired as a director effective December 31, 2021, leaving a vacancy in the class whose terms expire in 2024. Although this vacancy may continue to exist at or after the 2022 annual meeting, the Nominating and Corporate Governance Committee will continue to search for a qualified candidate to fill the vacancy. Proxies cannot be voted for a greater number of persons than the number of nominees named.</w:t>
      </w:r>
    </w:p>
    <w:p>
      <w:pPr>
        <w:spacing w:after="0" w:line="100" w:lineRule="exact"/>
        <w:rPr>
          <w:sz w:val="20"/>
          <w:szCs w:val="20"/>
          <w:color w:val="auto"/>
        </w:rPr>
      </w:pPr>
    </w:p>
    <w:p>
      <w:pPr>
        <w:ind w:left="120" w:right="100"/>
        <w:spacing w:after="0" w:line="257" w:lineRule="auto"/>
        <w:rPr>
          <w:sz w:val="20"/>
          <w:szCs w:val="20"/>
          <w:color w:val="auto"/>
        </w:rPr>
      </w:pPr>
      <w:r>
        <w:rPr>
          <w:rFonts w:ascii="Arial" w:cs="Arial" w:eastAsia="Arial" w:hAnsi="Arial"/>
          <w:sz w:val="17"/>
          <w:szCs w:val="17"/>
          <w:color w:val="auto"/>
        </w:rPr>
        <w:t>The Board of Directors has nominated each of the following individuals for election as directors at the 2022 annual meeting of shareholders, to serve for a term of three years expiring at the 2025 annual meeting of shareholders or until his or her successor is duly elected and qualified (or until his or her earlier death, resignation or removal): Diane C. Creel, Kenneth V. Garcia, Ellis A. Jones and Donald T. Misheff. Each of the nominees currently serves as a director and has agreed to continue serving if elected.</w:t>
      </w:r>
    </w:p>
    <w:p>
      <w:pPr>
        <w:spacing w:after="0" w:line="148" w:lineRule="exact"/>
        <w:rPr>
          <w:sz w:val="20"/>
          <w:szCs w:val="20"/>
          <w:color w:val="auto"/>
        </w:rPr>
      </w:pPr>
    </w:p>
    <w:p>
      <w:pPr>
        <w:ind w:left="120" w:right="40"/>
        <w:spacing w:after="0" w:line="291" w:lineRule="auto"/>
        <w:rPr>
          <w:sz w:val="20"/>
          <w:szCs w:val="20"/>
          <w:color w:val="auto"/>
        </w:rPr>
      </w:pPr>
      <w:r>
        <w:rPr>
          <w:rFonts w:ascii="Arial" w:cs="Arial" w:eastAsia="Arial" w:hAnsi="Arial"/>
          <w:sz w:val="15"/>
          <w:szCs w:val="15"/>
          <w:color w:val="auto"/>
        </w:rPr>
        <w:t>With respect to Messrs. Garcia and Jones, the Board first appointed each to serve as a director in August 2021, upon the recommendation of the Nominating and Corporate Governance Committee and with each having been identified for consideration as a candidate by incumbent independent members of the Board. In order to fill vacancies on the Board of Directors, the Nominating and Corporate Governance Committee facilitated a director search process, and several candidates were identified and interviewed in a formal evaluation process. Following the identification of each of Messrs. Garcia and Jones as potential candidates, members of the Board of Directors interviewed each candidate, and each candidate completed a questionnaire providing information relating to his experience, background and other factors. The Nominating and Corporate Governance Committee reviewed each candidate’s qualifications and recommended each be elected to the Board. Messrs. Garcia and Jones will each stand for election by shareholders for the first time at the 2022 annual meeting of shareholders.</w:t>
      </w:r>
    </w:p>
    <w:p>
      <w:pPr>
        <w:spacing w:after="0" w:line="143" w:lineRule="exact"/>
        <w:rPr>
          <w:sz w:val="20"/>
          <w:szCs w:val="20"/>
          <w:color w:val="auto"/>
        </w:rPr>
      </w:pPr>
    </w:p>
    <w:p>
      <w:pPr>
        <w:ind w:left="120" w:right="360"/>
        <w:spacing w:after="0" w:line="274" w:lineRule="auto"/>
        <w:rPr>
          <w:sz w:val="20"/>
          <w:szCs w:val="20"/>
          <w:color w:val="auto"/>
        </w:rPr>
      </w:pPr>
      <w:r>
        <w:rPr>
          <w:rFonts w:ascii="Arial" w:cs="Arial" w:eastAsia="Arial" w:hAnsi="Arial"/>
          <w:sz w:val="17"/>
          <w:szCs w:val="17"/>
          <w:color w:val="auto"/>
        </w:rPr>
        <w:t>If any of the nominees is unable to stand for election, the Board of Directors may designate a substitute. Shares represented by proxies may be voted for the substitute but will not be voted for more than four nominees.</w:t>
      </w:r>
    </w:p>
    <w:p>
      <w:pPr>
        <w:spacing w:after="0" w:line="134" w:lineRule="exact"/>
        <w:rPr>
          <w:sz w:val="20"/>
          <w:szCs w:val="20"/>
          <w:color w:val="auto"/>
        </w:rPr>
      </w:pPr>
    </w:p>
    <w:p>
      <w:pPr>
        <w:ind w:left="120"/>
        <w:spacing w:after="0"/>
        <w:rPr>
          <w:sz w:val="20"/>
          <w:szCs w:val="20"/>
          <w:color w:val="auto"/>
        </w:rPr>
      </w:pPr>
      <w:r>
        <w:rPr>
          <w:rFonts w:ascii="Arial" w:cs="Arial" w:eastAsia="Arial" w:hAnsi="Arial"/>
          <w:sz w:val="17"/>
          <w:szCs w:val="17"/>
          <w:color w:val="auto"/>
        </w:rPr>
        <w:t>Directors are elected by a plurality of the votes cast. The four nominees receiving the greatest number of votes will be elected.</w:t>
      </w:r>
    </w:p>
    <w:p>
      <w:pPr>
        <w:spacing w:after="0" w:line="183" w:lineRule="exact"/>
        <w:rPr>
          <w:sz w:val="20"/>
          <w:szCs w:val="20"/>
          <w:color w:val="auto"/>
        </w:rPr>
      </w:pPr>
    </w:p>
    <w:p>
      <w:pPr>
        <w:ind w:left="120" w:right="80"/>
        <w:spacing w:after="0" w:line="272" w:lineRule="auto"/>
        <w:rPr>
          <w:sz w:val="20"/>
          <w:szCs w:val="20"/>
          <w:color w:val="auto"/>
        </w:rPr>
      </w:pPr>
      <w:r>
        <w:rPr>
          <w:rFonts w:ascii="Arial" w:cs="Arial" w:eastAsia="Arial" w:hAnsi="Arial"/>
          <w:sz w:val="16"/>
          <w:szCs w:val="16"/>
          <w:color w:val="auto"/>
        </w:rPr>
        <w:t>Pursuant to the majority voting policy of the Board of Directors, any director who receives a greater number of “withhold” votes than votes “for” his or her election in an uncontested election will submit his or her resignation to the Board of Directors promptly after the certification of the election results. The Nominating and Corporate Governance Committee and the Board of Directors will then consider the tendered resignation in light of any factors they consider appropriate, including the director’s qualifications and contributions to the Board of Directors, as well as any reasons given by shareholders regarding why they withheld votes from the director. The Board of Directors is required to determine whether to accept or reject the tendered resignation within 90 days following the election and to promptly disclose its decision, as well as the reasons for rejecting any tendered resignation, if applicable.</w:t>
      </w:r>
    </w:p>
    <w:p>
      <w:pPr>
        <w:spacing w:after="0" w:line="153" w:lineRule="exact"/>
        <w:rPr>
          <w:sz w:val="20"/>
          <w:szCs w:val="20"/>
          <w:color w:val="auto"/>
        </w:rPr>
      </w:pPr>
    </w:p>
    <w:p>
      <w:pPr>
        <w:ind w:left="120"/>
        <w:spacing w:after="0" w:line="312" w:lineRule="auto"/>
        <w:rPr>
          <w:sz w:val="20"/>
          <w:szCs w:val="20"/>
          <w:color w:val="auto"/>
        </w:rPr>
      </w:pPr>
      <w:r>
        <w:rPr>
          <w:rFonts w:ascii="Arial" w:cs="Arial" w:eastAsia="Arial" w:hAnsi="Arial"/>
          <w:sz w:val="15"/>
          <w:szCs w:val="15"/>
          <w:color w:val="auto"/>
        </w:rPr>
        <w:t>Holders of TimkenSteel common shares are entitled to cast one vote for each share held on the record date for up to four nominees for director. A shareholder may not cumulate his or her shares in voting for director nominees. For example, a shareholder who owns 100 TimkenSteel common shares may vote 100 shares for each of the four nominees. The shareholder may not, however, vote more than 100 shares for any one nominee, or vote for more than four nominees.</w:t>
      </w:r>
    </w:p>
    <w:p>
      <w:pPr>
        <w:spacing w:after="0" w:line="106"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auto"/>
        </w:rPr>
        <w:t>Shares represented by proxy will be voted FOR these nominees unless specified otherwise in the voting instructions.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2002155</wp:posOffset>
            </wp:positionH>
            <wp:positionV relativeFrom="paragraph">
              <wp:posOffset>155575</wp:posOffset>
            </wp:positionV>
            <wp:extent cx="342900" cy="3429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342900" cy="342900"/>
                    </a:xfrm>
                    <a:prstGeom prst="rect">
                      <a:avLst/>
                    </a:prstGeom>
                    <a:noFill/>
                  </pic:spPr>
                </pic:pic>
              </a:graphicData>
            </a:graphic>
          </wp:anchor>
        </w:drawing>
      </w:r>
    </w:p>
    <w:p>
      <w:pPr>
        <w:spacing w:after="0" w:line="247" w:lineRule="exact"/>
        <w:rPr>
          <w:sz w:val="20"/>
          <w:szCs w:val="20"/>
          <w:color w:val="auto"/>
        </w:rPr>
      </w:pPr>
    </w:p>
    <w:p>
      <w:pPr>
        <w:jc w:val="center"/>
        <w:ind w:left="660"/>
        <w:spacing w:after="0"/>
        <w:rPr>
          <w:sz w:val="20"/>
          <w:szCs w:val="20"/>
          <w:color w:val="auto"/>
        </w:rPr>
      </w:pPr>
      <w:r>
        <w:rPr>
          <w:rFonts w:ascii="Arial" w:cs="Arial" w:eastAsia="Arial" w:hAnsi="Arial"/>
          <w:sz w:val="18"/>
          <w:szCs w:val="18"/>
          <w:b w:val="1"/>
          <w:bCs w:val="1"/>
          <w:color w:val="auto"/>
        </w:rPr>
        <w:t>Your Board of Directors recommends a vote</w:t>
      </w:r>
    </w:p>
    <w:p>
      <w:pPr>
        <w:spacing w:after="0" w:line="27" w:lineRule="exact"/>
        <w:rPr>
          <w:sz w:val="20"/>
          <w:szCs w:val="20"/>
          <w:color w:val="auto"/>
        </w:rPr>
      </w:pPr>
    </w:p>
    <w:p>
      <w:pPr>
        <w:jc w:val="center"/>
        <w:ind w:left="580"/>
        <w:spacing w:after="0"/>
        <w:rPr>
          <w:sz w:val="20"/>
          <w:szCs w:val="20"/>
          <w:color w:val="auto"/>
        </w:rPr>
      </w:pPr>
      <w:r>
        <w:rPr>
          <w:rFonts w:ascii="Arial" w:cs="Arial" w:eastAsia="Arial" w:hAnsi="Arial"/>
          <w:sz w:val="18"/>
          <w:szCs w:val="18"/>
          <w:b w:val="1"/>
          <w:bCs w:val="1"/>
          <w:color w:val="auto"/>
        </w:rPr>
        <w:t>for these nominees.</w:t>
      </w:r>
    </w:p>
    <w:p>
      <w:pPr>
        <w:spacing w:after="0" w:line="215"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10</w:t>
      </w:r>
    </w:p>
    <w:p>
      <w:pPr>
        <w:sectPr>
          <w:pgSz w:w="11900" w:h="16838" w:orient="portrait"/>
          <w:cols w:equalWidth="0" w:num="1">
            <w:col w:w="11120"/>
          </w:cols>
          <w:pgMar w:left="320" w:top="459" w:right="45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Our knowledgeable Board of Directors</w:t>
      </w:r>
    </w:p>
    <w:p>
      <w:pPr>
        <w:spacing w:after="0" w:line="207" w:lineRule="exact"/>
        <w:rPr>
          <w:sz w:val="20"/>
          <w:szCs w:val="20"/>
          <w:color w:val="auto"/>
        </w:rPr>
      </w:pPr>
    </w:p>
    <w:p>
      <w:pPr>
        <w:ind w:left="120" w:right="20"/>
        <w:spacing w:after="0" w:line="263" w:lineRule="auto"/>
        <w:rPr>
          <w:sz w:val="20"/>
          <w:szCs w:val="20"/>
          <w:color w:val="auto"/>
        </w:rPr>
      </w:pPr>
      <w:r>
        <w:rPr>
          <w:rFonts w:ascii="Arial" w:cs="Arial" w:eastAsia="Arial" w:hAnsi="Arial"/>
          <w:sz w:val="18"/>
          <w:szCs w:val="18"/>
          <w:color w:val="auto"/>
        </w:rPr>
        <w:t>Members of the TimkenSteel Board of Directors have diverse skills, qualifications and experiences that enable them to effectively oversee the management of the company’s business affairs. These directors represent the interests of TimkenSteel’s stakeholders and help to drive strategic decisions for the company’s long-term success.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1625600</wp:posOffset>
            </wp:positionV>
            <wp:extent cx="699516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125730</wp:posOffset>
            </wp:positionV>
            <wp:extent cx="6995160" cy="14662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995160" cy="1466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tbl>
      <w:tblPr>
        <w:tblLayout w:type="fixed"/>
        <w:tblInd w:w="120" w:type="dxa"/>
        <w:tblCellMar>
          <w:top w:w="0" w:type="dxa"/>
          <w:left w:w="0" w:type="dxa"/>
          <w:bottom w:w="0" w:type="dxa"/>
          <w:right w:w="0" w:type="dxa"/>
        </w:tblCellMar>
      </w:tblPr>
      <w:tr>
        <w:trPr>
          <w:trHeight w:val="215"/>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Diane C. Creel</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18"/>
                <w:szCs w:val="18"/>
                <w:color w:val="auto"/>
              </w:rPr>
            </w:pP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200"/>
              <w:spacing w:after="0"/>
              <w:rPr>
                <w:sz w:val="20"/>
                <w:szCs w:val="20"/>
                <w:color w:val="auto"/>
              </w:rPr>
            </w:pPr>
            <w:r>
              <w:rPr>
                <w:rFonts w:ascii="Arial" w:cs="Arial" w:eastAsia="Arial" w:hAnsi="Arial"/>
                <w:sz w:val="14"/>
                <w:szCs w:val="14"/>
                <w:color w:val="auto"/>
              </w:rPr>
              <w:t>●</w:t>
            </w:r>
          </w:p>
        </w:tc>
        <w:tc>
          <w:tcPr>
            <w:tcW w:w="420" w:type="dxa"/>
            <w:vAlign w:val="bottom"/>
          </w:tcPr>
          <w:p>
            <w:pPr>
              <w:ind w:left="200"/>
              <w:spacing w:after="0"/>
              <w:rPr>
                <w:sz w:val="20"/>
                <w:szCs w:val="20"/>
                <w:color w:val="auto"/>
              </w:rPr>
            </w:pPr>
            <w:r>
              <w:rPr>
                <w:rFonts w:ascii="Arial" w:cs="Arial" w:eastAsia="Arial" w:hAnsi="Arial"/>
                <w:sz w:val="14"/>
                <w:szCs w:val="14"/>
                <w:color w:val="auto"/>
              </w:rPr>
              <w:t>●</w:t>
            </w: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Randall H. Edwards</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spacing w:after="0"/>
              <w:rPr>
                <w:sz w:val="20"/>
                <w:szCs w:val="20"/>
                <w:color w:val="auto"/>
              </w:rPr>
            </w:pP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420" w:type="dxa"/>
            <w:vAlign w:val="bottom"/>
          </w:tcPr>
          <w:p>
            <w:pPr>
              <w:spacing w:after="0"/>
              <w:rPr>
                <w:sz w:val="20"/>
                <w:szCs w:val="20"/>
                <w:color w:val="auto"/>
              </w:rPr>
            </w:pP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Kenneth V. Garcia</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c>
          <w:tcPr>
            <w:tcW w:w="460" w:type="dxa"/>
            <w:vAlign w:val="bottom"/>
          </w:tcPr>
          <w:p>
            <w:pPr>
              <w:ind w:left="180"/>
              <w:spacing w:after="0"/>
              <w:rPr>
                <w:sz w:val="20"/>
                <w:szCs w:val="20"/>
                <w:color w:val="auto"/>
              </w:rPr>
            </w:pPr>
            <w:r>
              <w:rPr>
                <w:rFonts w:ascii="Arial" w:cs="Arial" w:eastAsia="Arial" w:hAnsi="Arial"/>
                <w:sz w:val="14"/>
                <w:szCs w:val="14"/>
                <w:color w:val="auto"/>
              </w:rPr>
              <w:t>●</w:t>
            </w: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20" w:type="dxa"/>
            <w:vAlign w:val="bottom"/>
          </w:tcPr>
          <w:p>
            <w:pPr>
              <w:ind w:left="200"/>
              <w:spacing w:after="0"/>
              <w:rPr>
                <w:sz w:val="20"/>
                <w:szCs w:val="20"/>
                <w:color w:val="auto"/>
              </w:rPr>
            </w:pPr>
            <w:r>
              <w:rPr>
                <w:rFonts w:ascii="Arial" w:cs="Arial" w:eastAsia="Arial" w:hAnsi="Arial"/>
                <w:sz w:val="14"/>
                <w:szCs w:val="14"/>
                <w:color w:val="auto"/>
              </w:rPr>
              <w:t>●</w:t>
            </w: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Ellis A. Jones</w:t>
            </w:r>
          </w:p>
        </w:tc>
        <w:tc>
          <w:tcPr>
            <w:tcW w:w="22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20"/>
                <w:szCs w:val="20"/>
                <w:color w:val="auto"/>
              </w:rPr>
            </w:pP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420" w:type="dxa"/>
            <w:vAlign w:val="bottom"/>
          </w:tcPr>
          <w:p>
            <w:pPr>
              <w:ind w:left="200"/>
              <w:spacing w:after="0"/>
              <w:rPr>
                <w:sz w:val="20"/>
                <w:szCs w:val="20"/>
                <w:color w:val="auto"/>
              </w:rPr>
            </w:pPr>
            <w:r>
              <w:rPr>
                <w:rFonts w:ascii="Arial" w:cs="Arial" w:eastAsia="Arial" w:hAnsi="Arial"/>
                <w:sz w:val="14"/>
                <w:szCs w:val="14"/>
                <w:color w:val="auto"/>
              </w:rPr>
              <w:t>●</w:t>
            </w: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Donald T. Misheff</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60" w:type="dxa"/>
            <w:vAlign w:val="bottom"/>
          </w:tcPr>
          <w:p>
            <w:pPr>
              <w:ind w:left="20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Ronald A. Rice</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180"/>
              <w:spacing w:after="0"/>
              <w:rPr>
                <w:sz w:val="20"/>
                <w:szCs w:val="20"/>
                <w:color w:val="auto"/>
              </w:rPr>
            </w:pPr>
            <w:r>
              <w:rPr>
                <w:rFonts w:ascii="Arial" w:cs="Arial" w:eastAsia="Arial" w:hAnsi="Arial"/>
                <w:sz w:val="14"/>
                <w:szCs w:val="14"/>
                <w:color w:val="auto"/>
              </w:rPr>
              <w:t>●</w:t>
            </w: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20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1"/>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Leila L. Vespoli</w:t>
            </w:r>
          </w:p>
        </w:tc>
        <w:tc>
          <w:tcPr>
            <w:tcW w:w="2240" w:type="dxa"/>
            <w:vAlign w:val="bottom"/>
          </w:tcPr>
          <w:p>
            <w:pPr>
              <w:spacing w:after="0"/>
              <w:rPr>
                <w:sz w:val="20"/>
                <w:szCs w:val="20"/>
                <w:color w:val="auto"/>
              </w:rPr>
            </w:pP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spacing w:after="0"/>
              <w:rPr>
                <w:sz w:val="20"/>
                <w:szCs w:val="20"/>
                <w:color w:val="auto"/>
              </w:rPr>
            </w:pP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420" w:type="dxa"/>
            <w:vAlign w:val="bottom"/>
          </w:tcPr>
          <w:p>
            <w:pPr>
              <w:ind w:left="200"/>
              <w:spacing w:after="0"/>
              <w:rPr>
                <w:sz w:val="20"/>
                <w:szCs w:val="20"/>
                <w:color w:val="auto"/>
              </w:rPr>
            </w:pPr>
            <w:r>
              <w:rPr>
                <w:rFonts w:ascii="Arial" w:cs="Arial" w:eastAsia="Arial" w:hAnsi="Arial"/>
                <w:sz w:val="14"/>
                <w:szCs w:val="14"/>
                <w:color w:val="auto"/>
              </w:rPr>
              <w:t>●</w:t>
            </w: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0"/>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Michael S. Williams</w:t>
            </w:r>
          </w:p>
        </w:tc>
        <w:tc>
          <w:tcPr>
            <w:tcW w:w="2240" w:type="dxa"/>
            <w:vAlign w:val="bottom"/>
          </w:tcPr>
          <w:p>
            <w:pPr>
              <w:ind w:left="198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c>
          <w:tcPr>
            <w:tcW w:w="40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180"/>
              <w:spacing w:after="0"/>
              <w:rPr>
                <w:sz w:val="20"/>
                <w:szCs w:val="20"/>
                <w:color w:val="auto"/>
              </w:rPr>
            </w:pPr>
            <w:r>
              <w:rPr>
                <w:rFonts w:ascii="Arial" w:cs="Arial" w:eastAsia="Arial" w:hAnsi="Arial"/>
                <w:sz w:val="14"/>
                <w:szCs w:val="14"/>
                <w:color w:val="auto"/>
              </w:rPr>
              <w:t>●</w:t>
            </w: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200"/>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20"/>
                <w:szCs w:val="20"/>
                <w:color w:val="auto"/>
              </w:rPr>
            </w:pPr>
          </w:p>
        </w:tc>
      </w:tr>
      <w:tr>
        <w:trPr>
          <w:trHeight w:val="60"/>
        </w:trPr>
        <w:tc>
          <w:tcPr>
            <w:tcW w:w="3500" w:type="dxa"/>
            <w:vAlign w:val="bottom"/>
            <w:tcBorders>
              <w:bottom w:val="single" w:sz="8" w:color="B2B2B2"/>
            </w:tcBorders>
          </w:tcPr>
          <w:p>
            <w:pPr>
              <w:spacing w:after="0"/>
              <w:rPr>
                <w:sz w:val="5"/>
                <w:szCs w:val="5"/>
                <w:color w:val="auto"/>
              </w:rPr>
            </w:pPr>
          </w:p>
        </w:tc>
        <w:tc>
          <w:tcPr>
            <w:tcW w:w="224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0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50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40" w:type="dxa"/>
            <w:vAlign w:val="bottom"/>
            <w:tcBorders>
              <w:bottom w:val="single" w:sz="8" w:color="B2B2B2"/>
            </w:tcBorders>
          </w:tcPr>
          <w:p>
            <w:pPr>
              <w:spacing w:after="0"/>
              <w:rPr>
                <w:sz w:val="5"/>
                <w:szCs w:val="5"/>
                <w:color w:val="auto"/>
              </w:rPr>
            </w:pPr>
          </w:p>
        </w:tc>
        <w:tc>
          <w:tcPr>
            <w:tcW w:w="460" w:type="dxa"/>
            <w:vAlign w:val="bottom"/>
            <w:tcBorders>
              <w:bottom w:val="single" w:sz="8" w:color="B2B2B2"/>
            </w:tcBorders>
          </w:tcPr>
          <w:p>
            <w:pPr>
              <w:spacing w:after="0"/>
              <w:rPr>
                <w:sz w:val="5"/>
                <w:szCs w:val="5"/>
                <w:color w:val="auto"/>
              </w:rPr>
            </w:pPr>
          </w:p>
        </w:tc>
        <w:tc>
          <w:tcPr>
            <w:tcW w:w="420" w:type="dxa"/>
            <w:vAlign w:val="bottom"/>
            <w:tcBorders>
              <w:bottom w:val="single" w:sz="8" w:color="B2B2B2"/>
            </w:tcBorders>
          </w:tcPr>
          <w:p>
            <w:pPr>
              <w:spacing w:after="0"/>
              <w:rPr>
                <w:sz w:val="5"/>
                <w:szCs w:val="5"/>
                <w:color w:val="auto"/>
              </w:rPr>
            </w:pPr>
          </w:p>
        </w:tc>
      </w:tr>
      <w:tr>
        <w:trPr>
          <w:trHeight w:val="230"/>
        </w:trPr>
        <w:tc>
          <w:tcPr>
            <w:tcW w:w="3500" w:type="dxa"/>
            <w:vAlign w:val="bottom"/>
          </w:tcPr>
          <w:p>
            <w:pPr>
              <w:ind w:left="80"/>
              <w:spacing w:after="0"/>
              <w:rPr>
                <w:sz w:val="20"/>
                <w:szCs w:val="20"/>
                <w:color w:val="auto"/>
              </w:rPr>
            </w:pPr>
            <w:r>
              <w:rPr>
                <w:rFonts w:ascii="Arial" w:cs="Arial" w:eastAsia="Arial" w:hAnsi="Arial"/>
                <w:sz w:val="16"/>
                <w:szCs w:val="16"/>
                <w:b w:val="1"/>
                <w:bCs w:val="1"/>
                <w:color w:val="auto"/>
              </w:rPr>
              <w:t>Randall A. Wotring</w:t>
            </w:r>
          </w:p>
        </w:tc>
        <w:tc>
          <w:tcPr>
            <w:tcW w:w="2240" w:type="dxa"/>
            <w:vAlign w:val="bottom"/>
          </w:tcPr>
          <w:p>
            <w:pPr>
              <w:spacing w:after="0"/>
              <w:rPr>
                <w:sz w:val="20"/>
                <w:szCs w:val="20"/>
                <w:color w:val="auto"/>
              </w:rPr>
            </w:pP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20" w:type="dxa"/>
            <w:vAlign w:val="bottom"/>
          </w:tcPr>
          <w:p>
            <w:pPr>
              <w:ind w:left="160"/>
              <w:spacing w:after="0"/>
              <w:rPr>
                <w:sz w:val="20"/>
                <w:szCs w:val="20"/>
                <w:color w:val="auto"/>
              </w:rPr>
            </w:pPr>
            <w:r>
              <w:rPr>
                <w:rFonts w:ascii="Arial" w:cs="Arial" w:eastAsia="Arial" w:hAnsi="Arial"/>
                <w:sz w:val="14"/>
                <w:szCs w:val="14"/>
                <w:color w:val="auto"/>
              </w:rPr>
              <w:t>●</w:t>
            </w:r>
          </w:p>
        </w:tc>
        <w:tc>
          <w:tcPr>
            <w:tcW w:w="400" w:type="dxa"/>
            <w:vAlign w:val="bottom"/>
          </w:tcPr>
          <w:p>
            <w:pPr>
              <w:spacing w:after="0"/>
              <w:rPr>
                <w:sz w:val="20"/>
                <w:szCs w:val="20"/>
                <w:color w:val="auto"/>
              </w:rPr>
            </w:pPr>
          </w:p>
        </w:tc>
        <w:tc>
          <w:tcPr>
            <w:tcW w:w="42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ind w:left="180"/>
              <w:spacing w:after="0"/>
              <w:rPr>
                <w:sz w:val="20"/>
                <w:szCs w:val="20"/>
                <w:color w:val="auto"/>
              </w:rPr>
            </w:pPr>
            <w:r>
              <w:rPr>
                <w:rFonts w:ascii="Arial" w:cs="Arial" w:eastAsia="Arial" w:hAnsi="Arial"/>
                <w:sz w:val="14"/>
                <w:szCs w:val="14"/>
                <w:color w:val="auto"/>
              </w:rPr>
              <w:t>●</w:t>
            </w:r>
          </w:p>
        </w:tc>
        <w:tc>
          <w:tcPr>
            <w:tcW w:w="500" w:type="dxa"/>
            <w:vAlign w:val="bottom"/>
          </w:tcPr>
          <w:p>
            <w:pPr>
              <w:ind w:left="220"/>
              <w:spacing w:after="0"/>
              <w:rPr>
                <w:sz w:val="20"/>
                <w:szCs w:val="20"/>
                <w:color w:val="auto"/>
              </w:rPr>
            </w:pPr>
            <w:r>
              <w:rPr>
                <w:rFonts w:ascii="Arial" w:cs="Arial" w:eastAsia="Arial" w:hAnsi="Arial"/>
                <w:sz w:val="14"/>
                <w:szCs w:val="14"/>
                <w:color w:val="auto"/>
              </w:rPr>
              <w:t>●</w:t>
            </w:r>
          </w:p>
        </w:tc>
        <w:tc>
          <w:tcPr>
            <w:tcW w:w="460" w:type="dxa"/>
            <w:vAlign w:val="bottom"/>
          </w:tcPr>
          <w:p>
            <w:pPr>
              <w:ind w:left="22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40" w:type="dxa"/>
            <w:vAlign w:val="bottom"/>
          </w:tcPr>
          <w:p>
            <w:pPr>
              <w:ind w:left="160"/>
              <w:spacing w:after="0"/>
              <w:rPr>
                <w:sz w:val="20"/>
                <w:szCs w:val="20"/>
                <w:color w:val="auto"/>
              </w:rPr>
            </w:pPr>
            <w:r>
              <w:rPr>
                <w:rFonts w:ascii="Arial" w:cs="Arial" w:eastAsia="Arial" w:hAnsi="Arial"/>
                <w:sz w:val="14"/>
                <w:szCs w:val="14"/>
                <w:color w:val="auto"/>
              </w:rPr>
              <w:t>●</w:t>
            </w:r>
          </w:p>
        </w:tc>
        <w:tc>
          <w:tcPr>
            <w:tcW w:w="440" w:type="dxa"/>
            <w:vAlign w:val="bottom"/>
          </w:tcPr>
          <w:p>
            <w:pPr>
              <w:ind w:left="18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0"/>
                <w:szCs w:val="20"/>
                <w:color w:val="auto"/>
              </w:rPr>
            </w:pPr>
          </w:p>
        </w:tc>
        <w:tc>
          <w:tcPr>
            <w:tcW w:w="42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38100</wp:posOffset>
            </wp:positionV>
            <wp:extent cx="699516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75" w:lineRule="exact"/>
        <w:rPr>
          <w:sz w:val="20"/>
          <w:szCs w:val="20"/>
          <w:color w:val="auto"/>
        </w:rPr>
      </w:pPr>
    </w:p>
    <w:p>
      <w:pPr>
        <w:ind w:left="120"/>
        <w:spacing w:after="0"/>
        <w:rPr>
          <w:sz w:val="20"/>
          <w:szCs w:val="20"/>
          <w:color w:val="auto"/>
        </w:rPr>
      </w:pPr>
      <w:r>
        <w:rPr>
          <w:rFonts w:ascii="Arial" w:cs="Arial" w:eastAsia="Arial" w:hAnsi="Arial"/>
          <w:sz w:val="14"/>
          <w:szCs w:val="14"/>
          <w:color w:val="auto"/>
        </w:rPr>
        <w:t>* With respect to the members of our Board of Directors identified as diverse, two identify themselves as women, one as Hispanic/ Latino and one as Black.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38100</wp:posOffset>
            </wp:positionV>
            <wp:extent cx="699516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15" w:lineRule="exact"/>
        <w:rPr>
          <w:sz w:val="20"/>
          <w:szCs w:val="20"/>
          <w:color w:val="auto"/>
        </w:rPr>
      </w:pPr>
    </w:p>
    <w:p>
      <w:pPr>
        <w:ind w:left="120" w:right="440"/>
        <w:spacing w:after="0" w:line="342" w:lineRule="auto"/>
        <w:rPr>
          <w:sz w:val="20"/>
          <w:szCs w:val="20"/>
          <w:color w:val="auto"/>
        </w:rPr>
      </w:pPr>
      <w:r>
        <w:rPr>
          <w:rFonts w:ascii="Arial" w:cs="Arial" w:eastAsia="Arial" w:hAnsi="Arial"/>
          <w:sz w:val="16"/>
          <w:szCs w:val="16"/>
          <w:color w:val="auto"/>
        </w:rPr>
        <w:t>Biographical information on each of the nominees and a description of his or her qualifications to serve as a director, as well as similar information about the other continuing directors, is provided in the pages that follow. All information is as of March 1, 2022, unless otherwise indicated.</w:t>
      </w:r>
    </w:p>
    <w:p>
      <w:pPr>
        <w:spacing w:after="0" w:line="61"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11</w:t>
      </w:r>
    </w:p>
    <w:p>
      <w:pPr>
        <w:sectPr>
          <w:pgSz w:w="11900" w:h="16838" w:orient="portrait"/>
          <w:cols w:equalWidth="0" w:num="1">
            <w:col w:w="11140"/>
          </w:cols>
          <w:pgMar w:left="32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Nominees for election to serve a three-year term expiring at the 2025 annual meeting of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48895</wp:posOffset>
            </wp:positionV>
            <wp:extent cx="699516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83185</wp:posOffset>
            </wp:positionV>
            <wp:extent cx="3206115" cy="1714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3206115" cy="171450"/>
                    </a:xfrm>
                    <a:prstGeom prst="rect">
                      <a:avLst/>
                    </a:prstGeom>
                    <a:noFill/>
                  </pic:spPr>
                </pic:pic>
              </a:graphicData>
            </a:graphic>
          </wp:anchor>
        </w:drawing>
      </w:r>
    </w:p>
    <w:p>
      <w:pPr>
        <w:spacing w:after="0" w:line="165" w:lineRule="exact"/>
        <w:rPr>
          <w:sz w:val="20"/>
          <w:szCs w:val="20"/>
          <w:color w:val="auto"/>
        </w:rPr>
      </w:pPr>
    </w:p>
    <w:p>
      <w:pPr>
        <w:ind w:left="3820"/>
        <w:spacing w:after="0"/>
        <w:rPr>
          <w:sz w:val="20"/>
          <w:szCs w:val="20"/>
          <w:color w:val="auto"/>
        </w:rPr>
      </w:pPr>
      <w:r>
        <w:rPr>
          <w:rFonts w:ascii="Arial" w:cs="Arial" w:eastAsia="Arial" w:hAnsi="Arial"/>
          <w:sz w:val="22"/>
          <w:szCs w:val="22"/>
          <w:b w:val="1"/>
          <w:bCs w:val="1"/>
          <w:color w:val="7F7F7F"/>
        </w:rPr>
        <w:t>Diane C. Creel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-151130</wp:posOffset>
            </wp:positionV>
            <wp:extent cx="1645920" cy="1911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645920" cy="1911350"/>
                    </a:xfrm>
                    <a:prstGeom prst="rect">
                      <a:avLst/>
                    </a:prstGeom>
                    <a:noFill/>
                  </pic:spPr>
                </pic:pic>
              </a:graphicData>
            </a:graphic>
          </wp:anchor>
        </w:drawing>
      </w:r>
    </w:p>
    <w:p>
      <w:pPr>
        <w:spacing w:after="0" w:line="24"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Age</w:t>
      </w:r>
      <w:r>
        <w:rPr>
          <w:rFonts w:ascii="Arial" w:cs="Arial" w:eastAsia="Arial" w:hAnsi="Arial"/>
          <w:sz w:val="16"/>
          <w:szCs w:val="16"/>
          <w:color w:val="auto"/>
        </w:rPr>
        <w:t>: 73</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2022; director since 2014</w:t>
      </w:r>
    </w:p>
    <w:p>
      <w:pPr>
        <w:spacing w:after="0" w:line="100"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Compensation (Chairperson)</w:t>
      </w:r>
    </w:p>
    <w:p>
      <w:pPr>
        <w:spacing w:after="0" w:line="100" w:lineRule="exact"/>
        <w:rPr>
          <w:sz w:val="20"/>
          <w:szCs w:val="20"/>
          <w:color w:val="auto"/>
        </w:rPr>
      </w:pPr>
    </w:p>
    <w:p>
      <w:pPr>
        <w:ind w:left="3820" w:right="40"/>
        <w:spacing w:after="0" w:line="275" w:lineRule="auto"/>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Ms. Creel has been a director of EnPro Industries, Inc. since 2009 and a</w:t>
      </w:r>
      <w:r>
        <w:rPr>
          <w:rFonts w:ascii="Arial" w:cs="Arial" w:eastAsia="Arial" w:hAnsi="Arial"/>
          <w:sz w:val="16"/>
          <w:szCs w:val="16"/>
          <w:b w:val="1"/>
          <w:bCs w:val="1"/>
          <w:color w:val="auto"/>
        </w:rPr>
        <w:t xml:space="preserve"> </w:t>
      </w:r>
      <w:r>
        <w:rPr>
          <w:rFonts w:ascii="Arial" w:cs="Arial" w:eastAsia="Arial" w:hAnsi="Arial"/>
          <w:sz w:val="16"/>
          <w:szCs w:val="16"/>
          <w:color w:val="auto"/>
        </w:rPr>
        <w:t>director of AECOM Technology Corporation since February 2021. She was formerly a director and Chair of the Board of Allegheny Technologies Incorporated, and a director of Goodrich Corporation, URS Corporation and The Timken Company</w:t>
      </w:r>
    </w:p>
    <w:p>
      <w:pPr>
        <w:spacing w:after="0" w:line="48" w:lineRule="exact"/>
        <w:rPr>
          <w:sz w:val="20"/>
          <w:szCs w:val="20"/>
          <w:color w:val="auto"/>
        </w:rPr>
      </w:pPr>
    </w:p>
    <w:p>
      <w:pPr>
        <w:jc w:val="both"/>
        <w:ind w:left="3820" w:right="20"/>
        <w:spacing w:after="0" w:line="275" w:lineRule="auto"/>
        <w:rPr>
          <w:sz w:val="20"/>
          <w:szCs w:val="20"/>
          <w:color w:val="auto"/>
        </w:rPr>
      </w:pPr>
      <w:r>
        <w:rPr>
          <w:rFonts w:ascii="Arial" w:cs="Arial" w:eastAsia="Arial" w:hAnsi="Arial"/>
          <w:sz w:val="16"/>
          <w:szCs w:val="16"/>
          <w:b w:val="1"/>
          <w:bCs w:val="1"/>
          <w:color w:val="auto"/>
        </w:rPr>
        <w:t>Business experience</w:t>
      </w:r>
      <w:r>
        <w:rPr>
          <w:rFonts w:ascii="Arial" w:cs="Arial" w:eastAsia="Arial" w:hAnsi="Arial"/>
          <w:sz w:val="16"/>
          <w:szCs w:val="16"/>
          <w:color w:val="auto"/>
        </w:rPr>
        <w:t>: Ms. Creel served as Chairman, Chief Executive Officer and President of Ecovation Inc., a</w:t>
      </w:r>
      <w:r>
        <w:rPr>
          <w:rFonts w:ascii="Arial" w:cs="Arial" w:eastAsia="Arial" w:hAnsi="Arial"/>
          <w:sz w:val="16"/>
          <w:szCs w:val="16"/>
          <w:b w:val="1"/>
          <w:bCs w:val="1"/>
          <w:color w:val="auto"/>
        </w:rPr>
        <w:t xml:space="preserve"> </w:t>
      </w:r>
      <w:r>
        <w:rPr>
          <w:rFonts w:ascii="Arial" w:cs="Arial" w:eastAsia="Arial" w:hAnsi="Arial"/>
          <w:sz w:val="16"/>
          <w:szCs w:val="16"/>
          <w:color w:val="auto"/>
        </w:rPr>
        <w:t>subsidiary of Ecolab Inc. (a waste stream technology company using patented technologies), until her retirement in 2008. Prior to Ecovation, Ms. Creel was Chairman, Chief Executive Officer and President of Earth Tech, Inc. from 1992 to 2003.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116205</wp:posOffset>
            </wp:positionV>
            <wp:extent cx="6995160" cy="19627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230" w:lineRule="exact"/>
        <w:rPr>
          <w:sz w:val="20"/>
          <w:szCs w:val="20"/>
          <w:color w:val="auto"/>
        </w:rPr>
      </w:pPr>
    </w:p>
    <w:p>
      <w:pPr>
        <w:ind w:left="3820"/>
        <w:spacing w:after="0"/>
        <w:rPr>
          <w:sz w:val="20"/>
          <w:szCs w:val="20"/>
          <w:color w:val="auto"/>
        </w:rPr>
      </w:pPr>
      <w:r>
        <w:rPr>
          <w:rFonts w:ascii="Arial" w:cs="Arial" w:eastAsia="Arial" w:hAnsi="Arial"/>
          <w:sz w:val="22"/>
          <w:szCs w:val="22"/>
          <w:b w:val="1"/>
          <w:bCs w:val="1"/>
          <w:color w:val="7F7F7F"/>
        </w:rPr>
        <w:t>Kenneth V. Garcia</w:t>
      </w:r>
    </w:p>
    <w:p>
      <w:pPr>
        <w:spacing w:after="0" w:line="44"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52</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2022; director since 2021</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Audit</w:t>
      </w:r>
    </w:p>
    <w:p>
      <w:pPr>
        <w:spacing w:after="0" w:line="100"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00" w:lineRule="exact"/>
        <w:rPr>
          <w:sz w:val="20"/>
          <w:szCs w:val="20"/>
          <w:color w:val="auto"/>
        </w:rPr>
      </w:pPr>
    </w:p>
    <w:p>
      <w:pPr>
        <w:ind w:left="3820" w:right="40"/>
        <w:spacing w:after="0" w:line="289" w:lineRule="auto"/>
        <w:rPr>
          <w:sz w:val="20"/>
          <w:szCs w:val="20"/>
          <w:color w:val="auto"/>
        </w:rPr>
      </w:pPr>
      <w:r>
        <w:rPr>
          <w:rFonts w:ascii="Arial" w:cs="Arial" w:eastAsia="Arial" w:hAnsi="Arial"/>
          <w:sz w:val="15"/>
          <w:szCs w:val="15"/>
          <w:b w:val="1"/>
          <w:bCs w:val="1"/>
          <w:color w:val="auto"/>
        </w:rPr>
        <w:t>Business experience</w:t>
      </w:r>
      <w:r>
        <w:rPr>
          <w:rFonts w:ascii="Arial" w:cs="Arial" w:eastAsia="Arial" w:hAnsi="Arial"/>
          <w:sz w:val="15"/>
          <w:szCs w:val="15"/>
          <w:color w:val="auto"/>
        </w:rPr>
        <w:t>: Mr. Garcia is an executive fellow with Q2 Software Inc. (a financial experience company</w:t>
      </w:r>
      <w:r>
        <w:rPr>
          <w:rFonts w:ascii="Arial" w:cs="Arial" w:eastAsia="Arial" w:hAnsi="Arial"/>
          <w:sz w:val="15"/>
          <w:szCs w:val="15"/>
          <w:b w:val="1"/>
          <w:bCs w:val="1"/>
          <w:color w:val="auto"/>
        </w:rPr>
        <w:t xml:space="preserve"> </w:t>
      </w:r>
      <w:r>
        <w:rPr>
          <w:rFonts w:ascii="Arial" w:cs="Arial" w:eastAsia="Arial" w:hAnsi="Arial"/>
          <w:sz w:val="15"/>
          <w:szCs w:val="15"/>
          <w:color w:val="auto"/>
        </w:rPr>
        <w:t>dedicated to providing digital banking and lending solutions to banks, credit unions, alternative finance, and fintech companies in the U.S. and internationally), a position he has held since November 2019. In this role, Mr. Garcia assists the board of directors and executive leadership team of Q2 Software with long-term planning related to M&amp;A, talent and its product roadmap. Prior to his current role, Mr. Garcia co-founded and served as president of PrecisionLender from May 2009 through October 2019, when PrecisionLender was acquired by Q2 Software. Earlier in his career, he was chief financial officer and general counsel with Ecovation, Inc. (a waste stream technology company using patented technologies).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76835</wp:posOffset>
            </wp:positionV>
            <wp:extent cx="6995160" cy="19627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168" w:lineRule="exact"/>
        <w:rPr>
          <w:sz w:val="20"/>
          <w:szCs w:val="20"/>
          <w:color w:val="auto"/>
        </w:rPr>
      </w:pPr>
    </w:p>
    <w:p>
      <w:pPr>
        <w:ind w:left="3820"/>
        <w:spacing w:after="0"/>
        <w:rPr>
          <w:sz w:val="20"/>
          <w:szCs w:val="20"/>
          <w:color w:val="auto"/>
        </w:rPr>
      </w:pPr>
      <w:r>
        <w:rPr>
          <w:rFonts w:ascii="Arial" w:cs="Arial" w:eastAsia="Arial" w:hAnsi="Arial"/>
          <w:sz w:val="22"/>
          <w:szCs w:val="22"/>
          <w:b w:val="1"/>
          <w:bCs w:val="1"/>
          <w:color w:val="7F7F7F"/>
        </w:rPr>
        <w:t>Ellis A. Jones</w:t>
      </w:r>
    </w:p>
    <w:p>
      <w:pPr>
        <w:spacing w:after="0" w:line="44"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56</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2022; director since 2021</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Audit</w:t>
      </w:r>
    </w:p>
    <w:p>
      <w:pPr>
        <w:spacing w:after="0" w:line="100"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00" w:lineRule="exact"/>
        <w:rPr>
          <w:sz w:val="20"/>
          <w:szCs w:val="20"/>
          <w:color w:val="auto"/>
        </w:rPr>
      </w:pPr>
    </w:p>
    <w:p>
      <w:pPr>
        <w:ind w:left="3820" w:right="40"/>
        <w:spacing w:after="0" w:line="289" w:lineRule="auto"/>
        <w:rPr>
          <w:sz w:val="20"/>
          <w:szCs w:val="20"/>
          <w:color w:val="auto"/>
        </w:rPr>
      </w:pPr>
      <w:r>
        <w:rPr>
          <w:rFonts w:ascii="Arial" w:cs="Arial" w:eastAsia="Arial" w:hAnsi="Arial"/>
          <w:sz w:val="15"/>
          <w:szCs w:val="15"/>
          <w:b w:val="1"/>
          <w:bCs w:val="1"/>
          <w:color w:val="auto"/>
        </w:rPr>
        <w:t>Business experience</w:t>
      </w:r>
      <w:r>
        <w:rPr>
          <w:rFonts w:ascii="Arial" w:cs="Arial" w:eastAsia="Arial" w:hAnsi="Arial"/>
          <w:sz w:val="15"/>
          <w:szCs w:val="15"/>
          <w:color w:val="auto"/>
        </w:rPr>
        <w:t>: Mr. Jones is vice president and chief sustainability officer with The Goodyear Tire and</w:t>
      </w:r>
      <w:r>
        <w:rPr>
          <w:rFonts w:ascii="Arial" w:cs="Arial" w:eastAsia="Arial" w:hAnsi="Arial"/>
          <w:sz w:val="15"/>
          <w:szCs w:val="15"/>
          <w:b w:val="1"/>
          <w:bCs w:val="1"/>
          <w:color w:val="auto"/>
        </w:rPr>
        <w:t xml:space="preserve"> </w:t>
      </w:r>
      <w:r>
        <w:rPr>
          <w:rFonts w:ascii="Arial" w:cs="Arial" w:eastAsia="Arial" w:hAnsi="Arial"/>
          <w:sz w:val="15"/>
          <w:szCs w:val="15"/>
          <w:color w:val="auto"/>
        </w:rPr>
        <w:t>Rubber Company (a global manufacturer of tires and engineered products), a position he has held since October 2021. Prior to his current role, he served in various progressive leadership positions with Goodyear since 2003, including as vice president of global environmental, health, safety, sustainability and business continuity, senior director of global environmental, health, safety and sustainability, manufacturing director for its race tire division and finance director of its North American tire division. Mr. Jones also previously served as the finance director of office property and casualty insurance at Nationwide Mutual Insurance Company. He began his career in various finance roles with Goodyear.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76835</wp:posOffset>
            </wp:positionV>
            <wp:extent cx="699516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62" w:lineRule="exact"/>
        <w:rPr>
          <w:sz w:val="20"/>
          <w:szCs w:val="20"/>
          <w:color w:val="auto"/>
        </w:rPr>
      </w:pPr>
    </w:p>
    <w:tbl>
      <w:tblPr>
        <w:tblLayout w:type="fixed"/>
        <w:tblInd w:w="120" w:type="dxa"/>
        <w:tblCellMar>
          <w:top w:w="0" w:type="dxa"/>
          <w:left w:w="0" w:type="dxa"/>
          <w:bottom w:w="0" w:type="dxa"/>
          <w:right w:w="0" w:type="dxa"/>
        </w:tblCellMar>
      </w:tblPr>
      <w:tr>
        <w:trPr>
          <w:trHeight w:val="120"/>
        </w:trPr>
        <w:tc>
          <w:tcPr>
            <w:tcW w:w="820" w:type="dxa"/>
            <w:vAlign w:val="bottom"/>
            <w:tcBorders>
              <w:top w:val="single" w:sz="8" w:color="DCDDDE"/>
            </w:tcBorders>
          </w:tcPr>
          <w:p>
            <w:pPr>
              <w:jc w:val="center"/>
              <w:ind w:right="6"/>
              <w:spacing w:after="0" w:line="120" w:lineRule="exact"/>
              <w:rPr>
                <w:sz w:val="20"/>
                <w:szCs w:val="20"/>
                <w:color w:val="auto"/>
              </w:rPr>
            </w:pPr>
            <w:r>
              <w:rPr>
                <w:rFonts w:ascii="Arial" w:cs="Arial" w:eastAsia="Arial" w:hAnsi="Arial"/>
                <w:sz w:val="11"/>
                <w:szCs w:val="11"/>
                <w:b w:val="1"/>
                <w:bCs w:val="1"/>
                <w:color w:val="auto"/>
                <w:w w:val="94"/>
              </w:rPr>
              <w:t>CEO or</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6"/>
              </w:rPr>
              <w:t>Public</w:t>
            </w:r>
          </w:p>
        </w:tc>
        <w:tc>
          <w:tcPr>
            <w:tcW w:w="840" w:type="dxa"/>
            <w:vAlign w:val="bottom"/>
            <w:tcBorders>
              <w:top w:val="single" w:sz="8" w:color="DCDDDE"/>
            </w:tcBorders>
          </w:tcPr>
          <w:p>
            <w:pPr>
              <w:ind w:left="180"/>
              <w:spacing w:after="0" w:line="120" w:lineRule="exact"/>
              <w:rPr>
                <w:sz w:val="20"/>
                <w:szCs w:val="20"/>
                <w:color w:val="auto"/>
              </w:rPr>
            </w:pPr>
            <w:r>
              <w:rPr>
                <w:rFonts w:ascii="Arial" w:cs="Arial" w:eastAsia="Arial" w:hAnsi="Arial"/>
                <w:sz w:val="11"/>
                <w:szCs w:val="11"/>
                <w:b w:val="1"/>
                <w:bCs w:val="1"/>
                <w:color w:val="auto"/>
              </w:rPr>
              <w:t>Financial</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7"/>
              </w:rPr>
              <w:t>Sales /</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5"/>
              </w:rPr>
              <w:t>Relevant</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Technology/</w:t>
            </w:r>
          </w:p>
        </w:tc>
        <w:tc>
          <w:tcPr>
            <w:tcW w:w="9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rPr>
              <w:t>Human</w:t>
            </w:r>
          </w:p>
        </w:tc>
        <w:tc>
          <w:tcPr>
            <w:tcW w:w="90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Mergers</w:t>
            </w:r>
          </w:p>
        </w:tc>
        <w:tc>
          <w:tcPr>
            <w:tcW w:w="80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Global</w:t>
            </w:r>
          </w:p>
        </w:tc>
        <w:tc>
          <w:tcPr>
            <w:tcW w:w="700" w:type="dxa"/>
            <w:vAlign w:val="bottom"/>
            <w:tcBorders>
              <w:top w:val="single" w:sz="8" w:color="DCDDDE"/>
            </w:tcBorders>
          </w:tcPr>
          <w:p>
            <w:pPr>
              <w:ind w:left="280"/>
              <w:spacing w:after="0" w:line="120" w:lineRule="exact"/>
              <w:rPr>
                <w:sz w:val="20"/>
                <w:szCs w:val="20"/>
                <w:color w:val="auto"/>
              </w:rPr>
            </w:pPr>
            <w:r>
              <w:rPr>
                <w:rFonts w:ascii="Arial" w:cs="Arial" w:eastAsia="Arial" w:hAnsi="Arial"/>
                <w:sz w:val="11"/>
                <w:szCs w:val="11"/>
                <w:b w:val="1"/>
                <w:bCs w:val="1"/>
                <w:color w:val="auto"/>
              </w:rPr>
              <w:t>ESG</w:t>
            </w:r>
          </w:p>
        </w:tc>
        <w:tc>
          <w:tcPr>
            <w:tcW w:w="1060" w:type="dxa"/>
            <w:vAlign w:val="bottom"/>
            <w:tcBorders>
              <w:top w:val="single" w:sz="8" w:color="DCDDDE"/>
            </w:tcBorders>
          </w:tcPr>
          <w:p>
            <w:pPr>
              <w:jc w:val="center"/>
              <w:ind w:left="26"/>
              <w:spacing w:after="0" w:line="120" w:lineRule="exact"/>
              <w:rPr>
                <w:sz w:val="20"/>
                <w:szCs w:val="20"/>
                <w:color w:val="auto"/>
              </w:rPr>
            </w:pPr>
            <w:r>
              <w:rPr>
                <w:rFonts w:ascii="Arial" w:cs="Arial" w:eastAsia="Arial" w:hAnsi="Arial"/>
                <w:sz w:val="11"/>
                <w:szCs w:val="11"/>
                <w:b w:val="1"/>
                <w:bCs w:val="1"/>
                <w:color w:val="auto"/>
                <w:w w:val="97"/>
              </w:rPr>
              <w:t>Manufacturing</w:t>
            </w:r>
          </w:p>
        </w:tc>
        <w:tc>
          <w:tcPr>
            <w:tcW w:w="8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9"/>
              </w:rPr>
              <w:t>Metals</w:t>
            </w:r>
          </w:p>
        </w:tc>
        <w:tc>
          <w:tcPr>
            <w:tcW w:w="72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Diversity</w:t>
            </w:r>
          </w:p>
        </w:tc>
      </w:tr>
      <w:tr>
        <w:trPr>
          <w:trHeight w:val="121"/>
        </w:trPr>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chairperson</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company</w:t>
            </w:r>
          </w:p>
        </w:tc>
        <w:tc>
          <w:tcPr>
            <w:tcW w:w="840" w:type="dxa"/>
            <w:vAlign w:val="bottom"/>
          </w:tcPr>
          <w:p>
            <w:pPr>
              <w:ind w:left="180"/>
              <w:spacing w:after="0" w:line="122" w:lineRule="exact"/>
              <w:rPr>
                <w:sz w:val="20"/>
                <w:szCs w:val="20"/>
                <w:color w:val="auto"/>
              </w:rPr>
            </w:pPr>
            <w:r>
              <w:rPr>
                <w:rFonts w:ascii="Arial" w:cs="Arial" w:eastAsia="Arial" w:hAnsi="Arial"/>
                <w:sz w:val="11"/>
                <w:szCs w:val="11"/>
                <w:b w:val="1"/>
                <w:bCs w:val="1"/>
                <w:color w:val="auto"/>
              </w:rPr>
              <w:t>expertise</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marketing</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end market</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cyber/ IT</w:t>
            </w: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resources /</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and</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jc w:val="center"/>
              <w:ind w:left="26"/>
              <w:spacing w:after="0" w:line="122" w:lineRule="exact"/>
              <w:rPr>
                <w:sz w:val="20"/>
                <w:szCs w:val="20"/>
                <w:color w:val="auto"/>
              </w:rPr>
            </w:pPr>
            <w:r>
              <w:rPr>
                <w:rFonts w:ascii="Arial" w:cs="Arial" w:eastAsia="Arial" w:hAnsi="Arial"/>
                <w:sz w:val="11"/>
                <w:szCs w:val="11"/>
                <w:b w:val="1"/>
                <w:bCs w:val="1"/>
                <w:color w:val="auto"/>
                <w:w w:val="95"/>
              </w:rPr>
              <w:t>operations</w:t>
            </w: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6"/>
              </w:rPr>
              <w:t>industry</w:t>
            </w:r>
          </w:p>
        </w:tc>
        <w:tc>
          <w:tcPr>
            <w:tcW w:w="720" w:type="dxa"/>
            <w:vAlign w:val="bottom"/>
          </w:tcPr>
          <w:p>
            <w:pPr>
              <w:spacing w:after="0"/>
              <w:rPr>
                <w:sz w:val="10"/>
                <w:szCs w:val="10"/>
                <w:color w:val="auto"/>
              </w:rPr>
            </w:pPr>
          </w:p>
        </w:tc>
      </w:tr>
      <w:tr>
        <w:trPr>
          <w:trHeight w:val="122"/>
        </w:trPr>
        <w:tc>
          <w:tcPr>
            <w:tcW w:w="820" w:type="dxa"/>
            <w:vAlign w:val="bottom"/>
          </w:tcPr>
          <w:p>
            <w:pPr>
              <w:jc w:val="center"/>
              <w:ind w:right="6"/>
              <w:spacing w:after="0" w:line="122" w:lineRule="exact"/>
              <w:rPr>
                <w:sz w:val="20"/>
                <w:szCs w:val="20"/>
                <w:color w:val="auto"/>
              </w:rPr>
            </w:pPr>
            <w:r>
              <w:rPr>
                <w:rFonts w:ascii="Arial" w:cs="Arial" w:eastAsia="Arial" w:hAnsi="Arial"/>
                <w:sz w:val="11"/>
                <w:szCs w:val="11"/>
                <w:b w:val="1"/>
                <w:bCs w:val="1"/>
                <w:color w:val="auto"/>
                <w:w w:val="97"/>
              </w:rPr>
              <w:t>experience</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board</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expertise</w:t>
            </w: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compensation</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acquisitions</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experience</w:t>
            </w:r>
          </w:p>
        </w:tc>
        <w:tc>
          <w:tcPr>
            <w:tcW w:w="720" w:type="dxa"/>
            <w:vAlign w:val="bottom"/>
          </w:tcPr>
          <w:p>
            <w:pPr>
              <w:spacing w:after="0"/>
              <w:rPr>
                <w:sz w:val="10"/>
                <w:szCs w:val="10"/>
                <w:color w:val="auto"/>
              </w:rPr>
            </w:pPr>
          </w:p>
        </w:tc>
      </w:tr>
      <w:tr>
        <w:trPr>
          <w:trHeight w:val="121"/>
        </w:trPr>
        <w:tc>
          <w:tcPr>
            <w:tcW w:w="82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experience</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6"/>
              </w:rPr>
              <w:t>/ industrial</w:t>
            </w:r>
          </w:p>
        </w:tc>
        <w:tc>
          <w:tcPr>
            <w:tcW w:w="9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720" w:type="dxa"/>
            <w:vAlign w:val="bottom"/>
          </w:tcPr>
          <w:p>
            <w:pPr>
              <w:spacing w:after="0"/>
              <w:rPr>
                <w:sz w:val="10"/>
                <w:szCs w:val="10"/>
                <w:color w:val="auto"/>
              </w:rPr>
            </w:pPr>
          </w:p>
        </w:tc>
      </w:tr>
      <w:tr>
        <w:trPr>
          <w:trHeight w:val="142"/>
        </w:trPr>
        <w:tc>
          <w:tcPr>
            <w:tcW w:w="8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920" w:type="dxa"/>
            <w:vAlign w:val="bottom"/>
          </w:tcPr>
          <w:p>
            <w:pPr>
              <w:jc w:val="center"/>
              <w:spacing w:after="0"/>
              <w:rPr>
                <w:sz w:val="20"/>
                <w:szCs w:val="20"/>
                <w:color w:val="auto"/>
              </w:rPr>
            </w:pPr>
            <w:r>
              <w:rPr>
                <w:rFonts w:ascii="Arial" w:cs="Arial" w:eastAsia="Arial" w:hAnsi="Arial"/>
                <w:sz w:val="11"/>
                <w:szCs w:val="11"/>
                <w:b w:val="1"/>
                <w:bCs w:val="1"/>
                <w:color w:val="auto"/>
              </w:rPr>
              <w:t>relations</w:t>
            </w:r>
          </w:p>
        </w:tc>
        <w:tc>
          <w:tcPr>
            <w:tcW w:w="9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49"/>
        </w:trPr>
        <w:tc>
          <w:tcPr>
            <w:tcW w:w="820" w:type="dxa"/>
            <w:vAlign w:val="bottom"/>
            <w:tcBorders>
              <w:bottom w:val="single" w:sz="8" w:color="DCDDDE"/>
            </w:tcBorders>
          </w:tcPr>
          <w:p>
            <w:pPr>
              <w:spacing w:after="0"/>
              <w:rPr>
                <w:sz w:val="4"/>
                <w:szCs w:val="4"/>
                <w:color w:val="auto"/>
              </w:rPr>
            </w:pPr>
          </w:p>
        </w:tc>
        <w:tc>
          <w:tcPr>
            <w:tcW w:w="88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88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920" w:type="dxa"/>
            <w:vAlign w:val="bottom"/>
            <w:tcBorders>
              <w:bottom w:val="single" w:sz="8" w:color="DCDDDE"/>
            </w:tcBorders>
          </w:tcPr>
          <w:p>
            <w:pPr>
              <w:spacing w:after="0"/>
              <w:rPr>
                <w:sz w:val="4"/>
                <w:szCs w:val="4"/>
                <w:color w:val="auto"/>
              </w:rPr>
            </w:pPr>
          </w:p>
        </w:tc>
        <w:tc>
          <w:tcPr>
            <w:tcW w:w="900" w:type="dxa"/>
            <w:vAlign w:val="bottom"/>
            <w:tcBorders>
              <w:bottom w:val="single" w:sz="8" w:color="DCDDDE"/>
            </w:tcBorders>
          </w:tcPr>
          <w:p>
            <w:pPr>
              <w:spacing w:after="0"/>
              <w:rPr>
                <w:sz w:val="4"/>
                <w:szCs w:val="4"/>
                <w:color w:val="auto"/>
              </w:rPr>
            </w:pPr>
          </w:p>
        </w:tc>
        <w:tc>
          <w:tcPr>
            <w:tcW w:w="800" w:type="dxa"/>
            <w:vAlign w:val="bottom"/>
            <w:tcBorders>
              <w:bottom w:val="single" w:sz="8" w:color="DCDDDE"/>
            </w:tcBorders>
          </w:tcPr>
          <w:p>
            <w:pPr>
              <w:spacing w:after="0"/>
              <w:rPr>
                <w:sz w:val="4"/>
                <w:szCs w:val="4"/>
                <w:color w:val="auto"/>
              </w:rPr>
            </w:pPr>
          </w:p>
        </w:tc>
        <w:tc>
          <w:tcPr>
            <w:tcW w:w="700" w:type="dxa"/>
            <w:vAlign w:val="bottom"/>
            <w:tcBorders>
              <w:bottom w:val="single" w:sz="8" w:color="DCDDDE"/>
            </w:tcBorders>
          </w:tcPr>
          <w:p>
            <w:pPr>
              <w:spacing w:after="0"/>
              <w:rPr>
                <w:sz w:val="4"/>
                <w:szCs w:val="4"/>
                <w:color w:val="auto"/>
              </w:rPr>
            </w:pPr>
          </w:p>
        </w:tc>
        <w:tc>
          <w:tcPr>
            <w:tcW w:w="1060" w:type="dxa"/>
            <w:vAlign w:val="bottom"/>
            <w:tcBorders>
              <w:bottom w:val="single" w:sz="8" w:color="DCDDDE"/>
            </w:tcBorders>
          </w:tcPr>
          <w:p>
            <w:pPr>
              <w:spacing w:after="0"/>
              <w:rPr>
                <w:sz w:val="4"/>
                <w:szCs w:val="4"/>
                <w:color w:val="auto"/>
              </w:rPr>
            </w:pPr>
          </w:p>
        </w:tc>
        <w:tc>
          <w:tcPr>
            <w:tcW w:w="820" w:type="dxa"/>
            <w:vAlign w:val="bottom"/>
            <w:tcBorders>
              <w:bottom w:val="single" w:sz="8" w:color="DCDDDE"/>
            </w:tcBorders>
          </w:tcPr>
          <w:p>
            <w:pPr>
              <w:spacing w:after="0"/>
              <w:rPr>
                <w:sz w:val="4"/>
                <w:szCs w:val="4"/>
                <w:color w:val="auto"/>
              </w:rPr>
            </w:pPr>
          </w:p>
        </w:tc>
        <w:tc>
          <w:tcPr>
            <w:tcW w:w="720" w:type="dxa"/>
            <w:vAlign w:val="bottom"/>
            <w:tcBorders>
              <w:bottom w:val="single" w:sz="8" w:color="DCDDDE"/>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2743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995160" cy="274320"/>
                    </a:xfrm>
                    <a:prstGeom prst="rect">
                      <a:avLst/>
                    </a:prstGeom>
                    <a:noFill/>
                  </pic:spPr>
                </pic:pic>
              </a:graphicData>
            </a:graphic>
          </wp:anchor>
        </w:drawing>
      </w:r>
    </w:p>
    <w:p>
      <w:pPr>
        <w:spacing w:after="0" w:line="200" w:lineRule="exact"/>
        <w:rPr>
          <w:sz w:val="20"/>
          <w:szCs w:val="20"/>
          <w:color w:val="auto"/>
        </w:rPr>
      </w:pPr>
    </w:p>
    <w:p>
      <w:pPr>
        <w:spacing w:after="0" w:line="391"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12</w:t>
      </w:r>
    </w:p>
    <w:p>
      <w:pPr>
        <w:sectPr>
          <w:pgSz w:w="11900" w:h="16838" w:orient="portrait"/>
          <w:cols w:equalWidth="0" w:num="1">
            <w:col w:w="11140"/>
          </w:cols>
          <w:pgMar w:left="320" w:top="459" w:right="43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394335</wp:posOffset>
            </wp:positionV>
            <wp:extent cx="6995160" cy="19888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995160" cy="1988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3760"/>
        <w:spacing w:after="0"/>
        <w:rPr>
          <w:sz w:val="20"/>
          <w:szCs w:val="20"/>
          <w:color w:val="auto"/>
        </w:rPr>
      </w:pPr>
      <w:r>
        <w:rPr>
          <w:rFonts w:ascii="Arial" w:cs="Arial" w:eastAsia="Arial" w:hAnsi="Arial"/>
          <w:sz w:val="22"/>
          <w:szCs w:val="22"/>
          <w:b w:val="1"/>
          <w:bCs w:val="1"/>
          <w:color w:val="7F7F7F"/>
        </w:rPr>
        <w:t>Donald T. Misheff</w:t>
      </w:r>
    </w:p>
    <w:p>
      <w:pPr>
        <w:spacing w:after="0" w:line="44" w:lineRule="exact"/>
        <w:rPr>
          <w:sz w:val="20"/>
          <w:szCs w:val="20"/>
          <w:color w:val="auto"/>
        </w:rPr>
      </w:pPr>
    </w:p>
    <w:p>
      <w:pPr>
        <w:ind w:left="3760"/>
        <w:spacing w:after="0"/>
        <w:rPr>
          <w:sz w:val="20"/>
          <w:szCs w:val="20"/>
          <w:color w:val="auto"/>
        </w:rPr>
      </w:pPr>
      <w:r>
        <w:rPr>
          <w:rFonts w:ascii="Arial" w:cs="Arial" w:eastAsia="Arial" w:hAnsi="Arial"/>
          <w:sz w:val="16"/>
          <w:szCs w:val="16"/>
          <w:b w:val="1"/>
          <w:bCs w:val="1"/>
          <w:color w:val="auto"/>
        </w:rPr>
        <w:t>Age</w:t>
      </w:r>
      <w:r>
        <w:rPr>
          <w:rFonts w:ascii="Arial" w:cs="Arial" w:eastAsia="Arial" w:hAnsi="Arial"/>
          <w:sz w:val="16"/>
          <w:szCs w:val="16"/>
          <w:color w:val="auto"/>
        </w:rPr>
        <w:t>: 65</w:t>
      </w:r>
    </w:p>
    <w:p>
      <w:pPr>
        <w:spacing w:after="0" w:line="167" w:lineRule="exact"/>
        <w:rPr>
          <w:sz w:val="20"/>
          <w:szCs w:val="20"/>
          <w:color w:val="auto"/>
        </w:rPr>
      </w:pPr>
    </w:p>
    <w:p>
      <w:pPr>
        <w:ind w:left="376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2022; director since 2014</w:t>
      </w:r>
    </w:p>
    <w:p>
      <w:pPr>
        <w:spacing w:after="0" w:line="167" w:lineRule="exact"/>
        <w:rPr>
          <w:sz w:val="20"/>
          <w:szCs w:val="20"/>
          <w:color w:val="auto"/>
        </w:rPr>
      </w:pPr>
    </w:p>
    <w:p>
      <w:pPr>
        <w:ind w:left="376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Audit (Chairperson)</w:t>
      </w:r>
    </w:p>
    <w:p>
      <w:pPr>
        <w:spacing w:after="0" w:line="167" w:lineRule="exact"/>
        <w:rPr>
          <w:sz w:val="20"/>
          <w:szCs w:val="20"/>
          <w:color w:val="auto"/>
        </w:rPr>
      </w:pPr>
    </w:p>
    <w:p>
      <w:pPr>
        <w:ind w:left="3760"/>
        <w:spacing w:after="0"/>
        <w:rPr>
          <w:sz w:val="20"/>
          <w:szCs w:val="20"/>
          <w:color w:val="auto"/>
        </w:rPr>
      </w:pPr>
      <w:r>
        <w:rPr>
          <w:rFonts w:ascii="Arial" w:cs="Arial" w:eastAsia="Arial" w:hAnsi="Arial"/>
          <w:sz w:val="15"/>
          <w:szCs w:val="15"/>
          <w:b w:val="1"/>
          <w:bCs w:val="1"/>
          <w:color w:val="auto"/>
        </w:rPr>
        <w:t>Other public company boards</w:t>
      </w:r>
      <w:r>
        <w:rPr>
          <w:rFonts w:ascii="Arial" w:cs="Arial" w:eastAsia="Arial" w:hAnsi="Arial"/>
          <w:sz w:val="15"/>
          <w:szCs w:val="15"/>
          <w:color w:val="auto"/>
        </w:rPr>
        <w:t>: Mr. Misheff has been Non-Executive Chairman of the Board of FirstEnergy</w:t>
      </w:r>
    </w:p>
    <w:p>
      <w:pPr>
        <w:spacing w:after="0" w:line="38" w:lineRule="exact"/>
        <w:rPr>
          <w:sz w:val="20"/>
          <w:szCs w:val="20"/>
          <w:color w:val="auto"/>
        </w:rPr>
      </w:pPr>
    </w:p>
    <w:p>
      <w:pPr>
        <w:ind w:left="3760"/>
        <w:spacing w:after="0"/>
        <w:rPr>
          <w:sz w:val="20"/>
          <w:szCs w:val="20"/>
          <w:color w:val="auto"/>
        </w:rPr>
      </w:pPr>
      <w:r>
        <w:rPr>
          <w:rFonts w:ascii="Arial" w:cs="Arial" w:eastAsia="Arial" w:hAnsi="Arial"/>
          <w:sz w:val="16"/>
          <w:szCs w:val="16"/>
          <w:color w:val="auto"/>
        </w:rPr>
        <w:t>Corp. since 2018 and a director since 2012. He has been a director of Trinseo S.A. since 2015.</w:t>
      </w:r>
    </w:p>
    <w:p>
      <w:pPr>
        <w:spacing w:after="0" w:line="159" w:lineRule="exact"/>
        <w:rPr>
          <w:sz w:val="20"/>
          <w:szCs w:val="20"/>
          <w:color w:val="auto"/>
        </w:rPr>
      </w:pPr>
    </w:p>
    <w:p>
      <w:pPr>
        <w:ind w:left="3760" w:right="40"/>
        <w:spacing w:after="0" w:line="272" w:lineRule="auto"/>
        <w:rPr>
          <w:sz w:val="20"/>
          <w:szCs w:val="20"/>
          <w:color w:val="auto"/>
        </w:rPr>
      </w:pPr>
      <w:r>
        <w:rPr>
          <w:rFonts w:ascii="Arial" w:cs="Arial" w:eastAsia="Arial" w:hAnsi="Arial"/>
          <w:sz w:val="16"/>
          <w:szCs w:val="16"/>
          <w:b w:val="1"/>
          <w:bCs w:val="1"/>
          <w:color w:val="auto"/>
        </w:rPr>
        <w:t>Business experience</w:t>
      </w:r>
      <w:r>
        <w:rPr>
          <w:rFonts w:ascii="Arial" w:cs="Arial" w:eastAsia="Arial" w:hAnsi="Arial"/>
          <w:sz w:val="16"/>
          <w:szCs w:val="16"/>
          <w:color w:val="auto"/>
        </w:rPr>
        <w:t>: Mr. Misheff was Managing Partner of the Northeast Ohio offices of Ernst &amp; Young LLP (a</w:t>
      </w:r>
      <w:r>
        <w:rPr>
          <w:rFonts w:ascii="Arial" w:cs="Arial" w:eastAsia="Arial" w:hAnsi="Arial"/>
          <w:sz w:val="16"/>
          <w:szCs w:val="16"/>
          <w:b w:val="1"/>
          <w:bCs w:val="1"/>
          <w:color w:val="auto"/>
        </w:rPr>
        <w:t xml:space="preserve"> </w:t>
      </w:r>
      <w:r>
        <w:rPr>
          <w:rFonts w:ascii="Arial" w:cs="Arial" w:eastAsia="Arial" w:hAnsi="Arial"/>
          <w:sz w:val="16"/>
          <w:szCs w:val="16"/>
          <w:color w:val="auto"/>
        </w:rPr>
        <w:t>public accounting firm), from 2003 until his retirement in 2011. He began his career at Ernst &amp; Young in 1978 and has more than 30 years of experience in taxation and in performing, reviewing and overseeing financial statement audits for a wide range of public companies and advising those companies on financial and corporate governance issues.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83820</wp:posOffset>
            </wp:positionV>
            <wp:extent cx="699516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5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Continuing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57785</wp:posOffset>
            </wp:positionV>
            <wp:extent cx="6995160" cy="19627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138" w:lineRule="exact"/>
        <w:rPr>
          <w:sz w:val="20"/>
          <w:szCs w:val="20"/>
          <w:color w:val="auto"/>
        </w:rPr>
      </w:pPr>
    </w:p>
    <w:p>
      <w:pPr>
        <w:ind w:left="3820"/>
        <w:spacing w:after="0"/>
        <w:rPr>
          <w:sz w:val="20"/>
          <w:szCs w:val="20"/>
          <w:color w:val="auto"/>
        </w:rPr>
      </w:pPr>
      <w:r>
        <w:rPr>
          <w:rFonts w:ascii="Arial" w:cs="Arial" w:eastAsia="Arial" w:hAnsi="Arial"/>
          <w:sz w:val="22"/>
          <w:szCs w:val="22"/>
          <w:b w:val="1"/>
          <w:bCs w:val="1"/>
          <w:color w:val="7F7F7F"/>
        </w:rPr>
        <w:t>Randall H. Edwards</w:t>
      </w:r>
    </w:p>
    <w:p>
      <w:pPr>
        <w:spacing w:after="0" w:line="44"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63</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2023; director since 2015</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Committees</w:t>
      </w:r>
      <w:r>
        <w:rPr>
          <w:rFonts w:ascii="Arial" w:cs="Arial" w:eastAsia="Arial" w:hAnsi="Arial"/>
          <w:sz w:val="16"/>
          <w:szCs w:val="16"/>
          <w:color w:val="auto"/>
        </w:rPr>
        <w:t>: Compensation; Nominating and Corporate Governance</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67" w:lineRule="exact"/>
        <w:rPr>
          <w:sz w:val="20"/>
          <w:szCs w:val="20"/>
          <w:color w:val="auto"/>
        </w:rPr>
      </w:pPr>
    </w:p>
    <w:p>
      <w:pPr>
        <w:ind w:left="3820" w:right="40"/>
        <w:spacing w:after="0" w:line="269" w:lineRule="auto"/>
        <w:rPr>
          <w:sz w:val="20"/>
          <w:szCs w:val="20"/>
          <w:color w:val="auto"/>
        </w:rPr>
      </w:pPr>
      <w:r>
        <w:rPr>
          <w:rFonts w:ascii="Arial" w:cs="Arial" w:eastAsia="Arial" w:hAnsi="Arial"/>
          <w:sz w:val="16"/>
          <w:szCs w:val="16"/>
          <w:b w:val="1"/>
          <w:bCs w:val="1"/>
          <w:color w:val="auto"/>
        </w:rPr>
        <w:t>Business experience</w:t>
      </w:r>
      <w:r>
        <w:rPr>
          <w:rFonts w:ascii="Arial" w:cs="Arial" w:eastAsia="Arial" w:hAnsi="Arial"/>
          <w:sz w:val="16"/>
          <w:szCs w:val="16"/>
          <w:color w:val="auto"/>
        </w:rPr>
        <w:t>: Mr. Edwards has been President and Chief Executive Officer of P2 Energy Services, LLC</w:t>
      </w:r>
      <w:r>
        <w:rPr>
          <w:rFonts w:ascii="Arial" w:cs="Arial" w:eastAsia="Arial" w:hAnsi="Arial"/>
          <w:sz w:val="16"/>
          <w:szCs w:val="16"/>
          <w:b w:val="1"/>
          <w:bCs w:val="1"/>
          <w:color w:val="auto"/>
        </w:rPr>
        <w:t xml:space="preserve"> </w:t>
      </w:r>
      <w:r>
        <w:rPr>
          <w:rFonts w:ascii="Arial" w:cs="Arial" w:eastAsia="Arial" w:hAnsi="Arial"/>
          <w:sz w:val="16"/>
          <w:szCs w:val="16"/>
          <w:color w:val="auto"/>
        </w:rPr>
        <w:t>(formerly Premier Pipe, LLC) (a leader in the supply and management of engineered premium oil country tubular goods) since 2015. Previously, he served as President and Chief Operating Officer of Premier Pipe from 2014 to 2015. From 1999 to 2014, Mr. Edwards held various positions with NOV Grant Prideco (a leading supplier of oil field drill stem components), including President of NOV Grant Prideco from 2008 to 2014. He began his career at Wilson Supply, where he managed Wilson’s oil country tubular goods and its drill pipe product 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86360</wp:posOffset>
            </wp:positionV>
            <wp:extent cx="6995160" cy="19627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278" w:lineRule="exact"/>
        <w:rPr>
          <w:sz w:val="20"/>
          <w:szCs w:val="20"/>
          <w:color w:val="auto"/>
        </w:rPr>
      </w:pPr>
    </w:p>
    <w:p>
      <w:pPr>
        <w:ind w:left="3820"/>
        <w:spacing w:after="0"/>
        <w:rPr>
          <w:sz w:val="20"/>
          <w:szCs w:val="20"/>
          <w:color w:val="auto"/>
        </w:rPr>
      </w:pPr>
      <w:r>
        <w:rPr>
          <w:rFonts w:ascii="Arial" w:cs="Arial" w:eastAsia="Arial" w:hAnsi="Arial"/>
          <w:sz w:val="22"/>
          <w:szCs w:val="22"/>
          <w:b w:val="1"/>
          <w:bCs w:val="1"/>
          <w:color w:val="7F7F7F"/>
        </w:rPr>
        <w:t xml:space="preserve">Ronald A. Rice </w:t>
      </w:r>
      <w:r>
        <w:rPr>
          <w:sz w:val="1"/>
          <w:szCs w:val="1"/>
          <w:color w:val="auto"/>
        </w:rPr>
        <w:drawing>
          <wp:inline distT="0" distB="0" distL="0" distR="0">
            <wp:extent cx="128905"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28905" cy="171450"/>
                    </a:xfrm>
                    <a:prstGeom prst="rect">
                      <a:avLst/>
                    </a:prstGeom>
                    <a:noFill/>
                    <a:ln>
                      <a:noFill/>
                    </a:ln>
                  </pic:spPr>
                </pic:pic>
              </a:graphicData>
            </a:graphic>
          </wp:inline>
        </w:drawing>
      </w:r>
    </w:p>
    <w:p>
      <w:pPr>
        <w:spacing w:after="0" w:line="34"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59</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2024; director since 2015</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Nominating and Corporate Governance</w:t>
      </w:r>
    </w:p>
    <w:p>
      <w:pPr>
        <w:spacing w:after="0" w:line="167" w:lineRule="exact"/>
        <w:rPr>
          <w:sz w:val="20"/>
          <w:szCs w:val="20"/>
          <w:color w:val="auto"/>
        </w:rPr>
      </w:pPr>
    </w:p>
    <w:p>
      <w:pPr>
        <w:ind w:left="382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67" w:lineRule="exact"/>
        <w:rPr>
          <w:sz w:val="20"/>
          <w:szCs w:val="20"/>
          <w:color w:val="auto"/>
        </w:rPr>
      </w:pPr>
    </w:p>
    <w:p>
      <w:pPr>
        <w:ind w:left="3820" w:right="80"/>
        <w:spacing w:after="0" w:line="294" w:lineRule="auto"/>
        <w:rPr>
          <w:sz w:val="20"/>
          <w:szCs w:val="20"/>
          <w:color w:val="auto"/>
        </w:rPr>
      </w:pPr>
      <w:r>
        <w:rPr>
          <w:rFonts w:ascii="Arial" w:cs="Arial" w:eastAsia="Arial" w:hAnsi="Arial"/>
          <w:sz w:val="15"/>
          <w:szCs w:val="15"/>
          <w:b w:val="1"/>
          <w:bCs w:val="1"/>
          <w:color w:val="auto"/>
        </w:rPr>
        <w:t>Business experience</w:t>
      </w:r>
      <w:r>
        <w:rPr>
          <w:rFonts w:ascii="Arial" w:cs="Arial" w:eastAsia="Arial" w:hAnsi="Arial"/>
          <w:sz w:val="15"/>
          <w:szCs w:val="15"/>
          <w:color w:val="auto"/>
        </w:rPr>
        <w:t>: Mr. Rice retired in 2018 from his position as President and Chief Operating Officer of</w:t>
      </w:r>
      <w:r>
        <w:rPr>
          <w:rFonts w:ascii="Arial" w:cs="Arial" w:eastAsia="Arial" w:hAnsi="Arial"/>
          <w:sz w:val="15"/>
          <w:szCs w:val="15"/>
          <w:b w:val="1"/>
          <w:bCs w:val="1"/>
          <w:color w:val="auto"/>
        </w:rPr>
        <w:t xml:space="preserve"> </w:t>
      </w:r>
      <w:r>
        <w:rPr>
          <w:rFonts w:ascii="Arial" w:cs="Arial" w:eastAsia="Arial" w:hAnsi="Arial"/>
          <w:sz w:val="15"/>
          <w:szCs w:val="15"/>
          <w:color w:val="auto"/>
        </w:rPr>
        <w:t>RPM International Inc. (a manufacturer of specialty coatings, sealants and building materials and provider of related services for industrial and consumer markets globally), a position he had held since 2008. Previously, Mr. Rice held a variety of increasingly responsible positions with RPM from 1995 to 2008. He began his career with The Wyatt Company, an actuarial consulting firm, known today as Willis Towers Watson, in 1985.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126365</wp:posOffset>
            </wp:positionV>
            <wp:extent cx="699516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40" w:lineRule="exact"/>
        <w:rPr>
          <w:sz w:val="20"/>
          <w:szCs w:val="20"/>
          <w:color w:val="auto"/>
        </w:rPr>
      </w:pPr>
    </w:p>
    <w:tbl>
      <w:tblPr>
        <w:tblLayout w:type="fixed"/>
        <w:tblInd w:w="120" w:type="dxa"/>
        <w:tblCellMar>
          <w:top w:w="0" w:type="dxa"/>
          <w:left w:w="0" w:type="dxa"/>
          <w:bottom w:w="0" w:type="dxa"/>
          <w:right w:w="0" w:type="dxa"/>
        </w:tblCellMar>
      </w:tblPr>
      <w:tr>
        <w:trPr>
          <w:trHeight w:val="120"/>
        </w:trPr>
        <w:tc>
          <w:tcPr>
            <w:tcW w:w="820" w:type="dxa"/>
            <w:vAlign w:val="bottom"/>
            <w:tcBorders>
              <w:top w:val="single" w:sz="8" w:color="DCDDDE"/>
            </w:tcBorders>
          </w:tcPr>
          <w:p>
            <w:pPr>
              <w:jc w:val="center"/>
              <w:ind w:right="6"/>
              <w:spacing w:after="0" w:line="120" w:lineRule="exact"/>
              <w:rPr>
                <w:sz w:val="20"/>
                <w:szCs w:val="20"/>
                <w:color w:val="auto"/>
              </w:rPr>
            </w:pPr>
            <w:r>
              <w:rPr>
                <w:rFonts w:ascii="Arial" w:cs="Arial" w:eastAsia="Arial" w:hAnsi="Arial"/>
                <w:sz w:val="11"/>
                <w:szCs w:val="11"/>
                <w:b w:val="1"/>
                <w:bCs w:val="1"/>
                <w:color w:val="auto"/>
                <w:w w:val="94"/>
              </w:rPr>
              <w:t>CEO or</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6"/>
              </w:rPr>
              <w:t>Public</w:t>
            </w:r>
          </w:p>
        </w:tc>
        <w:tc>
          <w:tcPr>
            <w:tcW w:w="840" w:type="dxa"/>
            <w:vAlign w:val="bottom"/>
            <w:tcBorders>
              <w:top w:val="single" w:sz="8" w:color="DCDDDE"/>
            </w:tcBorders>
          </w:tcPr>
          <w:p>
            <w:pPr>
              <w:ind w:left="180"/>
              <w:spacing w:after="0" w:line="120" w:lineRule="exact"/>
              <w:rPr>
                <w:sz w:val="20"/>
                <w:szCs w:val="20"/>
                <w:color w:val="auto"/>
              </w:rPr>
            </w:pPr>
            <w:r>
              <w:rPr>
                <w:rFonts w:ascii="Arial" w:cs="Arial" w:eastAsia="Arial" w:hAnsi="Arial"/>
                <w:sz w:val="11"/>
                <w:szCs w:val="11"/>
                <w:b w:val="1"/>
                <w:bCs w:val="1"/>
                <w:color w:val="auto"/>
              </w:rPr>
              <w:t>Financial</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7"/>
              </w:rPr>
              <w:t>Sales /</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5"/>
              </w:rPr>
              <w:t>Relevant</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Technology/</w:t>
            </w:r>
          </w:p>
        </w:tc>
        <w:tc>
          <w:tcPr>
            <w:tcW w:w="9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rPr>
              <w:t>Human</w:t>
            </w:r>
          </w:p>
        </w:tc>
        <w:tc>
          <w:tcPr>
            <w:tcW w:w="90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Mergers</w:t>
            </w:r>
          </w:p>
        </w:tc>
        <w:tc>
          <w:tcPr>
            <w:tcW w:w="80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Global</w:t>
            </w:r>
          </w:p>
        </w:tc>
        <w:tc>
          <w:tcPr>
            <w:tcW w:w="700" w:type="dxa"/>
            <w:vAlign w:val="bottom"/>
            <w:tcBorders>
              <w:top w:val="single" w:sz="8" w:color="DCDDDE"/>
            </w:tcBorders>
          </w:tcPr>
          <w:p>
            <w:pPr>
              <w:ind w:left="280"/>
              <w:spacing w:after="0" w:line="120" w:lineRule="exact"/>
              <w:rPr>
                <w:sz w:val="20"/>
                <w:szCs w:val="20"/>
                <w:color w:val="auto"/>
              </w:rPr>
            </w:pPr>
            <w:r>
              <w:rPr>
                <w:rFonts w:ascii="Arial" w:cs="Arial" w:eastAsia="Arial" w:hAnsi="Arial"/>
                <w:sz w:val="11"/>
                <w:szCs w:val="11"/>
                <w:b w:val="1"/>
                <w:bCs w:val="1"/>
                <w:color w:val="auto"/>
              </w:rPr>
              <w:t>ESG</w:t>
            </w:r>
          </w:p>
        </w:tc>
        <w:tc>
          <w:tcPr>
            <w:tcW w:w="1060" w:type="dxa"/>
            <w:vAlign w:val="bottom"/>
            <w:tcBorders>
              <w:top w:val="single" w:sz="8" w:color="DCDDDE"/>
            </w:tcBorders>
          </w:tcPr>
          <w:p>
            <w:pPr>
              <w:jc w:val="center"/>
              <w:ind w:left="26"/>
              <w:spacing w:after="0" w:line="120" w:lineRule="exact"/>
              <w:rPr>
                <w:sz w:val="20"/>
                <w:szCs w:val="20"/>
                <w:color w:val="auto"/>
              </w:rPr>
            </w:pPr>
            <w:r>
              <w:rPr>
                <w:rFonts w:ascii="Arial" w:cs="Arial" w:eastAsia="Arial" w:hAnsi="Arial"/>
                <w:sz w:val="11"/>
                <w:szCs w:val="11"/>
                <w:b w:val="1"/>
                <w:bCs w:val="1"/>
                <w:color w:val="auto"/>
                <w:w w:val="97"/>
              </w:rPr>
              <w:t>Manufacturing</w:t>
            </w:r>
          </w:p>
        </w:tc>
        <w:tc>
          <w:tcPr>
            <w:tcW w:w="8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9"/>
              </w:rPr>
              <w:t>Metals</w:t>
            </w:r>
          </w:p>
        </w:tc>
        <w:tc>
          <w:tcPr>
            <w:tcW w:w="72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Diversity</w:t>
            </w:r>
          </w:p>
        </w:tc>
      </w:tr>
      <w:tr>
        <w:trPr>
          <w:trHeight w:val="121"/>
        </w:trPr>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chairperson</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company</w:t>
            </w:r>
          </w:p>
        </w:tc>
        <w:tc>
          <w:tcPr>
            <w:tcW w:w="840" w:type="dxa"/>
            <w:vAlign w:val="bottom"/>
          </w:tcPr>
          <w:p>
            <w:pPr>
              <w:ind w:left="180"/>
              <w:spacing w:after="0" w:line="122" w:lineRule="exact"/>
              <w:rPr>
                <w:sz w:val="20"/>
                <w:szCs w:val="20"/>
                <w:color w:val="auto"/>
              </w:rPr>
            </w:pPr>
            <w:r>
              <w:rPr>
                <w:rFonts w:ascii="Arial" w:cs="Arial" w:eastAsia="Arial" w:hAnsi="Arial"/>
                <w:sz w:val="11"/>
                <w:szCs w:val="11"/>
                <w:b w:val="1"/>
                <w:bCs w:val="1"/>
                <w:color w:val="auto"/>
              </w:rPr>
              <w:t>expertise</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marketing</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end market</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cyber/ IT</w:t>
            </w: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resources /</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and</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jc w:val="center"/>
              <w:ind w:left="26"/>
              <w:spacing w:after="0" w:line="122" w:lineRule="exact"/>
              <w:rPr>
                <w:sz w:val="20"/>
                <w:szCs w:val="20"/>
                <w:color w:val="auto"/>
              </w:rPr>
            </w:pPr>
            <w:r>
              <w:rPr>
                <w:rFonts w:ascii="Arial" w:cs="Arial" w:eastAsia="Arial" w:hAnsi="Arial"/>
                <w:sz w:val="11"/>
                <w:szCs w:val="11"/>
                <w:b w:val="1"/>
                <w:bCs w:val="1"/>
                <w:color w:val="auto"/>
                <w:w w:val="95"/>
              </w:rPr>
              <w:t>operations</w:t>
            </w: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6"/>
              </w:rPr>
              <w:t>industry</w:t>
            </w:r>
          </w:p>
        </w:tc>
        <w:tc>
          <w:tcPr>
            <w:tcW w:w="720" w:type="dxa"/>
            <w:vAlign w:val="bottom"/>
          </w:tcPr>
          <w:p>
            <w:pPr>
              <w:spacing w:after="0"/>
              <w:rPr>
                <w:sz w:val="10"/>
                <w:szCs w:val="10"/>
                <w:color w:val="auto"/>
              </w:rPr>
            </w:pPr>
          </w:p>
        </w:tc>
      </w:tr>
      <w:tr>
        <w:trPr>
          <w:trHeight w:val="122"/>
        </w:trPr>
        <w:tc>
          <w:tcPr>
            <w:tcW w:w="820" w:type="dxa"/>
            <w:vAlign w:val="bottom"/>
          </w:tcPr>
          <w:p>
            <w:pPr>
              <w:jc w:val="center"/>
              <w:ind w:right="6"/>
              <w:spacing w:after="0" w:line="122" w:lineRule="exact"/>
              <w:rPr>
                <w:sz w:val="20"/>
                <w:szCs w:val="20"/>
                <w:color w:val="auto"/>
              </w:rPr>
            </w:pPr>
            <w:r>
              <w:rPr>
                <w:rFonts w:ascii="Arial" w:cs="Arial" w:eastAsia="Arial" w:hAnsi="Arial"/>
                <w:sz w:val="11"/>
                <w:szCs w:val="11"/>
                <w:b w:val="1"/>
                <w:bCs w:val="1"/>
                <w:color w:val="auto"/>
                <w:w w:val="97"/>
              </w:rPr>
              <w:t>experience</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board</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expertise</w:t>
            </w: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compensation</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acquisitions</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experience</w:t>
            </w:r>
          </w:p>
        </w:tc>
        <w:tc>
          <w:tcPr>
            <w:tcW w:w="720" w:type="dxa"/>
            <w:vAlign w:val="bottom"/>
          </w:tcPr>
          <w:p>
            <w:pPr>
              <w:spacing w:after="0"/>
              <w:rPr>
                <w:sz w:val="10"/>
                <w:szCs w:val="10"/>
                <w:color w:val="auto"/>
              </w:rPr>
            </w:pPr>
          </w:p>
        </w:tc>
      </w:tr>
      <w:tr>
        <w:trPr>
          <w:trHeight w:val="121"/>
        </w:trPr>
        <w:tc>
          <w:tcPr>
            <w:tcW w:w="82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experience</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6"/>
              </w:rPr>
              <w:t>/ industrial</w:t>
            </w:r>
          </w:p>
        </w:tc>
        <w:tc>
          <w:tcPr>
            <w:tcW w:w="9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720" w:type="dxa"/>
            <w:vAlign w:val="bottom"/>
          </w:tcPr>
          <w:p>
            <w:pPr>
              <w:spacing w:after="0"/>
              <w:rPr>
                <w:sz w:val="10"/>
                <w:szCs w:val="10"/>
                <w:color w:val="auto"/>
              </w:rPr>
            </w:pPr>
          </w:p>
        </w:tc>
      </w:tr>
      <w:tr>
        <w:trPr>
          <w:trHeight w:val="142"/>
        </w:trPr>
        <w:tc>
          <w:tcPr>
            <w:tcW w:w="8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920" w:type="dxa"/>
            <w:vAlign w:val="bottom"/>
          </w:tcPr>
          <w:p>
            <w:pPr>
              <w:jc w:val="center"/>
              <w:spacing w:after="0"/>
              <w:rPr>
                <w:sz w:val="20"/>
                <w:szCs w:val="20"/>
                <w:color w:val="auto"/>
              </w:rPr>
            </w:pPr>
            <w:r>
              <w:rPr>
                <w:rFonts w:ascii="Arial" w:cs="Arial" w:eastAsia="Arial" w:hAnsi="Arial"/>
                <w:sz w:val="11"/>
                <w:szCs w:val="11"/>
                <w:b w:val="1"/>
                <w:bCs w:val="1"/>
                <w:color w:val="auto"/>
              </w:rPr>
              <w:t>relations</w:t>
            </w:r>
          </w:p>
        </w:tc>
        <w:tc>
          <w:tcPr>
            <w:tcW w:w="9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49"/>
        </w:trPr>
        <w:tc>
          <w:tcPr>
            <w:tcW w:w="820" w:type="dxa"/>
            <w:vAlign w:val="bottom"/>
            <w:tcBorders>
              <w:bottom w:val="single" w:sz="8" w:color="DCDDDE"/>
            </w:tcBorders>
          </w:tcPr>
          <w:p>
            <w:pPr>
              <w:spacing w:after="0"/>
              <w:rPr>
                <w:sz w:val="4"/>
                <w:szCs w:val="4"/>
                <w:color w:val="auto"/>
              </w:rPr>
            </w:pPr>
          </w:p>
        </w:tc>
        <w:tc>
          <w:tcPr>
            <w:tcW w:w="88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880" w:type="dxa"/>
            <w:vAlign w:val="bottom"/>
            <w:tcBorders>
              <w:bottom w:val="single" w:sz="8" w:color="DCDDDE"/>
            </w:tcBorders>
          </w:tcPr>
          <w:p>
            <w:pPr>
              <w:spacing w:after="0"/>
              <w:rPr>
                <w:sz w:val="4"/>
                <w:szCs w:val="4"/>
                <w:color w:val="auto"/>
              </w:rPr>
            </w:pPr>
          </w:p>
        </w:tc>
        <w:tc>
          <w:tcPr>
            <w:tcW w:w="840" w:type="dxa"/>
            <w:vAlign w:val="bottom"/>
            <w:tcBorders>
              <w:bottom w:val="single" w:sz="8" w:color="DCDDDE"/>
            </w:tcBorders>
          </w:tcPr>
          <w:p>
            <w:pPr>
              <w:spacing w:after="0"/>
              <w:rPr>
                <w:sz w:val="4"/>
                <w:szCs w:val="4"/>
                <w:color w:val="auto"/>
              </w:rPr>
            </w:pPr>
          </w:p>
        </w:tc>
        <w:tc>
          <w:tcPr>
            <w:tcW w:w="920" w:type="dxa"/>
            <w:vAlign w:val="bottom"/>
            <w:tcBorders>
              <w:bottom w:val="single" w:sz="8" w:color="DCDDDE"/>
            </w:tcBorders>
          </w:tcPr>
          <w:p>
            <w:pPr>
              <w:spacing w:after="0"/>
              <w:rPr>
                <w:sz w:val="4"/>
                <w:szCs w:val="4"/>
                <w:color w:val="auto"/>
              </w:rPr>
            </w:pPr>
          </w:p>
        </w:tc>
        <w:tc>
          <w:tcPr>
            <w:tcW w:w="900" w:type="dxa"/>
            <w:vAlign w:val="bottom"/>
            <w:tcBorders>
              <w:bottom w:val="single" w:sz="8" w:color="DCDDDE"/>
            </w:tcBorders>
          </w:tcPr>
          <w:p>
            <w:pPr>
              <w:spacing w:after="0"/>
              <w:rPr>
                <w:sz w:val="4"/>
                <w:szCs w:val="4"/>
                <w:color w:val="auto"/>
              </w:rPr>
            </w:pPr>
          </w:p>
        </w:tc>
        <w:tc>
          <w:tcPr>
            <w:tcW w:w="800" w:type="dxa"/>
            <w:vAlign w:val="bottom"/>
            <w:tcBorders>
              <w:bottom w:val="single" w:sz="8" w:color="DCDDDE"/>
            </w:tcBorders>
          </w:tcPr>
          <w:p>
            <w:pPr>
              <w:spacing w:after="0"/>
              <w:rPr>
                <w:sz w:val="4"/>
                <w:szCs w:val="4"/>
                <w:color w:val="auto"/>
              </w:rPr>
            </w:pPr>
          </w:p>
        </w:tc>
        <w:tc>
          <w:tcPr>
            <w:tcW w:w="700" w:type="dxa"/>
            <w:vAlign w:val="bottom"/>
            <w:tcBorders>
              <w:bottom w:val="single" w:sz="8" w:color="DCDDDE"/>
            </w:tcBorders>
          </w:tcPr>
          <w:p>
            <w:pPr>
              <w:spacing w:after="0"/>
              <w:rPr>
                <w:sz w:val="4"/>
                <w:szCs w:val="4"/>
                <w:color w:val="auto"/>
              </w:rPr>
            </w:pPr>
          </w:p>
        </w:tc>
        <w:tc>
          <w:tcPr>
            <w:tcW w:w="1060" w:type="dxa"/>
            <w:vAlign w:val="bottom"/>
            <w:tcBorders>
              <w:bottom w:val="single" w:sz="8" w:color="DCDDDE"/>
            </w:tcBorders>
          </w:tcPr>
          <w:p>
            <w:pPr>
              <w:spacing w:after="0"/>
              <w:rPr>
                <w:sz w:val="4"/>
                <w:szCs w:val="4"/>
                <w:color w:val="auto"/>
              </w:rPr>
            </w:pPr>
          </w:p>
        </w:tc>
        <w:tc>
          <w:tcPr>
            <w:tcW w:w="820" w:type="dxa"/>
            <w:vAlign w:val="bottom"/>
            <w:tcBorders>
              <w:bottom w:val="single" w:sz="8" w:color="DCDDDE"/>
            </w:tcBorders>
          </w:tcPr>
          <w:p>
            <w:pPr>
              <w:spacing w:after="0"/>
              <w:rPr>
                <w:sz w:val="4"/>
                <w:szCs w:val="4"/>
                <w:color w:val="auto"/>
              </w:rPr>
            </w:pPr>
          </w:p>
        </w:tc>
        <w:tc>
          <w:tcPr>
            <w:tcW w:w="720" w:type="dxa"/>
            <w:vAlign w:val="bottom"/>
            <w:tcBorders>
              <w:bottom w:val="single" w:sz="8" w:color="DCDDDE"/>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2743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995160" cy="27432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13</w:t>
      </w:r>
    </w:p>
    <w:p>
      <w:pPr>
        <w:sectPr>
          <w:pgSz w:w="11900" w:h="16838" w:orient="portrait"/>
          <w:cols w:equalWidth="0" w:num="1">
            <w:col w:w="11140"/>
          </w:cols>
          <w:pgMar w:left="320" w:top="459" w:right="43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213995</wp:posOffset>
            </wp:positionV>
            <wp:extent cx="6995160" cy="19888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995160" cy="1988820"/>
                    </a:xfrm>
                    <a:prstGeom prst="rect">
                      <a:avLst/>
                    </a:prstGeom>
                    <a:noFill/>
                  </pic:spPr>
                </pic:pic>
              </a:graphicData>
            </a:graphic>
          </wp:anchor>
        </w:drawing>
      </w:r>
    </w:p>
    <w:p>
      <w:pPr>
        <w:spacing w:after="0" w:line="200" w:lineRule="exact"/>
        <w:rPr>
          <w:sz w:val="20"/>
          <w:szCs w:val="20"/>
          <w:color w:val="auto"/>
        </w:rPr>
      </w:pPr>
    </w:p>
    <w:p>
      <w:pPr>
        <w:spacing w:after="0" w:line="292" w:lineRule="exact"/>
        <w:rPr>
          <w:sz w:val="20"/>
          <w:szCs w:val="20"/>
          <w:color w:val="auto"/>
        </w:rPr>
      </w:pPr>
    </w:p>
    <w:p>
      <w:pPr>
        <w:ind w:left="4160"/>
        <w:spacing w:after="0"/>
        <w:rPr>
          <w:sz w:val="20"/>
          <w:szCs w:val="20"/>
          <w:color w:val="auto"/>
        </w:rPr>
      </w:pPr>
      <w:r>
        <w:rPr>
          <w:rFonts w:ascii="Arial" w:cs="Arial" w:eastAsia="Arial" w:hAnsi="Arial"/>
          <w:sz w:val="22"/>
          <w:szCs w:val="22"/>
          <w:b w:val="1"/>
          <w:bCs w:val="1"/>
          <w:color w:val="7F7F7F"/>
        </w:rPr>
        <w:t>Leila L. Vespoli</w:t>
      </w:r>
    </w:p>
    <w:p>
      <w:pPr>
        <w:spacing w:after="0" w:line="44"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Age</w:t>
      </w:r>
      <w:r>
        <w:rPr>
          <w:rFonts w:ascii="Arial" w:cs="Arial" w:eastAsia="Arial" w:hAnsi="Arial"/>
          <w:sz w:val="16"/>
          <w:szCs w:val="16"/>
          <w:color w:val="auto"/>
        </w:rPr>
        <w:t>: 62</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2023; director since 2019</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Audit</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00" w:lineRule="exact"/>
        <w:rPr>
          <w:sz w:val="20"/>
          <w:szCs w:val="20"/>
          <w:color w:val="auto"/>
        </w:rPr>
      </w:pPr>
    </w:p>
    <w:p>
      <w:pPr>
        <w:ind w:left="4160" w:right="40"/>
        <w:spacing w:after="0" w:line="269" w:lineRule="auto"/>
        <w:rPr>
          <w:sz w:val="20"/>
          <w:szCs w:val="20"/>
          <w:color w:val="auto"/>
        </w:rPr>
      </w:pPr>
      <w:r>
        <w:rPr>
          <w:rFonts w:ascii="Arial" w:cs="Arial" w:eastAsia="Arial" w:hAnsi="Arial"/>
          <w:sz w:val="16"/>
          <w:szCs w:val="16"/>
          <w:b w:val="1"/>
          <w:bCs w:val="1"/>
          <w:color w:val="auto"/>
        </w:rPr>
        <w:t>Business experience</w:t>
      </w:r>
      <w:r>
        <w:rPr>
          <w:rFonts w:ascii="Arial" w:cs="Arial" w:eastAsia="Arial" w:hAnsi="Arial"/>
          <w:sz w:val="16"/>
          <w:szCs w:val="16"/>
          <w:color w:val="auto"/>
        </w:rPr>
        <w:t>: Ms. Vespoli retired from her position as Executive Vice President of Corporate</w:t>
      </w:r>
      <w:r>
        <w:rPr>
          <w:rFonts w:ascii="Arial" w:cs="Arial" w:eastAsia="Arial" w:hAnsi="Arial"/>
          <w:sz w:val="16"/>
          <w:szCs w:val="16"/>
          <w:b w:val="1"/>
          <w:bCs w:val="1"/>
          <w:color w:val="auto"/>
        </w:rPr>
        <w:t xml:space="preserve"> </w:t>
      </w:r>
      <w:r>
        <w:rPr>
          <w:rFonts w:ascii="Arial" w:cs="Arial" w:eastAsia="Arial" w:hAnsi="Arial"/>
          <w:sz w:val="16"/>
          <w:szCs w:val="16"/>
          <w:color w:val="auto"/>
        </w:rPr>
        <w:t>Strategy, Regulatory Affairs and Chief Legal Officer of FirstEnergy Corp. (an electric utility headquartered in Akron, Ohio, whose subsidiaries are involved in the transmission, distribution and generation of electricity) in April 2019, a position which she had held since May 2016. Prior to that, she served as Executive Vice President, Markets and Chief Legal Officer from January 2014 through May 2016. She began her career with Ohio Edison, a predecessor company of FirstEnergy, in 1984 and served since 2000 in numerous executive leadership roles at FirstEnergy with a broad range of responsibilities in a highly complex and regulated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84455</wp:posOffset>
            </wp:positionV>
            <wp:extent cx="6995160" cy="19627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140" w:lineRule="exact"/>
        <w:rPr>
          <w:sz w:val="20"/>
          <w:szCs w:val="20"/>
          <w:color w:val="auto"/>
        </w:rPr>
      </w:pPr>
    </w:p>
    <w:p>
      <w:pPr>
        <w:ind w:left="4160"/>
        <w:spacing w:after="0"/>
        <w:rPr>
          <w:sz w:val="20"/>
          <w:szCs w:val="20"/>
          <w:color w:val="auto"/>
        </w:rPr>
      </w:pPr>
      <w:r>
        <w:rPr>
          <w:rFonts w:ascii="Arial" w:cs="Arial" w:eastAsia="Arial" w:hAnsi="Arial"/>
          <w:sz w:val="22"/>
          <w:szCs w:val="22"/>
          <w:b w:val="1"/>
          <w:bCs w:val="1"/>
          <w:color w:val="7F7F7F"/>
        </w:rPr>
        <w:t xml:space="preserve">Michael S. Williams </w:t>
      </w:r>
      <w:r>
        <w:rPr>
          <w:sz w:val="1"/>
          <w:szCs w:val="1"/>
          <w:color w:val="auto"/>
        </w:rPr>
        <w:drawing>
          <wp:inline distT="0" distB="0" distL="0" distR="0">
            <wp:extent cx="128905"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28905" cy="171450"/>
                    </a:xfrm>
                    <a:prstGeom prst="rect">
                      <a:avLst/>
                    </a:prstGeom>
                    <a:noFill/>
                    <a:ln>
                      <a:noFill/>
                    </a:ln>
                  </pic:spPr>
                </pic:pic>
              </a:graphicData>
            </a:graphic>
          </wp:inline>
        </w:drawing>
      </w:r>
    </w:p>
    <w:p>
      <w:pPr>
        <w:spacing w:after="0" w:line="34"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Age</w:t>
      </w:r>
      <w:r>
        <w:rPr>
          <w:rFonts w:ascii="Arial" w:cs="Arial" w:eastAsia="Arial" w:hAnsi="Arial"/>
          <w:sz w:val="16"/>
          <w:szCs w:val="16"/>
          <w:color w:val="auto"/>
        </w:rPr>
        <w:t>: 61</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2024; director since 2021</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Committee</w:t>
      </w:r>
      <w:r>
        <w:rPr>
          <w:rFonts w:ascii="Arial" w:cs="Arial" w:eastAsia="Arial" w:hAnsi="Arial"/>
          <w:sz w:val="16"/>
          <w:szCs w:val="16"/>
          <w:color w:val="auto"/>
        </w:rPr>
        <w:t>: None</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00" w:lineRule="exact"/>
        <w:rPr>
          <w:sz w:val="20"/>
          <w:szCs w:val="20"/>
          <w:color w:val="auto"/>
        </w:rPr>
      </w:pPr>
    </w:p>
    <w:p>
      <w:pPr>
        <w:ind w:left="4160" w:right="100"/>
        <w:spacing w:after="0" w:line="304" w:lineRule="auto"/>
        <w:rPr>
          <w:sz w:val="20"/>
          <w:szCs w:val="20"/>
          <w:color w:val="auto"/>
        </w:rPr>
      </w:pPr>
      <w:r>
        <w:rPr>
          <w:rFonts w:ascii="Arial" w:cs="Arial" w:eastAsia="Arial" w:hAnsi="Arial"/>
          <w:sz w:val="14"/>
          <w:szCs w:val="14"/>
          <w:b w:val="1"/>
          <w:bCs w:val="1"/>
          <w:color w:val="auto"/>
        </w:rPr>
        <w:t>Business experience</w:t>
      </w:r>
      <w:r>
        <w:rPr>
          <w:rFonts w:ascii="Arial" w:cs="Arial" w:eastAsia="Arial" w:hAnsi="Arial"/>
          <w:sz w:val="14"/>
          <w:szCs w:val="14"/>
          <w:color w:val="auto"/>
        </w:rPr>
        <w:t>: Mr. Williams is the President and Chief Executive Officer of TimkenSteel</w:t>
      </w:r>
      <w:r>
        <w:rPr>
          <w:rFonts w:ascii="Arial" w:cs="Arial" w:eastAsia="Arial" w:hAnsi="Arial"/>
          <w:sz w:val="14"/>
          <w:szCs w:val="14"/>
          <w:b w:val="1"/>
          <w:bCs w:val="1"/>
          <w:color w:val="auto"/>
        </w:rPr>
        <w:t xml:space="preserve"> </w:t>
      </w:r>
      <w:r>
        <w:rPr>
          <w:rFonts w:ascii="Arial" w:cs="Arial" w:eastAsia="Arial" w:hAnsi="Arial"/>
          <w:sz w:val="14"/>
          <w:szCs w:val="14"/>
          <w:color w:val="auto"/>
        </w:rPr>
        <w:t>Corporation, a position he has held since January 1, 2021. Prior to his current position, Mr. Williams was CEO of Bayou Steel Group (a U.S. producer of structural steel and merchant bar) from May 2019 to September 2019. Prior to joining Bayou Steel, Mr. Williams served as President Outokumpu Americas for Outokumpu Oyj (a global leader in the stainless steel industry) from 2015 to 2019. Before that,</w:t>
      </w:r>
    </w:p>
    <w:p>
      <w:pPr>
        <w:spacing w:after="0" w:line="1" w:lineRule="exact"/>
        <w:rPr>
          <w:sz w:val="20"/>
          <w:szCs w:val="20"/>
          <w:color w:val="auto"/>
        </w:rPr>
      </w:pPr>
    </w:p>
    <w:p>
      <w:pPr>
        <w:ind w:left="4160" w:right="40"/>
        <w:spacing w:after="0" w:line="268" w:lineRule="auto"/>
        <w:rPr>
          <w:sz w:val="20"/>
          <w:szCs w:val="20"/>
          <w:color w:val="auto"/>
        </w:rPr>
      </w:pPr>
      <w:r>
        <w:rPr>
          <w:rFonts w:ascii="Arial" w:cs="Arial" w:eastAsia="Arial" w:hAnsi="Arial"/>
          <w:sz w:val="16"/>
          <w:szCs w:val="16"/>
          <w:color w:val="auto"/>
        </w:rPr>
        <w:t>Mr. Williams held a number of leadership roles at US Steel Corporation (a Fortune 500 company and leading integrated steel producer) from 2006 to 2015, including Senior Vice President, North American Flat Rolled and, most recently, Senior Vice President, Strategic Planning and Business Development. Earlier in his career, Mr. Williams served as Vice President of Commercial Products at Special Metals Corporation (a leader in the invention, production and supply of high-nickel alloys) and, prior to that, as Chairman and Chief Executive Officer of Ormet Corporation (a manufacturer of foil, sheet, billet and other aluminum products).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85090</wp:posOffset>
            </wp:positionV>
            <wp:extent cx="6995160" cy="19627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995160" cy="1962785"/>
                    </a:xfrm>
                    <a:prstGeom prst="rect">
                      <a:avLst/>
                    </a:prstGeom>
                    <a:noFill/>
                  </pic:spPr>
                </pic:pic>
              </a:graphicData>
            </a:graphic>
          </wp:anchor>
        </w:drawing>
      </w:r>
    </w:p>
    <w:p>
      <w:pPr>
        <w:spacing w:after="0" w:line="194" w:lineRule="exact"/>
        <w:rPr>
          <w:sz w:val="20"/>
          <w:szCs w:val="20"/>
          <w:color w:val="auto"/>
        </w:rPr>
      </w:pPr>
    </w:p>
    <w:p>
      <w:pPr>
        <w:ind w:left="4160"/>
        <w:spacing w:after="0"/>
        <w:rPr>
          <w:sz w:val="20"/>
          <w:szCs w:val="20"/>
          <w:color w:val="auto"/>
        </w:rPr>
      </w:pPr>
      <w:r>
        <w:rPr>
          <w:rFonts w:ascii="Arial" w:cs="Arial" w:eastAsia="Arial" w:hAnsi="Arial"/>
          <w:sz w:val="22"/>
          <w:szCs w:val="22"/>
          <w:b w:val="1"/>
          <w:bCs w:val="1"/>
          <w:color w:val="7F7F7F"/>
        </w:rPr>
        <w:t>Randall A. Wotring</w:t>
      </w:r>
    </w:p>
    <w:p>
      <w:pPr>
        <w:spacing w:after="0" w:line="44"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Age</w:t>
      </w:r>
      <w:r>
        <w:rPr>
          <w:rFonts w:ascii="Arial" w:cs="Arial" w:eastAsia="Arial" w:hAnsi="Arial"/>
          <w:sz w:val="16"/>
          <w:szCs w:val="16"/>
          <w:color w:val="auto"/>
        </w:rPr>
        <w:t>: 65</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Term</w:t>
      </w:r>
      <w:r>
        <w:rPr>
          <w:rFonts w:ascii="Arial" w:cs="Arial" w:eastAsia="Arial" w:hAnsi="Arial"/>
          <w:sz w:val="16"/>
          <w:szCs w:val="16"/>
          <w:color w:val="auto"/>
        </w:rPr>
        <w:t>: Expires in 2023; director since 2014</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Committees</w:t>
      </w:r>
      <w:r>
        <w:rPr>
          <w:rFonts w:ascii="Arial" w:cs="Arial" w:eastAsia="Arial" w:hAnsi="Arial"/>
          <w:sz w:val="16"/>
          <w:szCs w:val="16"/>
          <w:color w:val="auto"/>
        </w:rPr>
        <w:t>: Compensation; Nominating and Corporate Governance (Chairperson)</w:t>
      </w:r>
    </w:p>
    <w:p>
      <w:pPr>
        <w:spacing w:after="0" w:line="100" w:lineRule="exact"/>
        <w:rPr>
          <w:sz w:val="20"/>
          <w:szCs w:val="20"/>
          <w:color w:val="auto"/>
        </w:rPr>
      </w:pPr>
    </w:p>
    <w:p>
      <w:pPr>
        <w:ind w:left="4160"/>
        <w:spacing w:after="0"/>
        <w:rPr>
          <w:sz w:val="20"/>
          <w:szCs w:val="20"/>
          <w:color w:val="auto"/>
        </w:rPr>
      </w:pPr>
      <w:r>
        <w:rPr>
          <w:rFonts w:ascii="Arial" w:cs="Arial" w:eastAsia="Arial" w:hAnsi="Arial"/>
          <w:sz w:val="16"/>
          <w:szCs w:val="16"/>
          <w:b w:val="1"/>
          <w:bCs w:val="1"/>
          <w:color w:val="auto"/>
        </w:rPr>
        <w:t>Other public company boards</w:t>
      </w:r>
      <w:r>
        <w:rPr>
          <w:rFonts w:ascii="Arial" w:cs="Arial" w:eastAsia="Arial" w:hAnsi="Arial"/>
          <w:sz w:val="16"/>
          <w:szCs w:val="16"/>
          <w:color w:val="auto"/>
        </w:rPr>
        <w:t>: None</w:t>
      </w:r>
    </w:p>
    <w:p>
      <w:pPr>
        <w:spacing w:after="0" w:line="100" w:lineRule="exact"/>
        <w:rPr>
          <w:sz w:val="20"/>
          <w:szCs w:val="20"/>
          <w:color w:val="auto"/>
        </w:rPr>
      </w:pPr>
    </w:p>
    <w:p>
      <w:pPr>
        <w:ind w:left="4160" w:right="40"/>
        <w:spacing w:after="0" w:line="269" w:lineRule="auto"/>
        <w:rPr>
          <w:sz w:val="20"/>
          <w:szCs w:val="20"/>
          <w:color w:val="auto"/>
        </w:rPr>
      </w:pPr>
      <w:r>
        <w:rPr>
          <w:rFonts w:ascii="Arial" w:cs="Arial" w:eastAsia="Arial" w:hAnsi="Arial"/>
          <w:sz w:val="16"/>
          <w:szCs w:val="16"/>
          <w:b w:val="1"/>
          <w:bCs w:val="1"/>
          <w:color w:val="auto"/>
        </w:rPr>
        <w:t>Business experience</w:t>
      </w:r>
      <w:r>
        <w:rPr>
          <w:rFonts w:ascii="Arial" w:cs="Arial" w:eastAsia="Arial" w:hAnsi="Arial"/>
          <w:sz w:val="16"/>
          <w:szCs w:val="16"/>
          <w:color w:val="auto"/>
        </w:rPr>
        <w:t>: Mr. Wotring retired from his position as Chief Operating Officer of AECOM</w:t>
      </w:r>
      <w:r>
        <w:rPr>
          <w:rFonts w:ascii="Arial" w:cs="Arial" w:eastAsia="Arial" w:hAnsi="Arial"/>
          <w:sz w:val="16"/>
          <w:szCs w:val="16"/>
          <w:b w:val="1"/>
          <w:bCs w:val="1"/>
          <w:color w:val="auto"/>
        </w:rPr>
        <w:t xml:space="preserve"> </w:t>
      </w:r>
      <w:r>
        <w:rPr>
          <w:rFonts w:ascii="Arial" w:cs="Arial" w:eastAsia="Arial" w:hAnsi="Arial"/>
          <w:sz w:val="16"/>
          <w:szCs w:val="16"/>
          <w:color w:val="auto"/>
        </w:rPr>
        <w:t>Technology Corporation (a premier, fully integrated infrastructure and support services firm and the largest engineering design firm in the world) in October 2020, a position he had held since July 2017. He previously served as President, Technical and Operational Services of AECOM from July 2016 until July 2017; as President, Management Services of AECOM from October 2014 until July 2016; and as Corporate Vice President and President of the Federal Services division of URS Corporation from 2004 until October 2014 when URS was acquired by AECOM.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146685</wp:posOffset>
            </wp:positionV>
            <wp:extent cx="699516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312" w:lineRule="exact"/>
        <w:rPr>
          <w:sz w:val="20"/>
          <w:szCs w:val="20"/>
          <w:color w:val="auto"/>
        </w:rPr>
      </w:pPr>
    </w:p>
    <w:tbl>
      <w:tblPr>
        <w:tblLayout w:type="fixed"/>
        <w:tblInd w:w="120" w:type="dxa"/>
        <w:tblCellMar>
          <w:top w:w="0" w:type="dxa"/>
          <w:left w:w="0" w:type="dxa"/>
          <w:bottom w:w="0" w:type="dxa"/>
          <w:right w:w="0" w:type="dxa"/>
        </w:tblCellMar>
      </w:tblPr>
      <w:tr>
        <w:trPr>
          <w:trHeight w:val="120"/>
        </w:trPr>
        <w:tc>
          <w:tcPr>
            <w:tcW w:w="820" w:type="dxa"/>
            <w:vAlign w:val="bottom"/>
            <w:tcBorders>
              <w:top w:val="single" w:sz="8" w:color="DCDDDE"/>
            </w:tcBorders>
          </w:tcPr>
          <w:p>
            <w:pPr>
              <w:jc w:val="center"/>
              <w:ind w:right="6"/>
              <w:spacing w:after="0" w:line="120" w:lineRule="exact"/>
              <w:rPr>
                <w:sz w:val="20"/>
                <w:szCs w:val="20"/>
                <w:color w:val="auto"/>
              </w:rPr>
            </w:pPr>
            <w:r>
              <w:rPr>
                <w:rFonts w:ascii="Arial" w:cs="Arial" w:eastAsia="Arial" w:hAnsi="Arial"/>
                <w:sz w:val="11"/>
                <w:szCs w:val="11"/>
                <w:b w:val="1"/>
                <w:bCs w:val="1"/>
                <w:color w:val="auto"/>
                <w:w w:val="94"/>
              </w:rPr>
              <w:t>CEO or</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6"/>
              </w:rPr>
              <w:t>Public</w:t>
            </w:r>
          </w:p>
        </w:tc>
        <w:tc>
          <w:tcPr>
            <w:tcW w:w="840" w:type="dxa"/>
            <w:vAlign w:val="bottom"/>
            <w:tcBorders>
              <w:top w:val="single" w:sz="8" w:color="DCDDDE"/>
            </w:tcBorders>
          </w:tcPr>
          <w:p>
            <w:pPr>
              <w:ind w:left="180"/>
              <w:spacing w:after="0" w:line="120" w:lineRule="exact"/>
              <w:rPr>
                <w:sz w:val="20"/>
                <w:szCs w:val="20"/>
                <w:color w:val="auto"/>
              </w:rPr>
            </w:pPr>
            <w:r>
              <w:rPr>
                <w:rFonts w:ascii="Arial" w:cs="Arial" w:eastAsia="Arial" w:hAnsi="Arial"/>
                <w:sz w:val="11"/>
                <w:szCs w:val="11"/>
                <w:b w:val="1"/>
                <w:bCs w:val="1"/>
                <w:color w:val="auto"/>
              </w:rPr>
              <w:t>Financial</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7"/>
              </w:rPr>
              <w:t>Sales /</w:t>
            </w:r>
          </w:p>
        </w:tc>
        <w:tc>
          <w:tcPr>
            <w:tcW w:w="88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5"/>
              </w:rPr>
              <w:t>Relevant</w:t>
            </w:r>
          </w:p>
        </w:tc>
        <w:tc>
          <w:tcPr>
            <w:tcW w:w="84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Technology/</w:t>
            </w:r>
          </w:p>
        </w:tc>
        <w:tc>
          <w:tcPr>
            <w:tcW w:w="9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rPr>
              <w:t>Human</w:t>
            </w:r>
          </w:p>
        </w:tc>
        <w:tc>
          <w:tcPr>
            <w:tcW w:w="90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8"/>
              </w:rPr>
              <w:t>Mergers</w:t>
            </w:r>
          </w:p>
        </w:tc>
        <w:tc>
          <w:tcPr>
            <w:tcW w:w="80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Global</w:t>
            </w:r>
          </w:p>
        </w:tc>
        <w:tc>
          <w:tcPr>
            <w:tcW w:w="700" w:type="dxa"/>
            <w:vAlign w:val="bottom"/>
            <w:tcBorders>
              <w:top w:val="single" w:sz="8" w:color="DCDDDE"/>
            </w:tcBorders>
          </w:tcPr>
          <w:p>
            <w:pPr>
              <w:ind w:left="280"/>
              <w:spacing w:after="0" w:line="120" w:lineRule="exact"/>
              <w:rPr>
                <w:sz w:val="20"/>
                <w:szCs w:val="20"/>
                <w:color w:val="auto"/>
              </w:rPr>
            </w:pPr>
            <w:r>
              <w:rPr>
                <w:rFonts w:ascii="Arial" w:cs="Arial" w:eastAsia="Arial" w:hAnsi="Arial"/>
                <w:sz w:val="11"/>
                <w:szCs w:val="11"/>
                <w:b w:val="1"/>
                <w:bCs w:val="1"/>
                <w:color w:val="auto"/>
              </w:rPr>
              <w:t>ESG</w:t>
            </w:r>
          </w:p>
        </w:tc>
        <w:tc>
          <w:tcPr>
            <w:tcW w:w="1060" w:type="dxa"/>
            <w:vAlign w:val="bottom"/>
            <w:tcBorders>
              <w:top w:val="single" w:sz="8" w:color="DCDDDE"/>
            </w:tcBorders>
          </w:tcPr>
          <w:p>
            <w:pPr>
              <w:jc w:val="center"/>
              <w:ind w:left="26"/>
              <w:spacing w:after="0" w:line="120" w:lineRule="exact"/>
              <w:rPr>
                <w:sz w:val="20"/>
                <w:szCs w:val="20"/>
                <w:color w:val="auto"/>
              </w:rPr>
            </w:pPr>
            <w:r>
              <w:rPr>
                <w:rFonts w:ascii="Arial" w:cs="Arial" w:eastAsia="Arial" w:hAnsi="Arial"/>
                <w:sz w:val="11"/>
                <w:szCs w:val="11"/>
                <w:b w:val="1"/>
                <w:bCs w:val="1"/>
                <w:color w:val="auto"/>
                <w:w w:val="97"/>
              </w:rPr>
              <w:t>Manufacturing</w:t>
            </w:r>
          </w:p>
        </w:tc>
        <w:tc>
          <w:tcPr>
            <w:tcW w:w="820" w:type="dxa"/>
            <w:vAlign w:val="bottom"/>
            <w:tcBorders>
              <w:top w:val="single" w:sz="8" w:color="DCDDDE"/>
            </w:tcBorders>
          </w:tcPr>
          <w:p>
            <w:pPr>
              <w:jc w:val="center"/>
              <w:spacing w:after="0" w:line="120" w:lineRule="exact"/>
              <w:rPr>
                <w:sz w:val="20"/>
                <w:szCs w:val="20"/>
                <w:color w:val="auto"/>
              </w:rPr>
            </w:pPr>
            <w:r>
              <w:rPr>
                <w:rFonts w:ascii="Arial" w:cs="Arial" w:eastAsia="Arial" w:hAnsi="Arial"/>
                <w:sz w:val="11"/>
                <w:szCs w:val="11"/>
                <w:b w:val="1"/>
                <w:bCs w:val="1"/>
                <w:color w:val="auto"/>
                <w:w w:val="99"/>
              </w:rPr>
              <w:t>Metals</w:t>
            </w:r>
          </w:p>
        </w:tc>
        <w:tc>
          <w:tcPr>
            <w:tcW w:w="720" w:type="dxa"/>
            <w:vAlign w:val="bottom"/>
            <w:tcBorders>
              <w:top w:val="single" w:sz="8" w:color="DCDDDE"/>
            </w:tcBorders>
          </w:tcPr>
          <w:p>
            <w:pPr>
              <w:ind w:left="160"/>
              <w:spacing w:after="0" w:line="120" w:lineRule="exact"/>
              <w:rPr>
                <w:sz w:val="20"/>
                <w:szCs w:val="20"/>
                <w:color w:val="auto"/>
              </w:rPr>
            </w:pPr>
            <w:r>
              <w:rPr>
                <w:rFonts w:ascii="Arial" w:cs="Arial" w:eastAsia="Arial" w:hAnsi="Arial"/>
                <w:sz w:val="11"/>
                <w:szCs w:val="11"/>
                <w:b w:val="1"/>
                <w:bCs w:val="1"/>
                <w:color w:val="auto"/>
              </w:rPr>
              <w:t>Diversity</w:t>
            </w:r>
          </w:p>
        </w:tc>
      </w:tr>
      <w:tr>
        <w:trPr>
          <w:trHeight w:val="121"/>
        </w:trPr>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chairperson</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company</w:t>
            </w:r>
          </w:p>
        </w:tc>
        <w:tc>
          <w:tcPr>
            <w:tcW w:w="840" w:type="dxa"/>
            <w:vAlign w:val="bottom"/>
          </w:tcPr>
          <w:p>
            <w:pPr>
              <w:ind w:left="180"/>
              <w:spacing w:after="0" w:line="122" w:lineRule="exact"/>
              <w:rPr>
                <w:sz w:val="20"/>
                <w:szCs w:val="20"/>
                <w:color w:val="auto"/>
              </w:rPr>
            </w:pPr>
            <w:r>
              <w:rPr>
                <w:rFonts w:ascii="Arial" w:cs="Arial" w:eastAsia="Arial" w:hAnsi="Arial"/>
                <w:sz w:val="11"/>
                <w:szCs w:val="11"/>
                <w:b w:val="1"/>
                <w:bCs w:val="1"/>
                <w:color w:val="auto"/>
              </w:rPr>
              <w:t>expertise</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marketing</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end market</w:t>
            </w:r>
          </w:p>
        </w:tc>
        <w:tc>
          <w:tcPr>
            <w:tcW w:w="84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cyber/ IT</w:t>
            </w: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resources /</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and</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jc w:val="center"/>
              <w:ind w:left="26"/>
              <w:spacing w:after="0" w:line="122" w:lineRule="exact"/>
              <w:rPr>
                <w:sz w:val="20"/>
                <w:szCs w:val="20"/>
                <w:color w:val="auto"/>
              </w:rPr>
            </w:pPr>
            <w:r>
              <w:rPr>
                <w:rFonts w:ascii="Arial" w:cs="Arial" w:eastAsia="Arial" w:hAnsi="Arial"/>
                <w:sz w:val="11"/>
                <w:szCs w:val="11"/>
                <w:b w:val="1"/>
                <w:bCs w:val="1"/>
                <w:color w:val="auto"/>
                <w:w w:val="95"/>
              </w:rPr>
              <w:t>operations</w:t>
            </w: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6"/>
              </w:rPr>
              <w:t>industry</w:t>
            </w:r>
          </w:p>
        </w:tc>
        <w:tc>
          <w:tcPr>
            <w:tcW w:w="720" w:type="dxa"/>
            <w:vAlign w:val="bottom"/>
          </w:tcPr>
          <w:p>
            <w:pPr>
              <w:spacing w:after="0"/>
              <w:rPr>
                <w:sz w:val="10"/>
                <w:szCs w:val="10"/>
                <w:color w:val="auto"/>
              </w:rPr>
            </w:pPr>
          </w:p>
        </w:tc>
      </w:tr>
      <w:tr>
        <w:trPr>
          <w:trHeight w:val="121"/>
        </w:trPr>
        <w:tc>
          <w:tcPr>
            <w:tcW w:w="820" w:type="dxa"/>
            <w:vAlign w:val="bottom"/>
          </w:tcPr>
          <w:p>
            <w:pPr>
              <w:jc w:val="center"/>
              <w:ind w:right="6"/>
              <w:spacing w:after="0" w:line="122" w:lineRule="exact"/>
              <w:rPr>
                <w:sz w:val="20"/>
                <w:szCs w:val="20"/>
                <w:color w:val="auto"/>
              </w:rPr>
            </w:pPr>
            <w:r>
              <w:rPr>
                <w:rFonts w:ascii="Arial" w:cs="Arial" w:eastAsia="Arial" w:hAnsi="Arial"/>
                <w:sz w:val="11"/>
                <w:szCs w:val="11"/>
                <w:b w:val="1"/>
                <w:bCs w:val="1"/>
                <w:color w:val="auto"/>
                <w:w w:val="97"/>
              </w:rPr>
              <w:t>experience</w:t>
            </w: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8"/>
              </w:rPr>
              <w:t>board</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expertise</w:t>
            </w: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compensation</w:t>
            </w:r>
          </w:p>
        </w:tc>
        <w:tc>
          <w:tcPr>
            <w:tcW w:w="90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acquisitions</w:t>
            </w: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experience</w:t>
            </w:r>
          </w:p>
        </w:tc>
        <w:tc>
          <w:tcPr>
            <w:tcW w:w="720" w:type="dxa"/>
            <w:vAlign w:val="bottom"/>
          </w:tcPr>
          <w:p>
            <w:pPr>
              <w:spacing w:after="0"/>
              <w:rPr>
                <w:sz w:val="10"/>
                <w:szCs w:val="10"/>
                <w:color w:val="auto"/>
              </w:rPr>
            </w:pPr>
          </w:p>
        </w:tc>
      </w:tr>
      <w:tr>
        <w:trPr>
          <w:trHeight w:val="121"/>
        </w:trPr>
        <w:tc>
          <w:tcPr>
            <w:tcW w:w="820" w:type="dxa"/>
            <w:vAlign w:val="bottom"/>
          </w:tcPr>
          <w:p>
            <w:pPr>
              <w:spacing w:after="0"/>
              <w:rPr>
                <w:sz w:val="10"/>
                <w:szCs w:val="10"/>
                <w:color w:val="auto"/>
              </w:rPr>
            </w:pPr>
          </w:p>
        </w:tc>
        <w:tc>
          <w:tcPr>
            <w:tcW w:w="8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7"/>
              </w:rPr>
              <w:t>experience</w:t>
            </w:r>
          </w:p>
        </w:tc>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92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5"/>
              </w:rPr>
              <w:t>/industrial</w:t>
            </w:r>
          </w:p>
        </w:tc>
        <w:tc>
          <w:tcPr>
            <w:tcW w:w="9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720" w:type="dxa"/>
            <w:vAlign w:val="bottom"/>
          </w:tcPr>
          <w:p>
            <w:pPr>
              <w:spacing w:after="0"/>
              <w:rPr>
                <w:sz w:val="10"/>
                <w:szCs w:val="10"/>
                <w:color w:val="auto"/>
              </w:rPr>
            </w:pPr>
          </w:p>
        </w:tc>
      </w:tr>
      <w:tr>
        <w:trPr>
          <w:trHeight w:val="137"/>
        </w:trPr>
        <w:tc>
          <w:tcPr>
            <w:tcW w:w="820" w:type="dxa"/>
            <w:vAlign w:val="bottom"/>
            <w:tcBorders>
              <w:bottom w:val="single" w:sz="8" w:color="DCDDDE"/>
            </w:tcBorders>
          </w:tcPr>
          <w:p>
            <w:pPr>
              <w:spacing w:after="0"/>
              <w:rPr>
                <w:sz w:val="11"/>
                <w:szCs w:val="11"/>
                <w:color w:val="auto"/>
              </w:rPr>
            </w:pPr>
          </w:p>
        </w:tc>
        <w:tc>
          <w:tcPr>
            <w:tcW w:w="880" w:type="dxa"/>
            <w:vAlign w:val="bottom"/>
            <w:tcBorders>
              <w:bottom w:val="single" w:sz="8" w:color="DCDDDE"/>
            </w:tcBorders>
          </w:tcPr>
          <w:p>
            <w:pPr>
              <w:spacing w:after="0"/>
              <w:rPr>
                <w:sz w:val="11"/>
                <w:szCs w:val="11"/>
                <w:color w:val="auto"/>
              </w:rPr>
            </w:pPr>
          </w:p>
        </w:tc>
        <w:tc>
          <w:tcPr>
            <w:tcW w:w="840" w:type="dxa"/>
            <w:vAlign w:val="bottom"/>
            <w:tcBorders>
              <w:bottom w:val="single" w:sz="8" w:color="DCDDDE"/>
            </w:tcBorders>
          </w:tcPr>
          <w:p>
            <w:pPr>
              <w:spacing w:after="0"/>
              <w:rPr>
                <w:sz w:val="11"/>
                <w:szCs w:val="11"/>
                <w:color w:val="auto"/>
              </w:rPr>
            </w:pPr>
          </w:p>
        </w:tc>
        <w:tc>
          <w:tcPr>
            <w:tcW w:w="840" w:type="dxa"/>
            <w:vAlign w:val="bottom"/>
            <w:tcBorders>
              <w:bottom w:val="single" w:sz="8" w:color="DCDDDE"/>
            </w:tcBorders>
          </w:tcPr>
          <w:p>
            <w:pPr>
              <w:spacing w:after="0"/>
              <w:rPr>
                <w:sz w:val="11"/>
                <w:szCs w:val="11"/>
                <w:color w:val="auto"/>
              </w:rPr>
            </w:pPr>
          </w:p>
        </w:tc>
        <w:tc>
          <w:tcPr>
            <w:tcW w:w="880" w:type="dxa"/>
            <w:vAlign w:val="bottom"/>
            <w:tcBorders>
              <w:bottom w:val="single" w:sz="8" w:color="DCDDDE"/>
            </w:tcBorders>
          </w:tcPr>
          <w:p>
            <w:pPr>
              <w:spacing w:after="0"/>
              <w:rPr>
                <w:sz w:val="11"/>
                <w:szCs w:val="11"/>
                <w:color w:val="auto"/>
              </w:rPr>
            </w:pPr>
          </w:p>
        </w:tc>
        <w:tc>
          <w:tcPr>
            <w:tcW w:w="840" w:type="dxa"/>
            <w:vAlign w:val="bottom"/>
            <w:tcBorders>
              <w:bottom w:val="single" w:sz="8" w:color="DCDDDE"/>
            </w:tcBorders>
          </w:tcPr>
          <w:p>
            <w:pPr>
              <w:spacing w:after="0"/>
              <w:rPr>
                <w:sz w:val="11"/>
                <w:szCs w:val="11"/>
                <w:color w:val="auto"/>
              </w:rPr>
            </w:pPr>
          </w:p>
        </w:tc>
        <w:tc>
          <w:tcPr>
            <w:tcW w:w="920" w:type="dxa"/>
            <w:vAlign w:val="bottom"/>
            <w:tcBorders>
              <w:bottom w:val="single" w:sz="8" w:color="DCDDDE"/>
            </w:tcBorders>
          </w:tcPr>
          <w:p>
            <w:pPr>
              <w:jc w:val="center"/>
              <w:spacing w:after="0"/>
              <w:rPr>
                <w:sz w:val="20"/>
                <w:szCs w:val="20"/>
                <w:color w:val="auto"/>
              </w:rPr>
            </w:pPr>
            <w:r>
              <w:rPr>
                <w:rFonts w:ascii="Arial" w:cs="Arial" w:eastAsia="Arial" w:hAnsi="Arial"/>
                <w:sz w:val="11"/>
                <w:szCs w:val="11"/>
                <w:b w:val="1"/>
                <w:bCs w:val="1"/>
                <w:color w:val="auto"/>
              </w:rPr>
              <w:t>relations</w:t>
            </w:r>
          </w:p>
        </w:tc>
        <w:tc>
          <w:tcPr>
            <w:tcW w:w="900" w:type="dxa"/>
            <w:vAlign w:val="bottom"/>
            <w:tcBorders>
              <w:bottom w:val="single" w:sz="8" w:color="DCDDDE"/>
            </w:tcBorders>
          </w:tcPr>
          <w:p>
            <w:pPr>
              <w:spacing w:after="0"/>
              <w:rPr>
                <w:sz w:val="11"/>
                <w:szCs w:val="11"/>
                <w:color w:val="auto"/>
              </w:rPr>
            </w:pPr>
          </w:p>
        </w:tc>
        <w:tc>
          <w:tcPr>
            <w:tcW w:w="800" w:type="dxa"/>
            <w:vAlign w:val="bottom"/>
            <w:tcBorders>
              <w:bottom w:val="single" w:sz="8" w:color="DCDDDE"/>
            </w:tcBorders>
          </w:tcPr>
          <w:p>
            <w:pPr>
              <w:spacing w:after="0"/>
              <w:rPr>
                <w:sz w:val="11"/>
                <w:szCs w:val="11"/>
                <w:color w:val="auto"/>
              </w:rPr>
            </w:pPr>
          </w:p>
        </w:tc>
        <w:tc>
          <w:tcPr>
            <w:tcW w:w="700" w:type="dxa"/>
            <w:vAlign w:val="bottom"/>
            <w:tcBorders>
              <w:bottom w:val="single" w:sz="8" w:color="DCDDDE"/>
            </w:tcBorders>
          </w:tcPr>
          <w:p>
            <w:pPr>
              <w:spacing w:after="0"/>
              <w:rPr>
                <w:sz w:val="11"/>
                <w:szCs w:val="11"/>
                <w:color w:val="auto"/>
              </w:rPr>
            </w:pPr>
          </w:p>
        </w:tc>
        <w:tc>
          <w:tcPr>
            <w:tcW w:w="1060" w:type="dxa"/>
            <w:vAlign w:val="bottom"/>
            <w:tcBorders>
              <w:bottom w:val="single" w:sz="8" w:color="DCDDDE"/>
            </w:tcBorders>
          </w:tcPr>
          <w:p>
            <w:pPr>
              <w:spacing w:after="0"/>
              <w:rPr>
                <w:sz w:val="11"/>
                <w:szCs w:val="11"/>
                <w:color w:val="auto"/>
              </w:rPr>
            </w:pPr>
          </w:p>
        </w:tc>
        <w:tc>
          <w:tcPr>
            <w:tcW w:w="820" w:type="dxa"/>
            <w:vAlign w:val="bottom"/>
            <w:tcBorders>
              <w:bottom w:val="single" w:sz="8" w:color="DCDDDE"/>
            </w:tcBorders>
          </w:tcPr>
          <w:p>
            <w:pPr>
              <w:spacing w:after="0"/>
              <w:rPr>
                <w:sz w:val="11"/>
                <w:szCs w:val="11"/>
                <w:color w:val="auto"/>
              </w:rPr>
            </w:pPr>
          </w:p>
        </w:tc>
        <w:tc>
          <w:tcPr>
            <w:tcW w:w="720" w:type="dxa"/>
            <w:vAlign w:val="bottom"/>
            <w:tcBorders>
              <w:bottom w:val="single" w:sz="8" w:color="DCDDDE"/>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2743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5160" cy="27432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14</w:t>
      </w:r>
    </w:p>
    <w:p>
      <w:pPr>
        <w:sectPr>
          <w:pgSz w:w="11900" w:h="16838" w:orient="portrait"/>
          <w:cols w:equalWidth="0" w:num="1">
            <w:col w:w="11140"/>
          </w:cols>
          <w:pgMar w:left="320" w:top="459" w:right="43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Board of directors information</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Meetings and committees</w:t>
      </w:r>
    </w:p>
    <w:p>
      <w:pPr>
        <w:spacing w:after="0" w:line="194" w:lineRule="exact"/>
        <w:rPr>
          <w:sz w:val="20"/>
          <w:szCs w:val="20"/>
          <w:color w:val="auto"/>
        </w:rPr>
      </w:pPr>
    </w:p>
    <w:p>
      <w:pPr>
        <w:ind w:left="120"/>
        <w:spacing w:after="0" w:line="290" w:lineRule="auto"/>
        <w:rPr>
          <w:sz w:val="20"/>
          <w:szCs w:val="20"/>
          <w:color w:val="auto"/>
        </w:rPr>
      </w:pPr>
      <w:r>
        <w:rPr>
          <w:rFonts w:ascii="Arial" w:cs="Arial" w:eastAsia="Arial" w:hAnsi="Arial"/>
          <w:sz w:val="16"/>
          <w:szCs w:val="16"/>
          <w:color w:val="auto"/>
        </w:rPr>
        <w:t>The standing committees of the Board of Directors consist of the Audit Committee, the Compensation Committee, and the Nominating and Corporate Governance Committee. During calendar year 2021, there were five meetings of the Board of Directors, six meetings of the Audit Committee, four meetings of the Compensation Committee and nine meetings of the Nominating and Corporate Governance Committee. All incumbent directors attended 75 percent or more of the aggregate number of meetings of the Board and its committees on which they served. It is our policy that all members of the Board of Directors serving at the time of the annual meeting of shareholders should attend the annual meeting, and all such directors attended the 2021 annual meeting of shareholders. The independent directors met separately in executive session without management present at least quarterly in conjunction with regularly scheduled meetings of the Board in 2021 and intend to meet separately in executive sessions without management present at least quarterly in conjunction with regularly scheduled meetings of the Board of Directors in 2022 and thereafter.</w:t>
      </w:r>
    </w:p>
    <w:p>
      <w:pPr>
        <w:spacing w:after="0" w:line="130"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Audit Committee</w:t>
      </w:r>
    </w:p>
    <w:p>
      <w:pPr>
        <w:spacing w:after="0" w:line="194" w:lineRule="exact"/>
        <w:rPr>
          <w:sz w:val="20"/>
          <w:szCs w:val="20"/>
          <w:color w:val="auto"/>
        </w:rPr>
      </w:pPr>
    </w:p>
    <w:p>
      <w:pPr>
        <w:ind w:left="120" w:right="80"/>
        <w:spacing w:after="0" w:line="254" w:lineRule="auto"/>
        <w:rPr>
          <w:sz w:val="20"/>
          <w:szCs w:val="20"/>
          <w:color w:val="auto"/>
        </w:rPr>
      </w:pPr>
      <w:r>
        <w:rPr>
          <w:rFonts w:ascii="Arial" w:cs="Arial" w:eastAsia="Arial" w:hAnsi="Arial"/>
          <w:sz w:val="18"/>
          <w:szCs w:val="18"/>
          <w:color w:val="auto"/>
        </w:rPr>
        <w:t>The Audit Committee has oversight responsibility with respect to the company’s independent auditor and the integrity of the company’s financial statements. The Audit Committee currently is composed of Donald T. Misheff (chairperson), Kenneth V. Garcia, Ellis A. Jones and Leila L. Vespoli. John P. Reilly served on the Audit Committee until May 5, 2021, and Randall H. Edwards served on the Audit Committee until August 12, 2021. Our Board of Directors has determined that each current or former member of the Audit Committee named above is financially literate and, during the term of their service on the Audit Committee, independent as defined in the listing standards of the New York Stock Exchange and the rules of the Securities and Exchange Commission (“SEC”). Our Board of Directors also has determined that Donald T. Misheff qualifies as an audit committee financial expert.</w:t>
      </w:r>
    </w:p>
    <w:p>
      <w:pPr>
        <w:spacing w:after="0" w:line="154" w:lineRule="exact"/>
        <w:rPr>
          <w:sz w:val="20"/>
          <w:szCs w:val="20"/>
          <w:color w:val="auto"/>
        </w:rPr>
      </w:pPr>
    </w:p>
    <w:p>
      <w:pPr>
        <w:ind w:left="120" w:right="680"/>
        <w:spacing w:after="0" w:line="277" w:lineRule="auto"/>
        <w:rPr>
          <w:sz w:val="20"/>
          <w:szCs w:val="20"/>
          <w:color w:val="auto"/>
        </w:rPr>
      </w:pPr>
      <w:r>
        <w:rPr>
          <w:rFonts w:ascii="Arial" w:cs="Arial" w:eastAsia="Arial" w:hAnsi="Arial"/>
          <w:sz w:val="18"/>
          <w:szCs w:val="18"/>
          <w:color w:val="auto"/>
        </w:rPr>
        <w:t xml:space="preserve">The Board of Directors has adopted a written Audit Committee charter, which is reviewed and reassessed annually. A current copy of the Audit Committee charter is available on the company’s website at </w:t>
      </w:r>
      <w:r>
        <w:rPr>
          <w:rFonts w:ascii="Arial" w:cs="Arial" w:eastAsia="Arial" w:hAnsi="Arial"/>
          <w:sz w:val="18"/>
          <w:szCs w:val="18"/>
          <w:b w:val="1"/>
          <w:bCs w:val="1"/>
          <w:color w:val="auto"/>
        </w:rPr>
        <w:t>www.timkensteel.com</w:t>
      </w:r>
      <w:r>
        <w:rPr>
          <w:rFonts w:ascii="Arial" w:cs="Arial" w:eastAsia="Arial" w:hAnsi="Arial"/>
          <w:sz w:val="18"/>
          <w:szCs w:val="18"/>
          <w:color w:val="auto"/>
        </w:rPr>
        <w:t>.</w:t>
      </w:r>
    </w:p>
    <w:p>
      <w:pPr>
        <w:spacing w:after="0" w:line="135"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Audit Committee report</w:t>
      </w:r>
    </w:p>
    <w:p>
      <w:pPr>
        <w:spacing w:after="0" w:line="194" w:lineRule="exact"/>
        <w:rPr>
          <w:sz w:val="20"/>
          <w:szCs w:val="20"/>
          <w:color w:val="auto"/>
        </w:rPr>
      </w:pPr>
    </w:p>
    <w:p>
      <w:pPr>
        <w:ind w:left="120" w:right="140"/>
        <w:spacing w:after="0" w:line="257" w:lineRule="auto"/>
        <w:rPr>
          <w:sz w:val="20"/>
          <w:szCs w:val="20"/>
          <w:color w:val="auto"/>
        </w:rPr>
      </w:pPr>
      <w:r>
        <w:rPr>
          <w:rFonts w:ascii="Arial" w:cs="Arial" w:eastAsia="Arial" w:hAnsi="Arial"/>
          <w:sz w:val="18"/>
          <w:szCs w:val="18"/>
          <w:color w:val="auto"/>
        </w:rPr>
        <w:t>The Audit Committee has reviewed and discussed with management and the company’s independent auditor the audited financial statements contained in the company’s Annual Report on Form 10-K for the fiscal year ended December 31, 2021, as well as the critical audit matter addressed in the audit and the relevant financial statement accounts or disclosures that relate to the critical audit matter. The Audit Committee also has discussed with our independent auditor the matters required to be discussed by the applicable requirements of the Public Company Accounting Oversight Board (“PCAOB”) and the SEC.</w:t>
      </w:r>
    </w:p>
    <w:p>
      <w:pPr>
        <w:spacing w:after="0" w:line="147" w:lineRule="exact"/>
        <w:rPr>
          <w:sz w:val="20"/>
          <w:szCs w:val="20"/>
          <w:color w:val="auto"/>
        </w:rPr>
      </w:pPr>
    </w:p>
    <w:p>
      <w:pPr>
        <w:ind w:left="120" w:right="40"/>
        <w:spacing w:after="0" w:line="311" w:lineRule="auto"/>
        <w:rPr>
          <w:sz w:val="20"/>
          <w:szCs w:val="20"/>
          <w:color w:val="auto"/>
        </w:rPr>
      </w:pPr>
      <w:r>
        <w:rPr>
          <w:rFonts w:ascii="Arial" w:cs="Arial" w:eastAsia="Arial" w:hAnsi="Arial"/>
          <w:sz w:val="16"/>
          <w:szCs w:val="16"/>
          <w:color w:val="auto"/>
        </w:rPr>
        <w:t>The Audit Committee has received and reviewed the written disclosures and the letter from our independent auditor required by applicable requirements of the PCAOB regarding the independent auditor’s communications with the Audit Committee concerning independence, has discussed with the independent auditor such auditor’s independence, and has considered the compatibility of non-audit services with the auditor’s independence.</w:t>
      </w:r>
    </w:p>
    <w:p>
      <w:pPr>
        <w:spacing w:after="0" w:line="122" w:lineRule="exact"/>
        <w:rPr>
          <w:sz w:val="20"/>
          <w:szCs w:val="20"/>
          <w:color w:val="auto"/>
        </w:rPr>
      </w:pPr>
    </w:p>
    <w:p>
      <w:pPr>
        <w:ind w:left="120" w:right="740"/>
        <w:spacing w:after="0" w:line="308" w:lineRule="auto"/>
        <w:rPr>
          <w:sz w:val="20"/>
          <w:szCs w:val="20"/>
          <w:color w:val="auto"/>
        </w:rPr>
      </w:pPr>
      <w:r>
        <w:rPr>
          <w:rFonts w:ascii="Arial" w:cs="Arial" w:eastAsia="Arial" w:hAnsi="Arial"/>
          <w:sz w:val="17"/>
          <w:szCs w:val="17"/>
          <w:color w:val="auto"/>
        </w:rPr>
        <w:t>Based on the review and discussions referred to above, the Audit Committee recommended to our Board of Directors that the audited financial statements be included in our Annual Report on Form 10-K for the fiscal year ended December 31, 2021, filed with the SEC.</w:t>
      </w:r>
    </w:p>
    <w:p>
      <w:pPr>
        <w:spacing w:after="0" w:line="10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Donald T. Misheff (Chairperson)</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Kenneth V. Garcia</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Ellis A. Jones</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Leila L. Vespoli</w:t>
      </w:r>
    </w:p>
    <w:p>
      <w:pPr>
        <w:spacing w:after="0" w:line="148"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15</w:t>
      </w:r>
    </w:p>
    <w:p>
      <w:pPr>
        <w:sectPr>
          <w:pgSz w:w="11900" w:h="16838" w:orient="portrait"/>
          <w:cols w:equalWidth="0" w:num="1">
            <w:col w:w="11120"/>
          </w:cols>
          <w:pgMar w:left="320" w:top="459" w:right="4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Compensation Committee</w:t>
      </w:r>
    </w:p>
    <w:p>
      <w:pPr>
        <w:spacing w:after="0" w:line="207" w:lineRule="exact"/>
        <w:rPr>
          <w:sz w:val="20"/>
          <w:szCs w:val="20"/>
          <w:color w:val="auto"/>
        </w:rPr>
      </w:pPr>
    </w:p>
    <w:p>
      <w:pPr>
        <w:ind w:left="120"/>
        <w:spacing w:after="0" w:line="269" w:lineRule="auto"/>
        <w:rPr>
          <w:sz w:val="20"/>
          <w:szCs w:val="20"/>
          <w:color w:val="auto"/>
        </w:rPr>
      </w:pPr>
      <w:r>
        <w:rPr>
          <w:rFonts w:ascii="Arial" w:cs="Arial" w:eastAsia="Arial" w:hAnsi="Arial"/>
          <w:sz w:val="17"/>
          <w:szCs w:val="17"/>
          <w:color w:val="auto"/>
        </w:rPr>
        <w:t>The Compensation Committee establishes and administers the company’s policies, programs and procedures for compensating our senior management and Board of Directors. Members of the Compensation Committee currently include Diane C. Creel (chairperson), Randall H. Edwards and Randall A. Wotring. Joseph A. Carrabba and Ronald A. Rice each served on the Compensation Committee until May 5, 2021, and Terry L. Dunlap served on the Compensation Committee from May 5, 2021 through December 31, 2021. Our Board of Directors has determined that each current or former member of the Compensation Committee named above is (or with respect to former members, at the time of their service on the committee, was) independent as defined in the listing standards of the New York Stock Exchange, and that no such member of the Compensation Committee has (or with respect to former members, at the time of their service on the committee, had) any relationship to the company that is material to his or her ability to be independent from management in connection with the duties of a member of the Compensation Committee. Each member of the Committee also is (or with respect to former members, at the time of his service on the committee, was) a “non-employee director” for purposes of Section 16 of the Securities Exchange Act of 1934 (the “Exchange Act”).</w:t>
      </w:r>
    </w:p>
    <w:p>
      <w:pPr>
        <w:spacing w:after="0" w:line="145" w:lineRule="exact"/>
        <w:rPr>
          <w:sz w:val="20"/>
          <w:szCs w:val="20"/>
          <w:color w:val="auto"/>
        </w:rPr>
      </w:pPr>
    </w:p>
    <w:p>
      <w:pPr>
        <w:ind w:left="120" w:right="820"/>
        <w:spacing w:after="0" w:line="277" w:lineRule="auto"/>
        <w:rPr>
          <w:sz w:val="20"/>
          <w:szCs w:val="20"/>
          <w:color w:val="auto"/>
        </w:rPr>
      </w:pPr>
      <w:r>
        <w:rPr>
          <w:rFonts w:ascii="Arial" w:cs="Arial" w:eastAsia="Arial" w:hAnsi="Arial"/>
          <w:sz w:val="18"/>
          <w:szCs w:val="18"/>
          <w:color w:val="auto"/>
        </w:rPr>
        <w:t xml:space="preserve">The Compensation Committee has adopted a written charter, which is reviewed and reassessed annually. A current copy of the Compensation Committee charter is available on the company’s website at </w:t>
      </w:r>
      <w:r>
        <w:rPr>
          <w:rFonts w:ascii="Arial" w:cs="Arial" w:eastAsia="Arial" w:hAnsi="Arial"/>
          <w:sz w:val="18"/>
          <w:szCs w:val="18"/>
          <w:b w:val="1"/>
          <w:bCs w:val="1"/>
          <w:color w:val="auto"/>
        </w:rPr>
        <w:t>www.timkensteel.com</w:t>
      </w:r>
      <w:r>
        <w:rPr>
          <w:rFonts w:ascii="Arial" w:cs="Arial" w:eastAsia="Arial" w:hAnsi="Arial"/>
          <w:sz w:val="18"/>
          <w:szCs w:val="18"/>
          <w:color w:val="auto"/>
        </w:rPr>
        <w:t>.</w:t>
      </w:r>
    </w:p>
    <w:p>
      <w:pPr>
        <w:spacing w:after="0" w:line="130" w:lineRule="exact"/>
        <w:rPr>
          <w:sz w:val="20"/>
          <w:szCs w:val="20"/>
          <w:color w:val="auto"/>
        </w:rPr>
      </w:pPr>
    </w:p>
    <w:p>
      <w:pPr>
        <w:jc w:val="both"/>
        <w:ind w:left="120" w:right="20"/>
        <w:spacing w:after="0" w:line="263" w:lineRule="auto"/>
        <w:rPr>
          <w:sz w:val="20"/>
          <w:szCs w:val="20"/>
          <w:color w:val="auto"/>
        </w:rPr>
      </w:pPr>
      <w:r>
        <w:rPr>
          <w:rFonts w:ascii="Arial" w:cs="Arial" w:eastAsia="Arial" w:hAnsi="Arial"/>
          <w:sz w:val="18"/>
          <w:szCs w:val="18"/>
          <w:color w:val="auto"/>
        </w:rPr>
        <w:t>With the guidance and approval of the Compensation Committee, the company has developed compensation programs for its executive officers that are intended to align the interests of our executives and shareholders; reward executives for sustained, strong business and financial results; and enable us to attract, retain and motivate the best talent.</w:t>
      </w:r>
    </w:p>
    <w:p>
      <w:pPr>
        <w:spacing w:after="0" w:line="157" w:lineRule="exact"/>
        <w:rPr>
          <w:sz w:val="20"/>
          <w:szCs w:val="20"/>
          <w:color w:val="auto"/>
        </w:rPr>
      </w:pPr>
    </w:p>
    <w:p>
      <w:pPr>
        <w:ind w:left="120"/>
        <w:spacing w:after="0" w:line="273" w:lineRule="auto"/>
        <w:rPr>
          <w:sz w:val="20"/>
          <w:szCs w:val="20"/>
          <w:color w:val="auto"/>
        </w:rPr>
      </w:pPr>
      <w:r>
        <w:rPr>
          <w:rFonts w:ascii="Arial" w:cs="Arial" w:eastAsia="Arial" w:hAnsi="Arial"/>
          <w:sz w:val="17"/>
          <w:szCs w:val="17"/>
          <w:color w:val="auto"/>
        </w:rPr>
        <w:t>The agenda for meetings of the Compensation Committee is determined by its chairperson with the assistance of management. The meetings are regularly attended by the President and CEO, the Executive Vice President and Chief Financial Officer, the Executive Vice President and General Counsel and the Director, Total Rewards. The Compensation Committee meets in executive session at each of its meetings, and the chairperson reports the Committee’s actions regarding compensation of executive officers to the full Board of Directors. The company’s human resources department supports the Compensation Committee in its duties and the Committee may delegate to the human resources department and to other company personnel certain administrative duties in connection with the company’s compensation programs.</w:t>
      </w:r>
    </w:p>
    <w:p>
      <w:pPr>
        <w:spacing w:after="0" w:line="137" w:lineRule="exact"/>
        <w:rPr>
          <w:sz w:val="20"/>
          <w:szCs w:val="20"/>
          <w:color w:val="auto"/>
        </w:rPr>
      </w:pPr>
    </w:p>
    <w:p>
      <w:pPr>
        <w:ind w:left="120"/>
        <w:spacing w:after="0" w:line="289" w:lineRule="auto"/>
        <w:rPr>
          <w:sz w:val="20"/>
          <w:szCs w:val="20"/>
          <w:color w:val="auto"/>
        </w:rPr>
      </w:pPr>
      <w:r>
        <w:rPr>
          <w:rFonts w:ascii="Arial" w:cs="Arial" w:eastAsia="Arial" w:hAnsi="Arial"/>
          <w:sz w:val="16"/>
          <w:szCs w:val="16"/>
          <w:color w:val="auto"/>
        </w:rPr>
        <w:t>The Compensation Committee has the sole authority to retain and terminate compensation consultants to assist in the evaluation of director and executive officer compensation and the sole authority to approve the fees and other retention terms of any compensation consultants. The Committee has selected Meridian Compensation Partners, LLC (“Meridian”), to serve as its independent compensation consultant. The Compensation Committee has engaged Meridian to analyze our executive compensation structure and plan designs, to assess whether the compensation program is competitive and supports the Compensation Committee’s goal to align the interests of executive officers with those of shareholders and, from time to time, to review the total compensation of directors. Meridian also provides market data directly to the Compensation Committee, which the Committee references when determining compensation for executive officers. Additional information regarding the Committee’s engagement of Meridian, including a discussion of the Committee’s assessment of the independence of Meridian, is available in the “Compensation discussion and analysis” (“CD&amp;A”) section of this proxy statement under the caption “Determining compensation for 2021 – Role of the compensation consultant.”</w:t>
      </w:r>
    </w:p>
    <w:p>
      <w:pPr>
        <w:spacing w:after="0" w:line="126" w:lineRule="exact"/>
        <w:rPr>
          <w:sz w:val="20"/>
          <w:szCs w:val="20"/>
          <w:color w:val="auto"/>
        </w:rPr>
      </w:pPr>
    </w:p>
    <w:p>
      <w:pPr>
        <w:ind w:left="120" w:right="820"/>
        <w:spacing w:after="0" w:line="308" w:lineRule="auto"/>
        <w:rPr>
          <w:sz w:val="20"/>
          <w:szCs w:val="20"/>
          <w:color w:val="auto"/>
        </w:rPr>
      </w:pPr>
      <w:r>
        <w:rPr>
          <w:rFonts w:ascii="Arial" w:cs="Arial" w:eastAsia="Arial" w:hAnsi="Arial"/>
          <w:sz w:val="17"/>
          <w:szCs w:val="17"/>
          <w:color w:val="auto"/>
        </w:rPr>
        <w:t>The Compensation Committee also plays an active role in our executive officer succession planning process by meeting regularly with senior management to ensure an effective succession process is in place and to discuss potential successors for executive officers.</w:t>
      </w:r>
    </w:p>
    <w:p>
      <w:pPr>
        <w:spacing w:after="0" w:line="83"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16</w:t>
      </w:r>
    </w:p>
    <w:p>
      <w:pPr>
        <w:sectPr>
          <w:pgSz w:w="11900" w:h="16838" w:orient="portrait"/>
          <w:cols w:equalWidth="0" w:num="1">
            <w:col w:w="11120"/>
          </w:cols>
          <w:pgMar w:left="320" w:top="459" w:right="4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Compensation Committee interlocks and insider participation</w:t>
      </w:r>
    </w:p>
    <w:p>
      <w:pPr>
        <w:spacing w:after="0" w:line="207" w:lineRule="exact"/>
        <w:rPr>
          <w:sz w:val="20"/>
          <w:szCs w:val="20"/>
          <w:color w:val="auto"/>
        </w:rPr>
      </w:pPr>
    </w:p>
    <w:p>
      <w:pPr>
        <w:ind w:left="120" w:right="120"/>
        <w:spacing w:after="0" w:line="259" w:lineRule="auto"/>
        <w:rPr>
          <w:sz w:val="20"/>
          <w:szCs w:val="20"/>
          <w:color w:val="auto"/>
        </w:rPr>
      </w:pPr>
      <w:r>
        <w:rPr>
          <w:rFonts w:ascii="Arial" w:cs="Arial" w:eastAsia="Arial" w:hAnsi="Arial"/>
          <w:sz w:val="18"/>
          <w:szCs w:val="18"/>
          <w:color w:val="auto"/>
        </w:rPr>
        <w:t>As noted previously, members of the Compensation Committee currently include Diane C. Creel (chairperson), Randall H. Edwards and Randall A. Wotring. Mr. Edwards began serving on the Committee on August 12, 2021. The following current or former directors also served as members of the Compensation Committee for some period of time during 2021: Joseph A. Carrabba (January 1, 2021 – May 5, 2021), Terry L. Dunlap (May 5, 2021 – December 31, 2021) and Ronald A. Rice (January 1, 2021 – May 5, 2021).</w:t>
      </w:r>
    </w:p>
    <w:p>
      <w:pPr>
        <w:spacing w:after="0" w:line="146" w:lineRule="exact"/>
        <w:rPr>
          <w:sz w:val="20"/>
          <w:szCs w:val="20"/>
          <w:color w:val="auto"/>
        </w:rPr>
      </w:pPr>
    </w:p>
    <w:p>
      <w:pPr>
        <w:ind w:left="120" w:right="100"/>
        <w:spacing w:after="0" w:line="271" w:lineRule="auto"/>
        <w:rPr>
          <w:sz w:val="20"/>
          <w:szCs w:val="20"/>
          <w:color w:val="auto"/>
        </w:rPr>
      </w:pPr>
      <w:r>
        <w:rPr>
          <w:rFonts w:ascii="Arial" w:cs="Arial" w:eastAsia="Arial" w:hAnsi="Arial"/>
          <w:sz w:val="17"/>
          <w:szCs w:val="17"/>
          <w:color w:val="auto"/>
        </w:rPr>
        <w:t>No director who served as a member of the Compensation Committee during 2021 is, or was during 2021, an officer or employee of the company. Further, with the exception of Mr. Dunlap, who served as Interim Chief Executive Officer and President of the company from October 9, 2019 through December 31, 2020, no director who served as a member of the Compensation Committee during 2021 was formerly an officer or employee of the company. All directors who served on the Compensation Committee during 2021 were independent as defined in the listing standards of the New York Stock Exchange during their time of service. Additionally, during 2021, no member of the Compensation Committee had a relationship that is required to be disclosed under SEC rules regarding related party transactions. Finally, no executive officer of the company serves or served on the compensation committee or board of directors of any company where any member of the Compensation Committee or the TimkenSteel Corporation Board of Directors is, or was during 2021, an executive officer.</w:t>
      </w:r>
    </w:p>
    <w:p>
      <w:pPr>
        <w:spacing w:after="0" w:line="129"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Compensation Committee report</w:t>
      </w:r>
    </w:p>
    <w:p>
      <w:pPr>
        <w:spacing w:after="0" w:line="207"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The Compensation Committee has reviewed and discussed with our management the CD&amp;A for the year ended December 31, 2021. Following and based on that review and discussion, the Compensation Committee recommended to our Board of Directors, and our Board approved, the incorporation by reference of the CD&amp;A in the company’s Annual Report on Form 10-K for the fiscal year ended December 31, 2021, and its inclusion in this proxy statement for filing with the SEC.</w:t>
      </w:r>
    </w:p>
    <w:p>
      <w:pPr>
        <w:spacing w:after="0" w:line="1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Diane C. Creel (Chairperson)</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Randall H. Edwards</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Randall A. Wotring</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Nominating and Corporate Governance Committee</w:t>
      </w:r>
    </w:p>
    <w:p>
      <w:pPr>
        <w:spacing w:after="0" w:line="207" w:lineRule="exact"/>
        <w:rPr>
          <w:sz w:val="20"/>
          <w:szCs w:val="20"/>
          <w:color w:val="auto"/>
        </w:rPr>
      </w:pPr>
    </w:p>
    <w:p>
      <w:pPr>
        <w:ind w:left="120" w:right="40"/>
        <w:spacing w:after="0" w:line="272" w:lineRule="auto"/>
        <w:rPr>
          <w:sz w:val="20"/>
          <w:szCs w:val="20"/>
          <w:color w:val="auto"/>
        </w:rPr>
      </w:pPr>
      <w:r>
        <w:rPr>
          <w:rFonts w:ascii="Arial" w:cs="Arial" w:eastAsia="Arial" w:hAnsi="Arial"/>
          <w:sz w:val="17"/>
          <w:szCs w:val="17"/>
          <w:color w:val="auto"/>
        </w:rPr>
        <w:t>The Nominating and Corporate Governance Committee is responsible for, among other things, evaluating new director candidates and incumbent directors and recommending directors to serve as members of our Board’s standing committees. Members of the Nominating and Corporate Governance Committee currently include Randall A. Wotring (chairperson), Randall H. Edwards and Ronald A. Rice. Joseph A. Carrabba and John P. Reilly each served on the Nominating and Corporate Governance Committee until May 5, 2021, and Terry L. Dunlap served on the Nominating and Corporate Governance Committee from May 5, 2021 through December 31, 2021. Our Board of Directors has determined that each current or former member of the Nominating and Corporate Governance Committee named above is (or with respect to former members, at the time of their service on the committee, was) independent as defined in the listing standards of the New York Stock Exchange.</w:t>
      </w:r>
    </w:p>
    <w:p>
      <w:pPr>
        <w:spacing w:after="0" w:line="137" w:lineRule="exact"/>
        <w:rPr>
          <w:sz w:val="20"/>
          <w:szCs w:val="20"/>
          <w:color w:val="auto"/>
        </w:rPr>
      </w:pPr>
    </w:p>
    <w:p>
      <w:pPr>
        <w:ind w:left="120"/>
        <w:spacing w:after="0" w:line="275" w:lineRule="auto"/>
        <w:rPr>
          <w:sz w:val="20"/>
          <w:szCs w:val="20"/>
          <w:color w:val="auto"/>
        </w:rPr>
      </w:pPr>
      <w:r>
        <w:rPr>
          <w:rFonts w:ascii="Arial" w:cs="Arial" w:eastAsia="Arial" w:hAnsi="Arial"/>
          <w:sz w:val="17"/>
          <w:szCs w:val="17"/>
          <w:color w:val="auto"/>
        </w:rPr>
        <w:t>Director candidates recommended by our shareholders will be considered in accordance with the criteria outlined below. In order for a shareholder to submit a recommendation, the shareholder must deliver a communication by registered mail or in person to the Nominating and Corporate Governance Committee, c/o TimkenSteel Corporation, Attn: Secretary, 1835 Dueber Ave. S.W., Canton, Ohio 44706. Such communication should include the proposed candidate’s qualifications, any relationship between the shareholder and the proposed candidate, and any other information that the shareholder would consider useful for the Nominating and Corporate Governance Committee to consider in evaluating such candidate.</w:t>
      </w:r>
    </w:p>
    <w:p>
      <w:pPr>
        <w:spacing w:after="0" w:line="136" w:lineRule="exact"/>
        <w:rPr>
          <w:sz w:val="20"/>
          <w:szCs w:val="20"/>
          <w:color w:val="auto"/>
        </w:rPr>
      </w:pPr>
    </w:p>
    <w:p>
      <w:pPr>
        <w:ind w:left="120" w:right="100"/>
        <w:spacing w:after="0" w:line="263" w:lineRule="auto"/>
        <w:rPr>
          <w:sz w:val="20"/>
          <w:szCs w:val="20"/>
          <w:color w:val="auto"/>
        </w:rPr>
      </w:pPr>
      <w:r>
        <w:rPr>
          <w:rFonts w:ascii="Arial" w:cs="Arial" w:eastAsia="Arial" w:hAnsi="Arial"/>
          <w:sz w:val="18"/>
          <w:szCs w:val="18"/>
          <w:color w:val="auto"/>
        </w:rPr>
        <w:t>A shareholder who wishes to nominate a person for election as a director must provide written notice to the company’s secretary in accordance with the procedures specified in Article I, Sections 13 and 14 of our Code of Regulations. In general, to be timely, the written notice must be received by our secretary at our principal executive offices not less</w:t>
      </w:r>
    </w:p>
    <w:p>
      <w:pPr>
        <w:spacing w:after="0" w:line="121"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17</w:t>
      </w:r>
    </w:p>
    <w:p>
      <w:pPr>
        <w:sectPr>
          <w:pgSz w:w="11900" w:h="16838" w:orient="portrait"/>
          <w:cols w:equalWidth="0" w:num="1">
            <w:col w:w="11120"/>
          </w:cols>
          <w:pgMar w:left="320" w:top="459" w:right="4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84" w:lineRule="auto"/>
        <w:rPr>
          <w:sz w:val="20"/>
          <w:szCs w:val="20"/>
          <w:color w:val="auto"/>
        </w:rPr>
      </w:pPr>
      <w:r>
        <w:rPr>
          <w:rFonts w:ascii="Arial" w:cs="Arial" w:eastAsia="Arial" w:hAnsi="Arial"/>
          <w:sz w:val="16"/>
          <w:szCs w:val="16"/>
          <w:color w:val="auto"/>
        </w:rPr>
        <w:t>than 90 nor more than 120 days prior to the first anniversary of the date on which the company held the preceding year’s annual meeting of shareholders. If the date of the annual meeting of shareholders is scheduled for a date more than 30 days prior to or more than 30 days after the first anniversary of the preceding year’s annual meeting of shareholders, then a shareholder’s notice must be delivered to our secretary at our principal executive offices not later than the close of business on the later of the 90th day prior to the annual meeting of shareholders or the 10th day following the day on which public announcement of the date of the annual meeting of shareholders is first made. The notice must provide certain information required by the Code of Regulations, including but not limited to (a) biographical and share ownership information of the shareholder (and certain affiliates),</w:t>
      </w:r>
    </w:p>
    <w:p>
      <w:pPr>
        <w:spacing w:after="0" w:line="4" w:lineRule="exact"/>
        <w:rPr>
          <w:sz w:val="20"/>
          <w:szCs w:val="20"/>
          <w:color w:val="auto"/>
        </w:rPr>
      </w:pPr>
    </w:p>
    <w:p>
      <w:pPr>
        <w:ind w:left="120" w:right="40" w:hanging="4"/>
        <w:spacing w:after="0" w:line="253" w:lineRule="auto"/>
        <w:tabs>
          <w:tab w:leader="none" w:pos="375" w:val="left"/>
        </w:tabs>
        <w:numPr>
          <w:ilvl w:val="0"/>
          <w:numId w:val="18"/>
        </w:numPr>
        <w:rPr>
          <w:rFonts w:ascii="Arial" w:cs="Arial" w:eastAsia="Arial" w:hAnsi="Arial"/>
          <w:sz w:val="18"/>
          <w:szCs w:val="18"/>
          <w:color w:val="auto"/>
        </w:rPr>
      </w:pPr>
      <w:r>
        <w:rPr>
          <w:rFonts w:ascii="Arial" w:cs="Arial" w:eastAsia="Arial" w:hAnsi="Arial"/>
          <w:sz w:val="18"/>
          <w:szCs w:val="18"/>
          <w:color w:val="auto"/>
        </w:rPr>
        <w:t>descriptions of any material interests of the shareholder (and certain affiliates) in the nomination and any arrangements between the shareholder (and certain affiliates) and another person or entity with respect to the nomination, (c) biographical and employment information of each nominee, and (d) a brief description of any arrangement or understanding between each individual proposed as a nominee and any other person pursuant to which the individual was proposed as a nominee.</w:t>
      </w:r>
    </w:p>
    <w:p>
      <w:pPr>
        <w:spacing w:after="0" w:line="166" w:lineRule="exact"/>
        <w:rPr>
          <w:sz w:val="20"/>
          <w:szCs w:val="20"/>
          <w:color w:val="auto"/>
        </w:rPr>
      </w:pPr>
    </w:p>
    <w:p>
      <w:pPr>
        <w:ind w:left="120" w:right="20"/>
        <w:spacing w:after="0" w:line="288" w:lineRule="auto"/>
        <w:rPr>
          <w:sz w:val="20"/>
          <w:szCs w:val="20"/>
          <w:color w:val="auto"/>
        </w:rPr>
      </w:pPr>
      <w:r>
        <w:rPr>
          <w:rFonts w:ascii="Arial" w:cs="Arial" w:eastAsia="Arial" w:hAnsi="Arial"/>
          <w:sz w:val="16"/>
          <w:szCs w:val="16"/>
          <w:color w:val="auto"/>
        </w:rPr>
        <w:t>The Nominating and Corporate Governance Committee has utilized and expects to utilize a variety of sources to identify possible director candidates, including professional associations and Board member recommendations. In recommending candidates, the Nominating and Corporate Governance Committee considers the qualifications of candidates such as business experience and other attributes and skills, including high standards of integrity and ethical behavior, which qualify the candidate to serve as a director of the company in light of the company’s business and structure. The Nominating and Corporate Governance Committee also may consider such other elements as it deems appropriate, consistent with the factors in the company’s Corporate Governance Guidelines, including whether the candidate enhances the diversity of the Board. Such diversity includes professional background and capabilities, knowledge of specific industries and geographic experience, as well as the more traditional diversity concepts of race, gender and national origin. The Nominating and Corporate Governance Committee also is responsible for reviewing the qualifications of, and making recommendations to the Board of Directors regarding, director nominations submitted by our shareholders. The Committee will consider all potential candidates in the same manner regardless of the source of recommendation.</w:t>
      </w:r>
    </w:p>
    <w:p>
      <w:pPr>
        <w:spacing w:after="0" w:line="128" w:lineRule="exact"/>
        <w:rPr>
          <w:sz w:val="20"/>
          <w:szCs w:val="20"/>
          <w:color w:val="auto"/>
        </w:rPr>
      </w:pPr>
    </w:p>
    <w:p>
      <w:pPr>
        <w:ind w:left="120" w:right="40"/>
        <w:spacing w:after="0" w:line="296" w:lineRule="auto"/>
        <w:rPr>
          <w:sz w:val="20"/>
          <w:szCs w:val="20"/>
          <w:color w:val="auto"/>
        </w:rPr>
      </w:pPr>
      <w:r>
        <w:rPr>
          <w:rFonts w:ascii="Arial" w:cs="Arial" w:eastAsia="Arial" w:hAnsi="Arial"/>
          <w:sz w:val="16"/>
          <w:szCs w:val="16"/>
          <w:color w:val="auto"/>
        </w:rPr>
        <w:t>The Nominating and Corporate Governance Committee periodically will review the appropriate size of the Board and plans for director succession. In the event vacancies are anticipated or arise, the Committee will consider potential director candidates. While the Board has not adopted a formal policy, the Committee intends to include diverse candidates among the pool of potential candidates considered when seeking director candidates. As part of this process, the Committee will assess the skills and attributes of our Board as a whole and of each individual director and evaluate whether prospective candidates possess complementary and supplementary skills and attributes that would strengthen our Board.</w:t>
      </w:r>
    </w:p>
    <w:p>
      <w:pPr>
        <w:spacing w:after="0" w:line="121" w:lineRule="exact"/>
        <w:rPr>
          <w:sz w:val="20"/>
          <w:szCs w:val="20"/>
          <w:color w:val="auto"/>
        </w:rPr>
      </w:pPr>
    </w:p>
    <w:p>
      <w:pPr>
        <w:ind w:left="120" w:right="100"/>
        <w:spacing w:after="0" w:line="308" w:lineRule="auto"/>
        <w:rPr>
          <w:sz w:val="20"/>
          <w:szCs w:val="20"/>
          <w:color w:val="auto"/>
        </w:rPr>
      </w:pPr>
      <w:r>
        <w:rPr>
          <w:rFonts w:ascii="Arial" w:cs="Arial" w:eastAsia="Arial" w:hAnsi="Arial"/>
          <w:sz w:val="17"/>
          <w:szCs w:val="17"/>
          <w:color w:val="auto"/>
        </w:rPr>
        <w:t xml:space="preserve">The Nominating and Corporate Governance Committee has adopted a written charter, which is reviewed and reassessed annually. A current copy of the Nominating and Corporate Governance Committee charter is available on the company’s website at </w:t>
      </w:r>
      <w:r>
        <w:rPr>
          <w:rFonts w:ascii="Arial" w:cs="Arial" w:eastAsia="Arial" w:hAnsi="Arial"/>
          <w:sz w:val="17"/>
          <w:szCs w:val="17"/>
          <w:b w:val="1"/>
          <w:bCs w:val="1"/>
          <w:color w:val="auto"/>
        </w:rPr>
        <w:t>www.timkensteel.com</w:t>
      </w:r>
      <w:r>
        <w:rPr>
          <w:rFonts w:ascii="Arial" w:cs="Arial" w:eastAsia="Arial" w:hAnsi="Arial"/>
          <w:sz w:val="17"/>
          <w:szCs w:val="17"/>
          <w:color w:val="auto"/>
        </w:rPr>
        <w:t>.</w:t>
      </w:r>
    </w:p>
    <w:p>
      <w:pPr>
        <w:spacing w:after="0" w:line="83"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18</w:t>
      </w:r>
    </w:p>
    <w:p>
      <w:pPr>
        <w:sectPr>
          <w:pgSz w:w="11900" w:h="16838" w:orient="portrait"/>
          <w:cols w:equalWidth="0" w:num="1">
            <w:col w:w="11120"/>
          </w:cols>
          <w:pgMar w:left="320" w:top="459" w:right="45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Director compensation</w:t>
      </w:r>
    </w:p>
    <w:p>
      <w:pPr>
        <w:spacing w:after="0" w:line="232"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auto"/>
        </w:rPr>
        <w:t>The compensation program under which non-employee directors were compensated for their services as directors during 2021 is summarized below. As noted previously, this program is reviewed periodically by the Compensation Committee and the Board to ensure that director compensation remains appropriate and competitive. No changes to our director compensation program were made for 2021.</w:t>
      </w:r>
    </w:p>
    <w:p>
      <w:pPr>
        <w:spacing w:after="0" w:line="143" w:lineRule="exact"/>
        <w:rPr>
          <w:sz w:val="20"/>
          <w:szCs w:val="20"/>
          <w:color w:val="auto"/>
        </w:rPr>
      </w:pPr>
    </w:p>
    <w:p>
      <w:pPr>
        <w:ind w:left="120" w:right="120"/>
        <w:spacing w:after="0" w:line="342" w:lineRule="auto"/>
        <w:rPr>
          <w:sz w:val="20"/>
          <w:szCs w:val="20"/>
          <w:color w:val="auto"/>
        </w:rPr>
      </w:pPr>
      <w:r>
        <w:rPr>
          <w:rFonts w:ascii="Arial" w:cs="Arial" w:eastAsia="Arial" w:hAnsi="Arial"/>
          <w:sz w:val="16"/>
          <w:szCs w:val="16"/>
          <w:color w:val="auto"/>
        </w:rPr>
        <w:t>Our non-employee director compensation program is intended to provide fair and competitive compensation and to align the interests of our non-employee directors with the interests of our shareholders. Key features of our non-employee director compensation program include the following:</w:t>
      </w:r>
    </w:p>
    <w:p>
      <w:pPr>
        <w:spacing w:after="0" w:line="124" w:lineRule="exact"/>
        <w:rPr>
          <w:sz w:val="20"/>
          <w:szCs w:val="20"/>
          <w:color w:val="auto"/>
        </w:rPr>
      </w:pPr>
    </w:p>
    <w:p>
      <w:pPr>
        <w:ind w:left="1080" w:hanging="424"/>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 significant portion of non-employee director compensation is delivered through equity awards.</w:t>
      </w:r>
    </w:p>
    <w:p>
      <w:pPr>
        <w:spacing w:after="0" w:line="23" w:lineRule="exact"/>
        <w:rPr>
          <w:rFonts w:ascii="Arial" w:cs="Arial" w:eastAsia="Arial" w:hAnsi="Arial"/>
          <w:sz w:val="18"/>
          <w:szCs w:val="18"/>
          <w:color w:val="auto"/>
        </w:rPr>
      </w:pPr>
    </w:p>
    <w:p>
      <w:pPr>
        <w:ind w:left="1080" w:hanging="424"/>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We provide a competitive annual cash retainer and additional retainers for committee chairs, but no meeting fees.</w:t>
      </w:r>
    </w:p>
    <w:p>
      <w:pPr>
        <w:spacing w:after="0" w:line="9" w:lineRule="exact"/>
        <w:rPr>
          <w:rFonts w:ascii="Arial" w:cs="Arial" w:eastAsia="Arial" w:hAnsi="Arial"/>
          <w:sz w:val="18"/>
          <w:szCs w:val="18"/>
          <w:color w:val="auto"/>
        </w:rPr>
      </w:pPr>
    </w:p>
    <w:p>
      <w:pPr>
        <w:ind w:left="1080" w:right="100" w:hanging="424"/>
        <w:spacing w:after="0" w:line="250"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Overall director compensation is subject to a limit. Pursuant to our Amended and Restated 2020 Equity and Incentive Compensation Plan, the maximum aggregate value of compensation granted in any one calendar year to a non-employee director for his or her service as such may not exceed $500,000 (measured at the date of grant with equity awards valued for this purpose at grant date fair value for financial reporting purposes).</w:t>
      </w:r>
    </w:p>
    <w:p>
      <w:pPr>
        <w:spacing w:after="0" w:line="1" w:lineRule="exact"/>
        <w:rPr>
          <w:rFonts w:ascii="Arial" w:cs="Arial" w:eastAsia="Arial" w:hAnsi="Arial"/>
          <w:sz w:val="18"/>
          <w:szCs w:val="18"/>
          <w:color w:val="auto"/>
        </w:rPr>
      </w:pPr>
    </w:p>
    <w:p>
      <w:pPr>
        <w:ind w:left="1080" w:hanging="424"/>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non-employee directors are subject to robust stock ownership guidelines (five times the annual cash retainer).</w:t>
      </w:r>
    </w:p>
    <w:p>
      <w:pPr>
        <w:spacing w:after="0" w:line="9" w:lineRule="exact"/>
        <w:rPr>
          <w:rFonts w:ascii="Arial" w:cs="Arial" w:eastAsia="Arial" w:hAnsi="Arial"/>
          <w:sz w:val="18"/>
          <w:szCs w:val="18"/>
          <w:color w:val="auto"/>
        </w:rPr>
      </w:pPr>
    </w:p>
    <w:p>
      <w:pPr>
        <w:ind w:left="1080" w:hanging="424"/>
        <w:spacing w:after="0" w:line="260"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Directors are prohibited from pledging company stock or hedging the economic risk related to such stock ownership. Please see “Corporate governance – Anti-hedging policy” for additional information.</w:t>
      </w:r>
    </w:p>
    <w:p>
      <w:pPr>
        <w:spacing w:after="0" w:line="177"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Cash compensation</w:t>
      </w:r>
    </w:p>
    <w:p>
      <w:pPr>
        <w:spacing w:after="0" w:line="194"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Each non-employee director is paid an annual cash retainer for services as a director. For 2021, the annual cash retainer for each non-employee director was set at $80,000.</w:t>
      </w:r>
    </w:p>
    <w:p>
      <w:pPr>
        <w:spacing w:after="0" w:line="143" w:lineRule="exact"/>
        <w:rPr>
          <w:sz w:val="20"/>
          <w:szCs w:val="20"/>
          <w:color w:val="auto"/>
        </w:rPr>
      </w:pPr>
    </w:p>
    <w:p>
      <w:pPr>
        <w:ind w:left="120" w:right="220"/>
        <w:spacing w:after="0" w:line="277" w:lineRule="auto"/>
        <w:rPr>
          <w:sz w:val="20"/>
          <w:szCs w:val="20"/>
          <w:color w:val="auto"/>
        </w:rPr>
      </w:pPr>
      <w:r>
        <w:rPr>
          <w:rFonts w:ascii="Arial" w:cs="Arial" w:eastAsia="Arial" w:hAnsi="Arial"/>
          <w:sz w:val="18"/>
          <w:szCs w:val="18"/>
          <w:color w:val="auto"/>
        </w:rPr>
        <w:t>An additional annual cash retainer of $90,000 was paid to the non-executive Chairman of the Board in 2021. Further, the chairperson of each standing committee of our Board of Directors was paid the following additional annual fees:</w:t>
      </w:r>
    </w:p>
    <w:p>
      <w:pPr>
        <w:spacing w:after="0" w:line="185" w:lineRule="exact"/>
        <w:rPr>
          <w:sz w:val="20"/>
          <w:szCs w:val="20"/>
          <w:color w:val="auto"/>
        </w:rPr>
      </w:pPr>
    </w:p>
    <w:tbl>
      <w:tblPr>
        <w:tblLayout w:type="fixed"/>
        <w:tblInd w:w="120" w:type="dxa"/>
        <w:tblCellMar>
          <w:top w:w="0" w:type="dxa"/>
          <w:left w:w="0" w:type="dxa"/>
          <w:bottom w:w="0" w:type="dxa"/>
          <w:right w:w="0" w:type="dxa"/>
        </w:tblCellMar>
      </w:tblPr>
      <w:tr>
        <w:trPr>
          <w:trHeight w:val="203"/>
        </w:trPr>
        <w:tc>
          <w:tcPr>
            <w:tcW w:w="8400" w:type="dxa"/>
            <w:vAlign w:val="bottom"/>
            <w:shd w:val="clear" w:color="auto" w:fill="58595B"/>
          </w:tcPr>
          <w:p>
            <w:pPr>
              <w:ind w:left="80"/>
              <w:spacing w:after="0"/>
              <w:rPr>
                <w:sz w:val="20"/>
                <w:szCs w:val="20"/>
                <w:color w:val="auto"/>
              </w:rPr>
            </w:pPr>
            <w:r>
              <w:rPr>
                <w:rFonts w:ascii="Arial" w:cs="Arial" w:eastAsia="Arial" w:hAnsi="Arial"/>
                <w:sz w:val="16"/>
                <w:szCs w:val="16"/>
                <w:b w:val="1"/>
                <w:bCs w:val="1"/>
                <w:color w:val="FFFFFF"/>
              </w:rPr>
              <w:t>Committee</w:t>
            </w:r>
          </w:p>
        </w:tc>
        <w:tc>
          <w:tcPr>
            <w:tcW w:w="640" w:type="dxa"/>
            <w:vAlign w:val="bottom"/>
            <w:shd w:val="clear" w:color="auto" w:fill="58595B"/>
          </w:tcPr>
          <w:p>
            <w:pPr>
              <w:spacing w:after="0"/>
              <w:rPr>
                <w:sz w:val="17"/>
                <w:szCs w:val="17"/>
                <w:color w:val="auto"/>
              </w:rPr>
            </w:pPr>
          </w:p>
        </w:tc>
        <w:tc>
          <w:tcPr>
            <w:tcW w:w="1980" w:type="dxa"/>
            <w:vAlign w:val="bottom"/>
            <w:shd w:val="clear" w:color="auto" w:fill="58595B"/>
          </w:tcPr>
          <w:p>
            <w:pPr>
              <w:jc w:val="right"/>
              <w:ind w:right="699"/>
              <w:spacing w:after="0"/>
              <w:rPr>
                <w:sz w:val="20"/>
                <w:szCs w:val="20"/>
                <w:color w:val="auto"/>
              </w:rPr>
            </w:pPr>
            <w:r>
              <w:rPr>
                <w:rFonts w:ascii="Arial" w:cs="Arial" w:eastAsia="Arial" w:hAnsi="Arial"/>
                <w:sz w:val="16"/>
                <w:szCs w:val="16"/>
                <w:b w:val="1"/>
                <w:bCs w:val="1"/>
                <w:color w:val="FFFFFF"/>
                <w:w w:val="93"/>
              </w:rPr>
              <w:t>Chairperson Fee</w:t>
            </w:r>
          </w:p>
        </w:tc>
      </w:tr>
      <w:tr>
        <w:trPr>
          <w:trHeight w:val="216"/>
        </w:trPr>
        <w:tc>
          <w:tcPr>
            <w:tcW w:w="8400" w:type="dxa"/>
            <w:vAlign w:val="bottom"/>
            <w:shd w:val="clear" w:color="auto" w:fill="DCDDDE"/>
          </w:tcPr>
          <w:p>
            <w:pPr>
              <w:ind w:left="100"/>
              <w:spacing w:after="0"/>
              <w:rPr>
                <w:sz w:val="20"/>
                <w:szCs w:val="20"/>
                <w:color w:val="auto"/>
              </w:rPr>
            </w:pPr>
            <w:r>
              <w:rPr>
                <w:rFonts w:ascii="Arial" w:cs="Arial" w:eastAsia="Arial" w:hAnsi="Arial"/>
                <w:sz w:val="16"/>
                <w:szCs w:val="16"/>
                <w:color w:val="auto"/>
              </w:rPr>
              <w:t>Audit</w:t>
            </w:r>
          </w:p>
        </w:tc>
        <w:tc>
          <w:tcPr>
            <w:tcW w:w="64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980" w:type="dxa"/>
            <w:vAlign w:val="bottom"/>
            <w:shd w:val="clear" w:color="auto" w:fill="DCDDDE"/>
          </w:tcPr>
          <w:p>
            <w:pPr>
              <w:jc w:val="right"/>
              <w:ind w:right="539"/>
              <w:spacing w:after="0"/>
              <w:rPr>
                <w:sz w:val="20"/>
                <w:szCs w:val="20"/>
                <w:color w:val="auto"/>
              </w:rPr>
            </w:pPr>
            <w:r>
              <w:rPr>
                <w:rFonts w:ascii="Arial" w:cs="Arial" w:eastAsia="Arial" w:hAnsi="Arial"/>
                <w:sz w:val="16"/>
                <w:szCs w:val="16"/>
                <w:color w:val="auto"/>
              </w:rPr>
              <w:t>15,000</w:t>
            </w:r>
          </w:p>
        </w:tc>
      </w:tr>
      <w:tr>
        <w:trPr>
          <w:trHeight w:val="213"/>
        </w:trPr>
        <w:tc>
          <w:tcPr>
            <w:tcW w:w="8400" w:type="dxa"/>
            <w:vAlign w:val="bottom"/>
          </w:tcPr>
          <w:p>
            <w:pPr>
              <w:ind w:left="100"/>
              <w:spacing w:after="0"/>
              <w:rPr>
                <w:sz w:val="20"/>
                <w:szCs w:val="20"/>
                <w:color w:val="auto"/>
              </w:rPr>
            </w:pPr>
            <w:r>
              <w:rPr>
                <w:rFonts w:ascii="Arial" w:cs="Arial" w:eastAsia="Arial" w:hAnsi="Arial"/>
                <w:sz w:val="16"/>
                <w:szCs w:val="16"/>
                <w:color w:val="auto"/>
              </w:rPr>
              <w:t>Compensation</w:t>
            </w:r>
          </w:p>
        </w:tc>
        <w:tc>
          <w:tcPr>
            <w:tcW w:w="640" w:type="dxa"/>
            <w:vAlign w:val="bottom"/>
          </w:tcPr>
          <w:p>
            <w:pPr>
              <w:jc w:val="right"/>
              <w:spacing w:after="0"/>
              <w:rPr>
                <w:sz w:val="20"/>
                <w:szCs w:val="20"/>
                <w:color w:val="auto"/>
              </w:rPr>
            </w:pPr>
            <w:r>
              <w:rPr>
                <w:rFonts w:ascii="Arial" w:cs="Arial" w:eastAsia="Arial" w:hAnsi="Arial"/>
                <w:sz w:val="16"/>
                <w:szCs w:val="16"/>
                <w:color w:val="auto"/>
              </w:rPr>
              <w:t>$</w:t>
            </w:r>
          </w:p>
        </w:tc>
        <w:tc>
          <w:tcPr>
            <w:tcW w:w="1980" w:type="dxa"/>
            <w:vAlign w:val="bottom"/>
          </w:tcPr>
          <w:p>
            <w:pPr>
              <w:jc w:val="right"/>
              <w:ind w:right="539"/>
              <w:spacing w:after="0"/>
              <w:rPr>
                <w:sz w:val="20"/>
                <w:szCs w:val="20"/>
                <w:color w:val="auto"/>
              </w:rPr>
            </w:pPr>
            <w:r>
              <w:rPr>
                <w:rFonts w:ascii="Arial" w:cs="Arial" w:eastAsia="Arial" w:hAnsi="Arial"/>
                <w:sz w:val="16"/>
                <w:szCs w:val="16"/>
                <w:color w:val="auto"/>
              </w:rPr>
              <w:t>10,000</w:t>
            </w:r>
          </w:p>
        </w:tc>
      </w:tr>
      <w:tr>
        <w:trPr>
          <w:trHeight w:val="219"/>
        </w:trPr>
        <w:tc>
          <w:tcPr>
            <w:tcW w:w="8400" w:type="dxa"/>
            <w:vAlign w:val="bottom"/>
            <w:shd w:val="clear" w:color="auto" w:fill="DCDDDE"/>
          </w:tcPr>
          <w:p>
            <w:pPr>
              <w:ind w:left="100"/>
              <w:spacing w:after="0"/>
              <w:rPr>
                <w:sz w:val="20"/>
                <w:szCs w:val="20"/>
                <w:color w:val="auto"/>
              </w:rPr>
            </w:pPr>
            <w:r>
              <w:rPr>
                <w:rFonts w:ascii="Arial" w:cs="Arial" w:eastAsia="Arial" w:hAnsi="Arial"/>
                <w:sz w:val="16"/>
                <w:szCs w:val="16"/>
                <w:color w:val="auto"/>
              </w:rPr>
              <w:t>Nominating &amp; Corporate Governance</w:t>
            </w:r>
          </w:p>
        </w:tc>
        <w:tc>
          <w:tcPr>
            <w:tcW w:w="64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980" w:type="dxa"/>
            <w:vAlign w:val="bottom"/>
            <w:shd w:val="clear" w:color="auto" w:fill="DCDDDE"/>
          </w:tcPr>
          <w:p>
            <w:pPr>
              <w:jc w:val="right"/>
              <w:ind w:right="539"/>
              <w:spacing w:after="0"/>
              <w:rPr>
                <w:sz w:val="20"/>
                <w:szCs w:val="20"/>
                <w:color w:val="auto"/>
              </w:rPr>
            </w:pPr>
            <w:r>
              <w:rPr>
                <w:rFonts w:ascii="Arial" w:cs="Arial" w:eastAsia="Arial" w:hAnsi="Arial"/>
                <w:sz w:val="16"/>
                <w:szCs w:val="16"/>
                <w:color w:val="auto"/>
              </w:rPr>
              <w:t>10,000</w:t>
            </w:r>
          </w:p>
        </w:tc>
      </w:tr>
    </w:tbl>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Any director also employed by the company is not paid any compensation for serving as a director.</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Stock compensation</w:t>
      </w:r>
    </w:p>
    <w:p>
      <w:pPr>
        <w:spacing w:after="0" w:line="207"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auto"/>
        </w:rPr>
        <w:t>Each non-employee director serving at the time of our annual meeting of shareholders receives a grant of our common shares following the meeting. The common shares are granted as restricted stock units that vest on the first anniversary of the grant date. For 2021, the approximate target value of the grant for each non-employee director was $120,000.</w:t>
      </w:r>
    </w:p>
    <w:p>
      <w:pPr>
        <w:spacing w:after="0" w:line="143"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A non-employee director who is first elected to the Board after the date of the annual meeting will receive a grant of restricted stock units at the time of his or her election to the Board. These restricted stock units will vest on the first anniversary of the grant date.</w:t>
      </w:r>
    </w:p>
    <w:p>
      <w:pPr>
        <w:spacing w:after="0" w:line="130" w:lineRule="exact"/>
        <w:rPr>
          <w:sz w:val="20"/>
          <w:szCs w:val="20"/>
          <w:color w:val="auto"/>
        </w:rPr>
      </w:pPr>
    </w:p>
    <w:p>
      <w:pPr>
        <w:ind w:left="120" w:right="60"/>
        <w:spacing w:after="0" w:line="277" w:lineRule="auto"/>
        <w:rPr>
          <w:sz w:val="20"/>
          <w:szCs w:val="20"/>
          <w:color w:val="auto"/>
        </w:rPr>
      </w:pPr>
      <w:r>
        <w:rPr>
          <w:rFonts w:ascii="Arial" w:cs="Arial" w:eastAsia="Arial" w:hAnsi="Arial"/>
          <w:sz w:val="18"/>
          <w:szCs w:val="18"/>
          <w:color w:val="auto"/>
        </w:rPr>
        <w:t>The company requires that the common shares granted to a non-employee director be held for as long as the director remains on the TimkenSteel Board. In addition, the Compensation Committee of the Board of Directors has adopted</w:t>
      </w:r>
    </w:p>
    <w:p>
      <w:pPr>
        <w:spacing w:after="0" w:line="107"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19</w:t>
      </w:r>
    </w:p>
    <w:p>
      <w:pPr>
        <w:sectPr>
          <w:pgSz w:w="11900" w:h="16838" w:orient="portrait"/>
          <w:cols w:equalWidth="0" w:num="1">
            <w:col w:w="11140"/>
          </w:cols>
          <w:pgMar w:left="320" w:top="459" w:right="43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59" w:lineRule="auto"/>
        <w:rPr>
          <w:sz w:val="20"/>
          <w:szCs w:val="20"/>
          <w:color w:val="auto"/>
        </w:rPr>
      </w:pPr>
      <w:r>
        <w:rPr>
          <w:rFonts w:ascii="Arial" w:cs="Arial" w:eastAsia="Arial" w:hAnsi="Arial"/>
          <w:sz w:val="18"/>
          <w:szCs w:val="18"/>
          <w:color w:val="auto"/>
        </w:rPr>
        <w:t>stock ownership guidelines that require non-employee directors to own common shares with a value equal to five times the director’s annual cash retainer. The company considers all shares owned by the director, plus unvested restricted stock units, in determining whether the director has met the ownership guidelines. As of March 1, 2022, each of the non-employee directors (except Mr. Jones, who was appointed as a director in August 2021) had achieved his or her ownership requirement.</w:t>
      </w:r>
    </w:p>
    <w:p>
      <w:pPr>
        <w:spacing w:after="0" w:line="15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Changes to director compensation for 2022</w:t>
      </w:r>
    </w:p>
    <w:p>
      <w:pPr>
        <w:spacing w:after="0" w:line="194" w:lineRule="exact"/>
        <w:rPr>
          <w:sz w:val="20"/>
          <w:szCs w:val="20"/>
          <w:color w:val="auto"/>
        </w:rPr>
      </w:pPr>
    </w:p>
    <w:p>
      <w:pPr>
        <w:ind w:left="120" w:right="160"/>
        <w:spacing w:after="0" w:line="279" w:lineRule="auto"/>
        <w:rPr>
          <w:sz w:val="20"/>
          <w:szCs w:val="20"/>
          <w:color w:val="auto"/>
        </w:rPr>
      </w:pPr>
      <w:r>
        <w:rPr>
          <w:rFonts w:ascii="Arial" w:cs="Arial" w:eastAsia="Arial" w:hAnsi="Arial"/>
          <w:sz w:val="17"/>
          <w:szCs w:val="17"/>
          <w:color w:val="auto"/>
        </w:rPr>
        <w:t>The Compensation Committee requested that Meridian, the independent compensation consultant engaged by the Compensation Committee, conduct a competitive market analysis of the company’s director compensation program relative to the same peer group of companies used by the company for benchmarking executive pay. After considering the results of this analysis, the Compensation Committee recommended and the Board approved the following changes to its compensation program for non-employee directors beginning in 2022:</w:t>
      </w:r>
    </w:p>
    <w:p>
      <w:pPr>
        <w:spacing w:after="0" w:line="77" w:lineRule="exact"/>
        <w:rPr>
          <w:sz w:val="20"/>
          <w:szCs w:val="20"/>
          <w:color w:val="auto"/>
        </w:rPr>
      </w:pPr>
    </w:p>
    <w:p>
      <w:pPr>
        <w:ind w:left="1080" w:hanging="424"/>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annual cash retainer for non-employee directors will increase from $80,000 to $90,000;</w:t>
      </w:r>
    </w:p>
    <w:p>
      <w:pPr>
        <w:spacing w:after="0" w:line="23" w:lineRule="exact"/>
        <w:rPr>
          <w:rFonts w:ascii="Arial" w:cs="Arial" w:eastAsia="Arial" w:hAnsi="Arial"/>
          <w:sz w:val="18"/>
          <w:szCs w:val="18"/>
          <w:color w:val="auto"/>
        </w:rPr>
      </w:pPr>
    </w:p>
    <w:p>
      <w:pPr>
        <w:ind w:left="1080" w:hanging="424"/>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additional annual fee paid to the chairperson of the Audit Committee will increase from $15,000 to $20,000; and</w:t>
      </w:r>
    </w:p>
    <w:p>
      <w:pPr>
        <w:spacing w:after="0" w:line="9" w:lineRule="exact"/>
        <w:rPr>
          <w:rFonts w:ascii="Arial" w:cs="Arial" w:eastAsia="Arial" w:hAnsi="Arial"/>
          <w:sz w:val="18"/>
          <w:szCs w:val="18"/>
          <w:color w:val="auto"/>
        </w:rPr>
      </w:pPr>
    </w:p>
    <w:p>
      <w:pPr>
        <w:ind w:left="1080" w:right="680" w:hanging="424"/>
        <w:spacing w:after="0" w:line="260"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additional annual fee paid to the chairpersons of the Compensation Committee and the Nominating and Corporate Governance Committee will increase from $10,000 to $15,000.</w:t>
      </w:r>
    </w:p>
    <w:p>
      <w:pPr>
        <w:spacing w:after="0" w:line="145" w:lineRule="exact"/>
        <w:rPr>
          <w:sz w:val="20"/>
          <w:szCs w:val="20"/>
          <w:color w:val="auto"/>
        </w:rPr>
      </w:pPr>
    </w:p>
    <w:p>
      <w:pPr>
        <w:ind w:left="120" w:right="100"/>
        <w:spacing w:after="0" w:line="277" w:lineRule="auto"/>
        <w:rPr>
          <w:sz w:val="20"/>
          <w:szCs w:val="20"/>
          <w:color w:val="auto"/>
        </w:rPr>
      </w:pPr>
      <w:r>
        <w:rPr>
          <w:rFonts w:ascii="Arial" w:cs="Arial" w:eastAsia="Arial" w:hAnsi="Arial"/>
          <w:sz w:val="18"/>
          <w:szCs w:val="18"/>
          <w:color w:val="auto"/>
        </w:rPr>
        <w:t>The other elements of the compensation program for non-employee directors described above, including stock compensation and the annual retainer for the non-executive Chairman of the Board, will remain the same as in effect for 2021.</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Compensation deferral</w:t>
      </w:r>
    </w:p>
    <w:p>
      <w:pPr>
        <w:spacing w:after="0" w:line="207" w:lineRule="exact"/>
        <w:rPr>
          <w:sz w:val="20"/>
          <w:szCs w:val="20"/>
          <w:color w:val="auto"/>
        </w:rPr>
      </w:pPr>
    </w:p>
    <w:p>
      <w:pPr>
        <w:ind w:left="120" w:right="40"/>
        <w:spacing w:after="0" w:line="273" w:lineRule="auto"/>
        <w:rPr>
          <w:sz w:val="20"/>
          <w:szCs w:val="20"/>
          <w:color w:val="auto"/>
        </w:rPr>
      </w:pPr>
      <w:r>
        <w:rPr>
          <w:rFonts w:ascii="Arial" w:cs="Arial" w:eastAsia="Arial" w:hAnsi="Arial"/>
          <w:sz w:val="17"/>
          <w:szCs w:val="17"/>
          <w:color w:val="auto"/>
        </w:rPr>
        <w:t>Any non-employee director may elect to defer the receipt of all or a specified portion of his or her cash and/or stock compensation in accordance with the provisions of the Amended and Restated TimkenSteel Corporation Director Deferred Compensation Plan. Pursuant to the plan, cash fees can be deferred and paid at a future date requested by the director. The deferred amount will be adjusted based on investment crediting options, which include interest earned quarterly at a rate based on the prime rate plus one percent or the total shareholder return of our common shares, with amounts paid in cash either in a lump sum or in installments. Stock compensation can be deferred to a future date and is payable, in a lump sum or installments, in shares plus an amount representing dividend equivalents, if any dividends are declared during the deferral period.</w:t>
      </w:r>
    </w:p>
    <w:p>
      <w:pPr>
        <w:spacing w:after="0" w:line="169"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Director compensation table</w:t>
      </w:r>
    </w:p>
    <w:p>
      <w:pPr>
        <w:spacing w:after="0" w:line="194"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following table provides details of non-employee director compensation in 2021:</w:t>
      </w:r>
    </w:p>
    <w:p>
      <w:pPr>
        <w:spacing w:after="0" w:line="239" w:lineRule="exact"/>
        <w:rPr>
          <w:sz w:val="20"/>
          <w:szCs w:val="20"/>
          <w:color w:val="auto"/>
        </w:rPr>
      </w:pPr>
    </w:p>
    <w:tbl>
      <w:tblPr>
        <w:tblLayout w:type="fixed"/>
        <w:tblInd w:w="120" w:type="dxa"/>
        <w:tblCellMar>
          <w:top w:w="0" w:type="dxa"/>
          <w:left w:w="0" w:type="dxa"/>
          <w:bottom w:w="0" w:type="dxa"/>
          <w:right w:w="0" w:type="dxa"/>
        </w:tblCellMar>
      </w:tblPr>
      <w:tr>
        <w:trPr>
          <w:trHeight w:val="185"/>
        </w:trPr>
        <w:tc>
          <w:tcPr>
            <w:tcW w:w="3400" w:type="dxa"/>
            <w:vAlign w:val="bottom"/>
            <w:shd w:val="clear" w:color="auto" w:fill="58595B"/>
          </w:tcPr>
          <w:p>
            <w:pPr>
              <w:spacing w:after="0"/>
              <w:rPr>
                <w:sz w:val="16"/>
                <w:szCs w:val="16"/>
                <w:color w:val="auto"/>
              </w:rPr>
            </w:pPr>
          </w:p>
        </w:tc>
        <w:tc>
          <w:tcPr>
            <w:tcW w:w="2320" w:type="dxa"/>
            <w:vAlign w:val="bottom"/>
            <w:shd w:val="clear" w:color="auto" w:fill="58595B"/>
          </w:tcPr>
          <w:p>
            <w:pPr>
              <w:spacing w:after="0"/>
              <w:rPr>
                <w:sz w:val="16"/>
                <w:szCs w:val="16"/>
                <w:color w:val="auto"/>
              </w:rPr>
            </w:pPr>
          </w:p>
        </w:tc>
        <w:tc>
          <w:tcPr>
            <w:tcW w:w="200" w:type="dxa"/>
            <w:vAlign w:val="bottom"/>
            <w:shd w:val="clear" w:color="auto" w:fill="58595B"/>
          </w:tcPr>
          <w:p>
            <w:pPr>
              <w:spacing w:after="0"/>
              <w:rPr>
                <w:sz w:val="16"/>
                <w:szCs w:val="16"/>
                <w:color w:val="auto"/>
              </w:rPr>
            </w:pPr>
          </w:p>
        </w:tc>
        <w:tc>
          <w:tcPr>
            <w:tcW w:w="1360" w:type="dxa"/>
            <w:vAlign w:val="bottom"/>
            <w:shd w:val="clear" w:color="auto" w:fill="58595B"/>
          </w:tcPr>
          <w:p>
            <w:pPr>
              <w:jc w:val="right"/>
              <w:ind w:right="239"/>
              <w:spacing w:after="0"/>
              <w:rPr>
                <w:sz w:val="20"/>
                <w:szCs w:val="20"/>
                <w:color w:val="auto"/>
              </w:rPr>
            </w:pPr>
            <w:r>
              <w:rPr>
                <w:rFonts w:ascii="Arial" w:cs="Arial" w:eastAsia="Arial" w:hAnsi="Arial"/>
                <w:sz w:val="16"/>
                <w:szCs w:val="16"/>
                <w:b w:val="1"/>
                <w:bCs w:val="1"/>
                <w:color w:val="FFFFFF"/>
                <w:w w:val="88"/>
              </w:rPr>
              <w:t>Fees Earned or</w:t>
            </w:r>
          </w:p>
        </w:tc>
        <w:tc>
          <w:tcPr>
            <w:tcW w:w="300" w:type="dxa"/>
            <w:vAlign w:val="bottom"/>
            <w:shd w:val="clear" w:color="auto" w:fill="58595B"/>
          </w:tcPr>
          <w:p>
            <w:pPr>
              <w:spacing w:after="0"/>
              <w:rPr>
                <w:sz w:val="16"/>
                <w:szCs w:val="16"/>
                <w:color w:val="auto"/>
              </w:rPr>
            </w:pPr>
          </w:p>
        </w:tc>
        <w:tc>
          <w:tcPr>
            <w:tcW w:w="1720" w:type="dxa"/>
            <w:vAlign w:val="bottom"/>
            <w:shd w:val="clear" w:color="auto" w:fill="58595B"/>
          </w:tcPr>
          <w:p>
            <w:pPr>
              <w:spacing w:after="0"/>
              <w:rPr>
                <w:sz w:val="16"/>
                <w:szCs w:val="16"/>
                <w:color w:val="auto"/>
              </w:rPr>
            </w:pPr>
          </w:p>
        </w:tc>
        <w:tc>
          <w:tcPr>
            <w:tcW w:w="540" w:type="dxa"/>
            <w:vAlign w:val="bottom"/>
            <w:shd w:val="clear" w:color="auto" w:fill="58595B"/>
          </w:tcPr>
          <w:p>
            <w:pPr>
              <w:spacing w:after="0"/>
              <w:rPr>
                <w:sz w:val="16"/>
                <w:szCs w:val="16"/>
                <w:color w:val="auto"/>
              </w:rPr>
            </w:pPr>
          </w:p>
        </w:tc>
        <w:tc>
          <w:tcPr>
            <w:tcW w:w="1180" w:type="dxa"/>
            <w:vAlign w:val="bottom"/>
            <w:shd w:val="clear" w:color="auto" w:fill="58595B"/>
          </w:tcPr>
          <w:p>
            <w:pPr>
              <w:spacing w:after="0"/>
              <w:rPr>
                <w:sz w:val="16"/>
                <w:szCs w:val="16"/>
                <w:color w:val="auto"/>
              </w:rPr>
            </w:pPr>
          </w:p>
        </w:tc>
        <w:tc>
          <w:tcPr>
            <w:tcW w:w="20" w:type="dxa"/>
            <w:vAlign w:val="bottom"/>
            <w:shd w:val="clear" w:color="auto" w:fill="000000"/>
          </w:tcPr>
          <w:p>
            <w:pPr>
              <w:spacing w:after="0"/>
              <w:rPr>
                <w:sz w:val="16"/>
                <w:szCs w:val="16"/>
                <w:color w:val="auto"/>
              </w:rPr>
            </w:pPr>
          </w:p>
        </w:tc>
      </w:tr>
      <w:tr>
        <w:trPr>
          <w:trHeight w:val="233"/>
        </w:trPr>
        <w:tc>
          <w:tcPr>
            <w:tcW w:w="3400" w:type="dxa"/>
            <w:vAlign w:val="bottom"/>
            <w:shd w:val="clear" w:color="auto" w:fill="58595B"/>
          </w:tcPr>
          <w:p>
            <w:pPr>
              <w:ind w:left="80"/>
              <w:spacing w:after="0" w:line="233" w:lineRule="exact"/>
              <w:rPr>
                <w:sz w:val="20"/>
                <w:szCs w:val="20"/>
                <w:color w:val="auto"/>
              </w:rPr>
            </w:pPr>
            <w:r>
              <w:rPr>
                <w:rFonts w:ascii="Arial" w:cs="Arial" w:eastAsia="Arial" w:hAnsi="Arial"/>
                <w:sz w:val="16"/>
                <w:szCs w:val="16"/>
                <w:b w:val="1"/>
                <w:bCs w:val="1"/>
                <w:color w:val="FFFFFF"/>
              </w:rPr>
              <w:t>Name</w:t>
            </w:r>
            <w:r>
              <w:rPr>
                <w:rFonts w:ascii="Arial" w:cs="Arial" w:eastAsia="Arial" w:hAnsi="Arial"/>
                <w:sz w:val="27"/>
                <w:szCs w:val="27"/>
                <w:b w:val="1"/>
                <w:bCs w:val="1"/>
                <w:color w:val="FFFFFF"/>
                <w:vertAlign w:val="superscript"/>
              </w:rPr>
              <w:t>(1)</w:t>
            </w:r>
          </w:p>
        </w:tc>
        <w:tc>
          <w:tcPr>
            <w:tcW w:w="2320" w:type="dxa"/>
            <w:vAlign w:val="bottom"/>
            <w:shd w:val="clear" w:color="auto" w:fill="58595B"/>
          </w:tcPr>
          <w:p>
            <w:pPr>
              <w:spacing w:after="0"/>
              <w:rPr>
                <w:sz w:val="20"/>
                <w:szCs w:val="20"/>
                <w:color w:val="auto"/>
              </w:rPr>
            </w:pPr>
          </w:p>
        </w:tc>
        <w:tc>
          <w:tcPr>
            <w:tcW w:w="1560" w:type="dxa"/>
            <w:vAlign w:val="bottom"/>
            <w:gridSpan w:val="2"/>
            <w:shd w:val="clear" w:color="auto" w:fill="58595B"/>
          </w:tcPr>
          <w:p>
            <w:pPr>
              <w:jc w:val="right"/>
              <w:ind w:right="219"/>
              <w:spacing w:after="0" w:line="233" w:lineRule="exact"/>
              <w:rPr>
                <w:sz w:val="20"/>
                <w:szCs w:val="20"/>
                <w:color w:val="auto"/>
              </w:rPr>
            </w:pPr>
            <w:r>
              <w:rPr>
                <w:rFonts w:ascii="Arial" w:cs="Arial" w:eastAsia="Arial" w:hAnsi="Arial"/>
                <w:sz w:val="16"/>
                <w:szCs w:val="16"/>
                <w:b w:val="1"/>
                <w:bCs w:val="1"/>
                <w:color w:val="FFFFFF"/>
              </w:rPr>
              <w:t xml:space="preserve">Paid in Cash </w:t>
            </w:r>
            <w:r>
              <w:rPr>
                <w:rFonts w:ascii="Arial" w:cs="Arial" w:eastAsia="Arial" w:hAnsi="Arial"/>
                <w:sz w:val="27"/>
                <w:szCs w:val="27"/>
                <w:b w:val="1"/>
                <w:bCs w:val="1"/>
                <w:color w:val="FFFFFF"/>
                <w:vertAlign w:val="superscript"/>
              </w:rPr>
              <w:t>(2)</w:t>
            </w:r>
          </w:p>
        </w:tc>
        <w:tc>
          <w:tcPr>
            <w:tcW w:w="300" w:type="dxa"/>
            <w:vAlign w:val="bottom"/>
            <w:shd w:val="clear" w:color="auto" w:fill="58595B"/>
          </w:tcPr>
          <w:p>
            <w:pPr>
              <w:spacing w:after="0"/>
              <w:rPr>
                <w:sz w:val="20"/>
                <w:szCs w:val="20"/>
                <w:color w:val="auto"/>
              </w:rPr>
            </w:pPr>
          </w:p>
        </w:tc>
        <w:tc>
          <w:tcPr>
            <w:tcW w:w="1720" w:type="dxa"/>
            <w:vAlign w:val="bottom"/>
            <w:shd w:val="clear" w:color="auto" w:fill="58595B"/>
          </w:tcPr>
          <w:p>
            <w:pPr>
              <w:jc w:val="right"/>
              <w:ind w:right="339"/>
              <w:spacing w:after="0" w:line="233" w:lineRule="exact"/>
              <w:rPr>
                <w:sz w:val="20"/>
                <w:szCs w:val="20"/>
                <w:color w:val="auto"/>
              </w:rPr>
            </w:pPr>
            <w:r>
              <w:rPr>
                <w:rFonts w:ascii="Arial" w:cs="Arial" w:eastAsia="Arial" w:hAnsi="Arial"/>
                <w:sz w:val="16"/>
                <w:szCs w:val="16"/>
                <w:b w:val="1"/>
                <w:bCs w:val="1"/>
                <w:color w:val="FFFFFF"/>
                <w:w w:val="82"/>
              </w:rPr>
              <w:t>Stock Awards</w:t>
            </w:r>
            <w:r>
              <w:rPr>
                <w:rFonts w:ascii="Arial" w:cs="Arial" w:eastAsia="Arial" w:hAnsi="Arial"/>
                <w:sz w:val="27"/>
                <w:szCs w:val="27"/>
                <w:b w:val="1"/>
                <w:bCs w:val="1"/>
                <w:color w:val="FFFFFF"/>
                <w:w w:val="82"/>
                <w:vertAlign w:val="superscript"/>
              </w:rPr>
              <w:t>(3) (4)</w:t>
            </w:r>
          </w:p>
        </w:tc>
        <w:tc>
          <w:tcPr>
            <w:tcW w:w="540" w:type="dxa"/>
            <w:vAlign w:val="bottom"/>
            <w:shd w:val="clear" w:color="auto" w:fill="58595B"/>
          </w:tcPr>
          <w:p>
            <w:pPr>
              <w:spacing w:after="0"/>
              <w:rPr>
                <w:sz w:val="20"/>
                <w:szCs w:val="20"/>
                <w:color w:val="auto"/>
              </w:rPr>
            </w:pPr>
          </w:p>
        </w:tc>
        <w:tc>
          <w:tcPr>
            <w:tcW w:w="1180" w:type="dxa"/>
            <w:vAlign w:val="bottom"/>
            <w:shd w:val="clear" w:color="auto" w:fill="58595B"/>
          </w:tcPr>
          <w:p>
            <w:pPr>
              <w:jc w:val="right"/>
              <w:ind w:right="599"/>
              <w:spacing w:after="0"/>
              <w:rPr>
                <w:sz w:val="20"/>
                <w:szCs w:val="20"/>
                <w:color w:val="auto"/>
              </w:rPr>
            </w:pPr>
            <w:r>
              <w:rPr>
                <w:rFonts w:ascii="Arial" w:cs="Arial" w:eastAsia="Arial" w:hAnsi="Arial"/>
                <w:sz w:val="16"/>
                <w:szCs w:val="16"/>
                <w:b w:val="1"/>
                <w:bCs w:val="1"/>
                <w:color w:val="FFFFFF"/>
              </w:rPr>
              <w:t>Total</w:t>
            </w:r>
          </w:p>
        </w:tc>
        <w:tc>
          <w:tcPr>
            <w:tcW w:w="20" w:type="dxa"/>
            <w:vAlign w:val="bottom"/>
            <w:shd w:val="clear" w:color="auto" w:fill="000000"/>
          </w:tcPr>
          <w:p>
            <w:pPr>
              <w:spacing w:after="0"/>
              <w:rPr>
                <w:sz w:val="20"/>
                <w:szCs w:val="20"/>
                <w:color w:val="auto"/>
              </w:rPr>
            </w:pPr>
          </w:p>
        </w:tc>
      </w:tr>
      <w:tr>
        <w:trPr>
          <w:trHeight w:val="230"/>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Joseph A. Carrabba</w:t>
            </w:r>
          </w:p>
        </w:tc>
        <w:tc>
          <w:tcPr>
            <w:tcW w:w="2320" w:type="dxa"/>
            <w:vAlign w:val="bottom"/>
            <w:shd w:val="clear" w:color="auto" w:fill="DCDDDE"/>
          </w:tcPr>
          <w:p>
            <w:pPr>
              <w:spacing w:after="0"/>
              <w:rPr>
                <w:sz w:val="19"/>
                <w:szCs w:val="19"/>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27,473</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0</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27,473</w:t>
            </w:r>
          </w:p>
        </w:tc>
        <w:tc>
          <w:tcPr>
            <w:tcW w:w="20" w:type="dxa"/>
            <w:vAlign w:val="bottom"/>
          </w:tcPr>
          <w:p>
            <w:pPr>
              <w:spacing w:after="0"/>
              <w:rPr>
                <w:sz w:val="19"/>
                <w:szCs w:val="19"/>
                <w:color w:val="auto"/>
              </w:rPr>
            </w:pPr>
          </w:p>
        </w:tc>
      </w:tr>
      <w:tr>
        <w:trPr>
          <w:trHeight w:val="226"/>
        </w:trPr>
        <w:tc>
          <w:tcPr>
            <w:tcW w:w="3400" w:type="dxa"/>
            <w:vAlign w:val="bottom"/>
          </w:tcPr>
          <w:p>
            <w:pPr>
              <w:ind w:left="80"/>
              <w:spacing w:after="0"/>
              <w:rPr>
                <w:sz w:val="20"/>
                <w:szCs w:val="20"/>
                <w:color w:val="auto"/>
              </w:rPr>
            </w:pPr>
            <w:r>
              <w:rPr>
                <w:rFonts w:ascii="Arial" w:cs="Arial" w:eastAsia="Arial" w:hAnsi="Arial"/>
                <w:sz w:val="16"/>
                <w:szCs w:val="16"/>
                <w:color w:val="auto"/>
              </w:rPr>
              <w:t>Diane C. Creel</w:t>
            </w:r>
          </w:p>
        </w:tc>
        <w:tc>
          <w:tcPr>
            <w:tcW w:w="25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360" w:type="dxa"/>
            <w:vAlign w:val="bottom"/>
          </w:tcPr>
          <w:p>
            <w:pPr>
              <w:jc w:val="right"/>
              <w:ind w:right="139"/>
              <w:spacing w:after="0"/>
              <w:rPr>
                <w:sz w:val="20"/>
                <w:szCs w:val="20"/>
                <w:color w:val="auto"/>
              </w:rPr>
            </w:pPr>
            <w:r>
              <w:rPr>
                <w:rFonts w:ascii="Arial" w:cs="Arial" w:eastAsia="Arial" w:hAnsi="Arial"/>
                <w:sz w:val="16"/>
                <w:szCs w:val="16"/>
                <w:color w:val="auto"/>
              </w:rPr>
              <w:t>90,000</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720" w:type="dxa"/>
            <w:vAlign w:val="bottom"/>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tcPr>
          <w:p>
            <w:pPr>
              <w:jc w:val="right"/>
              <w:ind w:right="259"/>
              <w:spacing w:after="0"/>
              <w:rPr>
                <w:sz w:val="20"/>
                <w:szCs w:val="20"/>
                <w:color w:val="auto"/>
              </w:rPr>
            </w:pPr>
            <w:r>
              <w:rPr>
                <w:rFonts w:ascii="Arial" w:cs="Arial" w:eastAsia="Arial" w:hAnsi="Arial"/>
                <w:sz w:val="16"/>
                <w:szCs w:val="16"/>
                <w:color w:val="auto"/>
              </w:rPr>
              <w:t>214,701</w:t>
            </w:r>
          </w:p>
        </w:tc>
        <w:tc>
          <w:tcPr>
            <w:tcW w:w="20" w:type="dxa"/>
            <w:vAlign w:val="bottom"/>
          </w:tcPr>
          <w:p>
            <w:pPr>
              <w:spacing w:after="0"/>
              <w:rPr>
                <w:sz w:val="19"/>
                <w:szCs w:val="19"/>
                <w:color w:val="auto"/>
              </w:rPr>
            </w:pPr>
          </w:p>
        </w:tc>
      </w:tr>
      <w:tr>
        <w:trPr>
          <w:trHeight w:val="233"/>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Terry L. Dunlap</w:t>
            </w:r>
          </w:p>
        </w:tc>
        <w:tc>
          <w:tcPr>
            <w:tcW w:w="2320" w:type="dxa"/>
            <w:vAlign w:val="bottom"/>
            <w:shd w:val="clear" w:color="auto" w:fill="DCDDDE"/>
          </w:tcPr>
          <w:p>
            <w:pPr>
              <w:spacing w:after="0"/>
              <w:rPr>
                <w:sz w:val="20"/>
                <w:szCs w:val="20"/>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80,000</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204,701</w:t>
            </w:r>
          </w:p>
        </w:tc>
        <w:tc>
          <w:tcPr>
            <w:tcW w:w="20" w:type="dxa"/>
            <w:vAlign w:val="bottom"/>
          </w:tcPr>
          <w:p>
            <w:pPr>
              <w:spacing w:after="0"/>
              <w:rPr>
                <w:sz w:val="20"/>
                <w:szCs w:val="20"/>
                <w:color w:val="auto"/>
              </w:rPr>
            </w:pPr>
          </w:p>
        </w:tc>
      </w:tr>
      <w:tr>
        <w:trPr>
          <w:trHeight w:val="226"/>
        </w:trPr>
        <w:tc>
          <w:tcPr>
            <w:tcW w:w="3400" w:type="dxa"/>
            <w:vAlign w:val="bottom"/>
          </w:tcPr>
          <w:p>
            <w:pPr>
              <w:ind w:left="80"/>
              <w:spacing w:after="0"/>
              <w:rPr>
                <w:sz w:val="20"/>
                <w:szCs w:val="20"/>
                <w:color w:val="auto"/>
              </w:rPr>
            </w:pPr>
            <w:r>
              <w:rPr>
                <w:rFonts w:ascii="Arial" w:cs="Arial" w:eastAsia="Arial" w:hAnsi="Arial"/>
                <w:sz w:val="16"/>
                <w:szCs w:val="16"/>
                <w:color w:val="auto"/>
              </w:rPr>
              <w:t>Randall H. Edwards</w:t>
            </w:r>
          </w:p>
        </w:tc>
        <w:tc>
          <w:tcPr>
            <w:tcW w:w="25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360" w:type="dxa"/>
            <w:vAlign w:val="bottom"/>
          </w:tcPr>
          <w:p>
            <w:pPr>
              <w:jc w:val="right"/>
              <w:ind w:right="139"/>
              <w:spacing w:after="0"/>
              <w:rPr>
                <w:sz w:val="20"/>
                <w:szCs w:val="20"/>
                <w:color w:val="auto"/>
              </w:rPr>
            </w:pPr>
            <w:r>
              <w:rPr>
                <w:rFonts w:ascii="Arial" w:cs="Arial" w:eastAsia="Arial" w:hAnsi="Arial"/>
                <w:sz w:val="16"/>
                <w:szCs w:val="16"/>
                <w:color w:val="auto"/>
              </w:rPr>
              <w:t>80,000</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720" w:type="dxa"/>
            <w:vAlign w:val="bottom"/>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tcPr>
          <w:p>
            <w:pPr>
              <w:jc w:val="right"/>
              <w:ind w:right="259"/>
              <w:spacing w:after="0"/>
              <w:rPr>
                <w:sz w:val="20"/>
                <w:szCs w:val="20"/>
                <w:color w:val="auto"/>
              </w:rPr>
            </w:pPr>
            <w:r>
              <w:rPr>
                <w:rFonts w:ascii="Arial" w:cs="Arial" w:eastAsia="Arial" w:hAnsi="Arial"/>
                <w:sz w:val="16"/>
                <w:szCs w:val="16"/>
                <w:color w:val="auto"/>
              </w:rPr>
              <w:t>204,701</w:t>
            </w:r>
          </w:p>
        </w:tc>
        <w:tc>
          <w:tcPr>
            <w:tcW w:w="20" w:type="dxa"/>
            <w:vAlign w:val="bottom"/>
          </w:tcPr>
          <w:p>
            <w:pPr>
              <w:spacing w:after="0"/>
              <w:rPr>
                <w:sz w:val="19"/>
                <w:szCs w:val="19"/>
                <w:color w:val="auto"/>
              </w:rPr>
            </w:pPr>
          </w:p>
        </w:tc>
      </w:tr>
      <w:tr>
        <w:trPr>
          <w:trHeight w:val="233"/>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Kenneth V. Garcia</w:t>
            </w:r>
          </w:p>
        </w:tc>
        <w:tc>
          <w:tcPr>
            <w:tcW w:w="2320" w:type="dxa"/>
            <w:vAlign w:val="bottom"/>
            <w:shd w:val="clear" w:color="auto" w:fill="DCDDDE"/>
          </w:tcPr>
          <w:p>
            <w:pPr>
              <w:spacing w:after="0"/>
              <w:rPr>
                <w:sz w:val="20"/>
                <w:szCs w:val="20"/>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40,000</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133,032</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173,032</w:t>
            </w:r>
          </w:p>
        </w:tc>
        <w:tc>
          <w:tcPr>
            <w:tcW w:w="20" w:type="dxa"/>
            <w:vAlign w:val="bottom"/>
          </w:tcPr>
          <w:p>
            <w:pPr>
              <w:spacing w:after="0"/>
              <w:rPr>
                <w:sz w:val="20"/>
                <w:szCs w:val="20"/>
                <w:color w:val="auto"/>
              </w:rPr>
            </w:pPr>
          </w:p>
        </w:tc>
      </w:tr>
      <w:tr>
        <w:trPr>
          <w:trHeight w:val="227"/>
        </w:trPr>
        <w:tc>
          <w:tcPr>
            <w:tcW w:w="3400" w:type="dxa"/>
            <w:vAlign w:val="bottom"/>
          </w:tcPr>
          <w:p>
            <w:pPr>
              <w:ind w:left="80"/>
              <w:spacing w:after="0"/>
              <w:rPr>
                <w:sz w:val="20"/>
                <w:szCs w:val="20"/>
                <w:color w:val="auto"/>
              </w:rPr>
            </w:pPr>
            <w:r>
              <w:rPr>
                <w:rFonts w:ascii="Arial" w:cs="Arial" w:eastAsia="Arial" w:hAnsi="Arial"/>
                <w:sz w:val="16"/>
                <w:szCs w:val="16"/>
                <w:color w:val="auto"/>
              </w:rPr>
              <w:t>Ellis A. Jones</w:t>
            </w:r>
          </w:p>
        </w:tc>
        <w:tc>
          <w:tcPr>
            <w:tcW w:w="25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360" w:type="dxa"/>
            <w:vAlign w:val="bottom"/>
          </w:tcPr>
          <w:p>
            <w:pPr>
              <w:jc w:val="right"/>
              <w:ind w:right="139"/>
              <w:spacing w:after="0"/>
              <w:rPr>
                <w:sz w:val="20"/>
                <w:szCs w:val="20"/>
                <w:color w:val="auto"/>
              </w:rPr>
            </w:pPr>
            <w:r>
              <w:rPr>
                <w:rFonts w:ascii="Arial" w:cs="Arial" w:eastAsia="Arial" w:hAnsi="Arial"/>
                <w:sz w:val="16"/>
                <w:szCs w:val="16"/>
                <w:color w:val="auto"/>
              </w:rPr>
              <w:t>40,000</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720" w:type="dxa"/>
            <w:vAlign w:val="bottom"/>
          </w:tcPr>
          <w:p>
            <w:pPr>
              <w:jc w:val="right"/>
              <w:ind w:right="239"/>
              <w:spacing w:after="0"/>
              <w:rPr>
                <w:sz w:val="20"/>
                <w:szCs w:val="20"/>
                <w:color w:val="auto"/>
              </w:rPr>
            </w:pPr>
            <w:r>
              <w:rPr>
                <w:rFonts w:ascii="Arial" w:cs="Arial" w:eastAsia="Arial" w:hAnsi="Arial"/>
                <w:sz w:val="16"/>
                <w:szCs w:val="16"/>
                <w:color w:val="auto"/>
              </w:rPr>
              <w:t>133,032</w:t>
            </w:r>
          </w:p>
        </w:tc>
        <w:tc>
          <w:tcPr>
            <w:tcW w:w="54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tcPr>
          <w:p>
            <w:pPr>
              <w:jc w:val="right"/>
              <w:ind w:right="259"/>
              <w:spacing w:after="0"/>
              <w:rPr>
                <w:sz w:val="20"/>
                <w:szCs w:val="20"/>
                <w:color w:val="auto"/>
              </w:rPr>
            </w:pPr>
            <w:r>
              <w:rPr>
                <w:rFonts w:ascii="Arial" w:cs="Arial" w:eastAsia="Arial" w:hAnsi="Arial"/>
                <w:sz w:val="16"/>
                <w:szCs w:val="16"/>
                <w:color w:val="auto"/>
              </w:rPr>
              <w:t>173,032</w:t>
            </w:r>
          </w:p>
        </w:tc>
        <w:tc>
          <w:tcPr>
            <w:tcW w:w="20" w:type="dxa"/>
            <w:vAlign w:val="bottom"/>
          </w:tcPr>
          <w:p>
            <w:pPr>
              <w:spacing w:after="0"/>
              <w:rPr>
                <w:sz w:val="19"/>
                <w:szCs w:val="19"/>
                <w:color w:val="auto"/>
              </w:rPr>
            </w:pPr>
          </w:p>
        </w:tc>
      </w:tr>
      <w:tr>
        <w:trPr>
          <w:trHeight w:val="233"/>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Donald T. Misheff</w:t>
            </w:r>
          </w:p>
        </w:tc>
        <w:tc>
          <w:tcPr>
            <w:tcW w:w="2320" w:type="dxa"/>
            <w:vAlign w:val="bottom"/>
            <w:shd w:val="clear" w:color="auto" w:fill="DCDDDE"/>
          </w:tcPr>
          <w:p>
            <w:pPr>
              <w:spacing w:after="0"/>
              <w:rPr>
                <w:sz w:val="20"/>
                <w:szCs w:val="20"/>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95,000</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219,701</w:t>
            </w:r>
          </w:p>
        </w:tc>
        <w:tc>
          <w:tcPr>
            <w:tcW w:w="20" w:type="dxa"/>
            <w:vAlign w:val="bottom"/>
          </w:tcPr>
          <w:p>
            <w:pPr>
              <w:spacing w:after="0"/>
              <w:rPr>
                <w:sz w:val="20"/>
                <w:szCs w:val="20"/>
                <w:color w:val="auto"/>
              </w:rPr>
            </w:pPr>
          </w:p>
        </w:tc>
      </w:tr>
      <w:tr>
        <w:trPr>
          <w:trHeight w:val="226"/>
        </w:trPr>
        <w:tc>
          <w:tcPr>
            <w:tcW w:w="3400" w:type="dxa"/>
            <w:vAlign w:val="bottom"/>
          </w:tcPr>
          <w:p>
            <w:pPr>
              <w:ind w:left="80"/>
              <w:spacing w:after="0"/>
              <w:rPr>
                <w:sz w:val="20"/>
                <w:szCs w:val="20"/>
                <w:color w:val="auto"/>
              </w:rPr>
            </w:pPr>
            <w:r>
              <w:rPr>
                <w:rFonts w:ascii="Arial" w:cs="Arial" w:eastAsia="Arial" w:hAnsi="Arial"/>
                <w:sz w:val="16"/>
                <w:szCs w:val="16"/>
                <w:color w:val="auto"/>
              </w:rPr>
              <w:t>John P. Reilly</w:t>
            </w:r>
          </w:p>
        </w:tc>
        <w:tc>
          <w:tcPr>
            <w:tcW w:w="25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360" w:type="dxa"/>
            <w:vAlign w:val="bottom"/>
          </w:tcPr>
          <w:p>
            <w:pPr>
              <w:jc w:val="right"/>
              <w:ind w:right="139"/>
              <w:spacing w:after="0"/>
              <w:rPr>
                <w:sz w:val="20"/>
                <w:szCs w:val="20"/>
                <w:color w:val="auto"/>
              </w:rPr>
            </w:pPr>
            <w:r>
              <w:rPr>
                <w:rFonts w:ascii="Arial" w:cs="Arial" w:eastAsia="Arial" w:hAnsi="Arial"/>
                <w:sz w:val="16"/>
                <w:szCs w:val="16"/>
                <w:color w:val="auto"/>
              </w:rPr>
              <w:t>61,813</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720" w:type="dxa"/>
            <w:vAlign w:val="bottom"/>
          </w:tcPr>
          <w:p>
            <w:pPr>
              <w:jc w:val="right"/>
              <w:ind w:right="239"/>
              <w:spacing w:after="0"/>
              <w:rPr>
                <w:sz w:val="20"/>
                <w:szCs w:val="20"/>
                <w:color w:val="auto"/>
              </w:rPr>
            </w:pPr>
            <w:r>
              <w:rPr>
                <w:rFonts w:ascii="Arial" w:cs="Arial" w:eastAsia="Arial" w:hAnsi="Arial"/>
                <w:sz w:val="16"/>
                <w:szCs w:val="16"/>
                <w:color w:val="auto"/>
              </w:rPr>
              <w:t>0</w:t>
            </w:r>
          </w:p>
        </w:tc>
        <w:tc>
          <w:tcPr>
            <w:tcW w:w="54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tcPr>
          <w:p>
            <w:pPr>
              <w:jc w:val="right"/>
              <w:ind w:right="259"/>
              <w:spacing w:after="0"/>
              <w:rPr>
                <w:sz w:val="20"/>
                <w:szCs w:val="20"/>
                <w:color w:val="auto"/>
              </w:rPr>
            </w:pPr>
            <w:r>
              <w:rPr>
                <w:rFonts w:ascii="Arial" w:cs="Arial" w:eastAsia="Arial" w:hAnsi="Arial"/>
                <w:sz w:val="16"/>
                <w:szCs w:val="16"/>
                <w:color w:val="auto"/>
              </w:rPr>
              <w:t>61,813</w:t>
            </w:r>
          </w:p>
        </w:tc>
        <w:tc>
          <w:tcPr>
            <w:tcW w:w="20" w:type="dxa"/>
            <w:vAlign w:val="bottom"/>
          </w:tcPr>
          <w:p>
            <w:pPr>
              <w:spacing w:after="0"/>
              <w:rPr>
                <w:sz w:val="19"/>
                <w:szCs w:val="19"/>
                <w:color w:val="auto"/>
              </w:rPr>
            </w:pPr>
          </w:p>
        </w:tc>
      </w:tr>
      <w:tr>
        <w:trPr>
          <w:trHeight w:val="233"/>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Ronald A. Rice</w:t>
            </w:r>
          </w:p>
        </w:tc>
        <w:tc>
          <w:tcPr>
            <w:tcW w:w="2320" w:type="dxa"/>
            <w:vAlign w:val="bottom"/>
            <w:shd w:val="clear" w:color="auto" w:fill="DCDDDE"/>
          </w:tcPr>
          <w:p>
            <w:pPr>
              <w:spacing w:after="0"/>
              <w:rPr>
                <w:sz w:val="20"/>
                <w:szCs w:val="20"/>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139,093</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263,794</w:t>
            </w:r>
          </w:p>
        </w:tc>
        <w:tc>
          <w:tcPr>
            <w:tcW w:w="20" w:type="dxa"/>
            <w:vAlign w:val="bottom"/>
          </w:tcPr>
          <w:p>
            <w:pPr>
              <w:spacing w:after="0"/>
              <w:rPr>
                <w:sz w:val="20"/>
                <w:szCs w:val="20"/>
                <w:color w:val="auto"/>
              </w:rPr>
            </w:pPr>
          </w:p>
        </w:tc>
      </w:tr>
      <w:tr>
        <w:trPr>
          <w:trHeight w:val="226"/>
        </w:trPr>
        <w:tc>
          <w:tcPr>
            <w:tcW w:w="3400" w:type="dxa"/>
            <w:vAlign w:val="bottom"/>
          </w:tcPr>
          <w:p>
            <w:pPr>
              <w:ind w:left="80"/>
              <w:spacing w:after="0"/>
              <w:rPr>
                <w:sz w:val="20"/>
                <w:szCs w:val="20"/>
                <w:color w:val="auto"/>
              </w:rPr>
            </w:pPr>
            <w:r>
              <w:rPr>
                <w:rFonts w:ascii="Arial" w:cs="Arial" w:eastAsia="Arial" w:hAnsi="Arial"/>
                <w:sz w:val="16"/>
                <w:szCs w:val="16"/>
                <w:color w:val="auto"/>
              </w:rPr>
              <w:t>Leila L. Vespoli</w:t>
            </w:r>
          </w:p>
        </w:tc>
        <w:tc>
          <w:tcPr>
            <w:tcW w:w="25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360" w:type="dxa"/>
            <w:vAlign w:val="bottom"/>
          </w:tcPr>
          <w:p>
            <w:pPr>
              <w:jc w:val="right"/>
              <w:ind w:right="139"/>
              <w:spacing w:after="0"/>
              <w:rPr>
                <w:sz w:val="20"/>
                <w:szCs w:val="20"/>
                <w:color w:val="auto"/>
              </w:rPr>
            </w:pPr>
            <w:r>
              <w:rPr>
                <w:rFonts w:ascii="Arial" w:cs="Arial" w:eastAsia="Arial" w:hAnsi="Arial"/>
                <w:sz w:val="16"/>
                <w:szCs w:val="16"/>
                <w:color w:val="auto"/>
              </w:rPr>
              <w:t>80,000</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720" w:type="dxa"/>
            <w:vAlign w:val="bottom"/>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tcPr>
          <w:p>
            <w:pPr>
              <w:jc w:val="right"/>
              <w:ind w:right="259"/>
              <w:spacing w:after="0"/>
              <w:rPr>
                <w:sz w:val="20"/>
                <w:szCs w:val="20"/>
                <w:color w:val="auto"/>
              </w:rPr>
            </w:pPr>
            <w:r>
              <w:rPr>
                <w:rFonts w:ascii="Arial" w:cs="Arial" w:eastAsia="Arial" w:hAnsi="Arial"/>
                <w:sz w:val="16"/>
                <w:szCs w:val="16"/>
                <w:color w:val="auto"/>
              </w:rPr>
              <w:t>204,701</w:t>
            </w:r>
          </w:p>
        </w:tc>
        <w:tc>
          <w:tcPr>
            <w:tcW w:w="20" w:type="dxa"/>
            <w:vAlign w:val="bottom"/>
          </w:tcPr>
          <w:p>
            <w:pPr>
              <w:spacing w:after="0"/>
              <w:rPr>
                <w:sz w:val="19"/>
                <w:szCs w:val="19"/>
                <w:color w:val="auto"/>
              </w:rPr>
            </w:pPr>
          </w:p>
        </w:tc>
      </w:tr>
      <w:tr>
        <w:trPr>
          <w:trHeight w:val="233"/>
        </w:trPr>
        <w:tc>
          <w:tcPr>
            <w:tcW w:w="3400" w:type="dxa"/>
            <w:vAlign w:val="bottom"/>
            <w:shd w:val="clear" w:color="auto" w:fill="DCDDDE"/>
          </w:tcPr>
          <w:p>
            <w:pPr>
              <w:ind w:left="80"/>
              <w:spacing w:after="0"/>
              <w:rPr>
                <w:sz w:val="20"/>
                <w:szCs w:val="20"/>
                <w:color w:val="auto"/>
              </w:rPr>
            </w:pPr>
            <w:r>
              <w:rPr>
                <w:rFonts w:ascii="Arial" w:cs="Arial" w:eastAsia="Arial" w:hAnsi="Arial"/>
                <w:sz w:val="16"/>
                <w:szCs w:val="16"/>
                <w:color w:val="auto"/>
              </w:rPr>
              <w:t>Randall A. Wotring</w:t>
            </w:r>
          </w:p>
        </w:tc>
        <w:tc>
          <w:tcPr>
            <w:tcW w:w="2320" w:type="dxa"/>
            <w:vAlign w:val="bottom"/>
            <w:shd w:val="clear" w:color="auto" w:fill="DCDDDE"/>
          </w:tcPr>
          <w:p>
            <w:pPr>
              <w:spacing w:after="0"/>
              <w:rPr>
                <w:sz w:val="20"/>
                <w:szCs w:val="20"/>
                <w:color w:val="auto"/>
              </w:rPr>
            </w:pPr>
          </w:p>
        </w:tc>
        <w:tc>
          <w:tcPr>
            <w:tcW w:w="2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360" w:type="dxa"/>
            <w:vAlign w:val="bottom"/>
            <w:shd w:val="clear" w:color="auto" w:fill="DCDDDE"/>
          </w:tcPr>
          <w:p>
            <w:pPr>
              <w:jc w:val="right"/>
              <w:ind w:right="139"/>
              <w:spacing w:after="0"/>
              <w:rPr>
                <w:sz w:val="20"/>
                <w:szCs w:val="20"/>
                <w:color w:val="auto"/>
              </w:rPr>
            </w:pPr>
            <w:r>
              <w:rPr>
                <w:rFonts w:ascii="Arial" w:cs="Arial" w:eastAsia="Arial" w:hAnsi="Arial"/>
                <w:sz w:val="16"/>
                <w:szCs w:val="16"/>
                <w:color w:val="auto"/>
              </w:rPr>
              <w:t>86,566</w:t>
            </w:r>
          </w:p>
        </w:tc>
        <w:tc>
          <w:tcPr>
            <w:tcW w:w="300" w:type="dxa"/>
            <w:vAlign w:val="bottom"/>
            <w:shd w:val="clear" w:color="auto" w:fill="DCDDDE"/>
          </w:tcPr>
          <w:p>
            <w:pPr>
              <w:jc w:val="right"/>
              <w:spacing w:after="0"/>
              <w:rPr>
                <w:sz w:val="20"/>
                <w:szCs w:val="20"/>
                <w:color w:val="auto"/>
              </w:rPr>
            </w:pPr>
            <w:r>
              <w:rPr>
                <w:rFonts w:ascii="Arial" w:cs="Arial" w:eastAsia="Arial" w:hAnsi="Arial"/>
                <w:sz w:val="16"/>
                <w:szCs w:val="16"/>
                <w:color w:val="auto"/>
              </w:rPr>
              <w:t>$</w:t>
            </w:r>
          </w:p>
        </w:tc>
        <w:tc>
          <w:tcPr>
            <w:tcW w:w="1720" w:type="dxa"/>
            <w:vAlign w:val="bottom"/>
            <w:shd w:val="clear" w:color="auto" w:fill="DCDDDE"/>
          </w:tcPr>
          <w:p>
            <w:pPr>
              <w:jc w:val="right"/>
              <w:ind w:right="239"/>
              <w:spacing w:after="0"/>
              <w:rPr>
                <w:sz w:val="20"/>
                <w:szCs w:val="20"/>
                <w:color w:val="auto"/>
              </w:rPr>
            </w:pPr>
            <w:r>
              <w:rPr>
                <w:rFonts w:ascii="Arial" w:cs="Arial" w:eastAsia="Arial" w:hAnsi="Arial"/>
                <w:sz w:val="16"/>
                <w:szCs w:val="16"/>
                <w:color w:val="auto"/>
              </w:rPr>
              <w:t>124,701</w:t>
            </w:r>
          </w:p>
        </w:tc>
        <w:tc>
          <w:tcPr>
            <w:tcW w:w="540" w:type="dxa"/>
            <w:vAlign w:val="bottom"/>
            <w:shd w:val="clear" w:color="auto" w:fill="DCDDDE"/>
          </w:tcPr>
          <w:p>
            <w:pPr>
              <w:jc w:val="right"/>
              <w:ind w:right="59"/>
              <w:spacing w:after="0"/>
              <w:rPr>
                <w:sz w:val="20"/>
                <w:szCs w:val="20"/>
                <w:color w:val="auto"/>
              </w:rPr>
            </w:pPr>
            <w:r>
              <w:rPr>
                <w:rFonts w:ascii="Arial" w:cs="Arial" w:eastAsia="Arial" w:hAnsi="Arial"/>
                <w:sz w:val="16"/>
                <w:szCs w:val="16"/>
                <w:color w:val="auto"/>
              </w:rPr>
              <w:t>$</w:t>
            </w:r>
          </w:p>
        </w:tc>
        <w:tc>
          <w:tcPr>
            <w:tcW w:w="1180" w:type="dxa"/>
            <w:vAlign w:val="bottom"/>
            <w:shd w:val="clear" w:color="auto" w:fill="DCDDDE"/>
          </w:tcPr>
          <w:p>
            <w:pPr>
              <w:jc w:val="right"/>
              <w:ind w:right="259"/>
              <w:spacing w:after="0"/>
              <w:rPr>
                <w:sz w:val="20"/>
                <w:szCs w:val="20"/>
                <w:color w:val="auto"/>
              </w:rPr>
            </w:pPr>
            <w:r>
              <w:rPr>
                <w:rFonts w:ascii="Arial" w:cs="Arial" w:eastAsia="Arial" w:hAnsi="Arial"/>
                <w:sz w:val="16"/>
                <w:szCs w:val="16"/>
                <w:color w:val="auto"/>
              </w:rPr>
              <w:t>211,267</w:t>
            </w:r>
          </w:p>
        </w:tc>
        <w:tc>
          <w:tcPr>
            <w:tcW w:w="20" w:type="dxa"/>
            <w:vAlign w:val="bottom"/>
          </w:tcPr>
          <w:p>
            <w:pPr>
              <w:spacing w:after="0"/>
              <w:rPr>
                <w:sz w:val="20"/>
                <w:szCs w:val="20"/>
                <w:color w:val="auto"/>
              </w:rPr>
            </w:pPr>
          </w:p>
        </w:tc>
      </w:tr>
      <w:tr>
        <w:trPr>
          <w:trHeight w:val="345"/>
        </w:trPr>
        <w:tc>
          <w:tcPr>
            <w:tcW w:w="3400" w:type="dxa"/>
            <w:vAlign w:val="bottom"/>
          </w:tcPr>
          <w:p>
            <w:pPr>
              <w:spacing w:after="0"/>
              <w:rPr>
                <w:sz w:val="24"/>
                <w:szCs w:val="24"/>
                <w:color w:val="auto"/>
              </w:rPr>
            </w:pPr>
          </w:p>
        </w:tc>
        <w:tc>
          <w:tcPr>
            <w:tcW w:w="2320" w:type="dxa"/>
            <w:vAlign w:val="bottom"/>
          </w:tcPr>
          <w:p>
            <w:pPr>
              <w:jc w:val="right"/>
              <w:ind w:right="59"/>
              <w:spacing w:after="0"/>
              <w:rPr>
                <w:sz w:val="20"/>
                <w:szCs w:val="20"/>
                <w:color w:val="auto"/>
              </w:rPr>
            </w:pPr>
            <w:r>
              <w:rPr>
                <w:rFonts w:ascii="Arial" w:cs="Arial" w:eastAsia="Arial" w:hAnsi="Arial"/>
                <w:sz w:val="16"/>
                <w:szCs w:val="16"/>
                <w:color w:val="auto"/>
              </w:rPr>
              <w:t>20</w:t>
            </w:r>
          </w:p>
        </w:tc>
        <w:tc>
          <w:tcPr>
            <w:tcW w:w="2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2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340" w:right="80" w:hanging="224"/>
        <w:spacing w:after="0" w:line="253" w:lineRule="auto"/>
        <w:tabs>
          <w:tab w:leader="none" w:pos="340" w:val="left"/>
        </w:tabs>
        <w:numPr>
          <w:ilvl w:val="0"/>
          <w:numId w:val="21"/>
        </w:numPr>
        <w:rPr>
          <w:rFonts w:ascii="Arial" w:cs="Arial" w:eastAsia="Arial" w:hAnsi="Arial"/>
          <w:sz w:val="12"/>
          <w:szCs w:val="12"/>
          <w:color w:val="auto"/>
        </w:rPr>
      </w:pPr>
      <w:r>
        <w:rPr>
          <w:rFonts w:ascii="Arial" w:cs="Arial" w:eastAsia="Arial" w:hAnsi="Arial"/>
          <w:sz w:val="14"/>
          <w:szCs w:val="14"/>
          <w:color w:val="auto"/>
        </w:rPr>
        <w:t>Michael S. Williams, CEO and President, is not included in this table as he was an employee of the company throughout 2021 and received no additional compensation for his services as a director.</w:t>
      </w:r>
    </w:p>
    <w:p>
      <w:pPr>
        <w:spacing w:after="0" w:line="38" w:lineRule="exact"/>
        <w:rPr>
          <w:rFonts w:ascii="Arial" w:cs="Arial" w:eastAsia="Arial" w:hAnsi="Arial"/>
          <w:sz w:val="12"/>
          <w:szCs w:val="12"/>
          <w:color w:val="auto"/>
        </w:rPr>
      </w:pPr>
    </w:p>
    <w:p>
      <w:pPr>
        <w:ind w:left="340" w:hanging="224"/>
        <w:spacing w:after="0" w:line="248" w:lineRule="auto"/>
        <w:tabs>
          <w:tab w:leader="none" w:pos="340" w:val="left"/>
        </w:tabs>
        <w:numPr>
          <w:ilvl w:val="0"/>
          <w:numId w:val="21"/>
        </w:numPr>
        <w:rPr>
          <w:rFonts w:ascii="Arial" w:cs="Arial" w:eastAsia="Arial" w:hAnsi="Arial"/>
          <w:sz w:val="11"/>
          <w:szCs w:val="11"/>
          <w:color w:val="auto"/>
        </w:rPr>
      </w:pPr>
      <w:r>
        <w:rPr>
          <w:rFonts w:ascii="Arial" w:cs="Arial" w:eastAsia="Arial" w:hAnsi="Arial"/>
          <w:sz w:val="13"/>
          <w:szCs w:val="13"/>
          <w:color w:val="auto"/>
        </w:rPr>
        <w:t>Joseph A. Carrabba and John P. Reilly each concluded their service on the Board of Directors effective May 5, 2021. Kenneth V. Garcia and Ellis A. Jones were appointed as directors effective August 12, 2021. The amount shown for Mr. Carrabba reflects the annual cash retainer payable to non-employee directors, prorated to reflect the days elapsed between January 1, 2021 and the date on which Mr. Carrabba’s service as a director concluded. The amount shown for Mr. Reilly reflects the annual cash retainer payable to non-employee directors, the additional retainer paid to the non-executive Chairman of the Board and the fee paid for service as Chair of the Nominating and Corporate Governance Committee, in each case prorated to reflect the days elapsed between January 1, 2021 and the date on which Mr. Reilly’s service as a director concluded. The amounts shown for Messrs. Garcia and Jones reflect the annual cash retainer payable to non-employee directors, prorated to reflect the calendar quarters during which each served as a director during 2021.</w:t>
      </w:r>
    </w:p>
    <w:p>
      <w:pPr>
        <w:spacing w:after="0" w:line="45" w:lineRule="exact"/>
        <w:rPr>
          <w:rFonts w:ascii="Arial" w:cs="Arial" w:eastAsia="Arial" w:hAnsi="Arial"/>
          <w:sz w:val="11"/>
          <w:szCs w:val="11"/>
          <w:color w:val="auto"/>
        </w:rPr>
      </w:pPr>
    </w:p>
    <w:p>
      <w:pPr>
        <w:ind w:left="340" w:right="140" w:hanging="224"/>
        <w:spacing w:after="0" w:line="233" w:lineRule="auto"/>
        <w:tabs>
          <w:tab w:leader="none" w:pos="340" w:val="left"/>
        </w:tabs>
        <w:numPr>
          <w:ilvl w:val="0"/>
          <w:numId w:val="21"/>
        </w:numPr>
        <w:rPr>
          <w:rFonts w:ascii="Arial" w:cs="Arial" w:eastAsia="Arial" w:hAnsi="Arial"/>
          <w:sz w:val="12"/>
          <w:szCs w:val="12"/>
          <w:color w:val="auto"/>
        </w:rPr>
      </w:pPr>
      <w:r>
        <w:rPr>
          <w:rFonts w:ascii="Arial" w:cs="Arial" w:eastAsia="Arial" w:hAnsi="Arial"/>
          <w:sz w:val="14"/>
          <w:szCs w:val="14"/>
          <w:color w:val="auto"/>
        </w:rPr>
        <w:t>The amount shown for each director other than Messrs. Garcia and Jones is the grant date fair value of 9,585 restricted stock units awarded on May 5, 2021, as computed in accordance with Financial Accounting Standards Board Accounting Standards Codification (“FASB ASC”) Topic 718. With respect to Messrs. Garcia and Jones, the amount shown is the grant date fair value of 7,830 restricted stock units awarded on August 12, 2021, the date they were each appointed as a director, as computed in accordance with FASB ASC Topic 718. These awards have a one-year vesting period.</w:t>
      </w:r>
    </w:p>
    <w:p>
      <w:pPr>
        <w:spacing w:after="0" w:line="49" w:lineRule="exact"/>
        <w:rPr>
          <w:rFonts w:ascii="Arial" w:cs="Arial" w:eastAsia="Arial" w:hAnsi="Arial"/>
          <w:sz w:val="12"/>
          <w:szCs w:val="12"/>
          <w:color w:val="auto"/>
        </w:rPr>
      </w:pPr>
    </w:p>
    <w:p>
      <w:pPr>
        <w:ind w:left="340" w:right="260"/>
        <w:spacing w:after="0" w:line="253" w:lineRule="auto"/>
        <w:rPr>
          <w:rFonts w:ascii="Arial" w:cs="Arial" w:eastAsia="Arial" w:hAnsi="Arial"/>
          <w:sz w:val="12"/>
          <w:szCs w:val="12"/>
          <w:color w:val="auto"/>
        </w:rPr>
      </w:pPr>
      <w:r>
        <w:rPr>
          <w:rFonts w:ascii="Arial" w:cs="Arial" w:eastAsia="Arial" w:hAnsi="Arial"/>
          <w:sz w:val="14"/>
          <w:szCs w:val="14"/>
          <w:color w:val="auto"/>
        </w:rPr>
        <w:t>Messrs. Carrabba and Reilly were not awarded a grant of restricted stock units in 2021 as their service on the Board of Directors concluded immediately prior to the annual meeting of shareholders and, as such, they were not eligible for an award.</w:t>
      </w:r>
    </w:p>
    <w:p>
      <w:pPr>
        <w:spacing w:after="0" w:line="38" w:lineRule="exact"/>
        <w:rPr>
          <w:rFonts w:ascii="Arial" w:cs="Arial" w:eastAsia="Arial" w:hAnsi="Arial"/>
          <w:sz w:val="12"/>
          <w:szCs w:val="12"/>
          <w:color w:val="auto"/>
        </w:rPr>
      </w:pPr>
    </w:p>
    <w:p>
      <w:pPr>
        <w:ind w:left="340" w:right="400" w:hanging="224"/>
        <w:spacing w:after="0" w:line="253" w:lineRule="auto"/>
        <w:tabs>
          <w:tab w:leader="none" w:pos="340" w:val="left"/>
        </w:tabs>
        <w:numPr>
          <w:ilvl w:val="0"/>
          <w:numId w:val="21"/>
        </w:numPr>
        <w:rPr>
          <w:rFonts w:ascii="Arial" w:cs="Arial" w:eastAsia="Arial" w:hAnsi="Arial"/>
          <w:sz w:val="12"/>
          <w:szCs w:val="12"/>
          <w:color w:val="auto"/>
        </w:rPr>
      </w:pPr>
      <w:r>
        <w:rPr>
          <w:rFonts w:ascii="Arial" w:cs="Arial" w:eastAsia="Arial" w:hAnsi="Arial"/>
          <w:sz w:val="14"/>
          <w:szCs w:val="14"/>
          <w:color w:val="auto"/>
        </w:rPr>
        <w:t>As of December 31, 2021, Messrs. Edwards, Misheff, Rice and Wotring and Mses. Creel and Vespoli each held 9,585 unvested restricted stock units, which are scheduled to vest on May 5, 2022, and Messrs. Garcia and Jones each held 7,830 restricted stock units, which are scheduled to vest on August 12, 2022.</w:t>
      </w:r>
    </w:p>
    <w:p>
      <w:pPr>
        <w:spacing w:after="0" w:line="38" w:lineRule="exact"/>
        <w:rPr>
          <w:rFonts w:ascii="Arial" w:cs="Arial" w:eastAsia="Arial" w:hAnsi="Arial"/>
          <w:sz w:val="12"/>
          <w:szCs w:val="12"/>
          <w:color w:val="auto"/>
        </w:rPr>
      </w:pPr>
    </w:p>
    <w:p>
      <w:pPr>
        <w:ind w:left="340" w:right="440"/>
        <w:spacing w:after="0" w:line="253" w:lineRule="auto"/>
        <w:rPr>
          <w:rFonts w:ascii="Arial" w:cs="Arial" w:eastAsia="Arial" w:hAnsi="Arial"/>
          <w:sz w:val="12"/>
          <w:szCs w:val="12"/>
          <w:color w:val="auto"/>
        </w:rPr>
      </w:pPr>
      <w:r>
        <w:rPr>
          <w:rFonts w:ascii="Arial" w:cs="Arial" w:eastAsia="Arial" w:hAnsi="Arial"/>
          <w:sz w:val="14"/>
          <w:szCs w:val="14"/>
          <w:color w:val="auto"/>
        </w:rPr>
        <w:t>As a result of Mr. Dunlap’s resignation from the Board of Directors on December 31, 2021, 3,994 of the 9,585 unvested restricted stock units awarded to him on May 5, 2021, were canceled. The remaining 5,591 unvested restricted stock units will vest on May 5, 2022.</w:t>
      </w:r>
    </w:p>
    <w:p>
      <w:pPr>
        <w:spacing w:after="0" w:line="38" w:lineRule="exact"/>
        <w:rPr>
          <w:rFonts w:ascii="Arial" w:cs="Arial" w:eastAsia="Arial" w:hAnsi="Arial"/>
          <w:sz w:val="12"/>
          <w:szCs w:val="12"/>
          <w:color w:val="auto"/>
        </w:rPr>
      </w:pPr>
    </w:p>
    <w:p>
      <w:pPr>
        <w:ind w:left="340"/>
        <w:spacing w:after="0"/>
        <w:rPr>
          <w:rFonts w:ascii="Arial" w:cs="Arial" w:eastAsia="Arial" w:hAnsi="Arial"/>
          <w:sz w:val="12"/>
          <w:szCs w:val="12"/>
          <w:color w:val="auto"/>
        </w:rPr>
      </w:pPr>
      <w:r>
        <w:rPr>
          <w:rFonts w:ascii="Arial" w:cs="Arial" w:eastAsia="Arial" w:hAnsi="Arial"/>
          <w:sz w:val="14"/>
          <w:szCs w:val="14"/>
          <w:color w:val="auto"/>
        </w:rPr>
        <w:t>No director had any outstanding company stock options.</w:t>
      </w:r>
    </w:p>
    <w:p>
      <w:pPr>
        <w:spacing w:after="0" w:line="145"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21</w:t>
      </w:r>
    </w:p>
    <w:p>
      <w:pPr>
        <w:sectPr>
          <w:pgSz w:w="11900" w:h="16838" w:orient="portrait"/>
          <w:cols w:equalWidth="0" w:num="1">
            <w:col w:w="11120"/>
          </w:cols>
          <w:pgMar w:left="320" w:top="459" w:right="4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Our commitment to sustainability</w:t>
      </w:r>
    </w:p>
    <w:p>
      <w:pPr>
        <w:spacing w:after="0" w:line="232" w:lineRule="exact"/>
        <w:rPr>
          <w:sz w:val="20"/>
          <w:szCs w:val="20"/>
          <w:color w:val="auto"/>
        </w:rPr>
      </w:pPr>
    </w:p>
    <w:p>
      <w:pPr>
        <w:ind w:left="120" w:right="120"/>
        <w:spacing w:after="0" w:line="296" w:lineRule="auto"/>
        <w:rPr>
          <w:sz w:val="20"/>
          <w:szCs w:val="20"/>
          <w:color w:val="auto"/>
        </w:rPr>
      </w:pPr>
      <w:r>
        <w:rPr>
          <w:rFonts w:ascii="Arial" w:cs="Arial" w:eastAsia="Arial" w:hAnsi="Arial"/>
          <w:sz w:val="16"/>
          <w:szCs w:val="16"/>
          <w:color w:val="auto"/>
        </w:rPr>
        <w:t>At TimkenSteel, we strive to operate responsibly and sustainably. Guided by our core values, we are dedicated to our founder’s unwavering belief in ethics, honesty and respect in everything we do. With respect to environmental, social and governance (ESG) performance, we are continuously evolving a program structure that is aligned with our business strategy and informed by established reporting standards and frameworks such as those from the Sustainability Accounting Standards Board (SASB) and the Task Force on Climate-related Financial Disclosures (TCFD). We believe regular, transparent communication with stakeholders about key areas of focus and our progress against established goals is pivotal to our success.</w:t>
      </w:r>
    </w:p>
    <w:p>
      <w:pPr>
        <w:spacing w:after="0" w:line="12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TimkenSteel’s ESG strategy consists of three focus areas:</w:t>
      </w:r>
    </w:p>
    <w:p>
      <w:pPr>
        <w:spacing w:after="0" w:line="221" w:lineRule="exact"/>
        <w:rPr>
          <w:sz w:val="20"/>
          <w:szCs w:val="20"/>
          <w:color w:val="auto"/>
        </w:rPr>
      </w:pPr>
    </w:p>
    <w:p>
      <w:pPr>
        <w:ind w:left="2340"/>
        <w:spacing w:after="0" w:line="277" w:lineRule="auto"/>
        <w:rPr>
          <w:sz w:val="20"/>
          <w:szCs w:val="20"/>
          <w:color w:val="auto"/>
        </w:rPr>
      </w:pPr>
      <w:r>
        <w:rPr>
          <w:rFonts w:ascii="Arial" w:cs="Arial" w:eastAsia="Arial" w:hAnsi="Arial"/>
          <w:sz w:val="17"/>
          <w:szCs w:val="17"/>
          <w:b w:val="1"/>
          <w:bCs w:val="1"/>
          <w:color w:val="auto"/>
        </w:rPr>
        <w:t xml:space="preserve">Environmental Stewardship: </w:t>
      </w:r>
      <w:r>
        <w:rPr>
          <w:rFonts w:ascii="Arial" w:cs="Arial" w:eastAsia="Arial" w:hAnsi="Arial"/>
          <w:sz w:val="17"/>
          <w:szCs w:val="17"/>
          <w:color w:val="auto"/>
        </w:rPr>
        <w:t>Our commitment to environmental stewardship encompasses how we continuously seek to</w:t>
      </w:r>
      <w:r>
        <w:rPr>
          <w:rFonts w:ascii="Arial" w:cs="Arial" w:eastAsia="Arial" w:hAnsi="Arial"/>
          <w:sz w:val="17"/>
          <w:szCs w:val="17"/>
          <w:b w:val="1"/>
          <w:bCs w:val="1"/>
          <w:color w:val="auto"/>
        </w:rPr>
        <w:t xml:space="preserve"> </w:t>
      </w:r>
      <w:r>
        <w:rPr>
          <w:rFonts w:ascii="Arial" w:cs="Arial" w:eastAsia="Arial" w:hAnsi="Arial"/>
          <w:sz w:val="17"/>
          <w:szCs w:val="17"/>
          <w:color w:val="auto"/>
        </w:rPr>
        <w:t>improve the efficiency and cleanliness of our electric arc furnace (EAF) operations while delivering quality products and services that help our customers compete. We employ proactive environmental practices that focus on maintaining clean air, water and land, and comply with environmental rules and regulations. Innovation, collaboration and stakeholder engagement are embedded within our environmental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519430</wp:posOffset>
            </wp:positionH>
            <wp:positionV relativeFrom="paragraph">
              <wp:posOffset>-584200</wp:posOffset>
            </wp:positionV>
            <wp:extent cx="377190" cy="4368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377190" cy="436880"/>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100965</wp:posOffset>
            </wp:positionV>
            <wp:extent cx="445770" cy="44577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445770" cy="445770"/>
                    </a:xfrm>
                    <a:prstGeom prst="rect">
                      <a:avLst/>
                    </a:prstGeom>
                    <a:noFill/>
                  </pic:spPr>
                </pic:pic>
              </a:graphicData>
            </a:graphic>
          </wp:anchor>
        </w:drawing>
      </w:r>
    </w:p>
    <w:p>
      <w:pPr>
        <w:spacing w:after="0" w:line="148" w:lineRule="exact"/>
        <w:rPr>
          <w:sz w:val="20"/>
          <w:szCs w:val="20"/>
          <w:color w:val="auto"/>
        </w:rPr>
      </w:pPr>
    </w:p>
    <w:p>
      <w:pPr>
        <w:ind w:left="2340" w:right="160"/>
        <w:spacing w:after="0" w:line="261" w:lineRule="auto"/>
        <w:rPr>
          <w:sz w:val="20"/>
          <w:szCs w:val="20"/>
          <w:color w:val="auto"/>
        </w:rPr>
      </w:pPr>
      <w:r>
        <w:rPr>
          <w:rFonts w:ascii="Arial" w:cs="Arial" w:eastAsia="Arial" w:hAnsi="Arial"/>
          <w:sz w:val="18"/>
          <w:szCs w:val="18"/>
          <w:b w:val="1"/>
          <w:bCs w:val="1"/>
          <w:color w:val="auto"/>
        </w:rPr>
        <w:t xml:space="preserve">Social Commitment: </w:t>
      </w:r>
      <w:r>
        <w:rPr>
          <w:rFonts w:ascii="Arial" w:cs="Arial" w:eastAsia="Arial" w:hAnsi="Arial"/>
          <w:sz w:val="18"/>
          <w:szCs w:val="18"/>
          <w:color w:val="auto"/>
        </w:rPr>
        <w:t>Our social commitment begins with protecting the health and safety of our employees, customers</w:t>
      </w:r>
      <w:r>
        <w:rPr>
          <w:rFonts w:ascii="Arial" w:cs="Arial" w:eastAsia="Arial" w:hAnsi="Arial"/>
          <w:sz w:val="18"/>
          <w:szCs w:val="18"/>
          <w:b w:val="1"/>
          <w:bCs w:val="1"/>
          <w:color w:val="auto"/>
        </w:rPr>
        <w:t xml:space="preserve"> </w:t>
      </w:r>
      <w:r>
        <w:rPr>
          <w:rFonts w:ascii="Arial" w:cs="Arial" w:eastAsia="Arial" w:hAnsi="Arial"/>
          <w:sz w:val="18"/>
          <w:szCs w:val="18"/>
          <w:color w:val="auto"/>
        </w:rPr>
        <w:t>and suppliers, and extends to fostering an inclusive environment in which our differences are celebrated, and everyone has the opportunity to grow and achieve their full potential. We are also inspired to make a positive impact in the communities where we live and work.</w:t>
      </w:r>
    </w:p>
    <w:p>
      <w:pPr>
        <w:spacing w:after="0" w:line="193" w:lineRule="exact"/>
        <w:rPr>
          <w:sz w:val="20"/>
          <w:szCs w:val="20"/>
          <w:color w:val="auto"/>
        </w:rPr>
      </w:pPr>
    </w:p>
    <w:p>
      <w:pPr>
        <w:jc w:val="both"/>
        <w:ind w:left="2340" w:right="620"/>
        <w:spacing w:after="0" w:line="266" w:lineRule="auto"/>
        <w:rPr>
          <w:sz w:val="20"/>
          <w:szCs w:val="20"/>
          <w:color w:val="auto"/>
        </w:rPr>
      </w:pPr>
      <w:r>
        <w:rPr>
          <w:rFonts w:ascii="Arial" w:cs="Arial" w:eastAsia="Arial" w:hAnsi="Arial"/>
          <w:sz w:val="18"/>
          <w:szCs w:val="18"/>
          <w:b w:val="1"/>
          <w:bCs w:val="1"/>
          <w:color w:val="auto"/>
        </w:rPr>
        <w:t xml:space="preserve">Governance and Ethics: </w:t>
      </w:r>
      <w:r>
        <w:rPr>
          <w:rFonts w:ascii="Arial" w:cs="Arial" w:eastAsia="Arial" w:hAnsi="Arial"/>
          <w:sz w:val="18"/>
          <w:szCs w:val="18"/>
          <w:color w:val="auto"/>
        </w:rPr>
        <w:t>We promote the long-term interests of shareholders and build public trust through good</w:t>
      </w:r>
      <w:r>
        <w:rPr>
          <w:rFonts w:ascii="Arial" w:cs="Arial" w:eastAsia="Arial" w:hAnsi="Arial"/>
          <w:sz w:val="18"/>
          <w:szCs w:val="18"/>
          <w:b w:val="1"/>
          <w:bCs w:val="1"/>
          <w:color w:val="auto"/>
        </w:rPr>
        <w:t xml:space="preserve"> </w:t>
      </w:r>
      <w:r>
        <w:rPr>
          <w:rFonts w:ascii="Arial" w:cs="Arial" w:eastAsia="Arial" w:hAnsi="Arial"/>
          <w:sz w:val="18"/>
          <w:szCs w:val="18"/>
          <w:color w:val="auto"/>
        </w:rPr>
        <w:t>governance practices. This includes oversight of the ESG program by the full Board of Directors, which reviews ESG-related risks and opportunities annually.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-398780</wp:posOffset>
            </wp:positionV>
            <wp:extent cx="402590" cy="3943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402590" cy="394335"/>
                    </a:xfrm>
                    <a:prstGeom prst="rect">
                      <a:avLst/>
                    </a:prstGeom>
                    <a:noFill/>
                  </pic:spPr>
                </pic:pic>
              </a:graphicData>
            </a:graphic>
          </wp:anchor>
        </w:drawing>
      </w:r>
    </w:p>
    <w:p>
      <w:pPr>
        <w:spacing w:after="0" w:line="124"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Sustainability Accounting Standards Board disclosures</w:t>
      </w:r>
    </w:p>
    <w:p>
      <w:pPr>
        <w:spacing w:after="0" w:line="207" w:lineRule="exact"/>
        <w:rPr>
          <w:sz w:val="20"/>
          <w:szCs w:val="20"/>
          <w:color w:val="auto"/>
        </w:rPr>
      </w:pPr>
    </w:p>
    <w:p>
      <w:pPr>
        <w:ind w:left="120" w:right="820"/>
        <w:spacing w:after="0" w:line="277" w:lineRule="auto"/>
        <w:rPr>
          <w:sz w:val="20"/>
          <w:szCs w:val="20"/>
          <w:color w:val="auto"/>
        </w:rPr>
      </w:pPr>
      <w:r>
        <w:rPr>
          <w:rFonts w:ascii="Arial" w:cs="Arial" w:eastAsia="Arial" w:hAnsi="Arial"/>
          <w:sz w:val="18"/>
          <w:szCs w:val="18"/>
          <w:color w:val="auto"/>
        </w:rPr>
        <w:t xml:space="preserve">In April 2021, TimkenSteel published its inaugural SASB disclosures. The full report is available on the Sustainability page on our website at </w:t>
      </w:r>
      <w:r>
        <w:rPr>
          <w:rFonts w:ascii="Arial" w:cs="Arial" w:eastAsia="Arial" w:hAnsi="Arial"/>
          <w:sz w:val="18"/>
          <w:szCs w:val="18"/>
          <w:b w:val="1"/>
          <w:bCs w:val="1"/>
          <w:color w:val="auto"/>
        </w:rPr>
        <w:t>www.timkensteel.com</w:t>
      </w:r>
      <w:r>
        <w:rPr>
          <w:rFonts w:ascii="Arial" w:cs="Arial" w:eastAsia="Arial" w:hAnsi="Arial"/>
          <w:sz w:val="18"/>
          <w:szCs w:val="18"/>
          <w:color w:val="auto"/>
        </w:rPr>
        <w:t>.</w:t>
      </w:r>
    </w:p>
    <w:p>
      <w:pPr>
        <w:spacing w:after="0" w:line="12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ESG oversight and risk management</w:t>
      </w:r>
    </w:p>
    <w:p>
      <w:pPr>
        <w:spacing w:after="0" w:line="194" w:lineRule="exact"/>
        <w:rPr>
          <w:sz w:val="20"/>
          <w:szCs w:val="20"/>
          <w:color w:val="auto"/>
        </w:rPr>
      </w:pPr>
    </w:p>
    <w:p>
      <w:pPr>
        <w:ind w:left="120" w:right="40"/>
        <w:spacing w:after="0" w:line="279" w:lineRule="auto"/>
        <w:rPr>
          <w:sz w:val="20"/>
          <w:szCs w:val="20"/>
          <w:color w:val="auto"/>
        </w:rPr>
      </w:pPr>
      <w:r>
        <w:rPr>
          <w:rFonts w:ascii="Arial" w:cs="Arial" w:eastAsia="Arial" w:hAnsi="Arial"/>
          <w:sz w:val="17"/>
          <w:szCs w:val="17"/>
          <w:color w:val="auto"/>
        </w:rPr>
        <w:t>TimkenSteel’s Board of Directors oversees the company’s sustainability and ESG strategy. The Board conducts an annual review of the company’s ESG strategy, risks and opportunities. The Board and its committees review information relative to the company’s environmental and safety performance, as well as human resources and governance matters, on a regular basis. The following chart highlights some of these matters, including the Board and/or committee responsible and the frequency with which these matters are reviewed.</w:t>
      </w:r>
    </w:p>
    <w:p>
      <w:pPr>
        <w:spacing w:after="0" w:line="108"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22</w:t>
      </w:r>
    </w:p>
    <w:p>
      <w:pPr>
        <w:sectPr>
          <w:pgSz w:w="11900" w:h="16838" w:orient="portrait"/>
          <w:cols w:equalWidth="0" w:num="1">
            <w:col w:w="11120"/>
          </w:cols>
          <w:pgMar w:left="320" w:top="459" w:right="4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24" w:lineRule="exact"/>
        <w:rPr>
          <w:sz w:val="20"/>
          <w:szCs w:val="20"/>
          <w:color w:val="auto"/>
        </w:rPr>
      </w:pPr>
    </w:p>
    <w:tbl>
      <w:tblPr>
        <w:tblLayout w:type="fixed"/>
        <w:tblInd w:w="120" w:type="dxa"/>
        <w:tblCellMar>
          <w:top w:w="0" w:type="dxa"/>
          <w:left w:w="0" w:type="dxa"/>
          <w:bottom w:w="0" w:type="dxa"/>
          <w:right w:w="0" w:type="dxa"/>
        </w:tblCellMar>
      </w:tblPr>
      <w:tr>
        <w:trPr>
          <w:trHeight w:val="189"/>
        </w:trPr>
        <w:tc>
          <w:tcPr>
            <w:tcW w:w="3860" w:type="dxa"/>
            <w:vAlign w:val="bottom"/>
            <w:shd w:val="clear" w:color="auto" w:fill="58595B"/>
          </w:tcPr>
          <w:p>
            <w:pPr>
              <w:spacing w:after="0"/>
              <w:rPr>
                <w:sz w:val="16"/>
                <w:szCs w:val="16"/>
                <w:color w:val="auto"/>
              </w:rPr>
            </w:pPr>
          </w:p>
        </w:tc>
        <w:tc>
          <w:tcPr>
            <w:tcW w:w="1220" w:type="dxa"/>
            <w:vAlign w:val="bottom"/>
            <w:shd w:val="clear" w:color="auto" w:fill="58595B"/>
          </w:tcPr>
          <w:p>
            <w:pPr>
              <w:jc w:val="center"/>
              <w:ind w:left="99"/>
              <w:spacing w:after="0"/>
              <w:rPr>
                <w:sz w:val="20"/>
                <w:szCs w:val="20"/>
                <w:color w:val="auto"/>
              </w:rPr>
            </w:pPr>
            <w:r>
              <w:rPr>
                <w:rFonts w:ascii="Arial" w:cs="Arial" w:eastAsia="Arial" w:hAnsi="Arial"/>
                <w:sz w:val="16"/>
                <w:szCs w:val="16"/>
                <w:b w:val="1"/>
                <w:bCs w:val="1"/>
                <w:color w:val="FFFFFF"/>
                <w:w w:val="91"/>
              </w:rPr>
              <w:t>Board of</w:t>
            </w:r>
          </w:p>
        </w:tc>
        <w:tc>
          <w:tcPr>
            <w:tcW w:w="114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7"/>
              </w:rPr>
              <w:t>Audit</w:t>
            </w:r>
          </w:p>
        </w:tc>
        <w:tc>
          <w:tcPr>
            <w:tcW w:w="138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89"/>
              </w:rPr>
              <w:t>Compensation</w:t>
            </w:r>
          </w:p>
        </w:tc>
        <w:tc>
          <w:tcPr>
            <w:tcW w:w="150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3"/>
              </w:rPr>
              <w:t>Nominating</w:t>
            </w:r>
          </w:p>
        </w:tc>
        <w:tc>
          <w:tcPr>
            <w:tcW w:w="1920" w:type="dxa"/>
            <w:vAlign w:val="bottom"/>
            <w:shd w:val="clear" w:color="auto" w:fill="58595B"/>
          </w:tcPr>
          <w:p>
            <w:pPr>
              <w:jc w:val="center"/>
              <w:ind w:left="19"/>
              <w:spacing w:after="0"/>
              <w:rPr>
                <w:sz w:val="20"/>
                <w:szCs w:val="20"/>
                <w:color w:val="auto"/>
              </w:rPr>
            </w:pPr>
            <w:r>
              <w:rPr>
                <w:rFonts w:ascii="Arial" w:cs="Arial" w:eastAsia="Arial" w:hAnsi="Arial"/>
                <w:sz w:val="16"/>
                <w:szCs w:val="16"/>
                <w:b w:val="1"/>
                <w:bCs w:val="1"/>
                <w:color w:val="FFFFFF"/>
                <w:w w:val="91"/>
              </w:rPr>
              <w:t>Frequency of Review</w:t>
            </w:r>
          </w:p>
        </w:tc>
      </w:tr>
      <w:tr>
        <w:trPr>
          <w:trHeight w:val="203"/>
        </w:trPr>
        <w:tc>
          <w:tcPr>
            <w:tcW w:w="3860" w:type="dxa"/>
            <w:vAlign w:val="bottom"/>
            <w:shd w:val="clear" w:color="auto" w:fill="58595B"/>
          </w:tcPr>
          <w:p>
            <w:pPr>
              <w:spacing w:after="0"/>
              <w:rPr>
                <w:sz w:val="17"/>
                <w:szCs w:val="17"/>
                <w:color w:val="auto"/>
              </w:rPr>
            </w:pPr>
          </w:p>
        </w:tc>
        <w:tc>
          <w:tcPr>
            <w:tcW w:w="1220" w:type="dxa"/>
            <w:vAlign w:val="bottom"/>
            <w:shd w:val="clear" w:color="auto" w:fill="58595B"/>
          </w:tcPr>
          <w:p>
            <w:pPr>
              <w:jc w:val="center"/>
              <w:ind w:left="99"/>
              <w:spacing w:after="0"/>
              <w:rPr>
                <w:sz w:val="20"/>
                <w:szCs w:val="20"/>
                <w:color w:val="auto"/>
              </w:rPr>
            </w:pPr>
            <w:r>
              <w:rPr>
                <w:rFonts w:ascii="Arial" w:cs="Arial" w:eastAsia="Arial" w:hAnsi="Arial"/>
                <w:sz w:val="16"/>
                <w:szCs w:val="16"/>
                <w:b w:val="1"/>
                <w:bCs w:val="1"/>
                <w:color w:val="FFFFFF"/>
                <w:w w:val="91"/>
              </w:rPr>
              <w:t>Directors</w:t>
            </w:r>
          </w:p>
        </w:tc>
        <w:tc>
          <w:tcPr>
            <w:tcW w:w="114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1"/>
              </w:rPr>
              <w:t>Committee</w:t>
            </w:r>
          </w:p>
        </w:tc>
        <w:tc>
          <w:tcPr>
            <w:tcW w:w="138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1"/>
              </w:rPr>
              <w:t>Committee</w:t>
            </w:r>
          </w:p>
        </w:tc>
        <w:tc>
          <w:tcPr>
            <w:tcW w:w="150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3"/>
              </w:rPr>
              <w:t>and Corporate</w:t>
            </w:r>
          </w:p>
        </w:tc>
        <w:tc>
          <w:tcPr>
            <w:tcW w:w="1920" w:type="dxa"/>
            <w:vAlign w:val="bottom"/>
            <w:shd w:val="clear" w:color="auto" w:fill="58595B"/>
          </w:tcPr>
          <w:p>
            <w:pPr>
              <w:spacing w:after="0"/>
              <w:rPr>
                <w:sz w:val="17"/>
                <w:szCs w:val="17"/>
                <w:color w:val="auto"/>
              </w:rPr>
            </w:pPr>
          </w:p>
        </w:tc>
      </w:tr>
      <w:tr>
        <w:trPr>
          <w:trHeight w:val="203"/>
        </w:trPr>
        <w:tc>
          <w:tcPr>
            <w:tcW w:w="3860" w:type="dxa"/>
            <w:vAlign w:val="bottom"/>
            <w:shd w:val="clear" w:color="auto" w:fill="58595B"/>
          </w:tcPr>
          <w:p>
            <w:pPr>
              <w:spacing w:after="0"/>
              <w:rPr>
                <w:sz w:val="17"/>
                <w:szCs w:val="17"/>
                <w:color w:val="auto"/>
              </w:rPr>
            </w:pPr>
          </w:p>
        </w:tc>
        <w:tc>
          <w:tcPr>
            <w:tcW w:w="1220" w:type="dxa"/>
            <w:vAlign w:val="bottom"/>
            <w:shd w:val="clear" w:color="auto" w:fill="58595B"/>
          </w:tcPr>
          <w:p>
            <w:pPr>
              <w:spacing w:after="0"/>
              <w:rPr>
                <w:sz w:val="17"/>
                <w:szCs w:val="17"/>
                <w:color w:val="auto"/>
              </w:rPr>
            </w:pPr>
          </w:p>
        </w:tc>
        <w:tc>
          <w:tcPr>
            <w:tcW w:w="1140" w:type="dxa"/>
            <w:vAlign w:val="bottom"/>
            <w:shd w:val="clear" w:color="auto" w:fill="58595B"/>
          </w:tcPr>
          <w:p>
            <w:pPr>
              <w:spacing w:after="0"/>
              <w:rPr>
                <w:sz w:val="17"/>
                <w:szCs w:val="17"/>
                <w:color w:val="auto"/>
              </w:rPr>
            </w:pPr>
          </w:p>
        </w:tc>
        <w:tc>
          <w:tcPr>
            <w:tcW w:w="1380" w:type="dxa"/>
            <w:vAlign w:val="bottom"/>
            <w:shd w:val="clear" w:color="auto" w:fill="58595B"/>
          </w:tcPr>
          <w:p>
            <w:pPr>
              <w:spacing w:after="0"/>
              <w:rPr>
                <w:sz w:val="17"/>
                <w:szCs w:val="17"/>
                <w:color w:val="auto"/>
              </w:rPr>
            </w:pPr>
          </w:p>
        </w:tc>
        <w:tc>
          <w:tcPr>
            <w:tcW w:w="150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0"/>
              </w:rPr>
              <w:t>Governance</w:t>
            </w:r>
          </w:p>
        </w:tc>
        <w:tc>
          <w:tcPr>
            <w:tcW w:w="1920" w:type="dxa"/>
            <w:vAlign w:val="bottom"/>
            <w:shd w:val="clear" w:color="auto" w:fill="58595B"/>
          </w:tcPr>
          <w:p>
            <w:pPr>
              <w:spacing w:after="0"/>
              <w:rPr>
                <w:sz w:val="17"/>
                <w:szCs w:val="17"/>
                <w:color w:val="auto"/>
              </w:rPr>
            </w:pPr>
          </w:p>
        </w:tc>
      </w:tr>
      <w:tr>
        <w:trPr>
          <w:trHeight w:val="216"/>
        </w:trPr>
        <w:tc>
          <w:tcPr>
            <w:tcW w:w="3860" w:type="dxa"/>
            <w:vAlign w:val="bottom"/>
            <w:shd w:val="clear" w:color="auto" w:fill="58595B"/>
          </w:tcPr>
          <w:p>
            <w:pPr>
              <w:spacing w:after="0"/>
              <w:rPr>
                <w:sz w:val="18"/>
                <w:szCs w:val="18"/>
                <w:color w:val="auto"/>
              </w:rPr>
            </w:pPr>
          </w:p>
        </w:tc>
        <w:tc>
          <w:tcPr>
            <w:tcW w:w="1220" w:type="dxa"/>
            <w:vAlign w:val="bottom"/>
            <w:shd w:val="clear" w:color="auto" w:fill="58595B"/>
          </w:tcPr>
          <w:p>
            <w:pPr>
              <w:spacing w:after="0"/>
              <w:rPr>
                <w:sz w:val="18"/>
                <w:szCs w:val="18"/>
                <w:color w:val="auto"/>
              </w:rPr>
            </w:pPr>
          </w:p>
        </w:tc>
        <w:tc>
          <w:tcPr>
            <w:tcW w:w="1140" w:type="dxa"/>
            <w:vAlign w:val="bottom"/>
            <w:shd w:val="clear" w:color="auto" w:fill="58595B"/>
          </w:tcPr>
          <w:p>
            <w:pPr>
              <w:spacing w:after="0"/>
              <w:rPr>
                <w:sz w:val="18"/>
                <w:szCs w:val="18"/>
                <w:color w:val="auto"/>
              </w:rPr>
            </w:pPr>
          </w:p>
        </w:tc>
        <w:tc>
          <w:tcPr>
            <w:tcW w:w="1380" w:type="dxa"/>
            <w:vAlign w:val="bottom"/>
            <w:shd w:val="clear" w:color="auto" w:fill="58595B"/>
          </w:tcPr>
          <w:p>
            <w:pPr>
              <w:spacing w:after="0"/>
              <w:rPr>
                <w:sz w:val="18"/>
                <w:szCs w:val="18"/>
                <w:color w:val="auto"/>
              </w:rPr>
            </w:pPr>
          </w:p>
        </w:tc>
        <w:tc>
          <w:tcPr>
            <w:tcW w:w="1500" w:type="dxa"/>
            <w:vAlign w:val="bottom"/>
            <w:shd w:val="clear" w:color="auto" w:fill="58595B"/>
          </w:tcPr>
          <w:p>
            <w:pPr>
              <w:jc w:val="center"/>
              <w:spacing w:after="0"/>
              <w:rPr>
                <w:sz w:val="20"/>
                <w:szCs w:val="20"/>
                <w:color w:val="auto"/>
              </w:rPr>
            </w:pPr>
            <w:r>
              <w:rPr>
                <w:rFonts w:ascii="Arial" w:cs="Arial" w:eastAsia="Arial" w:hAnsi="Arial"/>
                <w:sz w:val="16"/>
                <w:szCs w:val="16"/>
                <w:b w:val="1"/>
                <w:bCs w:val="1"/>
                <w:color w:val="FFFFFF"/>
                <w:w w:val="94"/>
              </w:rPr>
              <w:t>Committee</w:t>
            </w:r>
          </w:p>
        </w:tc>
        <w:tc>
          <w:tcPr>
            <w:tcW w:w="1920" w:type="dxa"/>
            <w:vAlign w:val="bottom"/>
            <w:shd w:val="clear" w:color="auto" w:fill="58595B"/>
          </w:tcPr>
          <w:p>
            <w:pPr>
              <w:spacing w:after="0"/>
              <w:rPr>
                <w:sz w:val="18"/>
                <w:szCs w:val="18"/>
                <w:color w:val="auto"/>
              </w:rPr>
            </w:pP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b w:val="1"/>
                <w:bCs w:val="1"/>
                <w:color w:val="auto"/>
              </w:rPr>
              <w:t>Review of ESG strategy, risks and opportunities</w:t>
            </w:r>
          </w:p>
        </w:tc>
        <w:tc>
          <w:tcPr>
            <w:tcW w:w="1220" w:type="dxa"/>
            <w:vAlign w:val="bottom"/>
            <w:shd w:val="clear" w:color="auto" w:fill="DCDDDE"/>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spacing w:after="0"/>
              <w:rPr>
                <w:sz w:val="20"/>
                <w:szCs w:val="20"/>
                <w:color w:val="auto"/>
              </w:rPr>
            </w:pPr>
            <w:r>
              <w:rPr>
                <w:rFonts w:ascii="Arial" w:cs="Arial" w:eastAsia="Arial" w:hAnsi="Arial"/>
                <w:sz w:val="16"/>
                <w:szCs w:val="16"/>
                <w:color w:val="auto"/>
                <w:w w:val="97"/>
              </w:rPr>
              <w:t>Annually</w:t>
            </w:r>
          </w:p>
        </w:tc>
      </w:tr>
      <w:tr>
        <w:trPr>
          <w:trHeight w:val="203"/>
        </w:trPr>
        <w:tc>
          <w:tcPr>
            <w:tcW w:w="38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spacing w:after="0"/>
              <w:rPr>
                <w:sz w:val="17"/>
                <w:szCs w:val="17"/>
                <w:color w:val="auto"/>
              </w:rPr>
            </w:pP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b w:val="1"/>
                <w:bCs w:val="1"/>
                <w:i w:val="1"/>
                <w:iCs w:val="1"/>
                <w:color w:val="auto"/>
              </w:rPr>
              <w:t>Environmental</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spacing w:after="0"/>
              <w:rPr>
                <w:sz w:val="17"/>
                <w:szCs w:val="17"/>
                <w:color w:val="auto"/>
              </w:rPr>
            </w:pP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Greenhouse gas emissions</w:t>
            </w:r>
          </w:p>
        </w:tc>
        <w:tc>
          <w:tcPr>
            <w:tcW w:w="1220" w:type="dxa"/>
            <w:vAlign w:val="bottom"/>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Water usage</w:t>
            </w:r>
          </w:p>
        </w:tc>
        <w:tc>
          <w:tcPr>
            <w:tcW w:w="1220" w:type="dxa"/>
            <w:vAlign w:val="bottom"/>
            <w:shd w:val="clear" w:color="auto" w:fill="DCDDDE"/>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Waste-to-landfill</w:t>
            </w:r>
          </w:p>
        </w:tc>
        <w:tc>
          <w:tcPr>
            <w:tcW w:w="1220" w:type="dxa"/>
            <w:vAlign w:val="bottom"/>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Reportable events</w:t>
            </w:r>
          </w:p>
        </w:tc>
        <w:tc>
          <w:tcPr>
            <w:tcW w:w="1220" w:type="dxa"/>
            <w:vAlign w:val="bottom"/>
            <w:shd w:val="clear" w:color="auto" w:fill="DCDDDE"/>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spacing w:after="0"/>
              <w:rPr>
                <w:sz w:val="17"/>
                <w:szCs w:val="17"/>
                <w:color w:val="auto"/>
              </w:rPr>
            </w:pP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b w:val="1"/>
                <w:bCs w:val="1"/>
                <w:i w:val="1"/>
                <w:iCs w:val="1"/>
                <w:color w:val="auto"/>
              </w:rPr>
              <w:t>Social</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spacing w:after="0"/>
              <w:rPr>
                <w:sz w:val="17"/>
                <w:szCs w:val="17"/>
                <w:color w:val="auto"/>
              </w:rPr>
            </w:pP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b w:val="1"/>
                <w:bCs w:val="1"/>
                <w:color w:val="auto"/>
              </w:rPr>
              <w:t>Safety</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spacing w:after="0"/>
              <w:rPr>
                <w:sz w:val="17"/>
                <w:szCs w:val="17"/>
                <w:color w:val="auto"/>
              </w:rPr>
            </w:pP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OSHA recordable case rates</w:t>
            </w:r>
          </w:p>
        </w:tc>
        <w:tc>
          <w:tcPr>
            <w:tcW w:w="1220" w:type="dxa"/>
            <w:vAlign w:val="bottom"/>
            <w:shd w:val="clear" w:color="auto" w:fill="DCDDDE"/>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Lost time case rates</w:t>
            </w:r>
          </w:p>
        </w:tc>
        <w:tc>
          <w:tcPr>
            <w:tcW w:w="1220" w:type="dxa"/>
            <w:vAlign w:val="bottom"/>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b w:val="1"/>
                <w:bCs w:val="1"/>
                <w:color w:val="auto"/>
              </w:rPr>
              <w:t>Human Resources</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spacing w:after="0"/>
              <w:rPr>
                <w:sz w:val="17"/>
                <w:szCs w:val="17"/>
                <w:color w:val="auto"/>
              </w:rPr>
            </w:pP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Headcount</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jc w:val="center"/>
              <w:spacing w:after="0"/>
              <w:rPr>
                <w:sz w:val="20"/>
                <w:szCs w:val="20"/>
                <w:color w:val="auto"/>
              </w:rPr>
            </w:pPr>
            <w:r>
              <w:rPr>
                <w:rFonts w:ascii="Arial" w:cs="Arial" w:eastAsia="Arial" w:hAnsi="Arial"/>
                <w:sz w:val="16"/>
                <w:szCs w:val="16"/>
                <w:color w:val="auto"/>
              </w:rPr>
              <w:t>X</w:t>
            </w: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Voluntary attrition</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Payroll costs</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jc w:val="center"/>
              <w:spacing w:after="0"/>
              <w:rPr>
                <w:sz w:val="20"/>
                <w:szCs w:val="20"/>
                <w:color w:val="auto"/>
              </w:rPr>
            </w:pPr>
            <w:r>
              <w:rPr>
                <w:rFonts w:ascii="Arial" w:cs="Arial" w:eastAsia="Arial" w:hAnsi="Arial"/>
                <w:sz w:val="16"/>
                <w:szCs w:val="16"/>
                <w:color w:val="auto"/>
              </w:rPr>
              <w:t>X</w:t>
            </w: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Grievances filed by union</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At least quarterly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Employee diversity</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jc w:val="center"/>
              <w:spacing w:after="0"/>
              <w:rPr>
                <w:sz w:val="20"/>
                <w:szCs w:val="20"/>
                <w:color w:val="auto"/>
              </w:rPr>
            </w:pPr>
            <w:r>
              <w:rPr>
                <w:rFonts w:ascii="Arial" w:cs="Arial" w:eastAsia="Arial" w:hAnsi="Arial"/>
                <w:sz w:val="16"/>
                <w:szCs w:val="16"/>
                <w:color w:val="auto"/>
              </w:rPr>
              <w:t>X</w:t>
            </w:r>
          </w:p>
        </w:tc>
        <w:tc>
          <w:tcPr>
            <w:tcW w:w="1500" w:type="dxa"/>
            <w:vAlign w:val="bottom"/>
          </w:tcPr>
          <w:p>
            <w:pPr>
              <w:spacing w:after="0"/>
              <w:rPr>
                <w:sz w:val="17"/>
                <w:szCs w:val="17"/>
                <w:color w:val="auto"/>
              </w:rPr>
            </w:pPr>
          </w:p>
        </w:tc>
        <w:tc>
          <w:tcPr>
            <w:tcW w:w="1920" w:type="dxa"/>
            <w:vAlign w:val="bottom"/>
          </w:tcPr>
          <w:p>
            <w:pPr>
              <w:jc w:val="center"/>
              <w:spacing w:after="0"/>
              <w:rPr>
                <w:sz w:val="20"/>
                <w:szCs w:val="20"/>
                <w:color w:val="auto"/>
              </w:rPr>
            </w:pPr>
            <w:r>
              <w:rPr>
                <w:rFonts w:ascii="Arial" w:cs="Arial" w:eastAsia="Arial" w:hAnsi="Arial"/>
                <w:sz w:val="16"/>
                <w:szCs w:val="16"/>
                <w:color w:val="auto"/>
                <w:w w:val="97"/>
              </w:rPr>
              <w:t>Annually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Succession planning</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spacing w:after="0"/>
              <w:rPr>
                <w:sz w:val="20"/>
                <w:szCs w:val="20"/>
                <w:color w:val="auto"/>
              </w:rPr>
            </w:pPr>
            <w:r>
              <w:rPr>
                <w:rFonts w:ascii="Arial" w:cs="Arial" w:eastAsia="Arial" w:hAnsi="Arial"/>
                <w:sz w:val="16"/>
                <w:szCs w:val="16"/>
                <w:color w:val="auto"/>
                <w:w w:val="97"/>
              </w:rPr>
              <w:t>Annually</w:t>
            </w:r>
          </w:p>
        </w:tc>
      </w:tr>
      <w:tr>
        <w:trPr>
          <w:trHeight w:val="203"/>
        </w:trPr>
        <w:tc>
          <w:tcPr>
            <w:tcW w:w="38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spacing w:after="0"/>
              <w:rPr>
                <w:sz w:val="17"/>
                <w:szCs w:val="17"/>
                <w:color w:val="auto"/>
              </w:rPr>
            </w:pP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b w:val="1"/>
                <w:bCs w:val="1"/>
                <w:i w:val="1"/>
                <w:iCs w:val="1"/>
                <w:color w:val="auto"/>
              </w:rPr>
              <w:t>Governance</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spacing w:after="0"/>
              <w:rPr>
                <w:sz w:val="17"/>
                <w:szCs w:val="17"/>
                <w:color w:val="auto"/>
              </w:rPr>
            </w:pP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Ethics and compliance reports</w:t>
            </w:r>
          </w:p>
        </w:tc>
        <w:tc>
          <w:tcPr>
            <w:tcW w:w="1220" w:type="dxa"/>
            <w:vAlign w:val="bottom"/>
          </w:tcPr>
          <w:p>
            <w:pPr>
              <w:spacing w:after="0"/>
              <w:rPr>
                <w:sz w:val="17"/>
                <w:szCs w:val="17"/>
                <w:color w:val="auto"/>
              </w:rPr>
            </w:pPr>
          </w:p>
        </w:tc>
        <w:tc>
          <w:tcPr>
            <w:tcW w:w="1140" w:type="dxa"/>
            <w:vAlign w:val="bottom"/>
          </w:tcPr>
          <w:p>
            <w:pPr>
              <w:jc w:val="center"/>
              <w:spacing w:after="0"/>
              <w:rPr>
                <w:sz w:val="20"/>
                <w:szCs w:val="20"/>
                <w:color w:val="auto"/>
              </w:rPr>
            </w:pPr>
            <w:r>
              <w:rPr>
                <w:rFonts w:ascii="Arial" w:cs="Arial" w:eastAsia="Arial" w:hAnsi="Arial"/>
                <w:sz w:val="16"/>
                <w:szCs w:val="16"/>
                <w:color w:val="auto"/>
              </w:rPr>
              <w:t>X</w:t>
            </w: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4"/>
              </w:rPr>
              <w:t>Quarterly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Related party transactions</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3"/>
              </w:rPr>
              <w:t>At least annually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Cybersecurity risks</w:t>
            </w:r>
          </w:p>
        </w:tc>
        <w:tc>
          <w:tcPr>
            <w:tcW w:w="1220" w:type="dxa"/>
            <w:vAlign w:val="bottom"/>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3"/>
              </w:rPr>
              <w:t>At least annually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Disclosure controls and procedures</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spacing w:after="0"/>
              <w:rPr>
                <w:sz w:val="17"/>
                <w:szCs w:val="17"/>
                <w:color w:val="auto"/>
              </w:rPr>
            </w:pP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4"/>
              </w:rPr>
              <w:t>Quarterly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Executive compensation</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jc w:val="center"/>
              <w:spacing w:after="0"/>
              <w:rPr>
                <w:sz w:val="20"/>
                <w:szCs w:val="20"/>
                <w:color w:val="auto"/>
              </w:rPr>
            </w:pPr>
            <w:r>
              <w:rPr>
                <w:rFonts w:ascii="Arial" w:cs="Arial" w:eastAsia="Arial" w:hAnsi="Arial"/>
                <w:sz w:val="16"/>
                <w:szCs w:val="16"/>
                <w:color w:val="auto"/>
              </w:rPr>
              <w:t>X</w:t>
            </w:r>
          </w:p>
        </w:tc>
        <w:tc>
          <w:tcPr>
            <w:tcW w:w="1500" w:type="dxa"/>
            <w:vAlign w:val="bottom"/>
          </w:tcPr>
          <w:p>
            <w:pPr>
              <w:spacing w:after="0"/>
              <w:rPr>
                <w:sz w:val="17"/>
                <w:szCs w:val="17"/>
                <w:color w:val="auto"/>
              </w:rPr>
            </w:pP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3"/>
              </w:rPr>
              <w:t>At least annually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Director independence</w:t>
            </w:r>
          </w:p>
        </w:tc>
        <w:tc>
          <w:tcPr>
            <w:tcW w:w="1220" w:type="dxa"/>
            <w:vAlign w:val="bottom"/>
            <w:shd w:val="clear" w:color="auto" w:fill="DCDDDE"/>
          </w:tcPr>
          <w:p>
            <w:pPr>
              <w:spacing w:after="0"/>
              <w:rPr>
                <w:sz w:val="17"/>
                <w:szCs w:val="17"/>
                <w:color w:val="auto"/>
              </w:rPr>
            </w:pPr>
          </w:p>
        </w:tc>
        <w:tc>
          <w:tcPr>
            <w:tcW w:w="1140" w:type="dxa"/>
            <w:vAlign w:val="bottom"/>
            <w:shd w:val="clear" w:color="auto" w:fill="DCDDDE"/>
          </w:tcPr>
          <w:p>
            <w:pPr>
              <w:spacing w:after="0"/>
              <w:rPr>
                <w:sz w:val="17"/>
                <w:szCs w:val="17"/>
                <w:color w:val="auto"/>
              </w:rPr>
            </w:pPr>
          </w:p>
        </w:tc>
        <w:tc>
          <w:tcPr>
            <w:tcW w:w="1380" w:type="dxa"/>
            <w:vAlign w:val="bottom"/>
            <w:shd w:val="clear" w:color="auto" w:fill="DCDDDE"/>
          </w:tcPr>
          <w:p>
            <w:pPr>
              <w:spacing w:after="0"/>
              <w:rPr>
                <w:sz w:val="17"/>
                <w:szCs w:val="17"/>
                <w:color w:val="auto"/>
              </w:rPr>
            </w:pPr>
          </w:p>
        </w:tc>
        <w:tc>
          <w:tcPr>
            <w:tcW w:w="150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920" w:type="dxa"/>
            <w:vAlign w:val="bottom"/>
            <w:shd w:val="clear" w:color="auto" w:fill="DCDDDE"/>
          </w:tcPr>
          <w:p>
            <w:pPr>
              <w:jc w:val="center"/>
              <w:ind w:left="19"/>
              <w:spacing w:after="0"/>
              <w:rPr>
                <w:sz w:val="20"/>
                <w:szCs w:val="20"/>
                <w:color w:val="auto"/>
              </w:rPr>
            </w:pPr>
            <w:r>
              <w:rPr>
                <w:rFonts w:ascii="Arial" w:cs="Arial" w:eastAsia="Arial" w:hAnsi="Arial"/>
                <w:sz w:val="16"/>
                <w:szCs w:val="16"/>
                <w:color w:val="auto"/>
                <w:w w:val="93"/>
              </w:rPr>
              <w:t>At least annually</w:t>
            </w:r>
          </w:p>
        </w:tc>
      </w:tr>
      <w:tr>
        <w:trPr>
          <w:trHeight w:val="203"/>
        </w:trPr>
        <w:tc>
          <w:tcPr>
            <w:tcW w:w="3860" w:type="dxa"/>
            <w:vAlign w:val="bottom"/>
          </w:tcPr>
          <w:p>
            <w:pPr>
              <w:ind w:left="160"/>
              <w:spacing w:after="0"/>
              <w:rPr>
                <w:sz w:val="20"/>
                <w:szCs w:val="20"/>
                <w:color w:val="auto"/>
              </w:rPr>
            </w:pPr>
            <w:r>
              <w:rPr>
                <w:rFonts w:ascii="Arial" w:cs="Arial" w:eastAsia="Arial" w:hAnsi="Arial"/>
                <w:sz w:val="16"/>
                <w:szCs w:val="16"/>
                <w:color w:val="auto"/>
              </w:rPr>
              <w:t>Board diversity/ skills and qualifications</w:t>
            </w:r>
          </w:p>
        </w:tc>
        <w:tc>
          <w:tcPr>
            <w:tcW w:w="12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500" w:type="dxa"/>
            <w:vAlign w:val="bottom"/>
          </w:tcPr>
          <w:p>
            <w:pPr>
              <w:jc w:val="center"/>
              <w:spacing w:after="0"/>
              <w:rPr>
                <w:sz w:val="20"/>
                <w:szCs w:val="20"/>
                <w:color w:val="auto"/>
              </w:rPr>
            </w:pPr>
            <w:r>
              <w:rPr>
                <w:rFonts w:ascii="Arial" w:cs="Arial" w:eastAsia="Arial" w:hAnsi="Arial"/>
                <w:sz w:val="16"/>
                <w:szCs w:val="16"/>
                <w:color w:val="auto"/>
              </w:rPr>
              <w:t>X</w:t>
            </w:r>
          </w:p>
        </w:tc>
        <w:tc>
          <w:tcPr>
            <w:tcW w:w="1920" w:type="dxa"/>
            <w:vAlign w:val="bottom"/>
          </w:tcPr>
          <w:p>
            <w:pPr>
              <w:jc w:val="center"/>
              <w:ind w:left="19"/>
              <w:spacing w:after="0"/>
              <w:rPr>
                <w:sz w:val="20"/>
                <w:szCs w:val="20"/>
                <w:color w:val="auto"/>
              </w:rPr>
            </w:pPr>
            <w:r>
              <w:rPr>
                <w:rFonts w:ascii="Arial" w:cs="Arial" w:eastAsia="Arial" w:hAnsi="Arial"/>
                <w:sz w:val="16"/>
                <w:szCs w:val="16"/>
                <w:color w:val="auto"/>
                <w:w w:val="93"/>
              </w:rPr>
              <w:t>At least annually</w:t>
            </w:r>
          </w:p>
        </w:tc>
      </w:tr>
      <w:tr>
        <w:trPr>
          <w:trHeight w:val="203"/>
        </w:trPr>
        <w:tc>
          <w:tcPr>
            <w:tcW w:w="3860" w:type="dxa"/>
            <w:vAlign w:val="bottom"/>
            <w:shd w:val="clear" w:color="auto" w:fill="DCDDDE"/>
          </w:tcPr>
          <w:p>
            <w:pPr>
              <w:ind w:left="160"/>
              <w:spacing w:after="0"/>
              <w:rPr>
                <w:sz w:val="20"/>
                <w:szCs w:val="20"/>
                <w:color w:val="auto"/>
              </w:rPr>
            </w:pPr>
            <w:r>
              <w:rPr>
                <w:rFonts w:ascii="Arial" w:cs="Arial" w:eastAsia="Arial" w:hAnsi="Arial"/>
                <w:sz w:val="16"/>
                <w:szCs w:val="16"/>
                <w:color w:val="auto"/>
              </w:rPr>
              <w:t>Board and committee evaluations</w:t>
            </w:r>
          </w:p>
        </w:tc>
        <w:tc>
          <w:tcPr>
            <w:tcW w:w="1220" w:type="dxa"/>
            <w:vAlign w:val="bottom"/>
            <w:shd w:val="clear" w:color="auto" w:fill="DCDDDE"/>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38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500" w:type="dxa"/>
            <w:vAlign w:val="bottom"/>
            <w:shd w:val="clear" w:color="auto" w:fill="DCDDDE"/>
          </w:tcPr>
          <w:p>
            <w:pPr>
              <w:jc w:val="center"/>
              <w:spacing w:after="0"/>
              <w:rPr>
                <w:sz w:val="20"/>
                <w:szCs w:val="20"/>
                <w:color w:val="auto"/>
              </w:rPr>
            </w:pPr>
            <w:r>
              <w:rPr>
                <w:rFonts w:ascii="Arial" w:cs="Arial" w:eastAsia="Arial" w:hAnsi="Arial"/>
                <w:sz w:val="16"/>
                <w:szCs w:val="16"/>
                <w:color w:val="auto"/>
              </w:rPr>
              <w:t>X</w:t>
            </w:r>
          </w:p>
        </w:tc>
        <w:tc>
          <w:tcPr>
            <w:tcW w:w="1920" w:type="dxa"/>
            <w:vAlign w:val="bottom"/>
            <w:shd w:val="clear" w:color="auto" w:fill="DCDDDE"/>
          </w:tcPr>
          <w:p>
            <w:pPr>
              <w:jc w:val="center"/>
              <w:spacing w:after="0"/>
              <w:rPr>
                <w:sz w:val="20"/>
                <w:szCs w:val="20"/>
                <w:color w:val="auto"/>
              </w:rPr>
            </w:pPr>
            <w:r>
              <w:rPr>
                <w:rFonts w:ascii="Arial" w:cs="Arial" w:eastAsia="Arial" w:hAnsi="Arial"/>
                <w:sz w:val="16"/>
                <w:szCs w:val="16"/>
                <w:color w:val="auto"/>
                <w:w w:val="97"/>
              </w:rPr>
              <w:t>Annually</w:t>
            </w:r>
          </w:p>
        </w:tc>
      </w:tr>
      <w:tr>
        <w:trPr>
          <w:trHeight w:val="206"/>
        </w:trPr>
        <w:tc>
          <w:tcPr>
            <w:tcW w:w="3860" w:type="dxa"/>
            <w:vAlign w:val="bottom"/>
          </w:tcPr>
          <w:p>
            <w:pPr>
              <w:ind w:left="160"/>
              <w:spacing w:after="0"/>
              <w:rPr>
                <w:sz w:val="20"/>
                <w:szCs w:val="20"/>
                <w:color w:val="auto"/>
              </w:rPr>
            </w:pPr>
            <w:r>
              <w:rPr>
                <w:rFonts w:ascii="Arial" w:cs="Arial" w:eastAsia="Arial" w:hAnsi="Arial"/>
                <w:sz w:val="16"/>
                <w:szCs w:val="16"/>
                <w:color w:val="auto"/>
              </w:rPr>
              <w:t>Enterprise risk management</w:t>
            </w:r>
          </w:p>
        </w:tc>
        <w:tc>
          <w:tcPr>
            <w:tcW w:w="1220" w:type="dxa"/>
            <w:vAlign w:val="bottom"/>
          </w:tcPr>
          <w:p>
            <w:pPr>
              <w:jc w:val="center"/>
              <w:ind w:left="99"/>
              <w:spacing w:after="0"/>
              <w:rPr>
                <w:sz w:val="20"/>
                <w:szCs w:val="20"/>
                <w:color w:val="auto"/>
              </w:rPr>
            </w:pPr>
            <w:r>
              <w:rPr>
                <w:rFonts w:ascii="Arial" w:cs="Arial" w:eastAsia="Arial" w:hAnsi="Arial"/>
                <w:sz w:val="16"/>
                <w:szCs w:val="16"/>
                <w:color w:val="auto"/>
              </w:rPr>
              <w:t>X</w:t>
            </w:r>
          </w:p>
        </w:tc>
        <w:tc>
          <w:tcPr>
            <w:tcW w:w="1140" w:type="dxa"/>
            <w:vAlign w:val="bottom"/>
          </w:tcPr>
          <w:p>
            <w:pPr>
              <w:jc w:val="center"/>
              <w:spacing w:after="0"/>
              <w:rPr>
                <w:sz w:val="20"/>
                <w:szCs w:val="20"/>
                <w:color w:val="auto"/>
              </w:rPr>
            </w:pPr>
            <w:r>
              <w:rPr>
                <w:rFonts w:ascii="Arial" w:cs="Arial" w:eastAsia="Arial" w:hAnsi="Arial"/>
                <w:sz w:val="16"/>
                <w:szCs w:val="16"/>
                <w:color w:val="auto"/>
              </w:rPr>
              <w:t>X</w:t>
            </w:r>
          </w:p>
        </w:tc>
        <w:tc>
          <w:tcPr>
            <w:tcW w:w="138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1920" w:type="dxa"/>
            <w:vAlign w:val="bottom"/>
          </w:tcPr>
          <w:p>
            <w:pPr>
              <w:jc w:val="center"/>
              <w:spacing w:after="0"/>
              <w:rPr>
                <w:sz w:val="20"/>
                <w:szCs w:val="20"/>
                <w:color w:val="auto"/>
              </w:rPr>
            </w:pPr>
            <w:r>
              <w:rPr>
                <w:rFonts w:ascii="Arial" w:cs="Arial" w:eastAsia="Arial" w:hAnsi="Arial"/>
                <w:sz w:val="16"/>
                <w:szCs w:val="16"/>
                <w:color w:val="auto"/>
                <w:w w:val="97"/>
              </w:rPr>
              <w:t>Annually</w:t>
            </w:r>
          </w:p>
        </w:tc>
      </w:tr>
    </w:tbl>
    <w:p>
      <w:pPr>
        <w:spacing w:after="0" w:line="198" w:lineRule="exact"/>
        <w:rPr>
          <w:sz w:val="20"/>
          <w:szCs w:val="20"/>
          <w:color w:val="auto"/>
        </w:rPr>
      </w:pPr>
    </w:p>
    <w:p>
      <w:pPr>
        <w:ind w:left="120" w:right="80"/>
        <w:spacing w:after="0" w:line="291" w:lineRule="auto"/>
        <w:rPr>
          <w:sz w:val="20"/>
          <w:szCs w:val="20"/>
          <w:color w:val="auto"/>
        </w:rPr>
      </w:pPr>
      <w:r>
        <w:rPr>
          <w:rFonts w:ascii="Arial" w:cs="Arial" w:eastAsia="Arial" w:hAnsi="Arial"/>
          <w:sz w:val="16"/>
          <w:szCs w:val="16"/>
          <w:color w:val="auto"/>
        </w:rPr>
        <w:t>At the management level, we have established a steering committee, comprised of senior-level leaders representing the company’s legal, finance, environmental, human resources, communications, manufacturing, engineering, supply chain and commercial organizations, with responsibility for, among other matters, sponsoring, informing and advising on high priority ESG topics through periodic materiality assessments; ensuring that goals are developed for high priority ESG topics; and sponsoring, approving and overseeing key sustainability projects. Core working groups are then established to lead individual high priority topics and projects, under the guidance and leadership of a steering committee sponsor. This governance structure facilitates the establishment of ESG priorities by the company’s senior management team (in alignment with the strategy set by the Board of Directors), with functional area experts throughout the company responsible for leading the projects to implement the established priorities.</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23</w:t>
      </w:r>
    </w:p>
    <w:p>
      <w:pPr>
        <w:sectPr>
          <w:pgSz w:w="11900" w:h="16838" w:orient="portrait"/>
          <w:cols w:equalWidth="0" w:num="1">
            <w:col w:w="11140"/>
          </w:cols>
          <w:pgMar w:left="320" w:top="459" w:right="43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690880</wp:posOffset>
            </wp:positionH>
            <wp:positionV relativeFrom="paragraph">
              <wp:posOffset>205740</wp:posOffset>
            </wp:positionV>
            <wp:extent cx="5760720" cy="31972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5760720" cy="3197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Materiality assessment</w:t>
      </w:r>
    </w:p>
    <w:p>
      <w:pPr>
        <w:spacing w:after="0" w:line="194"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TimkenSteel conducted an ESG materiality assessment in order to identify specific ESG and sustainability focus areas and ensure alignment with key external stakeholders. In conjunction with the company’s ESG core team and its internal audit function, the company facilitated an ESG materiality assessment with internal and external stakeholders including employees, investors, customers and suppliers. Utilizing the Morgan Stanley Capital International (MSCI) ESG landscape, participants were asked to identify their top environmental, social and governance concerns and then rank them in order of importance.</w:t>
      </w:r>
    </w:p>
    <w:p>
      <w:pPr>
        <w:spacing w:after="0" w:line="147" w:lineRule="exact"/>
        <w:rPr>
          <w:sz w:val="20"/>
          <w:szCs w:val="20"/>
          <w:color w:val="auto"/>
        </w:rPr>
      </w:pPr>
    </w:p>
    <w:p>
      <w:pPr>
        <w:jc w:val="both"/>
        <w:ind w:left="120" w:right="100"/>
        <w:spacing w:after="0" w:line="263" w:lineRule="auto"/>
        <w:rPr>
          <w:sz w:val="20"/>
          <w:szCs w:val="20"/>
          <w:color w:val="auto"/>
        </w:rPr>
      </w:pPr>
      <w:r>
        <w:rPr>
          <w:rFonts w:ascii="Arial" w:cs="Arial" w:eastAsia="Arial" w:hAnsi="Arial"/>
          <w:sz w:val="18"/>
          <w:szCs w:val="18"/>
          <w:color w:val="auto"/>
        </w:rPr>
        <w:t>After collecting and analyzing responses from key stakeholders, the company determined the ESG matters that are most relevant and reasonably likely to impact the company’s financial condition, operating performance, strategy and financial planning and, accordingly, established the following pillars and focus areas for its ESG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-10795</wp:posOffset>
            </wp:positionV>
            <wp:extent cx="5186045" cy="24257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186045" cy="2425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24</w:t>
      </w:r>
    </w:p>
    <w:p>
      <w:pPr>
        <w:sectPr>
          <w:pgSz w:w="11900" w:h="16838" w:orient="portrait"/>
          <w:cols w:equalWidth="0" w:num="1">
            <w:col w:w="11060"/>
          </w:cols>
          <w:pgMar w:left="320" w:top="459" w:right="51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Environmental stewardship</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2030 environmental goals</w:t>
      </w:r>
    </w:p>
    <w:p>
      <w:pPr>
        <w:spacing w:after="0" w:line="7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In October 2021, TimkenSteel announced 2030 environmental goals – a critical milestone in the evolution of the company’s ESG program.</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We committed to the following 2030 environmental goals, compared with a 2018 baseline:</w:t>
      </w:r>
    </w:p>
    <w:p>
      <w:pPr>
        <w:spacing w:after="0" w:line="90" w:lineRule="exact"/>
        <w:rPr>
          <w:sz w:val="20"/>
          <w:szCs w:val="20"/>
          <w:color w:val="auto"/>
        </w:rPr>
      </w:pPr>
    </w:p>
    <w:p>
      <w:pPr>
        <w:ind w:left="980" w:hanging="432"/>
        <w:spacing w:after="0"/>
        <w:tabs>
          <w:tab w:leader="none" w:pos="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40% absolute reduction in combined Scope 1 and Scope 2 greenhouse gas emissions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30% absolute reduction in total energy consumption (direct and indirect)</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35% absolute reduction in fresh water withdrawn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10% reduction in waste-to-landfill intensity</w:t>
      </w:r>
    </w:p>
    <w:p>
      <w:pPr>
        <w:spacing w:after="0" w:line="184" w:lineRule="exact"/>
        <w:rPr>
          <w:sz w:val="20"/>
          <w:szCs w:val="20"/>
          <w:color w:val="auto"/>
        </w:rPr>
      </w:pPr>
    </w:p>
    <w:p>
      <w:pPr>
        <w:ind w:left="120"/>
        <w:spacing w:after="0" w:line="255" w:lineRule="auto"/>
        <w:rPr>
          <w:sz w:val="20"/>
          <w:szCs w:val="20"/>
          <w:color w:val="auto"/>
        </w:rPr>
      </w:pPr>
      <w:r>
        <w:rPr>
          <w:rFonts w:ascii="Arial" w:cs="Arial" w:eastAsia="Arial" w:hAnsi="Arial"/>
          <w:sz w:val="18"/>
          <w:szCs w:val="18"/>
          <w:color w:val="auto"/>
        </w:rPr>
        <w:t>The company’s 2030 targets for greenhouse gas emissions, energy consumption and fresh water withdrawn are based on an absolute or total reduction in the amount of greenhouse gas emissions, energy consumption and fresh water withdrawn. In contrast, the company’s waste-to-landfill target is based on an intensity or percentage reduction of waste-to-landfill per ton of steel shipped. All 2030 targets are based on the company’s operating assets as of 2018 and do not account for any future inorganic growth or other expansion of its facilities or operating assets, for which an adjustment to the absolute reduction may be required. The company selected 2018 as the baseline year as it aligns with the baseline used in the company’s Sustainability Accounting Standards Board (SASB) disclosure.</w:t>
      </w:r>
    </w:p>
    <w:p>
      <w:pPr>
        <w:spacing w:after="0" w:line="15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Beyond our 2030 environmental goals, TimkenSteel aspires to achieve carbon neutrality.</w:t>
      </w:r>
    </w:p>
    <w:p>
      <w:pPr>
        <w:spacing w:after="0" w:line="185" w:lineRule="exact"/>
        <w:rPr>
          <w:sz w:val="20"/>
          <w:szCs w:val="20"/>
          <w:color w:val="auto"/>
        </w:rPr>
      </w:pPr>
    </w:p>
    <w:p>
      <w:pPr>
        <w:ind w:left="120" w:right="360"/>
        <w:spacing w:after="0" w:line="342" w:lineRule="auto"/>
        <w:rPr>
          <w:sz w:val="20"/>
          <w:szCs w:val="20"/>
          <w:color w:val="auto"/>
        </w:rPr>
      </w:pPr>
      <w:r>
        <w:rPr>
          <w:rFonts w:ascii="Arial" w:cs="Arial" w:eastAsia="Arial" w:hAnsi="Arial"/>
          <w:sz w:val="16"/>
          <w:szCs w:val="16"/>
          <w:color w:val="auto"/>
        </w:rPr>
        <w:t>The company’s 2030 targets are supported by projects across the company’s manufacturing, supply chain and corporate operations and, in 2021, the indefinite idling of the company’s Harrison melt and casting assets enabled meaningful progress towards reducing greenhouse gas emissions.</w:t>
      </w:r>
    </w:p>
    <w:p>
      <w:pPr>
        <w:spacing w:after="0" w:line="15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Social commitment</w:t>
      </w:r>
    </w:p>
    <w:p>
      <w:pPr>
        <w:spacing w:after="0" w:line="194"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In addition to our environmental targets, we are committed to health and safety and fostering a diverse, equitable and inclusive culture on our Board, in leadership and throughout our company.</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Health and safety</w:t>
      </w:r>
    </w:p>
    <w:p>
      <w:pPr>
        <w:spacing w:after="0" w:line="77" w:lineRule="exact"/>
        <w:rPr>
          <w:sz w:val="20"/>
          <w:szCs w:val="20"/>
          <w:color w:val="auto"/>
        </w:rPr>
      </w:pPr>
    </w:p>
    <w:p>
      <w:pPr>
        <w:ind w:left="120"/>
        <w:spacing w:after="0" w:line="311" w:lineRule="auto"/>
        <w:rPr>
          <w:sz w:val="20"/>
          <w:szCs w:val="20"/>
          <w:color w:val="auto"/>
        </w:rPr>
      </w:pPr>
      <w:r>
        <w:rPr>
          <w:rFonts w:ascii="Arial" w:cs="Arial" w:eastAsia="Arial" w:hAnsi="Arial"/>
          <w:sz w:val="16"/>
          <w:szCs w:val="16"/>
          <w:color w:val="auto"/>
        </w:rPr>
        <w:t>At TimkenSteel, operating safely and responsibly remains a critical priority. We have rigorous safety policies and practices, which are supported by education, training, evaluation and enforcement, in an effort to ensure that our workspaces provide a secure environment for our employees. To reinforce the importance of operating safely and responsibly, a safety modifier is included in our annual incentive compensation plan for all salaried employees.</w:t>
      </w:r>
    </w:p>
    <w:p>
      <w:pPr>
        <w:spacing w:after="0" w:line="10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Diversity and inclusion</w:t>
      </w:r>
    </w:p>
    <w:p>
      <w:pPr>
        <w:spacing w:after="0" w:line="90" w:lineRule="exact"/>
        <w:rPr>
          <w:sz w:val="20"/>
          <w:szCs w:val="20"/>
          <w:color w:val="auto"/>
        </w:rPr>
      </w:pPr>
    </w:p>
    <w:p>
      <w:pPr>
        <w:jc w:val="both"/>
        <w:ind w:left="120" w:right="280"/>
        <w:spacing w:after="0" w:line="259" w:lineRule="auto"/>
        <w:rPr>
          <w:sz w:val="20"/>
          <w:szCs w:val="20"/>
          <w:color w:val="auto"/>
        </w:rPr>
      </w:pPr>
      <w:r>
        <w:rPr>
          <w:rFonts w:ascii="Arial" w:cs="Arial" w:eastAsia="Arial" w:hAnsi="Arial"/>
          <w:sz w:val="18"/>
          <w:szCs w:val="18"/>
          <w:color w:val="auto"/>
        </w:rPr>
        <w:t>Our commitment to diverse perspectives fuels our success and has enabled us to deliver innovative solutions throughout the life of our business. We recognize that a diverse workforce and an inclusive, engaging culture is key to our continued business success. Within our organization, we maintain employee resource groups which further promote diversity and inclusion. TimkenSteel is also proudly involved in several organizations that promote and foster diversity and inclusion in our community and industry.</w:t>
      </w:r>
    </w:p>
    <w:p>
      <w:pPr>
        <w:spacing w:after="0" w:line="14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Compensation and total rewards</w:t>
      </w:r>
    </w:p>
    <w:p>
      <w:pPr>
        <w:spacing w:after="0" w:line="77"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We provide competitive compensation programs to help meet the needs of our employees. Our programs are designed to support the profitable growth of our business; attract, reward and retain the talent we need to succeed; support the health and overall well-being of our employees; and reinforce a performance-based culture.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6"/>
          <w:szCs w:val="16"/>
          <w:color w:val="auto"/>
        </w:rPr>
        <w:t>In addition to base compensation, we offer quarterly and annual incentive compensation, stock awards and participation in various retirement plans.</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Furthermore, our Company also provides employer-sponsored health and wellness benefits to our employees.</w:t>
      </w:r>
    </w:p>
    <w:p>
      <w:pPr>
        <w:spacing w:after="0" w:line="148"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25</w:t>
      </w:r>
    </w:p>
    <w:p>
      <w:pPr>
        <w:sectPr>
          <w:pgSz w:w="11900" w:h="16838" w:orient="portrait"/>
          <w:cols w:equalWidth="0" w:num="1">
            <w:col w:w="11120"/>
          </w:cols>
          <w:pgMar w:left="320" w:top="459" w:right="45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Employee retention</w:t>
      </w:r>
    </w:p>
    <w:p>
      <w:pPr>
        <w:spacing w:after="0" w:line="90" w:lineRule="exact"/>
        <w:rPr>
          <w:sz w:val="20"/>
          <w:szCs w:val="20"/>
          <w:color w:val="auto"/>
        </w:rPr>
      </w:pPr>
    </w:p>
    <w:p>
      <w:pPr>
        <w:jc w:val="both"/>
        <w:ind w:left="120" w:right="140"/>
        <w:spacing w:after="0" w:line="263" w:lineRule="auto"/>
        <w:rPr>
          <w:sz w:val="20"/>
          <w:szCs w:val="20"/>
          <w:color w:val="auto"/>
        </w:rPr>
      </w:pPr>
      <w:r>
        <w:rPr>
          <w:rFonts w:ascii="Arial" w:cs="Arial" w:eastAsia="Arial" w:hAnsi="Arial"/>
          <w:sz w:val="18"/>
          <w:szCs w:val="18"/>
          <w:color w:val="auto"/>
        </w:rPr>
        <w:t>We seek to retain the best people by providing them with opportunities to grow, build skills and be appreciated for their contributions as they work to serve our customers. Our employees are critical to our success and are the reason we are able to execute at a high level. We believe a continuous focus on employee engagement will help us provide high quality products to our customers.</w:t>
      </w:r>
    </w:p>
    <w:p>
      <w:pPr>
        <w:spacing w:after="0" w:line="143" w:lineRule="exact"/>
        <w:rPr>
          <w:sz w:val="20"/>
          <w:szCs w:val="20"/>
          <w:color w:val="auto"/>
        </w:rPr>
      </w:pPr>
    </w:p>
    <w:p>
      <w:pPr>
        <w:jc w:val="both"/>
        <w:ind w:left="120" w:right="380"/>
        <w:spacing w:after="0" w:line="263" w:lineRule="auto"/>
        <w:rPr>
          <w:sz w:val="20"/>
          <w:szCs w:val="20"/>
          <w:color w:val="auto"/>
        </w:rPr>
      </w:pPr>
      <w:r>
        <w:rPr>
          <w:rFonts w:ascii="Arial" w:cs="Arial" w:eastAsia="Arial" w:hAnsi="Arial"/>
          <w:sz w:val="18"/>
          <w:szCs w:val="18"/>
          <w:color w:val="auto"/>
        </w:rPr>
        <w:t>We diligently track our employee retention and management regularly evaluates our employees’ retention risk. For several years, the Company has aimed to maintain a voluntary turnover rate of 8% or less. For 2021, primarily as the result of a competitive labor market, we ended the year with a voluntary turnover rate of approximately 9%.</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Employee training and development</w:t>
      </w:r>
    </w:p>
    <w:p>
      <w:pPr>
        <w:spacing w:after="0" w:line="90"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We invest significant resources to develop talent with the right capabilities to deliver the growth and innovation needed to support our business strategy. We have designed curated training programs for employees at all levels in our SAP SuccessFactors learning software. For new managers, we have developed a rigorous training program to provide them with the resources needed to cultivate their skillset and aid them in becoming effective leaders in our business. TimkenSteel encourages our employees to constantly learn and grow and has aligned our performance management system to support this focus on continuous learning and development.</w:t>
      </w:r>
    </w:p>
    <w:p>
      <w:pPr>
        <w:spacing w:after="0" w:line="143" w:lineRule="exact"/>
        <w:rPr>
          <w:sz w:val="20"/>
          <w:szCs w:val="20"/>
          <w:color w:val="auto"/>
        </w:rPr>
      </w:pPr>
    </w:p>
    <w:p>
      <w:pPr>
        <w:jc w:val="both"/>
        <w:ind w:left="120" w:right="40"/>
        <w:spacing w:after="0" w:line="347" w:lineRule="auto"/>
        <w:rPr>
          <w:sz w:val="20"/>
          <w:szCs w:val="20"/>
          <w:color w:val="auto"/>
        </w:rPr>
      </w:pPr>
      <w:r>
        <w:rPr>
          <w:rFonts w:ascii="Arial" w:cs="Arial" w:eastAsia="Arial" w:hAnsi="Arial"/>
          <w:sz w:val="16"/>
          <w:szCs w:val="16"/>
          <w:color w:val="auto"/>
        </w:rPr>
        <w:t xml:space="preserve">More information on TimkenSteel’s commitment to sustainability can be found on the Sustainability page of our website at </w:t>
      </w:r>
      <w:r>
        <w:rPr>
          <w:rFonts w:ascii="Arial" w:cs="Arial" w:eastAsia="Arial" w:hAnsi="Arial"/>
          <w:sz w:val="16"/>
          <w:szCs w:val="16"/>
          <w:b w:val="1"/>
          <w:bCs w:val="1"/>
          <w:color w:val="auto"/>
        </w:rPr>
        <w:t>www.timkensteel.com</w:t>
      </w:r>
      <w:r>
        <w:rPr>
          <w:rFonts w:ascii="Arial" w:cs="Arial" w:eastAsia="Arial" w:hAnsi="Arial"/>
          <w:sz w:val="16"/>
          <w:szCs w:val="16"/>
          <w:color w:val="auto"/>
        </w:rPr>
        <w:t>. As information regarding progress towards our ESG goals becomes available, we will also share this information on the Sustainability page of our website.</w:t>
      </w:r>
    </w:p>
    <w:p>
      <w:pPr>
        <w:spacing w:after="0" w:line="57" w:lineRule="exact"/>
        <w:rPr>
          <w:sz w:val="20"/>
          <w:szCs w:val="20"/>
          <w:color w:val="auto"/>
        </w:rPr>
      </w:pPr>
    </w:p>
    <w:p>
      <w:pPr>
        <w:jc w:val="center"/>
        <w:ind w:right="-159"/>
        <w:spacing w:after="0"/>
        <w:rPr>
          <w:sz w:val="20"/>
          <w:szCs w:val="20"/>
          <w:color w:val="auto"/>
        </w:rPr>
      </w:pPr>
      <w:r>
        <w:rPr>
          <w:rFonts w:ascii="Arial" w:cs="Arial" w:eastAsia="Arial" w:hAnsi="Arial"/>
          <w:sz w:val="16"/>
          <w:szCs w:val="16"/>
          <w:color w:val="auto"/>
        </w:rPr>
        <w:t>26</w:t>
      </w:r>
    </w:p>
    <w:p>
      <w:pPr>
        <w:sectPr>
          <w:pgSz w:w="11900" w:h="16838" w:orient="portrait"/>
          <w:cols w:equalWidth="0" w:num="1">
            <w:col w:w="11080"/>
          </w:cols>
          <w:pgMar w:left="320" w:top="459" w:right="49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Corporate governance</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Corporate Governance Guidelines</w:t>
      </w:r>
    </w:p>
    <w:p>
      <w:pPr>
        <w:spacing w:after="0" w:line="194" w:lineRule="exact"/>
        <w:rPr>
          <w:sz w:val="20"/>
          <w:szCs w:val="20"/>
          <w:color w:val="auto"/>
        </w:rPr>
      </w:pPr>
    </w:p>
    <w:p>
      <w:pPr>
        <w:ind w:left="120" w:right="80"/>
        <w:spacing w:after="0" w:line="279" w:lineRule="auto"/>
        <w:rPr>
          <w:sz w:val="20"/>
          <w:szCs w:val="20"/>
          <w:color w:val="auto"/>
        </w:rPr>
      </w:pPr>
      <w:r>
        <w:rPr>
          <w:rFonts w:ascii="Arial" w:cs="Arial" w:eastAsia="Arial" w:hAnsi="Arial"/>
          <w:sz w:val="17"/>
          <w:szCs w:val="17"/>
          <w:color w:val="auto"/>
        </w:rPr>
        <w:t xml:space="preserve">The Board of Directors has adopted the TimkenSteel Corporation Corporate Governance Guidelines. These guidelines outline the responsibilities of the Board of Directors, director selection criteria and procedures, board composition criteria and various policies and procedures designed to ensure effective and responsive governance. The TimkenSteel Corporation Corporate Governance Guidelines are reviewed annually by the Nominating and Corporate Governance Committee and are available on our website at </w:t>
      </w:r>
      <w:r>
        <w:rPr>
          <w:rFonts w:ascii="Arial" w:cs="Arial" w:eastAsia="Arial" w:hAnsi="Arial"/>
          <w:sz w:val="17"/>
          <w:szCs w:val="17"/>
          <w:b w:val="1"/>
          <w:bCs w:val="1"/>
          <w:color w:val="auto"/>
        </w:rPr>
        <w:t>www.timkensteel.com</w:t>
      </w:r>
      <w:r>
        <w:rPr>
          <w:rFonts w:ascii="Arial" w:cs="Arial" w:eastAsia="Arial" w:hAnsi="Arial"/>
          <w:sz w:val="17"/>
          <w:szCs w:val="17"/>
          <w:color w:val="auto"/>
        </w:rPr>
        <w:t>.</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Code of Conduct</w:t>
      </w:r>
    </w:p>
    <w:p>
      <w:pPr>
        <w:spacing w:after="0" w:line="207" w:lineRule="exact"/>
        <w:rPr>
          <w:sz w:val="20"/>
          <w:szCs w:val="20"/>
          <w:color w:val="auto"/>
        </w:rPr>
      </w:pPr>
    </w:p>
    <w:p>
      <w:pPr>
        <w:ind w:left="120"/>
        <w:spacing w:after="0" w:line="288" w:lineRule="auto"/>
        <w:rPr>
          <w:sz w:val="20"/>
          <w:szCs w:val="20"/>
          <w:color w:val="auto"/>
        </w:rPr>
      </w:pPr>
      <w:r>
        <w:rPr>
          <w:rFonts w:ascii="Arial" w:cs="Arial" w:eastAsia="Arial" w:hAnsi="Arial"/>
          <w:sz w:val="16"/>
          <w:szCs w:val="16"/>
          <w:color w:val="auto"/>
        </w:rPr>
        <w:t xml:space="preserve">Being ethical and responsible is a core value of the company. As such, we hold ourselves to the highest ethical standards and recognize that we are all responsible for the company culture and for the impact that our practices have on society as a whole. Each of our employees and directors is required to comply with the TimkenSteel Corporation Code of Conduct, a code of business conduct and ethics adopted by the company. The TimkenSteel Corporation Code of Conduct sets forth policies covering a broad range of subjects, including antitrust and competition, corruption and bribery, conflicts of interest, inside information, accurate financial records, harassment, environmental, health and safety and intellectual property, among other matters, and requires strict adherence to laws and regulations applicable to the company’s business. Any waiver of the Code of Conduct for executive officers or directors may be made only by the Board of Directors or its Nominating and Corporate Governance Committee and will be disclosed promptly in accordance with applicable law and rules of the New York Stock Exchange. We intend to disclose any such waiver, or any amendment to our Code of Conduct, within four business days on our website at </w:t>
      </w:r>
      <w:r>
        <w:rPr>
          <w:rFonts w:ascii="Arial" w:cs="Arial" w:eastAsia="Arial" w:hAnsi="Arial"/>
          <w:sz w:val="16"/>
          <w:szCs w:val="16"/>
          <w:b w:val="1"/>
          <w:bCs w:val="1"/>
          <w:color w:val="auto"/>
        </w:rPr>
        <w:t>www.timkensteel.com</w:t>
      </w:r>
      <w:r>
        <w:rPr>
          <w:rFonts w:ascii="Arial" w:cs="Arial" w:eastAsia="Arial" w:hAnsi="Arial"/>
          <w:sz w:val="16"/>
          <w:szCs w:val="16"/>
          <w:color w:val="auto"/>
        </w:rPr>
        <w:t xml:space="preserve">. The TimkenSteel Corporation Code of Conduct is reviewed periodically by the Nominating and Corporate Governance Committee and is available on our website at </w:t>
      </w:r>
      <w:r>
        <w:rPr>
          <w:rFonts w:ascii="Arial" w:cs="Arial" w:eastAsia="Arial" w:hAnsi="Arial"/>
          <w:sz w:val="16"/>
          <w:szCs w:val="16"/>
          <w:b w:val="1"/>
          <w:bCs w:val="1"/>
          <w:color w:val="auto"/>
        </w:rPr>
        <w:t>www.timkensteel.com</w:t>
      </w:r>
      <w:r>
        <w:rPr>
          <w:rFonts w:ascii="Arial" w:cs="Arial" w:eastAsia="Arial" w:hAnsi="Arial"/>
          <w:sz w:val="16"/>
          <w:szCs w:val="16"/>
          <w:color w:val="auto"/>
        </w:rPr>
        <w:t>.</w:t>
      </w:r>
    </w:p>
    <w:p>
      <w:pPr>
        <w:spacing w:after="0" w:line="160"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Director independence</w:t>
      </w:r>
    </w:p>
    <w:p>
      <w:pPr>
        <w:spacing w:after="0" w:line="194" w:lineRule="exact"/>
        <w:rPr>
          <w:sz w:val="20"/>
          <w:szCs w:val="20"/>
          <w:color w:val="auto"/>
        </w:rPr>
      </w:pPr>
    </w:p>
    <w:p>
      <w:pPr>
        <w:ind w:left="120"/>
        <w:spacing w:after="0" w:line="270" w:lineRule="auto"/>
        <w:rPr>
          <w:sz w:val="20"/>
          <w:szCs w:val="20"/>
          <w:color w:val="auto"/>
        </w:rPr>
      </w:pPr>
      <w:r>
        <w:rPr>
          <w:rFonts w:ascii="Arial" w:cs="Arial" w:eastAsia="Arial" w:hAnsi="Arial"/>
          <w:sz w:val="17"/>
          <w:szCs w:val="17"/>
          <w:color w:val="auto"/>
        </w:rPr>
        <w:t>The Board of Directors has adopted the independence standards of the New York Stock Exchange listing requirements for determining the independence of directors. After consideration of all relevant facts and circumstances, including each individual’s commercial, industrial, banking, consulting, legal, accounting, charitable and familial relationships with the company, the Board has determined that the following directors meet (or, in the case of former directors, met) those independence standards and that each of these individuals is (or, in the case of a former director, was) independent and free of any material relationships with the company other than as established through his or her service as a director of the company: Joseph A. Carrabba (prior to the conclusion of his service as a director effective May 5, 2021), Diane C. Creel, Terry L. Dunlap (prior to the conclusion of his service as a director effective December 31, 2021), Randall H. Edwards, Kenneth V. Garcia, Ellis A. Jones, Donald T. Misheff, John P. Reilly (prior to the conclusion of his service as a director effective May 5, 2021), Ronald A. Rice, Leila L. Vespoli and Randall A. Wotring. There are no family relationships among any of our directors or executive officers.</w:t>
      </w:r>
    </w:p>
    <w:p>
      <w:pPr>
        <w:spacing w:after="0" w:line="17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Board leadership structure</w:t>
      </w:r>
    </w:p>
    <w:p>
      <w:pPr>
        <w:spacing w:after="0" w:line="194" w:lineRule="exact"/>
        <w:rPr>
          <w:sz w:val="20"/>
          <w:szCs w:val="20"/>
          <w:color w:val="auto"/>
        </w:rPr>
      </w:pPr>
    </w:p>
    <w:p>
      <w:pPr>
        <w:ind w:left="120" w:right="20"/>
        <w:spacing w:after="0" w:line="254" w:lineRule="auto"/>
        <w:rPr>
          <w:sz w:val="20"/>
          <w:szCs w:val="20"/>
          <w:color w:val="auto"/>
        </w:rPr>
      </w:pPr>
      <w:r>
        <w:rPr>
          <w:rFonts w:ascii="Arial" w:cs="Arial" w:eastAsia="Arial" w:hAnsi="Arial"/>
          <w:sz w:val="18"/>
          <w:szCs w:val="18"/>
          <w:color w:val="auto"/>
        </w:rPr>
        <w:t>The Board of Directors believes it is important to retain flexibility to allocate the responsibilities of the offices of the chairman and chief executive officer in a manner that is in the best interests of the company’s shareholders. In October 2019, the Board of Directors separated the positions of chairman and chief executive officer and appointed John P. Reilly as its non-executive chairman. Ronald A. Rice was appointed non-executive chairman upon Mr. Reilly’s retirement from the Board on May 5, 2021. Among other duties, the non-executive chairman presides over all meetings of the Board of Directors (including executive sessions of the independent directors), provides direction and input on agendas, schedules, and materials for Board meetings, acts as the Board of Directors’ liaison to senior management and is available for consultation and direct communications with major shareholders as appropriate.</w:t>
      </w:r>
    </w:p>
    <w:p>
      <w:pPr>
        <w:spacing w:after="0" w:line="132"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27</w:t>
      </w:r>
    </w:p>
    <w:p>
      <w:pPr>
        <w:sectPr>
          <w:pgSz w:w="11900" w:h="16838" w:orient="portrait"/>
          <w:cols w:equalWidth="0" w:num="1">
            <w:col w:w="11120"/>
          </w:cols>
          <w:pgMar w:left="320" w:top="459" w:right="45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500"/>
        <w:spacing w:after="0" w:line="279" w:lineRule="auto"/>
        <w:rPr>
          <w:sz w:val="20"/>
          <w:szCs w:val="20"/>
          <w:color w:val="auto"/>
        </w:rPr>
      </w:pPr>
      <w:r>
        <w:rPr>
          <w:rFonts w:ascii="Arial" w:cs="Arial" w:eastAsia="Arial" w:hAnsi="Arial"/>
          <w:sz w:val="17"/>
          <w:szCs w:val="17"/>
          <w:color w:val="auto"/>
        </w:rPr>
        <w:t>At this time, the Board of Directors believes that the separation of the chairman and chief executive officer positions is in the best interests of shareholders because it allows the company’s chief executive officer to focus his time and energy on driving the company’s business, strategy and performance, while allowing the non-executive chairman to lead the Board of Directors in its fundamental role of providing advice, counsel and oversight to management regarding the company’s business, strategy and performance.</w:t>
      </w:r>
    </w:p>
    <w:p>
      <w:pPr>
        <w:spacing w:after="0" w:line="203"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Annual board and committee evaluations</w:t>
      </w:r>
    </w:p>
    <w:p>
      <w:pPr>
        <w:spacing w:after="0" w:line="194" w:lineRule="exact"/>
        <w:rPr>
          <w:sz w:val="20"/>
          <w:szCs w:val="20"/>
          <w:color w:val="auto"/>
        </w:rPr>
      </w:pPr>
    </w:p>
    <w:p>
      <w:pPr>
        <w:ind w:left="120" w:right="540"/>
        <w:spacing w:after="0" w:line="342" w:lineRule="auto"/>
        <w:rPr>
          <w:sz w:val="20"/>
          <w:szCs w:val="20"/>
          <w:color w:val="auto"/>
        </w:rPr>
      </w:pPr>
      <w:r>
        <w:rPr>
          <w:rFonts w:ascii="Arial" w:cs="Arial" w:eastAsia="Arial" w:hAnsi="Arial"/>
          <w:sz w:val="16"/>
          <w:szCs w:val="16"/>
          <w:color w:val="auto"/>
        </w:rPr>
        <w:t>The Board, through the Nominating and Corporate Governance Committee, conducts an annual self-evaluation to assess the effectiveness and performance of the Board. Each committee also conducts an annual self-evaluation to assess the effectiveness and performance of the committee.</w:t>
      </w:r>
    </w:p>
    <w:p>
      <w:pPr>
        <w:spacing w:after="0" w:line="97" w:lineRule="exact"/>
        <w:rPr>
          <w:sz w:val="20"/>
          <w:szCs w:val="20"/>
          <w:color w:val="auto"/>
        </w:rPr>
      </w:pPr>
    </w:p>
    <w:p>
      <w:pPr>
        <w:ind w:left="120" w:right="120"/>
        <w:spacing w:after="0" w:line="269" w:lineRule="auto"/>
        <w:rPr>
          <w:sz w:val="20"/>
          <w:szCs w:val="20"/>
          <w:color w:val="auto"/>
        </w:rPr>
      </w:pPr>
      <w:r>
        <w:rPr>
          <w:rFonts w:ascii="Arial" w:cs="Arial" w:eastAsia="Arial" w:hAnsi="Arial"/>
          <w:sz w:val="17"/>
          <w:szCs w:val="17"/>
          <w:color w:val="auto"/>
        </w:rPr>
        <w:t>The Nominating and Corporate Governance Committee designs and establishes the overall evaluation framework. The chairperson of the Nominating and Corporate Governance Committee leads the evaluation interviews and feedback for the Board and the Nominating and Corporate Governance Committee, while the chairpersons of the Audit Committee and Compensation Committee lead the interviews and feedback for their respective committees. One-on-one discussions are conducted with each director to obtain their assessment of the effectiveness and performance of the Board and each committee on which the director serves. The substance of the discussion is at the absolute discretion of the participants, but the Nominating and Corporate Governance Committee may provide an outline of topics in order to help focus the discussion. Discussion topics may include, among other matters, Board and committee composition and refreshment, including the process for identifying and evaluating potential candidates and whether the Board and committees have the appropriate mix of experience, skills, diversity and expertise; committee structure; peer reviews; conduct of Board and committee meetings, including timing, location, content and materials; identification of areas for increased or decreased focus by the Board and committees; and access to appropriate resources.</w:t>
      </w:r>
    </w:p>
    <w:p>
      <w:pPr>
        <w:spacing w:after="0" w:line="145" w:lineRule="exact"/>
        <w:rPr>
          <w:sz w:val="20"/>
          <w:szCs w:val="20"/>
          <w:color w:val="auto"/>
        </w:rPr>
      </w:pPr>
    </w:p>
    <w:p>
      <w:pPr>
        <w:ind w:left="120" w:right="220"/>
        <w:spacing w:after="0" w:line="301" w:lineRule="auto"/>
        <w:rPr>
          <w:sz w:val="20"/>
          <w:szCs w:val="20"/>
          <w:color w:val="auto"/>
        </w:rPr>
      </w:pPr>
      <w:r>
        <w:rPr>
          <w:rFonts w:ascii="Arial" w:cs="Arial" w:eastAsia="Arial" w:hAnsi="Arial"/>
          <w:sz w:val="16"/>
          <w:szCs w:val="16"/>
          <w:color w:val="auto"/>
        </w:rPr>
        <w:t>For the Board evaluation, a summary of the results is presented to the Board on an anonymous basis, identifying any themes or issues that have emerged. Similarly, each committee reviews a summary of the results of its evaluation and reports the results to the Board. In response to feedback received during the board and committee evaluation process for 2021, actions are being taken to improve communications in between meetings of the Board, ensure sufficient time is allowed for meetings and executive sessions, and provide additional information on specified areas of focus.</w:t>
      </w:r>
    </w:p>
    <w:p>
      <w:pPr>
        <w:spacing w:after="0" w:line="108"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Director tenure</w:t>
      </w:r>
    </w:p>
    <w:p>
      <w:pPr>
        <w:spacing w:after="0" w:line="207"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As discussed in more detail under “Proposal 1 – Election of Directors,” pursuant to the majority voting policy of the Board of Directors, any director who receives a greater number of “withhold” votes than votes “for” his or her election in an uncontested election will submit his or her resignation to the Board of Directors promptly after the certification of the election results, which the Board of Directors may determine to reject. In addition, any director who experiences a change in primary occupation, position or business affiliation, including retirement, is required to tender a resignation to the Chairman, conditional upon acceptance by the Board of Directors. The Board may decline to accept any such resignation. In addition, the Board has implemented a policy that requires directors to retire from the Board of Directors at the first annual meeting of shareholders after reaching the age of 75, unless the Board approves an exception to this policy.</w:t>
      </w:r>
    </w:p>
    <w:p>
      <w:pPr>
        <w:spacing w:after="0" w:line="18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Director overboarding policy</w:t>
      </w:r>
    </w:p>
    <w:p>
      <w:pPr>
        <w:spacing w:after="0" w:line="194" w:lineRule="exact"/>
        <w:rPr>
          <w:sz w:val="20"/>
          <w:szCs w:val="20"/>
          <w:color w:val="auto"/>
        </w:rPr>
      </w:pPr>
    </w:p>
    <w:p>
      <w:pPr>
        <w:ind w:left="120" w:right="120"/>
        <w:spacing w:after="0" w:line="311" w:lineRule="auto"/>
        <w:rPr>
          <w:sz w:val="20"/>
          <w:szCs w:val="20"/>
          <w:color w:val="auto"/>
        </w:rPr>
      </w:pPr>
      <w:r>
        <w:rPr>
          <w:rFonts w:ascii="Arial" w:cs="Arial" w:eastAsia="Arial" w:hAnsi="Arial"/>
          <w:sz w:val="16"/>
          <w:szCs w:val="16"/>
          <w:color w:val="auto"/>
        </w:rPr>
        <w:t>Pursuant to our Corporate Governance Guidelines, directors may not serve on more than three other public company boards in addition to our Board of Directors. Any director who is also our Chief Executive Officer or other named executive officer may not serve on more than one additional public company board. The Board may approve exceptions to these limits. All of our current directors comply with our overboarding policy.</w:t>
      </w:r>
    </w:p>
    <w:p>
      <w:pPr>
        <w:spacing w:after="0" w:line="86"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28</w:t>
      </w:r>
    </w:p>
    <w:p>
      <w:pPr>
        <w:sectPr>
          <w:pgSz w:w="11900" w:h="16838" w:orient="portrait"/>
          <w:cols w:equalWidth="0" w:num="1">
            <w:col w:w="11120"/>
          </w:cols>
          <w:pgMar w:left="320" w:top="459" w:right="45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Risk oversight</w:t>
      </w:r>
    </w:p>
    <w:p>
      <w:pPr>
        <w:spacing w:after="0" w:line="207" w:lineRule="exact"/>
        <w:rPr>
          <w:sz w:val="20"/>
          <w:szCs w:val="20"/>
          <w:color w:val="auto"/>
        </w:rPr>
      </w:pPr>
    </w:p>
    <w:p>
      <w:pPr>
        <w:ind w:left="120" w:right="80"/>
        <w:spacing w:after="0" w:line="269" w:lineRule="auto"/>
        <w:rPr>
          <w:sz w:val="20"/>
          <w:szCs w:val="20"/>
          <w:color w:val="auto"/>
        </w:rPr>
      </w:pPr>
      <w:r>
        <w:rPr>
          <w:rFonts w:ascii="Arial" w:cs="Arial" w:eastAsia="Arial" w:hAnsi="Arial"/>
          <w:sz w:val="17"/>
          <w:szCs w:val="17"/>
          <w:color w:val="auto"/>
        </w:rPr>
        <w:t>The Board of Directors, in close coordination with its standing committees, oversees the company’s management of risk, including operational, financial, legal, regulatory, human capital, information technology and cybersecurity, environmental and strategic risks, as well as the company’s processes for identifying, reporting and mitigating risks. Management and the Board have also discussed risks relating to the COVID-19 pandemic, and the impact of the pandemic on the company, and will continue to do so while the pandemic is ongoing. The Audit Committee reviews and discusses the guidelines, policies and processes by which the CEO and senior management of the company assess and manage risks and discusses the company’s major financial risk exposures and the steps management has taken to monitor and control those exposures. The Compensation Committee considers whether the company’s compensation programs encourage unnecessary or excessive risk-taking, as discussed further in the Compensation Discussion and Analysis. In addition, like all businesses, we also face threats related to cybersecurity, as we rely on information systems and the Internet to conduct certain business activities. In light of the pervasive and increasing threat from cyberattacks, the Board of Directors, with input from management, assesses the measures implemented by us to mitigate and prevent cyberattacks. The Board of Directors consults with management regarding ongoing cybersecurity initiatives, and requests management report to the Board of Directors periodically on their assessment of our cybersecurity program and risks.</w:t>
      </w:r>
    </w:p>
    <w:p>
      <w:pPr>
        <w:spacing w:after="0" w:line="138" w:lineRule="exact"/>
        <w:rPr>
          <w:sz w:val="20"/>
          <w:szCs w:val="20"/>
          <w:color w:val="auto"/>
        </w:rPr>
      </w:pPr>
    </w:p>
    <w:p>
      <w:pPr>
        <w:jc w:val="both"/>
        <w:ind w:left="120" w:right="500"/>
        <w:spacing w:after="0" w:line="311" w:lineRule="auto"/>
        <w:rPr>
          <w:sz w:val="20"/>
          <w:szCs w:val="20"/>
          <w:color w:val="auto"/>
        </w:rPr>
      </w:pPr>
      <w:r>
        <w:rPr>
          <w:rFonts w:ascii="Arial" w:cs="Arial" w:eastAsia="Arial" w:hAnsi="Arial"/>
          <w:sz w:val="16"/>
          <w:szCs w:val="16"/>
          <w:color w:val="auto"/>
        </w:rPr>
        <w:t>Where the Board of Directors, directly or through a committee of the Board, has processes in place to oversee the management and assessment of non-financial risks, the Audit Committee will review such risk management processes in a general manner. The Board believes that this approach, supported by our senior leadership structure, provides appropriate checks and balances against undue risk-taking.</w:t>
      </w:r>
    </w:p>
    <w:p>
      <w:pPr>
        <w:spacing w:after="0" w:line="108" w:lineRule="exact"/>
        <w:rPr>
          <w:sz w:val="20"/>
          <w:szCs w:val="20"/>
          <w:color w:val="auto"/>
        </w:rPr>
      </w:pPr>
    </w:p>
    <w:p>
      <w:pPr>
        <w:ind w:left="120"/>
        <w:spacing w:after="0"/>
        <w:rPr>
          <w:sz w:val="20"/>
          <w:szCs w:val="20"/>
          <w:color w:val="auto"/>
        </w:rPr>
      </w:pPr>
      <w:r>
        <w:rPr>
          <w:rFonts w:ascii="Arial" w:cs="Arial" w:eastAsia="Arial" w:hAnsi="Arial"/>
          <w:sz w:val="16"/>
          <w:szCs w:val="16"/>
          <w:color w:val="auto"/>
        </w:rPr>
        <w:t>For additional information regarding oversight of ESG risks by the Board of Directors and its committees, see “ESG Oversight and Risk Management.”</w:t>
      </w:r>
    </w:p>
    <w:p>
      <w:pPr>
        <w:spacing w:after="0" w:line="21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Related party transactions approval policy</w:t>
      </w:r>
    </w:p>
    <w:p>
      <w:pPr>
        <w:spacing w:after="0" w:line="194" w:lineRule="exact"/>
        <w:rPr>
          <w:sz w:val="20"/>
          <w:szCs w:val="20"/>
          <w:color w:val="auto"/>
        </w:rPr>
      </w:pPr>
    </w:p>
    <w:p>
      <w:pPr>
        <w:jc w:val="both"/>
        <w:ind w:left="120" w:right="180"/>
        <w:spacing w:after="0" w:line="259" w:lineRule="auto"/>
        <w:rPr>
          <w:sz w:val="20"/>
          <w:szCs w:val="20"/>
          <w:color w:val="auto"/>
        </w:rPr>
      </w:pPr>
      <w:r>
        <w:rPr>
          <w:rFonts w:ascii="Arial" w:cs="Arial" w:eastAsia="Arial" w:hAnsi="Arial"/>
          <w:sz w:val="18"/>
          <w:szCs w:val="18"/>
          <w:color w:val="auto"/>
        </w:rPr>
        <w:t>As noted, our directors and employees, including our executive officers, are subject to the TimkenSteel Corporation Code of Conduct, which requires employees and directors to act in the best interests of the company and to avoid actual or potential conflicts of interest. To fulfill this duty, employees and directors must avoid situations in which their actions or loyalties are, or may appear to be, divided. While not every situation can be identified in a written policy, our Code of Conduct specifically prohibits the following situations:</w:t>
      </w:r>
    </w:p>
    <w:p>
      <w:pPr>
        <w:spacing w:after="0" w:line="52" w:lineRule="exact"/>
        <w:rPr>
          <w:sz w:val="20"/>
          <w:szCs w:val="20"/>
          <w:color w:val="auto"/>
        </w:rPr>
      </w:pP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holding a significant financial interest or directorship in any of our customers, competitors or suppliers;</w:t>
      </w:r>
    </w:p>
    <w:p>
      <w:pPr>
        <w:spacing w:after="0" w:line="23" w:lineRule="exact"/>
        <w:rPr>
          <w:rFonts w:ascii="Arial" w:cs="Arial" w:eastAsia="Arial" w:hAnsi="Arial"/>
          <w:sz w:val="18"/>
          <w:szCs w:val="18"/>
          <w:color w:val="auto"/>
        </w:rPr>
      </w:pPr>
    </w:p>
    <w:p>
      <w:pPr>
        <w:ind w:left="980" w:right="68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entering into personal transactions with our customers or suppliers on terms other than those generally available to the public or our company’s employees;</w:t>
      </w: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investing in customers, suppliers or competitors that are not publicly traded;</w:t>
      </w:r>
    </w:p>
    <w:p>
      <w:pPr>
        <w:spacing w:after="0" w:line="9" w:lineRule="exact"/>
        <w:rPr>
          <w:rFonts w:ascii="Arial" w:cs="Arial" w:eastAsia="Arial" w:hAnsi="Arial"/>
          <w:sz w:val="18"/>
          <w:szCs w:val="18"/>
          <w:color w:val="auto"/>
        </w:rPr>
      </w:pPr>
    </w:p>
    <w:p>
      <w:pPr>
        <w:ind w:left="980" w:right="18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making or receiving a loan or credit from any of the company’s customers, competitors or suppliers or from a director, officer or employee of a customer, competitor or supplier, other than in the ordinary course of our company’s business;</w:t>
      </w:r>
    </w:p>
    <w:p>
      <w:pPr>
        <w:ind w:left="98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giving or receiving gifts, gratuities or entertainment except to the extent they are customary, of nominal value and not intended to influence a business decision;</w:t>
      </w: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taking personal advantage of corporate opportunities that the company might be interested in pursuing;</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using the company’s assets for personal gain;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using the company’s property other than in connection with our business;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conducting business with or supervising family members or friends.</w:t>
      </w:r>
    </w:p>
    <w:p>
      <w:pPr>
        <w:spacing w:after="0" w:line="211" w:lineRule="exact"/>
        <w:rPr>
          <w:sz w:val="20"/>
          <w:szCs w:val="20"/>
          <w:color w:val="auto"/>
        </w:rPr>
      </w:pPr>
    </w:p>
    <w:p>
      <w:pPr>
        <w:ind w:left="120" w:right="20"/>
        <w:spacing w:after="0" w:line="279" w:lineRule="auto"/>
        <w:rPr>
          <w:sz w:val="20"/>
          <w:szCs w:val="20"/>
          <w:color w:val="auto"/>
        </w:rPr>
      </w:pPr>
      <w:r>
        <w:rPr>
          <w:rFonts w:ascii="Arial" w:cs="Arial" w:eastAsia="Arial" w:hAnsi="Arial"/>
          <w:sz w:val="17"/>
          <w:szCs w:val="17"/>
          <w:color w:val="auto"/>
        </w:rPr>
        <w:t>Pursuant to the Code of Conduct, employees’ requests for waivers of the Code of Conduct, including but not limited to waivers of any potential or actual conflict of interest, must be submitted to and approved by the General Counsel. Any requested waivers of the Code of Conduct for directors or executive officers can be made only by the Board of Directors or the Nominating and Corporate Governance Committee of the Board. Any such waivers for directors or executive officers will be disclosed promptly in accordance with applicable law and the rules of the New York Stock</w:t>
      </w:r>
    </w:p>
    <w:p>
      <w:pPr>
        <w:spacing w:after="0" w:line="108"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29</w:t>
      </w:r>
    </w:p>
    <w:p>
      <w:pPr>
        <w:sectPr>
          <w:pgSz w:w="11900" w:h="16838" w:orient="portrait"/>
          <w:cols w:equalWidth="0" w:num="1">
            <w:col w:w="11140"/>
          </w:cols>
          <w:pgMar w:left="320" w:top="459" w:right="43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20"/>
        <w:spacing w:after="0" w:line="342" w:lineRule="auto"/>
        <w:rPr>
          <w:sz w:val="20"/>
          <w:szCs w:val="20"/>
          <w:color w:val="auto"/>
        </w:rPr>
      </w:pPr>
      <w:r>
        <w:rPr>
          <w:rFonts w:ascii="Arial" w:cs="Arial" w:eastAsia="Arial" w:hAnsi="Arial"/>
          <w:sz w:val="16"/>
          <w:szCs w:val="16"/>
          <w:color w:val="auto"/>
        </w:rPr>
        <w:t xml:space="preserve">Exchange. We intend to disclose any such waiver, or any amendment to our Code of Conduct, within four business days on our website at </w:t>
      </w:r>
      <w:r>
        <w:rPr>
          <w:rFonts w:ascii="Arial" w:cs="Arial" w:eastAsia="Arial" w:hAnsi="Arial"/>
          <w:sz w:val="16"/>
          <w:szCs w:val="16"/>
          <w:b w:val="1"/>
          <w:bCs w:val="1"/>
          <w:color w:val="auto"/>
        </w:rPr>
        <w:t>www.timkensteel.com</w:t>
      </w:r>
      <w:r>
        <w:rPr>
          <w:rFonts w:ascii="Arial" w:cs="Arial" w:eastAsia="Arial" w:hAnsi="Arial"/>
          <w:sz w:val="16"/>
          <w:szCs w:val="16"/>
          <w:color w:val="auto"/>
        </w:rPr>
        <w:t>. There were no requests for, or grants of, waivers of the Code of Conduct for any of our executive officers or directors in 2021.</w:t>
      </w:r>
    </w:p>
    <w:p>
      <w:pPr>
        <w:spacing w:after="0" w:line="97" w:lineRule="exact"/>
        <w:rPr>
          <w:sz w:val="20"/>
          <w:szCs w:val="20"/>
          <w:color w:val="auto"/>
        </w:rPr>
      </w:pPr>
    </w:p>
    <w:p>
      <w:pPr>
        <w:ind w:left="120"/>
        <w:spacing w:after="0" w:line="293" w:lineRule="auto"/>
        <w:rPr>
          <w:sz w:val="20"/>
          <w:szCs w:val="20"/>
          <w:color w:val="auto"/>
        </w:rPr>
      </w:pPr>
      <w:r>
        <w:rPr>
          <w:rFonts w:ascii="Arial" w:cs="Arial" w:eastAsia="Arial" w:hAnsi="Arial"/>
          <w:sz w:val="16"/>
          <w:szCs w:val="16"/>
          <w:color w:val="auto"/>
        </w:rPr>
        <w:t>The Nominating and Corporate Governance Committee also is responsible for reviewing and, if appropriate, approving or ratifying any related party transaction required to be disclosed under Item 404(a) of Regulation S-K of the Securities Act of 1933. In this regard, during 2021, the company purchased approximately $5,433,306 in products from, and sold approximately $11,646,696 in products to, various companies affiliated with Ellwood Group, Inc. (“Ellwood”). As of March 1, 2022 and throughout 2021, Ellwood owned more than 5 percent of the company’s outstanding common shares and therefore constituted a “related party” for purposes of Item 404(a). The purchases and sales between the company and affiliates of Ellwood were made in the ordinary course of business and on an arms-length basis and have been approved by the Nominating and Corporate Governance Committee.</w:t>
      </w:r>
    </w:p>
    <w:p>
      <w:pPr>
        <w:spacing w:after="0" w:line="15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Anti-hedging policy</w:t>
      </w:r>
    </w:p>
    <w:p>
      <w:pPr>
        <w:spacing w:after="0" w:line="194"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Our insider trading policies prohibit all employees (including our executive officers) and directors from engaging in any speculative transactions involving company stock or securities, including short sales; the purchase or sale of puts, calls or listed options; and other hedging transactions such as zero-cost collars and forward contracts. Additionally, certain employees (including our executive officers) and directors are prohibited from holding company securities in a margin account or pledging company securities as collateral for a loan.</w:t>
      </w:r>
    </w:p>
    <w:p>
      <w:pPr>
        <w:spacing w:after="0" w:line="124" w:lineRule="exact"/>
        <w:rPr>
          <w:sz w:val="20"/>
          <w:szCs w:val="20"/>
          <w:color w:val="auto"/>
        </w:rPr>
      </w:pPr>
    </w:p>
    <w:p>
      <w:pPr>
        <w:jc w:val="center"/>
        <w:ind w:right="-159"/>
        <w:spacing w:after="0"/>
        <w:rPr>
          <w:sz w:val="20"/>
          <w:szCs w:val="20"/>
          <w:color w:val="auto"/>
        </w:rPr>
      </w:pPr>
      <w:r>
        <w:rPr>
          <w:rFonts w:ascii="Arial" w:cs="Arial" w:eastAsia="Arial" w:hAnsi="Arial"/>
          <w:sz w:val="16"/>
          <w:szCs w:val="16"/>
          <w:color w:val="auto"/>
        </w:rPr>
        <w:t>30</w:t>
      </w:r>
    </w:p>
    <w:p>
      <w:pPr>
        <w:sectPr>
          <w:pgSz w:w="11900" w:h="16838" w:orient="portrait"/>
          <w:cols w:equalWidth="0" w:num="1">
            <w:col w:w="11080"/>
          </w:cols>
          <w:pgMar w:left="320" w:top="459" w:right="49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Beneficial ownership of common stock</w:t>
      </w:r>
    </w:p>
    <w:p>
      <w:pPr>
        <w:spacing w:after="0" w:line="299"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The following table shows, as of March 1, 2022, the beneficial ownership of our common shares by each director, nominee for director and NEO, and by all directors, nominees for director and current executive officers as a group.</w:t>
      </w:r>
    </w:p>
    <w:p>
      <w:pPr>
        <w:spacing w:after="0" w:line="185" w:lineRule="exact"/>
        <w:rPr>
          <w:sz w:val="20"/>
          <w:szCs w:val="20"/>
          <w:color w:val="auto"/>
        </w:rPr>
      </w:pPr>
    </w:p>
    <w:tbl>
      <w:tblPr>
        <w:tblLayout w:type="fixed"/>
        <w:tblInd w:w="120" w:type="dxa"/>
        <w:tblCellMar>
          <w:top w:w="0" w:type="dxa"/>
          <w:left w:w="0" w:type="dxa"/>
          <w:bottom w:w="0" w:type="dxa"/>
          <w:right w:w="0" w:type="dxa"/>
        </w:tblCellMar>
      </w:tblPr>
      <w:tr>
        <w:trPr>
          <w:trHeight w:val="185"/>
        </w:trPr>
        <w:tc>
          <w:tcPr>
            <w:tcW w:w="5160" w:type="dxa"/>
            <w:vAlign w:val="bottom"/>
            <w:shd w:val="clear" w:color="auto" w:fill="333333"/>
          </w:tcPr>
          <w:p>
            <w:pPr>
              <w:spacing w:after="0"/>
              <w:rPr>
                <w:sz w:val="16"/>
                <w:szCs w:val="16"/>
                <w:color w:val="auto"/>
              </w:rPr>
            </w:pPr>
          </w:p>
        </w:tc>
        <w:tc>
          <w:tcPr>
            <w:tcW w:w="3400" w:type="dxa"/>
            <w:vAlign w:val="bottom"/>
            <w:shd w:val="clear" w:color="auto" w:fill="333333"/>
          </w:tcPr>
          <w:p>
            <w:pPr>
              <w:jc w:val="right"/>
              <w:ind w:right="539"/>
              <w:spacing w:after="0"/>
              <w:rPr>
                <w:sz w:val="20"/>
                <w:szCs w:val="20"/>
                <w:color w:val="auto"/>
              </w:rPr>
            </w:pPr>
            <w:r>
              <w:rPr>
                <w:rFonts w:ascii="Arial" w:cs="Arial" w:eastAsia="Arial" w:hAnsi="Arial"/>
                <w:sz w:val="16"/>
                <w:szCs w:val="16"/>
                <w:b w:val="1"/>
                <w:bCs w:val="1"/>
                <w:color w:val="FFFFFF"/>
              </w:rPr>
              <w:t>Number of Shares of Common</w:t>
            </w:r>
          </w:p>
        </w:tc>
        <w:tc>
          <w:tcPr>
            <w:tcW w:w="2460" w:type="dxa"/>
            <w:vAlign w:val="bottom"/>
            <w:shd w:val="clear" w:color="auto" w:fill="333333"/>
          </w:tcPr>
          <w:p>
            <w:pPr>
              <w:spacing w:after="0"/>
              <w:rPr>
                <w:sz w:val="16"/>
                <w:szCs w:val="16"/>
                <w:color w:val="auto"/>
              </w:rPr>
            </w:pPr>
          </w:p>
        </w:tc>
      </w:tr>
      <w:tr>
        <w:trPr>
          <w:trHeight w:val="233"/>
        </w:trPr>
        <w:tc>
          <w:tcPr>
            <w:tcW w:w="5160" w:type="dxa"/>
            <w:vAlign w:val="bottom"/>
            <w:tcBorders>
              <w:bottom w:val="single" w:sz="8" w:color="auto"/>
            </w:tcBorders>
            <w:shd w:val="clear" w:color="auto" w:fill="333333"/>
          </w:tcPr>
          <w:p>
            <w:pPr>
              <w:ind w:left="200"/>
              <w:spacing w:after="0"/>
              <w:rPr>
                <w:sz w:val="20"/>
                <w:szCs w:val="20"/>
                <w:color w:val="auto"/>
              </w:rPr>
            </w:pPr>
            <w:r>
              <w:rPr>
                <w:rFonts w:ascii="Arial" w:cs="Arial" w:eastAsia="Arial" w:hAnsi="Arial"/>
                <w:sz w:val="16"/>
                <w:szCs w:val="16"/>
                <w:b w:val="1"/>
                <w:bCs w:val="1"/>
                <w:color w:val="FFFFFF"/>
              </w:rPr>
              <w:t>Name</w:t>
            </w:r>
          </w:p>
        </w:tc>
        <w:tc>
          <w:tcPr>
            <w:tcW w:w="3400" w:type="dxa"/>
            <w:vAlign w:val="bottom"/>
            <w:tcBorders>
              <w:bottom w:val="single" w:sz="8" w:color="auto"/>
            </w:tcBorders>
            <w:shd w:val="clear" w:color="auto" w:fill="333333"/>
          </w:tcPr>
          <w:p>
            <w:pPr>
              <w:jc w:val="right"/>
              <w:ind w:right="559"/>
              <w:spacing w:after="0" w:line="233" w:lineRule="exact"/>
              <w:rPr>
                <w:sz w:val="20"/>
                <w:szCs w:val="20"/>
                <w:color w:val="auto"/>
              </w:rPr>
            </w:pPr>
            <w:r>
              <w:rPr>
                <w:rFonts w:ascii="Arial" w:cs="Arial" w:eastAsia="Arial" w:hAnsi="Arial"/>
                <w:sz w:val="16"/>
                <w:szCs w:val="16"/>
                <w:b w:val="1"/>
                <w:bCs w:val="1"/>
                <w:color w:val="FFFFFF"/>
              </w:rPr>
              <w:t>Stock Beneficially Owned</w:t>
            </w:r>
            <w:r>
              <w:rPr>
                <w:rFonts w:ascii="Arial" w:cs="Arial" w:eastAsia="Arial" w:hAnsi="Arial"/>
                <w:sz w:val="27"/>
                <w:szCs w:val="27"/>
                <w:b w:val="1"/>
                <w:bCs w:val="1"/>
                <w:color w:val="FFFFFF"/>
                <w:vertAlign w:val="superscript"/>
              </w:rPr>
              <w:t>(1)(2)</w:t>
            </w:r>
          </w:p>
        </w:tc>
        <w:tc>
          <w:tcPr>
            <w:tcW w:w="2460" w:type="dxa"/>
            <w:vAlign w:val="bottom"/>
            <w:tcBorders>
              <w:bottom w:val="single" w:sz="8" w:color="auto"/>
            </w:tcBorders>
            <w:shd w:val="clear" w:color="auto" w:fill="333333"/>
          </w:tcPr>
          <w:p>
            <w:pPr>
              <w:jc w:val="right"/>
              <w:ind w:right="439"/>
              <w:spacing w:after="0" w:line="233" w:lineRule="exact"/>
              <w:rPr>
                <w:sz w:val="20"/>
                <w:szCs w:val="20"/>
                <w:color w:val="auto"/>
              </w:rPr>
            </w:pPr>
            <w:r>
              <w:rPr>
                <w:rFonts w:ascii="Arial" w:cs="Arial" w:eastAsia="Arial" w:hAnsi="Arial"/>
                <w:sz w:val="16"/>
                <w:szCs w:val="16"/>
                <w:b w:val="1"/>
                <w:bCs w:val="1"/>
                <w:color w:val="FFFFFF"/>
              </w:rPr>
              <w:t>Percent of Class</w:t>
            </w:r>
            <w:r>
              <w:rPr>
                <w:rFonts w:ascii="Arial" w:cs="Arial" w:eastAsia="Arial" w:hAnsi="Arial"/>
                <w:sz w:val="27"/>
                <w:szCs w:val="27"/>
                <w:b w:val="1"/>
                <w:bCs w:val="1"/>
                <w:color w:val="FFFFFF"/>
                <w:vertAlign w:val="superscript"/>
              </w:rPr>
              <w:t>(3)</w:t>
            </w:r>
          </w:p>
        </w:tc>
      </w:tr>
      <w:tr>
        <w:trPr>
          <w:trHeight w:val="196"/>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Diane C. Creel</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84,656</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Randall H. Edwards</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75,845</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Kenneth V. Garcia</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29,411</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Ellis A. Jones</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Donald T. Misheff</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79,247</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Ronald A. Rice</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107,108</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Leila L. Vespoli</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55,735</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Randall A. Wotring</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109,754</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Michael S. Williams</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Kevin A. Raketich</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71,921</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Kristine C. Syrvalin</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38,358</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Kristopher R. Westbrooks</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84,253</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William P. Bryan</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79,248</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Thomas D. Moline</w:t>
            </w:r>
          </w:p>
        </w:tc>
        <w:tc>
          <w:tcPr>
            <w:tcW w:w="3400" w:type="dxa"/>
            <w:vAlign w:val="bottom"/>
          </w:tcPr>
          <w:p>
            <w:pPr>
              <w:jc w:val="right"/>
              <w:ind w:right="1319"/>
              <w:spacing w:after="0"/>
              <w:rPr>
                <w:sz w:val="20"/>
                <w:szCs w:val="20"/>
                <w:color w:val="auto"/>
              </w:rPr>
            </w:pPr>
            <w:r>
              <w:rPr>
                <w:rFonts w:ascii="Arial" w:cs="Arial" w:eastAsia="Arial" w:hAnsi="Arial"/>
                <w:sz w:val="16"/>
                <w:szCs w:val="16"/>
                <w:color w:val="auto"/>
              </w:rPr>
              <w:t>119,119</w:t>
            </w:r>
          </w:p>
        </w:tc>
        <w:tc>
          <w:tcPr>
            <w:tcW w:w="2460" w:type="dxa"/>
            <w:vAlign w:val="bottom"/>
          </w:tcPr>
          <w:p>
            <w:pPr>
              <w:jc w:val="right"/>
              <w:ind w:right="859"/>
              <w:spacing w:after="0"/>
              <w:rPr>
                <w:sz w:val="20"/>
                <w:szCs w:val="20"/>
                <w:color w:val="auto"/>
              </w:rPr>
            </w:pPr>
            <w:r>
              <w:rPr>
                <w:rFonts w:ascii="Arial" w:cs="Arial" w:eastAsia="Arial" w:hAnsi="Arial"/>
                <w:sz w:val="16"/>
                <w:szCs w:val="16"/>
                <w:color w:val="auto"/>
              </w:rPr>
              <w:t>*</w:t>
            </w:r>
          </w:p>
        </w:tc>
      </w:tr>
      <w:tr>
        <w:trPr>
          <w:trHeight w:val="206"/>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All directors, nominees for director and current executive officers as a</w:t>
            </w:r>
          </w:p>
        </w:tc>
        <w:tc>
          <w:tcPr>
            <w:tcW w:w="3400" w:type="dxa"/>
            <w:vAlign w:val="bottom"/>
            <w:shd w:val="clear" w:color="auto" w:fill="D8D8D8"/>
          </w:tcPr>
          <w:p>
            <w:pPr>
              <w:spacing w:after="0"/>
              <w:rPr>
                <w:sz w:val="17"/>
                <w:szCs w:val="17"/>
                <w:color w:val="auto"/>
              </w:rPr>
            </w:pPr>
          </w:p>
        </w:tc>
        <w:tc>
          <w:tcPr>
            <w:tcW w:w="2460" w:type="dxa"/>
            <w:vAlign w:val="bottom"/>
            <w:shd w:val="clear" w:color="auto" w:fill="D8D8D8"/>
          </w:tcPr>
          <w:p>
            <w:pPr>
              <w:spacing w:after="0"/>
              <w:rPr>
                <w:sz w:val="17"/>
                <w:szCs w:val="17"/>
                <w:color w:val="auto"/>
              </w:rPr>
            </w:pPr>
          </w:p>
        </w:tc>
      </w:tr>
      <w:tr>
        <w:trPr>
          <w:trHeight w:val="216"/>
        </w:trPr>
        <w:tc>
          <w:tcPr>
            <w:tcW w:w="5160" w:type="dxa"/>
            <w:vAlign w:val="bottom"/>
            <w:shd w:val="clear" w:color="auto" w:fill="D8D8D8"/>
          </w:tcPr>
          <w:p>
            <w:pPr>
              <w:ind w:left="180"/>
              <w:spacing w:after="0" w:line="216" w:lineRule="exact"/>
              <w:rPr>
                <w:sz w:val="20"/>
                <w:szCs w:val="20"/>
                <w:color w:val="auto"/>
              </w:rPr>
            </w:pPr>
            <w:r>
              <w:rPr>
                <w:rFonts w:ascii="Arial" w:cs="Arial" w:eastAsia="Arial" w:hAnsi="Arial"/>
                <w:sz w:val="15"/>
                <w:szCs w:val="15"/>
                <w:color w:val="auto"/>
              </w:rPr>
              <w:t>group</w:t>
            </w:r>
            <w:r>
              <w:rPr>
                <w:rFonts w:ascii="Arial" w:cs="Arial" w:eastAsia="Arial" w:hAnsi="Arial"/>
                <w:sz w:val="25"/>
                <w:szCs w:val="25"/>
                <w:color w:val="auto"/>
                <w:vertAlign w:val="superscript"/>
              </w:rPr>
              <w:t>(2) (4)</w:t>
            </w:r>
            <w:r>
              <w:rPr>
                <w:rFonts w:ascii="Arial" w:cs="Arial" w:eastAsia="Arial" w:hAnsi="Arial"/>
                <w:sz w:val="15"/>
                <w:szCs w:val="15"/>
                <w:color w:val="auto"/>
              </w:rPr>
              <w:t>(12 Individuals)</w:t>
            </w:r>
          </w:p>
        </w:tc>
        <w:tc>
          <w:tcPr>
            <w:tcW w:w="3400" w:type="dxa"/>
            <w:vAlign w:val="bottom"/>
            <w:shd w:val="clear" w:color="auto" w:fill="D8D8D8"/>
          </w:tcPr>
          <w:p>
            <w:pPr>
              <w:jc w:val="right"/>
              <w:ind w:right="1319"/>
              <w:spacing w:after="0"/>
              <w:rPr>
                <w:sz w:val="20"/>
                <w:szCs w:val="20"/>
                <w:color w:val="auto"/>
              </w:rPr>
            </w:pPr>
            <w:r>
              <w:rPr>
                <w:rFonts w:ascii="Arial" w:cs="Arial" w:eastAsia="Arial" w:hAnsi="Arial"/>
                <w:sz w:val="16"/>
                <w:szCs w:val="16"/>
                <w:color w:val="auto"/>
              </w:rPr>
              <w:t>736,288</w:t>
            </w:r>
          </w:p>
        </w:tc>
        <w:tc>
          <w:tcPr>
            <w:tcW w:w="24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1.6%</w:t>
            </w:r>
          </w:p>
        </w:tc>
      </w:tr>
    </w:tbl>
    <w:p>
      <w:pPr>
        <w:ind w:left="360" w:hanging="244"/>
        <w:spacing w:after="0"/>
        <w:tabs>
          <w:tab w:leader="none" w:pos="360" w:val="left"/>
        </w:tabs>
        <w:numPr>
          <w:ilvl w:val="0"/>
          <w:numId w:val="24"/>
        </w:numPr>
        <w:rPr>
          <w:rFonts w:ascii="Arial" w:cs="Arial" w:eastAsia="Arial" w:hAnsi="Arial"/>
          <w:sz w:val="14"/>
          <w:szCs w:val="14"/>
          <w:color w:val="auto"/>
        </w:rPr>
      </w:pPr>
      <w:r>
        <w:rPr>
          <w:rFonts w:ascii="Arial" w:cs="Arial" w:eastAsia="Arial" w:hAnsi="Arial"/>
          <w:sz w:val="14"/>
          <w:szCs w:val="14"/>
          <w:color w:val="auto"/>
        </w:rPr>
        <w:t>Percent of class is less than 1%.</w:t>
      </w:r>
    </w:p>
    <w:p>
      <w:pPr>
        <w:spacing w:after="0" w:line="23" w:lineRule="exact"/>
        <w:rPr>
          <w:sz w:val="20"/>
          <w:szCs w:val="20"/>
          <w:color w:val="auto"/>
        </w:rPr>
      </w:pPr>
    </w:p>
    <w:p>
      <w:pPr>
        <w:ind w:left="360" w:right="1100" w:hanging="244"/>
        <w:spacing w:after="0" w:line="260" w:lineRule="auto"/>
        <w:tabs>
          <w:tab w:leader="none" w:pos="380" w:val="left"/>
        </w:tabs>
        <w:numPr>
          <w:ilvl w:val="0"/>
          <w:numId w:val="25"/>
        </w:numPr>
        <w:rPr>
          <w:rFonts w:ascii="Arial" w:cs="Arial" w:eastAsia="Arial" w:hAnsi="Arial"/>
          <w:sz w:val="11"/>
          <w:szCs w:val="11"/>
          <w:color w:val="auto"/>
        </w:rPr>
      </w:pPr>
      <w:r>
        <w:rPr>
          <w:rFonts w:ascii="Arial" w:cs="Arial" w:eastAsia="Arial" w:hAnsi="Arial"/>
          <w:sz w:val="13"/>
          <w:szCs w:val="13"/>
          <w:color w:val="auto"/>
        </w:rPr>
        <w:t>Except as otherwise indicated below, for the purposes of this table beneficial ownership of our common shares is based on the sole or shared power to vote or direct the voting or to dispose or direct the disposition of our common shares. Beneficial ownership as determined in this manner does not necessarily bear on the economic incidents of ownership of our common shares. None of the shares owned by directors, nominees or the named executive officers have been pledged as security.</w:t>
      </w:r>
    </w:p>
    <w:p>
      <w:pPr>
        <w:ind w:left="380" w:hanging="264"/>
        <w:spacing w:after="0"/>
        <w:tabs>
          <w:tab w:leader="none" w:pos="380" w:val="left"/>
        </w:tabs>
        <w:numPr>
          <w:ilvl w:val="0"/>
          <w:numId w:val="25"/>
        </w:numPr>
        <w:rPr>
          <w:rFonts w:ascii="Arial" w:cs="Arial" w:eastAsia="Arial" w:hAnsi="Arial"/>
          <w:sz w:val="12"/>
          <w:szCs w:val="12"/>
          <w:color w:val="auto"/>
        </w:rPr>
      </w:pPr>
      <w:r>
        <w:rPr>
          <w:rFonts w:ascii="Arial" w:cs="Arial" w:eastAsia="Arial" w:hAnsi="Arial"/>
          <w:sz w:val="14"/>
          <w:szCs w:val="14"/>
          <w:color w:val="auto"/>
        </w:rPr>
        <w:t>The following table provides additional details regarding beneficial ownership of our common shares:</w:t>
      </w:r>
    </w:p>
    <w:p>
      <w:pPr>
        <w:spacing w:after="0" w:line="128" w:lineRule="exact"/>
        <w:rPr>
          <w:sz w:val="20"/>
          <w:szCs w:val="20"/>
          <w:color w:val="auto"/>
        </w:rPr>
      </w:pPr>
    </w:p>
    <w:tbl>
      <w:tblPr>
        <w:tblLayout w:type="fixed"/>
        <w:tblInd w:w="120" w:type="dxa"/>
        <w:tblCellMar>
          <w:top w:w="0" w:type="dxa"/>
          <w:left w:w="0" w:type="dxa"/>
          <w:bottom w:w="0" w:type="dxa"/>
          <w:right w:w="0" w:type="dxa"/>
        </w:tblCellMar>
      </w:tblPr>
      <w:tr>
        <w:trPr>
          <w:trHeight w:val="310"/>
        </w:trPr>
        <w:tc>
          <w:tcPr>
            <w:tcW w:w="5160" w:type="dxa"/>
            <w:vAlign w:val="bottom"/>
            <w:tcBorders>
              <w:bottom w:val="single" w:sz="8" w:color="auto"/>
            </w:tcBorders>
            <w:shd w:val="clear" w:color="auto" w:fill="333333"/>
          </w:tcPr>
          <w:p>
            <w:pPr>
              <w:ind w:left="200"/>
              <w:spacing w:after="0"/>
              <w:rPr>
                <w:sz w:val="20"/>
                <w:szCs w:val="20"/>
                <w:color w:val="auto"/>
              </w:rPr>
            </w:pPr>
            <w:r>
              <w:rPr>
                <w:rFonts w:ascii="Arial" w:cs="Arial" w:eastAsia="Arial" w:hAnsi="Arial"/>
                <w:sz w:val="16"/>
                <w:szCs w:val="16"/>
                <w:b w:val="1"/>
                <w:bCs w:val="1"/>
                <w:color w:val="FFFFFF"/>
              </w:rPr>
              <w:t>Name</w:t>
            </w:r>
          </w:p>
        </w:tc>
        <w:tc>
          <w:tcPr>
            <w:tcW w:w="3100" w:type="dxa"/>
            <w:vAlign w:val="bottom"/>
            <w:tcBorders>
              <w:bottom w:val="single" w:sz="8" w:color="auto"/>
            </w:tcBorders>
            <w:shd w:val="clear" w:color="auto" w:fill="333333"/>
          </w:tcPr>
          <w:p>
            <w:pPr>
              <w:jc w:val="right"/>
              <w:ind w:right="499"/>
              <w:spacing w:after="0"/>
              <w:rPr>
                <w:sz w:val="20"/>
                <w:szCs w:val="20"/>
                <w:color w:val="auto"/>
              </w:rPr>
            </w:pPr>
            <w:r>
              <w:rPr>
                <w:rFonts w:ascii="Arial" w:cs="Arial" w:eastAsia="Arial" w:hAnsi="Arial"/>
                <w:sz w:val="16"/>
                <w:szCs w:val="16"/>
                <w:b w:val="1"/>
                <w:bCs w:val="1"/>
                <w:color w:val="FFFFFF"/>
              </w:rPr>
              <w:t>Outstanding Options</w:t>
            </w:r>
            <w:r>
              <w:rPr>
                <w:rFonts w:ascii="Arial" w:cs="Arial" w:eastAsia="Arial" w:hAnsi="Arial"/>
                <w:sz w:val="27"/>
                <w:szCs w:val="27"/>
                <w:b w:val="1"/>
                <w:bCs w:val="1"/>
                <w:color w:val="FFFFFF"/>
                <w:vertAlign w:val="superscript"/>
              </w:rPr>
              <w:t>(a)</w:t>
            </w:r>
          </w:p>
        </w:tc>
        <w:tc>
          <w:tcPr>
            <w:tcW w:w="2760" w:type="dxa"/>
            <w:vAlign w:val="bottom"/>
            <w:tcBorders>
              <w:bottom w:val="single" w:sz="8" w:color="auto"/>
            </w:tcBorders>
            <w:shd w:val="clear" w:color="auto" w:fill="333333"/>
          </w:tcPr>
          <w:p>
            <w:pPr>
              <w:jc w:val="right"/>
              <w:ind w:right="99"/>
              <w:spacing w:after="0"/>
              <w:rPr>
                <w:sz w:val="20"/>
                <w:szCs w:val="20"/>
                <w:color w:val="auto"/>
              </w:rPr>
            </w:pPr>
            <w:r>
              <w:rPr>
                <w:rFonts w:ascii="Arial" w:cs="Arial" w:eastAsia="Arial" w:hAnsi="Arial"/>
                <w:sz w:val="16"/>
                <w:szCs w:val="16"/>
                <w:b w:val="1"/>
                <w:bCs w:val="1"/>
                <w:color w:val="FFFFFF"/>
              </w:rPr>
              <w:t>Deferred Common Shares</w:t>
            </w:r>
            <w:r>
              <w:rPr>
                <w:rFonts w:ascii="Arial" w:cs="Arial" w:eastAsia="Arial" w:hAnsi="Arial"/>
                <w:sz w:val="27"/>
                <w:szCs w:val="27"/>
                <w:b w:val="1"/>
                <w:bCs w:val="1"/>
                <w:color w:val="FFFFFF"/>
                <w:vertAlign w:val="superscript"/>
              </w:rPr>
              <w:t>(b)</w:t>
            </w:r>
          </w:p>
        </w:tc>
      </w:tr>
      <w:tr>
        <w:trPr>
          <w:trHeight w:val="196"/>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Diane C. Creel</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0</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Randall H. Edwards</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Kenneth V. Garcia</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2,741</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Ellis A. Jones</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Donald T. Misheff</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78,647</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Ronald A. Rice</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Leila L. Vespoli</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54,655</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Randall A. Wotring</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61,269</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Michael S. Williams</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0</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Kevin A. Raketich</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51,120</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Kristine C. Syrvalin</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19,622</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0</w:t>
            </w:r>
          </w:p>
        </w:tc>
      </w:tr>
      <w:tr>
        <w:trPr>
          <w:trHeight w:val="213"/>
        </w:trPr>
        <w:tc>
          <w:tcPr>
            <w:tcW w:w="5160" w:type="dxa"/>
            <w:vAlign w:val="bottom"/>
          </w:tcPr>
          <w:p>
            <w:pPr>
              <w:ind w:left="180"/>
              <w:spacing w:after="0"/>
              <w:rPr>
                <w:sz w:val="20"/>
                <w:szCs w:val="20"/>
                <w:color w:val="auto"/>
              </w:rPr>
            </w:pPr>
            <w:r>
              <w:rPr>
                <w:rFonts w:ascii="Arial" w:cs="Arial" w:eastAsia="Arial" w:hAnsi="Arial"/>
                <w:sz w:val="16"/>
                <w:szCs w:val="16"/>
                <w:color w:val="auto"/>
              </w:rPr>
              <w:t>Kristopher R. Westbrooks</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56,605</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219"/>
        </w:trPr>
        <w:tc>
          <w:tcPr>
            <w:tcW w:w="5160" w:type="dxa"/>
            <w:vAlign w:val="bottom"/>
            <w:shd w:val="clear" w:color="auto" w:fill="D8D8D8"/>
          </w:tcPr>
          <w:p>
            <w:pPr>
              <w:ind w:left="180"/>
              <w:spacing w:after="0"/>
              <w:rPr>
                <w:sz w:val="20"/>
                <w:szCs w:val="20"/>
                <w:color w:val="auto"/>
              </w:rPr>
            </w:pPr>
            <w:r>
              <w:rPr>
                <w:rFonts w:ascii="Arial" w:cs="Arial" w:eastAsia="Arial" w:hAnsi="Arial"/>
                <w:sz w:val="16"/>
                <w:szCs w:val="16"/>
                <w:color w:val="auto"/>
              </w:rPr>
              <w:t>William P. Bryan</w:t>
            </w:r>
          </w:p>
        </w:tc>
        <w:tc>
          <w:tcPr>
            <w:tcW w:w="3100" w:type="dxa"/>
            <w:vAlign w:val="bottom"/>
            <w:shd w:val="clear" w:color="auto" w:fill="D8D8D8"/>
          </w:tcPr>
          <w:p>
            <w:pPr>
              <w:jc w:val="right"/>
              <w:ind w:right="1019"/>
              <w:spacing w:after="0"/>
              <w:rPr>
                <w:sz w:val="20"/>
                <w:szCs w:val="20"/>
                <w:color w:val="auto"/>
              </w:rPr>
            </w:pPr>
            <w:r>
              <w:rPr>
                <w:rFonts w:ascii="Arial" w:cs="Arial" w:eastAsia="Arial" w:hAnsi="Arial"/>
                <w:sz w:val="16"/>
                <w:szCs w:val="16"/>
                <w:color w:val="auto"/>
              </w:rPr>
              <w:t>40,100</w:t>
            </w:r>
          </w:p>
        </w:tc>
        <w:tc>
          <w:tcPr>
            <w:tcW w:w="2760" w:type="dxa"/>
            <w:vAlign w:val="bottom"/>
            <w:shd w:val="clear" w:color="auto" w:fill="D8D8D8"/>
          </w:tcPr>
          <w:p>
            <w:pPr>
              <w:jc w:val="right"/>
              <w:ind w:right="859"/>
              <w:spacing w:after="0"/>
              <w:rPr>
                <w:sz w:val="20"/>
                <w:szCs w:val="20"/>
                <w:color w:val="auto"/>
              </w:rPr>
            </w:pPr>
            <w:r>
              <w:rPr>
                <w:rFonts w:ascii="Arial" w:cs="Arial" w:eastAsia="Arial" w:hAnsi="Arial"/>
                <w:sz w:val="16"/>
                <w:szCs w:val="16"/>
                <w:color w:val="auto"/>
              </w:rPr>
              <w:t>0</w:t>
            </w:r>
          </w:p>
        </w:tc>
      </w:tr>
      <w:tr>
        <w:trPr>
          <w:trHeight w:val="210"/>
        </w:trPr>
        <w:tc>
          <w:tcPr>
            <w:tcW w:w="5160" w:type="dxa"/>
            <w:vAlign w:val="bottom"/>
          </w:tcPr>
          <w:p>
            <w:pPr>
              <w:ind w:left="180"/>
              <w:spacing w:after="0"/>
              <w:rPr>
                <w:sz w:val="20"/>
                <w:szCs w:val="20"/>
                <w:color w:val="auto"/>
              </w:rPr>
            </w:pPr>
            <w:r>
              <w:rPr>
                <w:rFonts w:ascii="Arial" w:cs="Arial" w:eastAsia="Arial" w:hAnsi="Arial"/>
                <w:sz w:val="16"/>
                <w:szCs w:val="16"/>
                <w:color w:val="auto"/>
              </w:rPr>
              <w:t>Thomas D. Moline</w:t>
            </w:r>
          </w:p>
        </w:tc>
        <w:tc>
          <w:tcPr>
            <w:tcW w:w="3100" w:type="dxa"/>
            <w:vAlign w:val="bottom"/>
          </w:tcPr>
          <w:p>
            <w:pPr>
              <w:jc w:val="right"/>
              <w:ind w:right="1019"/>
              <w:spacing w:after="0"/>
              <w:rPr>
                <w:sz w:val="20"/>
                <w:szCs w:val="20"/>
                <w:color w:val="auto"/>
              </w:rPr>
            </w:pPr>
            <w:r>
              <w:rPr>
                <w:rFonts w:ascii="Arial" w:cs="Arial" w:eastAsia="Arial" w:hAnsi="Arial"/>
                <w:sz w:val="16"/>
                <w:szCs w:val="16"/>
                <w:color w:val="auto"/>
              </w:rPr>
              <w:t>76,825</w:t>
            </w:r>
          </w:p>
        </w:tc>
        <w:tc>
          <w:tcPr>
            <w:tcW w:w="2760" w:type="dxa"/>
            <w:vAlign w:val="bottom"/>
          </w:tcPr>
          <w:p>
            <w:pPr>
              <w:jc w:val="right"/>
              <w:ind w:right="859"/>
              <w:spacing w:after="0"/>
              <w:rPr>
                <w:sz w:val="20"/>
                <w:szCs w:val="20"/>
                <w:color w:val="auto"/>
              </w:rPr>
            </w:pPr>
            <w:r>
              <w:rPr>
                <w:rFonts w:ascii="Arial" w:cs="Arial" w:eastAsia="Arial" w:hAnsi="Arial"/>
                <w:sz w:val="16"/>
                <w:szCs w:val="16"/>
                <w:color w:val="auto"/>
              </w:rPr>
              <w:t>0</w:t>
            </w:r>
          </w:p>
        </w:tc>
      </w:tr>
      <w:tr>
        <w:trPr>
          <w:trHeight w:val="351"/>
        </w:trPr>
        <w:tc>
          <w:tcPr>
            <w:tcW w:w="5160" w:type="dxa"/>
            <w:vAlign w:val="bottom"/>
          </w:tcPr>
          <w:p>
            <w:pPr>
              <w:spacing w:after="0"/>
              <w:rPr>
                <w:sz w:val="24"/>
                <w:szCs w:val="24"/>
                <w:color w:val="auto"/>
              </w:rPr>
            </w:pPr>
          </w:p>
        </w:tc>
        <w:tc>
          <w:tcPr>
            <w:tcW w:w="3100" w:type="dxa"/>
            <w:vAlign w:val="bottom"/>
          </w:tcPr>
          <w:p>
            <w:pPr>
              <w:jc w:val="right"/>
              <w:ind w:right="2599"/>
              <w:spacing w:after="0"/>
              <w:rPr>
                <w:sz w:val="20"/>
                <w:szCs w:val="20"/>
                <w:color w:val="auto"/>
              </w:rPr>
            </w:pPr>
            <w:r>
              <w:rPr>
                <w:rFonts w:ascii="Arial" w:cs="Arial" w:eastAsia="Arial" w:hAnsi="Arial"/>
                <w:sz w:val="16"/>
                <w:szCs w:val="16"/>
                <w:color w:val="auto"/>
              </w:rPr>
              <w:t>31</w:t>
            </w:r>
          </w:p>
        </w:tc>
        <w:tc>
          <w:tcPr>
            <w:tcW w:w="276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760" w:right="220" w:hanging="320"/>
        <w:spacing w:after="0" w:line="223" w:lineRule="auto"/>
        <w:tabs>
          <w:tab w:leader="none" w:pos="760" w:val="left"/>
        </w:tabs>
        <w:numPr>
          <w:ilvl w:val="1"/>
          <w:numId w:val="26"/>
        </w:numPr>
        <w:rPr>
          <w:rFonts w:ascii="Arial" w:cs="Arial" w:eastAsia="Arial" w:hAnsi="Arial"/>
          <w:sz w:val="12"/>
          <w:szCs w:val="12"/>
          <w:color w:val="auto"/>
        </w:rPr>
      </w:pPr>
      <w:r>
        <w:rPr>
          <w:rFonts w:ascii="Arial" w:cs="Arial" w:eastAsia="Arial" w:hAnsi="Arial"/>
          <w:sz w:val="14"/>
          <w:szCs w:val="14"/>
          <w:color w:val="auto"/>
        </w:rPr>
        <w:t>Includes shares that the individual named in the table has the right to acquire on or before April 30, 2022, through the exercise of stock options pursuant to the TimkenSteel Corporation Amended and Restated 2014 Equity and Incentive Compensation Plan and/or the TimkenSteel Corporation Amended and Restated 2020 Equity and Incentive Compensation Plan. Including those listed (but not including Messrs. Bryan and Moline), all directors, nominees for director, and executive officers as a group have the right to acquire 127,347 shares on or before April 30, 2022, through the exercise of stock options pursuant to the TimkenSteel Corporation Amended and Restated 2014 Equity and Incentive Compensation Plan and/or the TimkenSteel Corporation Amended and Restated 2020 Equity and Incentive Compensation Plan. These shares have been treated as outstanding for the purpose of calculating the percentage of the class beneficially owned by such individual or group, but not for the purpose of calculating the percentage of the class owned by any other person.</w:t>
      </w:r>
    </w:p>
    <w:p>
      <w:pPr>
        <w:spacing w:after="0" w:line="4" w:lineRule="exact"/>
        <w:rPr>
          <w:rFonts w:ascii="Arial" w:cs="Arial" w:eastAsia="Arial" w:hAnsi="Arial"/>
          <w:sz w:val="12"/>
          <w:szCs w:val="12"/>
          <w:color w:val="auto"/>
        </w:rPr>
      </w:pPr>
    </w:p>
    <w:p>
      <w:pPr>
        <w:ind w:left="760" w:right="480" w:hanging="320"/>
        <w:spacing w:after="0" w:line="221" w:lineRule="auto"/>
        <w:tabs>
          <w:tab w:leader="none" w:pos="760" w:val="left"/>
        </w:tabs>
        <w:numPr>
          <w:ilvl w:val="1"/>
          <w:numId w:val="26"/>
        </w:numPr>
        <w:rPr>
          <w:rFonts w:ascii="Arial" w:cs="Arial" w:eastAsia="Arial" w:hAnsi="Arial"/>
          <w:sz w:val="12"/>
          <w:szCs w:val="12"/>
          <w:color w:val="auto"/>
        </w:rPr>
      </w:pPr>
      <w:r>
        <w:rPr>
          <w:rFonts w:ascii="Arial" w:cs="Arial" w:eastAsia="Arial" w:hAnsi="Arial"/>
          <w:sz w:val="14"/>
          <w:szCs w:val="14"/>
          <w:color w:val="auto"/>
        </w:rPr>
        <w:t>Acquired through deferrals of directors’ cash or equity compensation; these shares will not be issued until a later date under the TimkenSteel Corporation Director Deferred Compensation Plan.</w:t>
      </w:r>
    </w:p>
    <w:p>
      <w:pPr>
        <w:ind w:left="440" w:hanging="324"/>
        <w:spacing w:after="0" w:line="221" w:lineRule="auto"/>
        <w:tabs>
          <w:tab w:leader="none" w:pos="440" w:val="left"/>
        </w:tabs>
        <w:numPr>
          <w:ilvl w:val="0"/>
          <w:numId w:val="27"/>
        </w:numPr>
        <w:rPr>
          <w:rFonts w:ascii="Arial" w:cs="Arial" w:eastAsia="Arial" w:hAnsi="Arial"/>
          <w:sz w:val="12"/>
          <w:szCs w:val="12"/>
          <w:color w:val="auto"/>
        </w:rPr>
      </w:pPr>
      <w:r>
        <w:rPr>
          <w:rFonts w:ascii="Arial" w:cs="Arial" w:eastAsia="Arial" w:hAnsi="Arial"/>
          <w:sz w:val="14"/>
          <w:szCs w:val="14"/>
          <w:color w:val="auto"/>
        </w:rPr>
        <w:t>Calculated using 46,381,672 shares as the number of common shares outstanding.</w:t>
      </w:r>
    </w:p>
    <w:p>
      <w:pPr>
        <w:ind w:left="440" w:right="140" w:hanging="324"/>
        <w:spacing w:after="0" w:line="249" w:lineRule="auto"/>
        <w:tabs>
          <w:tab w:leader="none" w:pos="440" w:val="left"/>
        </w:tabs>
        <w:numPr>
          <w:ilvl w:val="0"/>
          <w:numId w:val="27"/>
        </w:numPr>
        <w:rPr>
          <w:rFonts w:ascii="Arial" w:cs="Arial" w:eastAsia="Arial" w:hAnsi="Arial"/>
          <w:sz w:val="11"/>
          <w:szCs w:val="11"/>
          <w:color w:val="auto"/>
        </w:rPr>
      </w:pPr>
      <w:r>
        <w:rPr>
          <w:rFonts w:ascii="Arial" w:cs="Arial" w:eastAsia="Arial" w:hAnsi="Arial"/>
          <w:sz w:val="13"/>
          <w:szCs w:val="13"/>
          <w:color w:val="auto"/>
        </w:rPr>
        <w:t>Shares beneficially owned by Messrs. Bryan and Moline are not included in the shares beneficially owned by all directors, nominees for director and executive officers as a group, as each of their service as an executive officer of the company ended on May 7, 2021. The number of shares reported for Messrs. Bryan and Moline is based on information disclosed in a Form 4 filed by each of Messrs. Bryan and Moline on May 11, 2021, as well as information available to the company concerning stock option exercise activity. Messrs. Bryan and Moline are no longer required to report holdings in the company’s securities pursuant to Section 16 of the Securities Act of 1933, as amended.</w:t>
      </w:r>
    </w:p>
    <w:p>
      <w:pPr>
        <w:spacing w:after="0" w:line="155" w:lineRule="exact"/>
        <w:rPr>
          <w:sz w:val="20"/>
          <w:szCs w:val="20"/>
          <w:color w:val="auto"/>
        </w:rPr>
      </w:pPr>
    </w:p>
    <w:p>
      <w:pPr>
        <w:ind w:left="120" w:right="460"/>
        <w:spacing w:after="0" w:line="277" w:lineRule="auto"/>
        <w:rPr>
          <w:sz w:val="20"/>
          <w:szCs w:val="20"/>
          <w:color w:val="auto"/>
        </w:rPr>
      </w:pPr>
      <w:r>
        <w:rPr>
          <w:rFonts w:ascii="Arial" w:cs="Arial" w:eastAsia="Arial" w:hAnsi="Arial"/>
          <w:sz w:val="18"/>
          <w:szCs w:val="18"/>
          <w:color w:val="auto"/>
        </w:rPr>
        <w:t>The following table provides information known to us about each beneficial owner of more than five percent of our common shares as of March 1, 2022, unless otherwise indicated below.</w:t>
      </w:r>
    </w:p>
    <w:p>
      <w:pPr>
        <w:spacing w:after="0" w:line="77" w:lineRule="exact"/>
        <w:rPr>
          <w:sz w:val="20"/>
          <w:szCs w:val="20"/>
          <w:color w:val="auto"/>
        </w:rPr>
      </w:pPr>
    </w:p>
    <w:tbl>
      <w:tblPr>
        <w:tblLayout w:type="fixed"/>
        <w:tblInd w:w="120" w:type="dxa"/>
        <w:tblCellMar>
          <w:top w:w="0" w:type="dxa"/>
          <w:left w:w="0" w:type="dxa"/>
          <w:bottom w:w="0" w:type="dxa"/>
          <w:right w:w="0" w:type="dxa"/>
        </w:tblCellMar>
      </w:tblPr>
      <w:tr>
        <w:trPr>
          <w:trHeight w:val="310"/>
        </w:trPr>
        <w:tc>
          <w:tcPr>
            <w:tcW w:w="4560" w:type="dxa"/>
            <w:vAlign w:val="bottom"/>
            <w:tcBorders>
              <w:bottom w:val="single" w:sz="8" w:color="auto"/>
            </w:tcBorders>
            <w:shd w:val="clear" w:color="auto" w:fill="333333"/>
          </w:tcPr>
          <w:p>
            <w:pPr>
              <w:spacing w:after="0"/>
              <w:rPr>
                <w:sz w:val="20"/>
                <w:szCs w:val="20"/>
                <w:color w:val="auto"/>
              </w:rPr>
            </w:pPr>
            <w:r>
              <w:rPr>
                <w:rFonts w:ascii="Arial" w:cs="Arial" w:eastAsia="Arial" w:hAnsi="Arial"/>
                <w:sz w:val="16"/>
                <w:szCs w:val="16"/>
                <w:b w:val="1"/>
                <w:bCs w:val="1"/>
                <w:color w:val="FFFFFF"/>
              </w:rPr>
              <w:t>Beneficial Owner</w:t>
            </w:r>
          </w:p>
        </w:tc>
        <w:tc>
          <w:tcPr>
            <w:tcW w:w="3940" w:type="dxa"/>
            <w:vAlign w:val="bottom"/>
            <w:tcBorders>
              <w:bottom w:val="single" w:sz="8" w:color="auto"/>
            </w:tcBorders>
            <w:shd w:val="clear" w:color="auto" w:fill="333333"/>
          </w:tcPr>
          <w:p>
            <w:pPr>
              <w:ind w:left="2360"/>
              <w:spacing w:after="0"/>
              <w:rPr>
                <w:sz w:val="20"/>
                <w:szCs w:val="20"/>
                <w:color w:val="auto"/>
              </w:rPr>
            </w:pPr>
            <w:r>
              <w:rPr>
                <w:rFonts w:ascii="Arial" w:cs="Arial" w:eastAsia="Arial" w:hAnsi="Arial"/>
                <w:sz w:val="16"/>
                <w:szCs w:val="16"/>
                <w:b w:val="1"/>
                <w:bCs w:val="1"/>
                <w:color w:val="FFFFFF"/>
              </w:rPr>
              <w:t>Amount</w:t>
            </w:r>
          </w:p>
        </w:tc>
        <w:tc>
          <w:tcPr>
            <w:tcW w:w="2520" w:type="dxa"/>
            <w:vAlign w:val="bottom"/>
            <w:tcBorders>
              <w:bottom w:val="single" w:sz="8" w:color="auto"/>
            </w:tcBorders>
            <w:shd w:val="clear" w:color="auto" w:fill="333333"/>
          </w:tcPr>
          <w:p>
            <w:pPr>
              <w:jc w:val="right"/>
              <w:ind w:right="179"/>
              <w:spacing w:after="0"/>
              <w:rPr>
                <w:sz w:val="20"/>
                <w:szCs w:val="20"/>
                <w:color w:val="auto"/>
              </w:rPr>
            </w:pPr>
            <w:r>
              <w:rPr>
                <w:rFonts w:ascii="Arial" w:cs="Arial" w:eastAsia="Arial" w:hAnsi="Arial"/>
                <w:sz w:val="16"/>
                <w:szCs w:val="16"/>
                <w:b w:val="1"/>
                <w:bCs w:val="1"/>
                <w:color w:val="FFFFFF"/>
              </w:rPr>
              <w:t>Percent of Class</w:t>
            </w:r>
            <w:r>
              <w:rPr>
                <w:rFonts w:ascii="Arial" w:cs="Arial" w:eastAsia="Arial" w:hAnsi="Arial"/>
                <w:sz w:val="27"/>
                <w:szCs w:val="27"/>
                <w:b w:val="1"/>
                <w:bCs w:val="1"/>
                <w:color w:val="FFFFFF"/>
                <w:vertAlign w:val="superscript"/>
              </w:rPr>
              <w:t>(6)</w:t>
            </w:r>
          </w:p>
        </w:tc>
      </w:tr>
      <w:tr>
        <w:trPr>
          <w:trHeight w:val="186"/>
        </w:trPr>
        <w:tc>
          <w:tcPr>
            <w:tcW w:w="4560" w:type="dxa"/>
            <w:vAlign w:val="bottom"/>
            <w:shd w:val="clear" w:color="auto" w:fill="D8D8D8"/>
          </w:tcPr>
          <w:p>
            <w:pPr>
              <w:spacing w:after="0" w:line="187" w:lineRule="exact"/>
              <w:rPr>
                <w:sz w:val="20"/>
                <w:szCs w:val="20"/>
                <w:color w:val="auto"/>
              </w:rPr>
            </w:pPr>
            <w:r>
              <w:rPr>
                <w:rFonts w:ascii="Arial" w:cs="Arial" w:eastAsia="Arial" w:hAnsi="Arial"/>
                <w:sz w:val="13"/>
                <w:szCs w:val="13"/>
                <w:color w:val="auto"/>
              </w:rPr>
              <w:t>BlackRock, Inc.</w:t>
            </w:r>
            <w:r>
              <w:rPr>
                <w:rFonts w:ascii="Arial" w:cs="Arial" w:eastAsia="Arial" w:hAnsi="Arial"/>
                <w:sz w:val="21"/>
                <w:szCs w:val="21"/>
                <w:color w:val="auto"/>
                <w:vertAlign w:val="superscript"/>
              </w:rPr>
              <w:t>(1)</w:t>
            </w:r>
          </w:p>
        </w:tc>
        <w:tc>
          <w:tcPr>
            <w:tcW w:w="3940" w:type="dxa"/>
            <w:vAlign w:val="bottom"/>
            <w:shd w:val="clear" w:color="auto" w:fill="D8D8D8"/>
          </w:tcPr>
          <w:p>
            <w:pPr>
              <w:spacing w:after="0"/>
              <w:rPr>
                <w:sz w:val="16"/>
                <w:szCs w:val="16"/>
                <w:color w:val="auto"/>
              </w:rPr>
            </w:pPr>
          </w:p>
        </w:tc>
        <w:tc>
          <w:tcPr>
            <w:tcW w:w="2520" w:type="dxa"/>
            <w:vAlign w:val="bottom"/>
            <w:shd w:val="clear" w:color="auto" w:fill="D8D8D8"/>
          </w:tcPr>
          <w:p>
            <w:pPr>
              <w:spacing w:after="0"/>
              <w:rPr>
                <w:sz w:val="16"/>
                <w:szCs w:val="16"/>
                <w:color w:val="auto"/>
              </w:rPr>
            </w:pPr>
          </w:p>
        </w:tc>
      </w:tr>
      <w:tr>
        <w:trPr>
          <w:trHeight w:val="203"/>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55 East 52nd Street</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26"/>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New York, NY 10022</w:t>
            </w:r>
          </w:p>
        </w:tc>
        <w:tc>
          <w:tcPr>
            <w:tcW w:w="3940" w:type="dxa"/>
            <w:vAlign w:val="bottom"/>
            <w:shd w:val="clear" w:color="auto" w:fill="D8D8D8"/>
          </w:tcPr>
          <w:p>
            <w:pPr>
              <w:ind w:left="2360"/>
              <w:spacing w:after="0"/>
              <w:rPr>
                <w:sz w:val="20"/>
                <w:szCs w:val="20"/>
                <w:color w:val="auto"/>
              </w:rPr>
            </w:pPr>
            <w:r>
              <w:rPr>
                <w:rFonts w:ascii="Arial" w:cs="Arial" w:eastAsia="Arial" w:hAnsi="Arial"/>
                <w:sz w:val="16"/>
                <w:szCs w:val="16"/>
                <w:color w:val="auto"/>
              </w:rPr>
              <w:t>7,270,893</w:t>
            </w:r>
          </w:p>
        </w:tc>
        <w:tc>
          <w:tcPr>
            <w:tcW w:w="2520" w:type="dxa"/>
            <w:vAlign w:val="bottom"/>
            <w:shd w:val="clear" w:color="auto" w:fill="D8D8D8"/>
          </w:tcPr>
          <w:p>
            <w:pPr>
              <w:jc w:val="right"/>
              <w:ind w:right="539"/>
              <w:spacing w:after="0"/>
              <w:rPr>
                <w:sz w:val="20"/>
                <w:szCs w:val="20"/>
                <w:color w:val="auto"/>
              </w:rPr>
            </w:pPr>
            <w:r>
              <w:rPr>
                <w:rFonts w:ascii="Arial" w:cs="Arial" w:eastAsia="Arial" w:hAnsi="Arial"/>
                <w:sz w:val="16"/>
                <w:szCs w:val="16"/>
                <w:color w:val="auto"/>
              </w:rPr>
              <w:t>15.7%</w:t>
            </w:r>
          </w:p>
        </w:tc>
      </w:tr>
      <w:tr>
        <w:trPr>
          <w:trHeight w:val="193"/>
        </w:trPr>
        <w:tc>
          <w:tcPr>
            <w:tcW w:w="4560" w:type="dxa"/>
            <w:vAlign w:val="bottom"/>
          </w:tcPr>
          <w:p>
            <w:pPr>
              <w:spacing w:after="0" w:line="192" w:lineRule="exact"/>
              <w:rPr>
                <w:sz w:val="20"/>
                <w:szCs w:val="20"/>
                <w:color w:val="auto"/>
              </w:rPr>
            </w:pPr>
            <w:r>
              <w:rPr>
                <w:rFonts w:ascii="Arial" w:cs="Arial" w:eastAsia="Arial" w:hAnsi="Arial"/>
                <w:sz w:val="14"/>
                <w:szCs w:val="14"/>
                <w:color w:val="auto"/>
              </w:rPr>
              <w:t>Ellwood Group, Inc.</w:t>
            </w:r>
            <w:r>
              <w:rPr>
                <w:rFonts w:ascii="Arial" w:cs="Arial" w:eastAsia="Arial" w:hAnsi="Arial"/>
                <w:sz w:val="22"/>
                <w:szCs w:val="22"/>
                <w:color w:val="auto"/>
                <w:vertAlign w:val="superscript"/>
              </w:rPr>
              <w:t>(2)</w:t>
            </w:r>
          </w:p>
        </w:tc>
        <w:tc>
          <w:tcPr>
            <w:tcW w:w="3940" w:type="dxa"/>
            <w:vAlign w:val="bottom"/>
          </w:tcPr>
          <w:p>
            <w:pPr>
              <w:spacing w:after="0"/>
              <w:rPr>
                <w:sz w:val="16"/>
                <w:szCs w:val="16"/>
                <w:color w:val="auto"/>
              </w:rPr>
            </w:pPr>
          </w:p>
        </w:tc>
        <w:tc>
          <w:tcPr>
            <w:tcW w:w="2520" w:type="dxa"/>
            <w:vAlign w:val="bottom"/>
          </w:tcPr>
          <w:p>
            <w:pPr>
              <w:spacing w:after="0"/>
              <w:rPr>
                <w:sz w:val="16"/>
                <w:szCs w:val="16"/>
                <w:color w:val="auto"/>
              </w:rPr>
            </w:pPr>
          </w:p>
        </w:tc>
      </w:tr>
      <w:tr>
        <w:trPr>
          <w:trHeight w:val="203"/>
        </w:trPr>
        <w:tc>
          <w:tcPr>
            <w:tcW w:w="4560" w:type="dxa"/>
            <w:vAlign w:val="bottom"/>
          </w:tcPr>
          <w:p>
            <w:pPr>
              <w:spacing w:after="0"/>
              <w:rPr>
                <w:sz w:val="20"/>
                <w:szCs w:val="20"/>
                <w:color w:val="auto"/>
              </w:rPr>
            </w:pPr>
            <w:r>
              <w:rPr>
                <w:rFonts w:ascii="Arial" w:cs="Arial" w:eastAsia="Arial" w:hAnsi="Arial"/>
                <w:sz w:val="16"/>
                <w:szCs w:val="16"/>
                <w:color w:val="auto"/>
              </w:rPr>
              <w:t>1105 N. Market Street</w:t>
            </w:r>
          </w:p>
        </w:tc>
        <w:tc>
          <w:tcPr>
            <w:tcW w:w="3940" w:type="dxa"/>
            <w:vAlign w:val="bottom"/>
          </w:tcPr>
          <w:p>
            <w:pPr>
              <w:spacing w:after="0"/>
              <w:rPr>
                <w:sz w:val="17"/>
                <w:szCs w:val="17"/>
                <w:color w:val="auto"/>
              </w:rPr>
            </w:pPr>
          </w:p>
        </w:tc>
        <w:tc>
          <w:tcPr>
            <w:tcW w:w="2520" w:type="dxa"/>
            <w:vAlign w:val="bottom"/>
          </w:tcPr>
          <w:p>
            <w:pPr>
              <w:spacing w:after="0"/>
              <w:rPr>
                <w:sz w:val="17"/>
                <w:szCs w:val="17"/>
                <w:color w:val="auto"/>
              </w:rPr>
            </w:pPr>
          </w:p>
        </w:tc>
      </w:tr>
      <w:tr>
        <w:trPr>
          <w:trHeight w:val="203"/>
        </w:trPr>
        <w:tc>
          <w:tcPr>
            <w:tcW w:w="4560" w:type="dxa"/>
            <w:vAlign w:val="bottom"/>
          </w:tcPr>
          <w:p>
            <w:pPr>
              <w:spacing w:after="0"/>
              <w:rPr>
                <w:sz w:val="20"/>
                <w:szCs w:val="20"/>
                <w:color w:val="auto"/>
              </w:rPr>
            </w:pPr>
            <w:r>
              <w:rPr>
                <w:rFonts w:ascii="Arial" w:cs="Arial" w:eastAsia="Arial" w:hAnsi="Arial"/>
                <w:sz w:val="16"/>
                <w:szCs w:val="16"/>
                <w:color w:val="auto"/>
              </w:rPr>
              <w:t>P.O. Box 8985, Suite 1300</w:t>
            </w:r>
          </w:p>
        </w:tc>
        <w:tc>
          <w:tcPr>
            <w:tcW w:w="3940" w:type="dxa"/>
            <w:vAlign w:val="bottom"/>
          </w:tcPr>
          <w:p>
            <w:pPr>
              <w:spacing w:after="0"/>
              <w:rPr>
                <w:sz w:val="17"/>
                <w:szCs w:val="17"/>
                <w:color w:val="auto"/>
              </w:rPr>
            </w:pPr>
          </w:p>
        </w:tc>
        <w:tc>
          <w:tcPr>
            <w:tcW w:w="2520" w:type="dxa"/>
            <w:vAlign w:val="bottom"/>
          </w:tcPr>
          <w:p>
            <w:pPr>
              <w:spacing w:after="0"/>
              <w:rPr>
                <w:sz w:val="17"/>
                <w:szCs w:val="17"/>
                <w:color w:val="auto"/>
              </w:rPr>
            </w:pPr>
          </w:p>
        </w:tc>
      </w:tr>
      <w:tr>
        <w:trPr>
          <w:trHeight w:val="223"/>
        </w:trPr>
        <w:tc>
          <w:tcPr>
            <w:tcW w:w="4560" w:type="dxa"/>
            <w:vAlign w:val="bottom"/>
          </w:tcPr>
          <w:p>
            <w:pPr>
              <w:spacing w:after="0"/>
              <w:rPr>
                <w:sz w:val="20"/>
                <w:szCs w:val="20"/>
                <w:color w:val="auto"/>
              </w:rPr>
            </w:pPr>
            <w:r>
              <w:rPr>
                <w:rFonts w:ascii="Arial" w:cs="Arial" w:eastAsia="Arial" w:hAnsi="Arial"/>
                <w:sz w:val="16"/>
                <w:szCs w:val="16"/>
                <w:color w:val="auto"/>
              </w:rPr>
              <w:t>Wilmington, DE 19810</w:t>
            </w:r>
          </w:p>
        </w:tc>
        <w:tc>
          <w:tcPr>
            <w:tcW w:w="3940" w:type="dxa"/>
            <w:vAlign w:val="bottom"/>
          </w:tcPr>
          <w:p>
            <w:pPr>
              <w:ind w:left="2360"/>
              <w:spacing w:after="0"/>
              <w:rPr>
                <w:sz w:val="20"/>
                <w:szCs w:val="20"/>
                <w:color w:val="auto"/>
              </w:rPr>
            </w:pPr>
            <w:r>
              <w:rPr>
                <w:rFonts w:ascii="Arial" w:cs="Arial" w:eastAsia="Arial" w:hAnsi="Arial"/>
                <w:sz w:val="16"/>
                <w:szCs w:val="16"/>
                <w:color w:val="auto"/>
              </w:rPr>
              <w:t>4,285,026</w:t>
            </w:r>
          </w:p>
        </w:tc>
        <w:tc>
          <w:tcPr>
            <w:tcW w:w="2520" w:type="dxa"/>
            <w:vAlign w:val="bottom"/>
          </w:tcPr>
          <w:p>
            <w:pPr>
              <w:jc w:val="right"/>
              <w:ind w:right="539"/>
              <w:spacing w:after="0"/>
              <w:rPr>
                <w:sz w:val="20"/>
                <w:szCs w:val="20"/>
                <w:color w:val="auto"/>
              </w:rPr>
            </w:pPr>
            <w:r>
              <w:rPr>
                <w:rFonts w:ascii="Arial" w:cs="Arial" w:eastAsia="Arial" w:hAnsi="Arial"/>
                <w:sz w:val="16"/>
                <w:szCs w:val="16"/>
                <w:color w:val="auto"/>
              </w:rPr>
              <w:t>9.2%</w:t>
            </w:r>
          </w:p>
        </w:tc>
      </w:tr>
      <w:tr>
        <w:trPr>
          <w:trHeight w:val="196"/>
        </w:trPr>
        <w:tc>
          <w:tcPr>
            <w:tcW w:w="4560" w:type="dxa"/>
            <w:vAlign w:val="bottom"/>
            <w:shd w:val="clear" w:color="auto" w:fill="D8D8D8"/>
          </w:tcPr>
          <w:p>
            <w:pPr>
              <w:spacing w:after="0" w:line="195" w:lineRule="exact"/>
              <w:rPr>
                <w:sz w:val="20"/>
                <w:szCs w:val="20"/>
                <w:color w:val="auto"/>
              </w:rPr>
            </w:pPr>
            <w:r>
              <w:rPr>
                <w:rFonts w:ascii="Arial" w:cs="Arial" w:eastAsia="Arial" w:hAnsi="Arial"/>
                <w:sz w:val="14"/>
                <w:szCs w:val="14"/>
                <w:color w:val="auto"/>
              </w:rPr>
              <w:t>The Vanguard Group Inc.</w:t>
            </w:r>
            <w:r>
              <w:rPr>
                <w:rFonts w:ascii="Arial" w:cs="Arial" w:eastAsia="Arial" w:hAnsi="Arial"/>
                <w:sz w:val="22"/>
                <w:szCs w:val="22"/>
                <w:color w:val="auto"/>
                <w:vertAlign w:val="superscript"/>
              </w:rPr>
              <w:t>(3)</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03"/>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100 Vanguard Blvd.</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26"/>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Malvern, PA 19355</w:t>
            </w:r>
          </w:p>
        </w:tc>
        <w:tc>
          <w:tcPr>
            <w:tcW w:w="3940" w:type="dxa"/>
            <w:vAlign w:val="bottom"/>
            <w:shd w:val="clear" w:color="auto" w:fill="D8D8D8"/>
          </w:tcPr>
          <w:p>
            <w:pPr>
              <w:ind w:left="2360"/>
              <w:spacing w:after="0"/>
              <w:rPr>
                <w:sz w:val="20"/>
                <w:szCs w:val="20"/>
                <w:color w:val="auto"/>
              </w:rPr>
            </w:pPr>
            <w:r>
              <w:rPr>
                <w:rFonts w:ascii="Arial" w:cs="Arial" w:eastAsia="Arial" w:hAnsi="Arial"/>
                <w:sz w:val="16"/>
                <w:szCs w:val="16"/>
                <w:color w:val="auto"/>
              </w:rPr>
              <w:t>3,781,263</w:t>
            </w:r>
          </w:p>
        </w:tc>
        <w:tc>
          <w:tcPr>
            <w:tcW w:w="2520" w:type="dxa"/>
            <w:vAlign w:val="bottom"/>
            <w:shd w:val="clear" w:color="auto" w:fill="D8D8D8"/>
          </w:tcPr>
          <w:p>
            <w:pPr>
              <w:jc w:val="right"/>
              <w:ind w:right="539"/>
              <w:spacing w:after="0"/>
              <w:rPr>
                <w:sz w:val="20"/>
                <w:szCs w:val="20"/>
                <w:color w:val="auto"/>
              </w:rPr>
            </w:pPr>
            <w:r>
              <w:rPr>
                <w:rFonts w:ascii="Arial" w:cs="Arial" w:eastAsia="Arial" w:hAnsi="Arial"/>
                <w:sz w:val="16"/>
                <w:szCs w:val="16"/>
                <w:color w:val="auto"/>
              </w:rPr>
              <w:t>8.2%</w:t>
            </w:r>
          </w:p>
        </w:tc>
      </w:tr>
      <w:tr>
        <w:trPr>
          <w:trHeight w:val="193"/>
        </w:trPr>
        <w:tc>
          <w:tcPr>
            <w:tcW w:w="4560" w:type="dxa"/>
            <w:vAlign w:val="bottom"/>
          </w:tcPr>
          <w:p>
            <w:pPr>
              <w:spacing w:after="0" w:line="192" w:lineRule="exact"/>
              <w:rPr>
                <w:sz w:val="20"/>
                <w:szCs w:val="20"/>
                <w:color w:val="auto"/>
              </w:rPr>
            </w:pPr>
            <w:r>
              <w:rPr>
                <w:rFonts w:ascii="Arial" w:cs="Arial" w:eastAsia="Arial" w:hAnsi="Arial"/>
                <w:sz w:val="14"/>
                <w:szCs w:val="14"/>
                <w:color w:val="auto"/>
              </w:rPr>
              <w:t>State Street Corporation</w:t>
            </w:r>
            <w:r>
              <w:rPr>
                <w:rFonts w:ascii="Arial" w:cs="Arial" w:eastAsia="Arial" w:hAnsi="Arial"/>
                <w:sz w:val="22"/>
                <w:szCs w:val="22"/>
                <w:color w:val="auto"/>
                <w:vertAlign w:val="superscript"/>
              </w:rPr>
              <w:t>(4)</w:t>
            </w:r>
          </w:p>
        </w:tc>
        <w:tc>
          <w:tcPr>
            <w:tcW w:w="3940" w:type="dxa"/>
            <w:vAlign w:val="bottom"/>
          </w:tcPr>
          <w:p>
            <w:pPr>
              <w:spacing w:after="0"/>
              <w:rPr>
                <w:sz w:val="16"/>
                <w:szCs w:val="16"/>
                <w:color w:val="auto"/>
              </w:rPr>
            </w:pPr>
          </w:p>
        </w:tc>
        <w:tc>
          <w:tcPr>
            <w:tcW w:w="2520" w:type="dxa"/>
            <w:vAlign w:val="bottom"/>
          </w:tcPr>
          <w:p>
            <w:pPr>
              <w:spacing w:after="0"/>
              <w:rPr>
                <w:sz w:val="16"/>
                <w:szCs w:val="16"/>
                <w:color w:val="auto"/>
              </w:rPr>
            </w:pPr>
          </w:p>
        </w:tc>
      </w:tr>
      <w:tr>
        <w:trPr>
          <w:trHeight w:val="203"/>
        </w:trPr>
        <w:tc>
          <w:tcPr>
            <w:tcW w:w="4560" w:type="dxa"/>
            <w:vAlign w:val="bottom"/>
          </w:tcPr>
          <w:p>
            <w:pPr>
              <w:spacing w:after="0"/>
              <w:rPr>
                <w:sz w:val="20"/>
                <w:szCs w:val="20"/>
                <w:color w:val="auto"/>
              </w:rPr>
            </w:pPr>
            <w:r>
              <w:rPr>
                <w:rFonts w:ascii="Arial" w:cs="Arial" w:eastAsia="Arial" w:hAnsi="Arial"/>
                <w:sz w:val="16"/>
                <w:szCs w:val="16"/>
                <w:color w:val="auto"/>
              </w:rPr>
              <w:t>State Street Financial Center</w:t>
            </w:r>
          </w:p>
        </w:tc>
        <w:tc>
          <w:tcPr>
            <w:tcW w:w="3940" w:type="dxa"/>
            <w:vAlign w:val="bottom"/>
          </w:tcPr>
          <w:p>
            <w:pPr>
              <w:spacing w:after="0"/>
              <w:rPr>
                <w:sz w:val="17"/>
                <w:szCs w:val="17"/>
                <w:color w:val="auto"/>
              </w:rPr>
            </w:pPr>
          </w:p>
        </w:tc>
        <w:tc>
          <w:tcPr>
            <w:tcW w:w="2520" w:type="dxa"/>
            <w:vAlign w:val="bottom"/>
          </w:tcPr>
          <w:p>
            <w:pPr>
              <w:spacing w:after="0"/>
              <w:rPr>
                <w:sz w:val="17"/>
                <w:szCs w:val="17"/>
                <w:color w:val="auto"/>
              </w:rPr>
            </w:pPr>
          </w:p>
        </w:tc>
      </w:tr>
      <w:tr>
        <w:trPr>
          <w:trHeight w:val="202"/>
        </w:trPr>
        <w:tc>
          <w:tcPr>
            <w:tcW w:w="4560" w:type="dxa"/>
            <w:vAlign w:val="bottom"/>
          </w:tcPr>
          <w:p>
            <w:pPr>
              <w:spacing w:after="0"/>
              <w:rPr>
                <w:sz w:val="20"/>
                <w:szCs w:val="20"/>
                <w:color w:val="auto"/>
              </w:rPr>
            </w:pPr>
            <w:r>
              <w:rPr>
                <w:rFonts w:ascii="Arial" w:cs="Arial" w:eastAsia="Arial" w:hAnsi="Arial"/>
                <w:sz w:val="16"/>
                <w:szCs w:val="16"/>
                <w:color w:val="auto"/>
              </w:rPr>
              <w:t>1 Lincoln Street</w:t>
            </w:r>
          </w:p>
        </w:tc>
        <w:tc>
          <w:tcPr>
            <w:tcW w:w="3940" w:type="dxa"/>
            <w:vAlign w:val="bottom"/>
          </w:tcPr>
          <w:p>
            <w:pPr>
              <w:spacing w:after="0"/>
              <w:rPr>
                <w:sz w:val="17"/>
                <w:szCs w:val="17"/>
                <w:color w:val="auto"/>
              </w:rPr>
            </w:pPr>
          </w:p>
        </w:tc>
        <w:tc>
          <w:tcPr>
            <w:tcW w:w="2520" w:type="dxa"/>
            <w:vAlign w:val="bottom"/>
          </w:tcPr>
          <w:p>
            <w:pPr>
              <w:spacing w:after="0"/>
              <w:rPr>
                <w:sz w:val="17"/>
                <w:szCs w:val="17"/>
                <w:color w:val="auto"/>
              </w:rPr>
            </w:pPr>
          </w:p>
        </w:tc>
      </w:tr>
      <w:tr>
        <w:trPr>
          <w:trHeight w:val="223"/>
        </w:trPr>
        <w:tc>
          <w:tcPr>
            <w:tcW w:w="4560" w:type="dxa"/>
            <w:vAlign w:val="bottom"/>
          </w:tcPr>
          <w:p>
            <w:pPr>
              <w:spacing w:after="0"/>
              <w:rPr>
                <w:sz w:val="20"/>
                <w:szCs w:val="20"/>
                <w:color w:val="auto"/>
              </w:rPr>
            </w:pPr>
            <w:r>
              <w:rPr>
                <w:rFonts w:ascii="Arial" w:cs="Arial" w:eastAsia="Arial" w:hAnsi="Arial"/>
                <w:sz w:val="16"/>
                <w:szCs w:val="16"/>
                <w:color w:val="auto"/>
              </w:rPr>
              <w:t>Boston, MA 02111</w:t>
            </w:r>
          </w:p>
        </w:tc>
        <w:tc>
          <w:tcPr>
            <w:tcW w:w="3940" w:type="dxa"/>
            <w:vAlign w:val="bottom"/>
          </w:tcPr>
          <w:p>
            <w:pPr>
              <w:ind w:left="2360"/>
              <w:spacing w:after="0"/>
              <w:rPr>
                <w:sz w:val="20"/>
                <w:szCs w:val="20"/>
                <w:color w:val="auto"/>
              </w:rPr>
            </w:pPr>
            <w:r>
              <w:rPr>
                <w:rFonts w:ascii="Arial" w:cs="Arial" w:eastAsia="Arial" w:hAnsi="Arial"/>
                <w:sz w:val="16"/>
                <w:szCs w:val="16"/>
                <w:color w:val="auto"/>
              </w:rPr>
              <w:t>2,850,078</w:t>
            </w:r>
          </w:p>
        </w:tc>
        <w:tc>
          <w:tcPr>
            <w:tcW w:w="2520" w:type="dxa"/>
            <w:vAlign w:val="bottom"/>
          </w:tcPr>
          <w:p>
            <w:pPr>
              <w:jc w:val="right"/>
              <w:ind w:right="539"/>
              <w:spacing w:after="0"/>
              <w:rPr>
                <w:sz w:val="20"/>
                <w:szCs w:val="20"/>
                <w:color w:val="auto"/>
              </w:rPr>
            </w:pPr>
            <w:r>
              <w:rPr>
                <w:rFonts w:ascii="Arial" w:cs="Arial" w:eastAsia="Arial" w:hAnsi="Arial"/>
                <w:sz w:val="16"/>
                <w:szCs w:val="16"/>
                <w:color w:val="auto"/>
              </w:rPr>
              <w:t>6.1%</w:t>
            </w:r>
          </w:p>
        </w:tc>
      </w:tr>
      <w:tr>
        <w:trPr>
          <w:trHeight w:val="196"/>
        </w:trPr>
        <w:tc>
          <w:tcPr>
            <w:tcW w:w="4560" w:type="dxa"/>
            <w:vAlign w:val="bottom"/>
            <w:shd w:val="clear" w:color="auto" w:fill="D8D8D8"/>
          </w:tcPr>
          <w:p>
            <w:pPr>
              <w:spacing w:after="0" w:line="195" w:lineRule="exact"/>
              <w:rPr>
                <w:sz w:val="20"/>
                <w:szCs w:val="20"/>
                <w:color w:val="auto"/>
              </w:rPr>
            </w:pPr>
            <w:r>
              <w:rPr>
                <w:rFonts w:ascii="Arial" w:cs="Arial" w:eastAsia="Arial" w:hAnsi="Arial"/>
                <w:sz w:val="14"/>
                <w:szCs w:val="14"/>
                <w:color w:val="auto"/>
              </w:rPr>
              <w:t>Dimensional Fund Advisors LP</w:t>
            </w:r>
            <w:r>
              <w:rPr>
                <w:rFonts w:ascii="Arial" w:cs="Arial" w:eastAsia="Arial" w:hAnsi="Arial"/>
                <w:sz w:val="22"/>
                <w:szCs w:val="22"/>
                <w:color w:val="auto"/>
                <w:vertAlign w:val="superscript"/>
              </w:rPr>
              <w:t>(5)</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03"/>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6300 Bee Cave Road</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03"/>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Building One</w:t>
            </w:r>
          </w:p>
        </w:tc>
        <w:tc>
          <w:tcPr>
            <w:tcW w:w="3940" w:type="dxa"/>
            <w:vAlign w:val="bottom"/>
            <w:shd w:val="clear" w:color="auto" w:fill="D8D8D8"/>
          </w:tcPr>
          <w:p>
            <w:pPr>
              <w:spacing w:after="0"/>
              <w:rPr>
                <w:sz w:val="17"/>
                <w:szCs w:val="17"/>
                <w:color w:val="auto"/>
              </w:rPr>
            </w:pPr>
          </w:p>
        </w:tc>
        <w:tc>
          <w:tcPr>
            <w:tcW w:w="2520" w:type="dxa"/>
            <w:vAlign w:val="bottom"/>
            <w:shd w:val="clear" w:color="auto" w:fill="D8D8D8"/>
          </w:tcPr>
          <w:p>
            <w:pPr>
              <w:spacing w:after="0"/>
              <w:rPr>
                <w:sz w:val="17"/>
                <w:szCs w:val="17"/>
                <w:color w:val="auto"/>
              </w:rPr>
            </w:pPr>
          </w:p>
        </w:tc>
      </w:tr>
      <w:tr>
        <w:trPr>
          <w:trHeight w:val="226"/>
        </w:trPr>
        <w:tc>
          <w:tcPr>
            <w:tcW w:w="4560" w:type="dxa"/>
            <w:vAlign w:val="bottom"/>
            <w:shd w:val="clear" w:color="auto" w:fill="D8D8D8"/>
          </w:tcPr>
          <w:p>
            <w:pPr>
              <w:spacing w:after="0"/>
              <w:rPr>
                <w:sz w:val="20"/>
                <w:szCs w:val="20"/>
                <w:color w:val="auto"/>
              </w:rPr>
            </w:pPr>
            <w:r>
              <w:rPr>
                <w:rFonts w:ascii="Arial" w:cs="Arial" w:eastAsia="Arial" w:hAnsi="Arial"/>
                <w:sz w:val="16"/>
                <w:szCs w:val="16"/>
                <w:color w:val="auto"/>
              </w:rPr>
              <w:t>Austin, TX 78746</w:t>
            </w:r>
          </w:p>
        </w:tc>
        <w:tc>
          <w:tcPr>
            <w:tcW w:w="3940" w:type="dxa"/>
            <w:vAlign w:val="bottom"/>
            <w:shd w:val="clear" w:color="auto" w:fill="D8D8D8"/>
          </w:tcPr>
          <w:p>
            <w:pPr>
              <w:ind w:left="2360"/>
              <w:spacing w:after="0"/>
              <w:rPr>
                <w:sz w:val="20"/>
                <w:szCs w:val="20"/>
                <w:color w:val="auto"/>
              </w:rPr>
            </w:pPr>
            <w:r>
              <w:rPr>
                <w:rFonts w:ascii="Arial" w:cs="Arial" w:eastAsia="Arial" w:hAnsi="Arial"/>
                <w:sz w:val="16"/>
                <w:szCs w:val="16"/>
                <w:color w:val="auto"/>
              </w:rPr>
              <w:t>2,845,041</w:t>
            </w:r>
          </w:p>
        </w:tc>
        <w:tc>
          <w:tcPr>
            <w:tcW w:w="2520" w:type="dxa"/>
            <w:vAlign w:val="bottom"/>
            <w:shd w:val="clear" w:color="auto" w:fill="D8D8D8"/>
          </w:tcPr>
          <w:p>
            <w:pPr>
              <w:jc w:val="right"/>
              <w:ind w:right="539"/>
              <w:spacing w:after="0"/>
              <w:rPr>
                <w:sz w:val="20"/>
                <w:szCs w:val="20"/>
                <w:color w:val="auto"/>
              </w:rPr>
            </w:pPr>
            <w:r>
              <w:rPr>
                <w:rFonts w:ascii="Arial" w:cs="Arial" w:eastAsia="Arial" w:hAnsi="Arial"/>
                <w:sz w:val="16"/>
                <w:szCs w:val="16"/>
                <w:color w:val="auto"/>
              </w:rPr>
              <w:t>6.1%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4882515</wp:posOffset>
            </wp:positionH>
            <wp:positionV relativeFrom="paragraph">
              <wp:posOffset>-2493645</wp:posOffset>
            </wp:positionV>
            <wp:extent cx="8890" cy="13716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8890" cy="137160"/>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-2493645</wp:posOffset>
            </wp:positionV>
            <wp:extent cx="8890" cy="13716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8890" cy="137160"/>
                    </a:xfrm>
                    <a:prstGeom prst="rect">
                      <a:avLst/>
                    </a:prstGeom>
                    <a:noFill/>
                  </pic:spPr>
                </pic:pic>
              </a:graphicData>
            </a:graphic>
          </wp:anchor>
        </w:drawing>
      </w:r>
    </w:p>
    <w:p>
      <w:pPr>
        <w:spacing w:after="0" w:line="2" w:lineRule="exact"/>
        <w:rPr>
          <w:sz w:val="20"/>
          <w:szCs w:val="20"/>
          <w:color w:val="auto"/>
        </w:rPr>
      </w:pPr>
    </w:p>
    <w:p>
      <w:pPr>
        <w:ind w:left="440" w:right="380" w:hanging="324"/>
        <w:spacing w:after="0" w:line="251" w:lineRule="auto"/>
        <w:tabs>
          <w:tab w:leader="none" w:pos="440" w:val="left"/>
        </w:tabs>
        <w:numPr>
          <w:ilvl w:val="0"/>
          <w:numId w:val="28"/>
        </w:numPr>
        <w:rPr>
          <w:rFonts w:ascii="Arial" w:cs="Arial" w:eastAsia="Arial" w:hAnsi="Arial"/>
          <w:sz w:val="12"/>
          <w:szCs w:val="12"/>
          <w:color w:val="auto"/>
        </w:rPr>
      </w:pPr>
      <w:r>
        <w:rPr>
          <w:rFonts w:ascii="Arial" w:cs="Arial" w:eastAsia="Arial" w:hAnsi="Arial"/>
          <w:sz w:val="14"/>
          <w:szCs w:val="14"/>
          <w:color w:val="auto"/>
        </w:rPr>
        <w:t>Pursuant to a Schedule 13G/A filed with the SEC on January 27, 2022, BlackRock, Inc. reported it is the beneficial owner of, and has sole dispositive power over, 7,270,893 of our common shares, with respect to which it has sole voting power over 7,194,014 shares and shared voting power over no shares.</w:t>
      </w:r>
    </w:p>
    <w:p>
      <w:pPr>
        <w:ind w:left="440" w:right="560" w:hanging="324"/>
        <w:spacing w:after="0" w:line="251" w:lineRule="auto"/>
        <w:tabs>
          <w:tab w:leader="none" w:pos="440" w:val="left"/>
        </w:tabs>
        <w:numPr>
          <w:ilvl w:val="0"/>
          <w:numId w:val="28"/>
        </w:numPr>
        <w:rPr>
          <w:rFonts w:ascii="Arial" w:cs="Arial" w:eastAsia="Arial" w:hAnsi="Arial"/>
          <w:sz w:val="12"/>
          <w:szCs w:val="12"/>
          <w:color w:val="auto"/>
        </w:rPr>
      </w:pPr>
      <w:r>
        <w:rPr>
          <w:rFonts w:ascii="Arial" w:cs="Arial" w:eastAsia="Arial" w:hAnsi="Arial"/>
          <w:sz w:val="14"/>
          <w:szCs w:val="14"/>
          <w:color w:val="auto"/>
        </w:rPr>
        <w:t>Pursuant to a Schedule 13D/A filed with the SEC on January 5, 2016, Ellwood Group, Inc. and its wholly-owned subsidiary, Ellwood Group Investment Corp., reported it is the beneficial owner of, and has sole voting and dispositive power with respect to, 4,285,026 of our common shares.</w:t>
      </w:r>
    </w:p>
    <w:p>
      <w:pPr>
        <w:ind w:left="440" w:right="60" w:hanging="324"/>
        <w:spacing w:after="0" w:line="270" w:lineRule="auto"/>
        <w:tabs>
          <w:tab w:leader="none" w:pos="440" w:val="left"/>
        </w:tabs>
        <w:numPr>
          <w:ilvl w:val="0"/>
          <w:numId w:val="28"/>
        </w:numPr>
        <w:rPr>
          <w:rFonts w:ascii="Arial" w:cs="Arial" w:eastAsia="Arial" w:hAnsi="Arial"/>
          <w:sz w:val="11"/>
          <w:szCs w:val="11"/>
          <w:color w:val="auto"/>
        </w:rPr>
      </w:pPr>
      <w:r>
        <w:rPr>
          <w:rFonts w:ascii="Arial" w:cs="Arial" w:eastAsia="Arial" w:hAnsi="Arial"/>
          <w:sz w:val="13"/>
          <w:szCs w:val="13"/>
          <w:color w:val="auto"/>
        </w:rPr>
        <w:t>Pursuant to a Schedule 13G/A filed with the SEC on February 10, 2022, The Vanguard Group Inc. reported it is the beneficial owner of 3,781,263 of our common shares, with respect to which it has sole voting power over no shares, shared voting power over 49,273 shares, sole dispositive power over 3,725,478 shares and shared dispositive power over 55,785 shares.</w:t>
      </w:r>
    </w:p>
    <w:p>
      <w:pPr>
        <w:spacing w:after="0" w:line="1" w:lineRule="exact"/>
        <w:rPr>
          <w:rFonts w:ascii="Arial" w:cs="Arial" w:eastAsia="Arial" w:hAnsi="Arial"/>
          <w:sz w:val="11"/>
          <w:szCs w:val="11"/>
          <w:color w:val="auto"/>
        </w:rPr>
      </w:pPr>
    </w:p>
    <w:p>
      <w:pPr>
        <w:ind w:left="440" w:right="100" w:hanging="324"/>
        <w:spacing w:after="0" w:line="251" w:lineRule="auto"/>
        <w:tabs>
          <w:tab w:leader="none" w:pos="440" w:val="left"/>
        </w:tabs>
        <w:numPr>
          <w:ilvl w:val="0"/>
          <w:numId w:val="28"/>
        </w:numPr>
        <w:rPr>
          <w:rFonts w:ascii="Arial" w:cs="Arial" w:eastAsia="Arial" w:hAnsi="Arial"/>
          <w:sz w:val="12"/>
          <w:szCs w:val="12"/>
          <w:color w:val="auto"/>
        </w:rPr>
      </w:pPr>
      <w:r>
        <w:rPr>
          <w:rFonts w:ascii="Arial" w:cs="Arial" w:eastAsia="Arial" w:hAnsi="Arial"/>
          <w:sz w:val="14"/>
          <w:szCs w:val="14"/>
          <w:color w:val="auto"/>
        </w:rPr>
        <w:t>Pursuant to a Schedule 13G filed with the SEC on February 10, 2022, State Street Corporation reported it is the beneficial owner of, and has shared dispositive power over 2,850,078 of our common shares, with respect to which it has shared voting power over 2,793,627 shares and sole voting power over no shares.</w:t>
      </w:r>
    </w:p>
    <w:p>
      <w:pPr>
        <w:ind w:left="440" w:right="80" w:hanging="324"/>
        <w:spacing w:after="0" w:line="233" w:lineRule="auto"/>
        <w:tabs>
          <w:tab w:leader="none" w:pos="440" w:val="left"/>
        </w:tabs>
        <w:numPr>
          <w:ilvl w:val="0"/>
          <w:numId w:val="28"/>
        </w:numPr>
        <w:rPr>
          <w:rFonts w:ascii="Arial" w:cs="Arial" w:eastAsia="Arial" w:hAnsi="Arial"/>
          <w:sz w:val="12"/>
          <w:szCs w:val="12"/>
          <w:color w:val="auto"/>
        </w:rPr>
      </w:pPr>
      <w:r>
        <w:rPr>
          <w:rFonts w:ascii="Arial" w:cs="Arial" w:eastAsia="Arial" w:hAnsi="Arial"/>
          <w:sz w:val="14"/>
          <w:szCs w:val="14"/>
          <w:color w:val="auto"/>
        </w:rPr>
        <w:t>Pursuant to a Schedule 13G/A filed with the SEC on February 8, 2022, Dimensional Fund Advisors LP reported it is the beneficial owner of, and has sole dispositive power over, 2,845,041 of our common shares, with respect to which it has sole voting power over 2,773,184 shares and shared voting power over no shares. Dimensional Fund Advisors LP disclaims beneficial ownership of the shares reported in the Schedule 13G as all such shares are owned by investment companies and other commingled funds, group trusts and separate accounts for which Dimensional Fund Advisors provides investment advice or serves as investment manager or sub-adviser.</w:t>
      </w:r>
    </w:p>
    <w:p>
      <w:pPr>
        <w:spacing w:after="0" w:line="9" w:lineRule="exact"/>
        <w:rPr>
          <w:rFonts w:ascii="Arial" w:cs="Arial" w:eastAsia="Arial" w:hAnsi="Arial"/>
          <w:sz w:val="12"/>
          <w:szCs w:val="12"/>
          <w:color w:val="auto"/>
        </w:rPr>
      </w:pPr>
    </w:p>
    <w:p>
      <w:pPr>
        <w:ind w:left="440" w:hanging="324"/>
        <w:spacing w:after="0"/>
        <w:tabs>
          <w:tab w:leader="none" w:pos="440" w:val="left"/>
        </w:tabs>
        <w:numPr>
          <w:ilvl w:val="0"/>
          <w:numId w:val="28"/>
        </w:numPr>
        <w:rPr>
          <w:rFonts w:ascii="Arial" w:cs="Arial" w:eastAsia="Arial" w:hAnsi="Arial"/>
          <w:sz w:val="12"/>
          <w:szCs w:val="12"/>
          <w:color w:val="auto"/>
        </w:rPr>
      </w:pPr>
      <w:r>
        <w:rPr>
          <w:rFonts w:ascii="Arial" w:cs="Arial" w:eastAsia="Arial" w:hAnsi="Arial"/>
          <w:sz w:val="14"/>
          <w:szCs w:val="14"/>
          <w:color w:val="auto"/>
        </w:rPr>
        <w:t>Calculated using 46,381,672 shares as the number of common shares outstanding.</w:t>
      </w:r>
    </w:p>
    <w:p>
      <w:pPr>
        <w:spacing w:after="0" w:line="145"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32</w:t>
      </w:r>
    </w:p>
    <w:p>
      <w:pPr>
        <w:sectPr>
          <w:pgSz w:w="11900" w:h="16838" w:orient="portrait"/>
          <w:cols w:equalWidth="0" w:num="1">
            <w:col w:w="11140"/>
          </w:cols>
          <w:pgMar w:left="320" w:top="459" w:right="43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Proposal 2</w:t>
      </w:r>
    </w:p>
    <w:p>
      <w:pPr>
        <w:spacing w:after="0" w:line="76" w:lineRule="exact"/>
        <w:rPr>
          <w:sz w:val="20"/>
          <w:szCs w:val="20"/>
          <w:color w:val="auto"/>
        </w:rPr>
      </w:pPr>
    </w:p>
    <w:p>
      <w:pPr>
        <w:ind w:left="120"/>
        <w:spacing w:after="0"/>
        <w:rPr>
          <w:sz w:val="20"/>
          <w:szCs w:val="20"/>
          <w:color w:val="auto"/>
        </w:rPr>
      </w:pPr>
      <w:r>
        <w:rPr>
          <w:rFonts w:ascii="Arial" w:cs="Arial" w:eastAsia="Arial" w:hAnsi="Arial"/>
          <w:sz w:val="49"/>
          <w:szCs w:val="49"/>
          <w:b w:val="1"/>
          <w:bCs w:val="1"/>
          <w:color w:val="auto"/>
        </w:rPr>
        <w:t>Ratification of selection of independent auditor</w:t>
      </w:r>
    </w:p>
    <w:p>
      <w:pPr>
        <w:spacing w:after="0" w:line="24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Appointment of independent auditor for 2022</w:t>
      </w:r>
    </w:p>
    <w:p>
      <w:pPr>
        <w:spacing w:after="0" w:line="207" w:lineRule="exact"/>
        <w:rPr>
          <w:sz w:val="20"/>
          <w:szCs w:val="20"/>
          <w:color w:val="auto"/>
        </w:rPr>
      </w:pPr>
    </w:p>
    <w:p>
      <w:pPr>
        <w:ind w:left="120" w:right="40"/>
        <w:spacing w:after="0" w:line="263" w:lineRule="auto"/>
        <w:rPr>
          <w:sz w:val="20"/>
          <w:szCs w:val="20"/>
          <w:color w:val="auto"/>
        </w:rPr>
      </w:pPr>
      <w:r>
        <w:rPr>
          <w:rFonts w:ascii="Arial" w:cs="Arial" w:eastAsia="Arial" w:hAnsi="Arial"/>
          <w:sz w:val="18"/>
          <w:szCs w:val="18"/>
          <w:color w:val="auto"/>
        </w:rPr>
        <w:t>The Audit Committee of the Board of Directors has selected Ernst &amp; Young LLP, an independent registered public accounting firm, to perform the audit of the company’s financial statements and our internal control over financial reporting for the 2022 fiscal year. Ernst &amp; Young has served as TimkenSteel’s independent auditor since 2012.</w:t>
      </w:r>
    </w:p>
    <w:p>
      <w:pPr>
        <w:spacing w:after="0" w:line="143" w:lineRule="exact"/>
        <w:rPr>
          <w:sz w:val="20"/>
          <w:szCs w:val="20"/>
          <w:color w:val="auto"/>
        </w:rPr>
      </w:pPr>
    </w:p>
    <w:p>
      <w:pPr>
        <w:ind w:left="120"/>
        <w:spacing w:after="0" w:line="296" w:lineRule="auto"/>
        <w:rPr>
          <w:sz w:val="20"/>
          <w:szCs w:val="20"/>
          <w:color w:val="auto"/>
        </w:rPr>
      </w:pPr>
      <w:r>
        <w:rPr>
          <w:rFonts w:ascii="Arial" w:cs="Arial" w:eastAsia="Arial" w:hAnsi="Arial"/>
          <w:sz w:val="16"/>
          <w:szCs w:val="16"/>
          <w:color w:val="auto"/>
        </w:rPr>
        <w:t>The selection of Ernst &amp; Young as our independent auditor is not required to be submitted to a vote of our shareholders for ratification, but our Board of Directors believes obtaining shareholder ratification is a sound governance practice. If our shareholders fail to vote in favor of the selection of Ernst &amp; Young, the Audit Committee will reconsider whether to retain Ernst &amp; Young and may retain that firm or another firm without resubmitting the matter to our shareholders. Even if the shareholders ratify this appointment, the Audit Committee may, in its discretion, direct the appointment of a different independent registered public accounting firm at any time during the year if it determines that such a change would be in the company’s best interest.</w:t>
      </w:r>
    </w:p>
    <w:p>
      <w:pPr>
        <w:spacing w:after="0" w:line="121" w:lineRule="exact"/>
        <w:rPr>
          <w:sz w:val="20"/>
          <w:szCs w:val="20"/>
          <w:color w:val="auto"/>
        </w:rPr>
      </w:pPr>
    </w:p>
    <w:p>
      <w:pPr>
        <w:ind w:left="120" w:right="480"/>
        <w:spacing w:after="0" w:line="277" w:lineRule="auto"/>
        <w:rPr>
          <w:sz w:val="20"/>
          <w:szCs w:val="20"/>
          <w:color w:val="auto"/>
        </w:rPr>
      </w:pPr>
      <w:r>
        <w:rPr>
          <w:rFonts w:ascii="Arial" w:cs="Arial" w:eastAsia="Arial" w:hAnsi="Arial"/>
          <w:sz w:val="18"/>
          <w:szCs w:val="18"/>
          <w:color w:val="auto"/>
        </w:rPr>
        <w:t>Representatives of Ernst &amp; Young are expected to be present at the 2022 annual meeting of shareholders. They will have an opportunity to make a statement if they desire to do so and will be available to respond to appropriate questions.</w:t>
      </w:r>
    </w:p>
    <w:p>
      <w:pPr>
        <w:spacing w:after="0" w:line="143" w:lineRule="exact"/>
        <w:rPr>
          <w:sz w:val="20"/>
          <w:szCs w:val="20"/>
          <w:color w:val="auto"/>
        </w:rPr>
      </w:pPr>
    </w:p>
    <w:p>
      <w:pPr>
        <w:ind w:left="120" w:right="540"/>
        <w:spacing w:after="0" w:line="277" w:lineRule="auto"/>
        <w:rPr>
          <w:sz w:val="20"/>
          <w:szCs w:val="20"/>
          <w:color w:val="auto"/>
        </w:rPr>
      </w:pPr>
      <w:r>
        <w:rPr>
          <w:rFonts w:ascii="Arial" w:cs="Arial" w:eastAsia="Arial" w:hAnsi="Arial"/>
          <w:sz w:val="18"/>
          <w:szCs w:val="18"/>
          <w:color w:val="auto"/>
        </w:rPr>
        <w:t>Ratification of the appointment of Ernst &amp; Young as the company’s independent auditor for the 2022 fiscal year requires the affirmative vote of a majority of the votes cast on the proposal.</w:t>
      </w:r>
    </w:p>
    <w:p>
      <w:pPr>
        <w:spacing w:after="0" w:line="12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Shares represented by proxy will be voted FOR this proposal unless you specify otherwise in your voting instructions</w:t>
      </w:r>
      <w:r>
        <w:rPr>
          <w:rFonts w:ascii="Arial" w:cs="Arial" w:eastAsia="Arial" w:hAnsi="Arial"/>
          <w:sz w:val="18"/>
          <w:szCs w:val="18"/>
          <w:color w:val="auto"/>
        </w:rPr>
        <w:t>.</w:t>
      </w:r>
    </w:p>
    <w:p>
      <w:pPr>
        <w:spacing w:after="0" w:line="200" w:lineRule="exact"/>
        <w:rPr>
          <w:sz w:val="20"/>
          <w:szCs w:val="20"/>
          <w:color w:val="auto"/>
        </w:rPr>
      </w:pPr>
    </w:p>
    <w:p>
      <w:pPr>
        <w:spacing w:after="0" w:line="232" w:lineRule="exact"/>
        <w:rPr>
          <w:sz w:val="20"/>
          <w:szCs w:val="20"/>
          <w:color w:val="auto"/>
        </w:rPr>
      </w:pPr>
    </w:p>
    <w:p>
      <w:pPr>
        <w:jc w:val="center"/>
        <w:ind w:left="1460" w:right="2840"/>
        <w:spacing w:after="0" w:line="289" w:lineRule="auto"/>
        <w:rPr>
          <w:sz w:val="20"/>
          <w:szCs w:val="20"/>
          <w:color w:val="auto"/>
        </w:rPr>
      </w:pPr>
      <w:r>
        <w:rPr>
          <w:rFonts w:ascii="Arial" w:cs="Arial" w:eastAsia="Arial" w:hAnsi="Arial"/>
          <w:sz w:val="17"/>
          <w:szCs w:val="17"/>
          <w:b w:val="1"/>
          <w:bCs w:val="1"/>
          <w:color w:val="auto"/>
        </w:rPr>
        <w:t>Your Board of Directors recommends a vote for the ratification of the selection of Ernst &amp; Young LLP as the independent auditor for the 2022 fiscal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1453515</wp:posOffset>
            </wp:positionH>
            <wp:positionV relativeFrom="paragraph">
              <wp:posOffset>-401955</wp:posOffset>
            </wp:positionV>
            <wp:extent cx="342900" cy="3429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342900" cy="342900"/>
                    </a:xfrm>
                    <a:prstGeom prst="rect">
                      <a:avLst/>
                    </a:prstGeom>
                    <a:noFill/>
                  </pic:spPr>
                </pic:pic>
              </a:graphicData>
            </a:graphic>
          </wp:anchor>
        </w:drawing>
      </w:r>
    </w:p>
    <w:p>
      <w:pPr>
        <w:spacing w:after="0" w:line="79"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33</w:t>
      </w:r>
    </w:p>
    <w:p>
      <w:pPr>
        <w:sectPr>
          <w:pgSz w:w="11900" w:h="16838" w:orient="portrait"/>
          <w:cols w:equalWidth="0" w:num="1">
            <w:col w:w="11120"/>
          </w:cols>
          <w:pgMar w:left="320" w:top="459" w:right="45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Services of independent auditor for 2021</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7"/>
          <w:szCs w:val="17"/>
          <w:color w:val="auto"/>
        </w:rPr>
        <w:t>Set forth below are the aggregate fees billed by Ernst &amp; Young for professional services rendered to the company for the fiscal years ended</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December 31, 2020 and 2021:</w:t>
      </w:r>
    </w:p>
    <w:p>
      <w:pPr>
        <w:spacing w:after="0" w:line="374" w:lineRule="exact"/>
        <w:rPr>
          <w:sz w:val="20"/>
          <w:szCs w:val="20"/>
          <w:color w:val="auto"/>
        </w:rPr>
      </w:pPr>
    </w:p>
    <w:tbl>
      <w:tblPr>
        <w:tblLayout w:type="fixed"/>
        <w:tblInd w:w="120" w:type="dxa"/>
        <w:tblCellMar>
          <w:top w:w="0" w:type="dxa"/>
          <w:left w:w="0" w:type="dxa"/>
          <w:bottom w:w="0" w:type="dxa"/>
          <w:right w:w="0" w:type="dxa"/>
        </w:tblCellMar>
      </w:tblPr>
      <w:tr>
        <w:trPr>
          <w:trHeight w:val="216"/>
        </w:trPr>
        <w:tc>
          <w:tcPr>
            <w:tcW w:w="4420" w:type="dxa"/>
            <w:vAlign w:val="bottom"/>
            <w:shd w:val="clear" w:color="auto" w:fill="58595B"/>
          </w:tcPr>
          <w:p>
            <w:pPr>
              <w:spacing w:after="0"/>
              <w:rPr>
                <w:sz w:val="18"/>
                <w:szCs w:val="18"/>
                <w:color w:val="auto"/>
              </w:rPr>
            </w:pPr>
          </w:p>
        </w:tc>
        <w:tc>
          <w:tcPr>
            <w:tcW w:w="3400" w:type="dxa"/>
            <w:vAlign w:val="bottom"/>
            <w:shd w:val="clear" w:color="auto" w:fill="58595B"/>
          </w:tcPr>
          <w:p>
            <w:pPr>
              <w:spacing w:after="0"/>
              <w:rPr>
                <w:sz w:val="18"/>
                <w:szCs w:val="18"/>
                <w:color w:val="auto"/>
              </w:rPr>
            </w:pPr>
          </w:p>
        </w:tc>
        <w:tc>
          <w:tcPr>
            <w:tcW w:w="1280" w:type="dxa"/>
            <w:vAlign w:val="bottom"/>
            <w:shd w:val="clear" w:color="auto" w:fill="58595B"/>
          </w:tcPr>
          <w:p>
            <w:pPr>
              <w:jc w:val="right"/>
              <w:ind w:right="675"/>
              <w:spacing w:after="0"/>
              <w:rPr>
                <w:sz w:val="20"/>
                <w:szCs w:val="20"/>
                <w:color w:val="auto"/>
              </w:rPr>
            </w:pPr>
            <w:r>
              <w:rPr>
                <w:rFonts w:ascii="Arial" w:cs="Arial" w:eastAsia="Arial" w:hAnsi="Arial"/>
                <w:sz w:val="17"/>
                <w:szCs w:val="17"/>
                <w:b w:val="1"/>
                <w:bCs w:val="1"/>
                <w:color w:val="FFFFFF"/>
              </w:rPr>
              <w:t>2021</w:t>
            </w:r>
          </w:p>
        </w:tc>
        <w:tc>
          <w:tcPr>
            <w:tcW w:w="560" w:type="dxa"/>
            <w:vAlign w:val="bottom"/>
            <w:shd w:val="clear" w:color="auto" w:fill="58595B"/>
          </w:tcPr>
          <w:p>
            <w:pPr>
              <w:spacing w:after="0"/>
              <w:rPr>
                <w:sz w:val="18"/>
                <w:szCs w:val="18"/>
                <w:color w:val="auto"/>
              </w:rPr>
            </w:pPr>
          </w:p>
        </w:tc>
        <w:tc>
          <w:tcPr>
            <w:tcW w:w="1360" w:type="dxa"/>
            <w:vAlign w:val="bottom"/>
            <w:shd w:val="clear" w:color="auto" w:fill="58595B"/>
          </w:tcPr>
          <w:p>
            <w:pPr>
              <w:jc w:val="right"/>
              <w:ind w:right="735"/>
              <w:spacing w:after="0"/>
              <w:rPr>
                <w:sz w:val="20"/>
                <w:szCs w:val="20"/>
                <w:color w:val="auto"/>
              </w:rPr>
            </w:pPr>
            <w:r>
              <w:rPr>
                <w:rFonts w:ascii="Arial" w:cs="Arial" w:eastAsia="Arial" w:hAnsi="Arial"/>
                <w:sz w:val="17"/>
                <w:szCs w:val="17"/>
                <w:b w:val="1"/>
                <w:bCs w:val="1"/>
                <w:color w:val="FFFFFF"/>
              </w:rPr>
              <w:t>2020</w:t>
            </w:r>
          </w:p>
        </w:tc>
      </w:tr>
      <w:tr>
        <w:trPr>
          <w:trHeight w:val="243"/>
        </w:trPr>
        <w:tc>
          <w:tcPr>
            <w:tcW w:w="4420" w:type="dxa"/>
            <w:vAlign w:val="bottom"/>
            <w:shd w:val="clear" w:color="auto" w:fill="D8D8D8"/>
          </w:tcPr>
          <w:p>
            <w:pPr>
              <w:ind w:left="80"/>
              <w:spacing w:after="0" w:line="243" w:lineRule="exact"/>
              <w:rPr>
                <w:sz w:val="20"/>
                <w:szCs w:val="20"/>
                <w:color w:val="auto"/>
              </w:rPr>
            </w:pPr>
            <w:r>
              <w:rPr>
                <w:rFonts w:ascii="Arial" w:cs="Arial" w:eastAsia="Arial" w:hAnsi="Arial"/>
                <w:sz w:val="17"/>
                <w:szCs w:val="17"/>
                <w:color w:val="auto"/>
              </w:rPr>
              <w:t>Audit fees</w:t>
            </w:r>
            <w:r>
              <w:rPr>
                <w:rFonts w:ascii="Arial" w:cs="Arial" w:eastAsia="Arial" w:hAnsi="Arial"/>
                <w:sz w:val="28"/>
                <w:szCs w:val="28"/>
                <w:color w:val="auto"/>
                <w:vertAlign w:val="superscript"/>
              </w:rPr>
              <w:t>(a)</w:t>
            </w:r>
          </w:p>
        </w:tc>
        <w:tc>
          <w:tcPr>
            <w:tcW w:w="340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w:t>
            </w:r>
          </w:p>
        </w:tc>
        <w:tc>
          <w:tcPr>
            <w:tcW w:w="1280" w:type="dxa"/>
            <w:vAlign w:val="bottom"/>
            <w:shd w:val="clear" w:color="auto" w:fill="D8D8D8"/>
          </w:tcPr>
          <w:p>
            <w:pPr>
              <w:jc w:val="right"/>
              <w:ind w:right="195"/>
              <w:spacing w:after="0"/>
              <w:rPr>
                <w:sz w:val="20"/>
                <w:szCs w:val="20"/>
                <w:color w:val="auto"/>
              </w:rPr>
            </w:pPr>
            <w:r>
              <w:rPr>
                <w:rFonts w:ascii="Arial" w:cs="Arial" w:eastAsia="Arial" w:hAnsi="Arial"/>
                <w:sz w:val="17"/>
                <w:szCs w:val="17"/>
                <w:color w:val="auto"/>
              </w:rPr>
              <w:t>1,164,340</w:t>
            </w:r>
          </w:p>
        </w:tc>
        <w:tc>
          <w:tcPr>
            <w:tcW w:w="56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w:t>
            </w:r>
          </w:p>
        </w:tc>
        <w:tc>
          <w:tcPr>
            <w:tcW w:w="1360" w:type="dxa"/>
            <w:vAlign w:val="bottom"/>
            <w:shd w:val="clear" w:color="auto" w:fill="D8D8D8"/>
          </w:tcPr>
          <w:p>
            <w:pPr>
              <w:jc w:val="right"/>
              <w:ind w:right="255"/>
              <w:spacing w:after="0"/>
              <w:rPr>
                <w:sz w:val="20"/>
                <w:szCs w:val="20"/>
                <w:color w:val="auto"/>
              </w:rPr>
            </w:pPr>
            <w:r>
              <w:rPr>
                <w:rFonts w:ascii="Arial" w:cs="Arial" w:eastAsia="Arial" w:hAnsi="Arial"/>
                <w:sz w:val="17"/>
                <w:szCs w:val="17"/>
                <w:color w:val="auto"/>
              </w:rPr>
              <w:t>1,141,665</w:t>
            </w:r>
          </w:p>
        </w:tc>
      </w:tr>
      <w:tr>
        <w:trPr>
          <w:trHeight w:val="234"/>
        </w:trPr>
        <w:tc>
          <w:tcPr>
            <w:tcW w:w="4420" w:type="dxa"/>
            <w:vAlign w:val="bottom"/>
          </w:tcPr>
          <w:p>
            <w:pPr>
              <w:ind w:left="80"/>
              <w:spacing w:after="0"/>
              <w:rPr>
                <w:sz w:val="20"/>
                <w:szCs w:val="20"/>
                <w:color w:val="auto"/>
              </w:rPr>
            </w:pPr>
            <w:r>
              <w:rPr>
                <w:rFonts w:ascii="Arial" w:cs="Arial" w:eastAsia="Arial" w:hAnsi="Arial"/>
                <w:sz w:val="17"/>
                <w:szCs w:val="17"/>
                <w:color w:val="auto"/>
              </w:rPr>
              <w:t>Audit-related fees</w:t>
            </w:r>
          </w:p>
        </w:tc>
        <w:tc>
          <w:tcPr>
            <w:tcW w:w="3400" w:type="dxa"/>
            <w:vAlign w:val="bottom"/>
          </w:tcPr>
          <w:p>
            <w:pPr>
              <w:spacing w:after="0"/>
              <w:rPr>
                <w:sz w:val="20"/>
                <w:szCs w:val="20"/>
                <w:color w:val="auto"/>
              </w:rPr>
            </w:pPr>
          </w:p>
        </w:tc>
        <w:tc>
          <w:tcPr>
            <w:tcW w:w="1280" w:type="dxa"/>
            <w:vAlign w:val="bottom"/>
          </w:tcPr>
          <w:p>
            <w:pPr>
              <w:jc w:val="right"/>
              <w:ind w:right="195"/>
              <w:spacing w:after="0"/>
              <w:rPr>
                <w:sz w:val="20"/>
                <w:szCs w:val="20"/>
                <w:color w:val="auto"/>
              </w:rPr>
            </w:pPr>
            <w:r>
              <w:rPr>
                <w:rFonts w:ascii="Arial" w:cs="Arial" w:eastAsia="Arial" w:hAnsi="Arial"/>
                <w:sz w:val="17"/>
                <w:szCs w:val="17"/>
                <w:color w:val="auto"/>
              </w:rPr>
              <w:t>—</w:t>
            </w:r>
          </w:p>
        </w:tc>
        <w:tc>
          <w:tcPr>
            <w:tcW w:w="560" w:type="dxa"/>
            <w:vAlign w:val="bottom"/>
          </w:tcPr>
          <w:p>
            <w:pPr>
              <w:spacing w:after="0"/>
              <w:rPr>
                <w:sz w:val="20"/>
                <w:szCs w:val="20"/>
                <w:color w:val="auto"/>
              </w:rPr>
            </w:pPr>
          </w:p>
        </w:tc>
        <w:tc>
          <w:tcPr>
            <w:tcW w:w="1360" w:type="dxa"/>
            <w:vAlign w:val="bottom"/>
          </w:tcPr>
          <w:p>
            <w:pPr>
              <w:jc w:val="right"/>
              <w:ind w:right="255"/>
              <w:spacing w:after="0"/>
              <w:rPr>
                <w:sz w:val="20"/>
                <w:szCs w:val="20"/>
                <w:color w:val="auto"/>
              </w:rPr>
            </w:pPr>
            <w:r>
              <w:rPr>
                <w:rFonts w:ascii="Arial" w:cs="Arial" w:eastAsia="Arial" w:hAnsi="Arial"/>
                <w:sz w:val="17"/>
                <w:szCs w:val="17"/>
                <w:color w:val="auto"/>
              </w:rPr>
              <w:t>—</w:t>
            </w:r>
          </w:p>
        </w:tc>
      </w:tr>
      <w:tr>
        <w:trPr>
          <w:trHeight w:val="252"/>
        </w:trPr>
        <w:tc>
          <w:tcPr>
            <w:tcW w:w="4420" w:type="dxa"/>
            <w:vAlign w:val="bottom"/>
            <w:shd w:val="clear" w:color="auto" w:fill="D8D8D8"/>
          </w:tcPr>
          <w:p>
            <w:pPr>
              <w:ind w:left="80"/>
              <w:spacing w:after="0"/>
              <w:rPr>
                <w:sz w:val="20"/>
                <w:szCs w:val="20"/>
                <w:color w:val="auto"/>
              </w:rPr>
            </w:pPr>
            <w:r>
              <w:rPr>
                <w:rFonts w:ascii="Arial" w:cs="Arial" w:eastAsia="Arial" w:hAnsi="Arial"/>
                <w:sz w:val="17"/>
                <w:szCs w:val="17"/>
                <w:color w:val="auto"/>
              </w:rPr>
              <w:t>Tax fees</w:t>
            </w:r>
          </w:p>
        </w:tc>
        <w:tc>
          <w:tcPr>
            <w:tcW w:w="3400" w:type="dxa"/>
            <w:vAlign w:val="bottom"/>
            <w:shd w:val="clear" w:color="auto" w:fill="D8D8D8"/>
          </w:tcPr>
          <w:p>
            <w:pPr>
              <w:spacing w:after="0"/>
              <w:rPr>
                <w:sz w:val="21"/>
                <w:szCs w:val="21"/>
                <w:color w:val="auto"/>
              </w:rPr>
            </w:pPr>
          </w:p>
        </w:tc>
        <w:tc>
          <w:tcPr>
            <w:tcW w:w="1280" w:type="dxa"/>
            <w:vAlign w:val="bottom"/>
            <w:shd w:val="clear" w:color="auto" w:fill="D8D8D8"/>
          </w:tcPr>
          <w:p>
            <w:pPr>
              <w:jc w:val="right"/>
              <w:ind w:right="195"/>
              <w:spacing w:after="0"/>
              <w:rPr>
                <w:sz w:val="20"/>
                <w:szCs w:val="20"/>
                <w:color w:val="auto"/>
              </w:rPr>
            </w:pPr>
            <w:r>
              <w:rPr>
                <w:rFonts w:ascii="Arial" w:cs="Arial" w:eastAsia="Arial" w:hAnsi="Arial"/>
                <w:sz w:val="17"/>
                <w:szCs w:val="17"/>
                <w:color w:val="auto"/>
              </w:rPr>
              <w:t>—</w:t>
            </w:r>
          </w:p>
        </w:tc>
        <w:tc>
          <w:tcPr>
            <w:tcW w:w="560" w:type="dxa"/>
            <w:vAlign w:val="bottom"/>
            <w:shd w:val="clear" w:color="auto" w:fill="D8D8D8"/>
          </w:tcPr>
          <w:p>
            <w:pPr>
              <w:spacing w:after="0"/>
              <w:rPr>
                <w:sz w:val="21"/>
                <w:szCs w:val="21"/>
                <w:color w:val="auto"/>
              </w:rPr>
            </w:pPr>
          </w:p>
        </w:tc>
        <w:tc>
          <w:tcPr>
            <w:tcW w:w="1360" w:type="dxa"/>
            <w:vAlign w:val="bottom"/>
            <w:shd w:val="clear" w:color="auto" w:fill="D8D8D8"/>
          </w:tcPr>
          <w:p>
            <w:pPr>
              <w:jc w:val="right"/>
              <w:ind w:right="255"/>
              <w:spacing w:after="0"/>
              <w:rPr>
                <w:sz w:val="20"/>
                <w:szCs w:val="20"/>
                <w:color w:val="auto"/>
              </w:rPr>
            </w:pPr>
            <w:r>
              <w:rPr>
                <w:rFonts w:ascii="Arial" w:cs="Arial" w:eastAsia="Arial" w:hAnsi="Arial"/>
                <w:sz w:val="17"/>
                <w:szCs w:val="17"/>
                <w:color w:val="auto"/>
              </w:rPr>
              <w:t>—</w:t>
            </w:r>
          </w:p>
        </w:tc>
      </w:tr>
      <w:tr>
        <w:trPr>
          <w:trHeight w:val="243"/>
        </w:trPr>
        <w:tc>
          <w:tcPr>
            <w:tcW w:w="4420" w:type="dxa"/>
            <w:vAlign w:val="bottom"/>
          </w:tcPr>
          <w:p>
            <w:pPr>
              <w:ind w:left="80"/>
              <w:spacing w:after="0" w:line="243" w:lineRule="exact"/>
              <w:rPr>
                <w:sz w:val="20"/>
                <w:szCs w:val="20"/>
                <w:color w:val="auto"/>
              </w:rPr>
            </w:pPr>
            <w:r>
              <w:rPr>
                <w:rFonts w:ascii="Arial" w:cs="Arial" w:eastAsia="Arial" w:hAnsi="Arial"/>
                <w:sz w:val="17"/>
                <w:szCs w:val="17"/>
                <w:color w:val="auto"/>
              </w:rPr>
              <w:t>All other fees</w:t>
            </w:r>
            <w:r>
              <w:rPr>
                <w:rFonts w:ascii="Arial" w:cs="Arial" w:eastAsia="Arial" w:hAnsi="Arial"/>
                <w:sz w:val="28"/>
                <w:szCs w:val="28"/>
                <w:color w:val="auto"/>
                <w:vertAlign w:val="superscript"/>
              </w:rPr>
              <w:t>(b)</w:t>
            </w:r>
          </w:p>
        </w:tc>
        <w:tc>
          <w:tcPr>
            <w:tcW w:w="3400" w:type="dxa"/>
            <w:vAlign w:val="bottom"/>
          </w:tcPr>
          <w:p>
            <w:pPr>
              <w:spacing w:after="0"/>
              <w:rPr>
                <w:sz w:val="21"/>
                <w:szCs w:val="21"/>
                <w:color w:val="auto"/>
              </w:rPr>
            </w:pPr>
          </w:p>
        </w:tc>
        <w:tc>
          <w:tcPr>
            <w:tcW w:w="1280" w:type="dxa"/>
            <w:vAlign w:val="bottom"/>
          </w:tcPr>
          <w:p>
            <w:pPr>
              <w:jc w:val="right"/>
              <w:ind w:right="195"/>
              <w:spacing w:after="0"/>
              <w:rPr>
                <w:sz w:val="20"/>
                <w:szCs w:val="20"/>
                <w:color w:val="auto"/>
              </w:rPr>
            </w:pPr>
            <w:r>
              <w:rPr>
                <w:rFonts w:ascii="Arial" w:cs="Arial" w:eastAsia="Arial" w:hAnsi="Arial"/>
                <w:sz w:val="17"/>
                <w:szCs w:val="17"/>
                <w:color w:val="auto"/>
              </w:rPr>
              <w:t>—</w:t>
            </w:r>
          </w:p>
        </w:tc>
        <w:tc>
          <w:tcPr>
            <w:tcW w:w="560" w:type="dxa"/>
            <w:vAlign w:val="bottom"/>
          </w:tcPr>
          <w:p>
            <w:pPr>
              <w:spacing w:after="0"/>
              <w:rPr>
                <w:sz w:val="21"/>
                <w:szCs w:val="21"/>
                <w:color w:val="auto"/>
              </w:rPr>
            </w:pPr>
          </w:p>
        </w:tc>
        <w:tc>
          <w:tcPr>
            <w:tcW w:w="1360" w:type="dxa"/>
            <w:vAlign w:val="bottom"/>
          </w:tcPr>
          <w:p>
            <w:pPr>
              <w:jc w:val="right"/>
              <w:ind w:right="255"/>
              <w:spacing w:after="0"/>
              <w:rPr>
                <w:sz w:val="20"/>
                <w:szCs w:val="20"/>
                <w:color w:val="auto"/>
              </w:rPr>
            </w:pPr>
            <w:r>
              <w:rPr>
                <w:rFonts w:ascii="Arial" w:cs="Arial" w:eastAsia="Arial" w:hAnsi="Arial"/>
                <w:sz w:val="17"/>
                <w:szCs w:val="17"/>
                <w:color w:val="auto"/>
              </w:rPr>
              <w:t>113,000</w:t>
            </w:r>
          </w:p>
        </w:tc>
      </w:tr>
      <w:tr>
        <w:trPr>
          <w:trHeight w:val="243"/>
        </w:trPr>
        <w:tc>
          <w:tcPr>
            <w:tcW w:w="4420" w:type="dxa"/>
            <w:vAlign w:val="bottom"/>
            <w:shd w:val="clear" w:color="auto" w:fill="D8D8D8"/>
          </w:tcPr>
          <w:p>
            <w:pPr>
              <w:ind w:left="80"/>
              <w:spacing w:after="0"/>
              <w:rPr>
                <w:sz w:val="20"/>
                <w:szCs w:val="20"/>
                <w:color w:val="auto"/>
              </w:rPr>
            </w:pPr>
            <w:r>
              <w:rPr>
                <w:rFonts w:ascii="Arial" w:cs="Arial" w:eastAsia="Arial" w:hAnsi="Arial"/>
                <w:sz w:val="17"/>
                <w:szCs w:val="17"/>
                <w:b w:val="1"/>
                <w:bCs w:val="1"/>
                <w:color w:val="auto"/>
              </w:rPr>
              <w:t>Total fees</w:t>
            </w:r>
          </w:p>
        </w:tc>
        <w:tc>
          <w:tcPr>
            <w:tcW w:w="340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w:t>
            </w:r>
          </w:p>
        </w:tc>
        <w:tc>
          <w:tcPr>
            <w:tcW w:w="1280" w:type="dxa"/>
            <w:vAlign w:val="bottom"/>
            <w:shd w:val="clear" w:color="auto" w:fill="D8D8D8"/>
          </w:tcPr>
          <w:p>
            <w:pPr>
              <w:jc w:val="right"/>
              <w:ind w:right="195"/>
              <w:spacing w:after="0"/>
              <w:rPr>
                <w:sz w:val="20"/>
                <w:szCs w:val="20"/>
                <w:color w:val="auto"/>
              </w:rPr>
            </w:pPr>
            <w:r>
              <w:rPr>
                <w:rFonts w:ascii="Arial" w:cs="Arial" w:eastAsia="Arial" w:hAnsi="Arial"/>
                <w:sz w:val="17"/>
                <w:szCs w:val="17"/>
                <w:color w:val="auto"/>
              </w:rPr>
              <w:t>1,164,340</w:t>
            </w:r>
          </w:p>
        </w:tc>
        <w:tc>
          <w:tcPr>
            <w:tcW w:w="56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w:t>
            </w:r>
          </w:p>
        </w:tc>
        <w:tc>
          <w:tcPr>
            <w:tcW w:w="1360" w:type="dxa"/>
            <w:vAlign w:val="bottom"/>
            <w:shd w:val="clear" w:color="auto" w:fill="D8D8D8"/>
          </w:tcPr>
          <w:p>
            <w:pPr>
              <w:jc w:val="right"/>
              <w:ind w:right="255"/>
              <w:spacing w:after="0"/>
              <w:rPr>
                <w:sz w:val="20"/>
                <w:szCs w:val="20"/>
                <w:color w:val="auto"/>
              </w:rPr>
            </w:pPr>
            <w:r>
              <w:rPr>
                <w:rFonts w:ascii="Arial" w:cs="Arial" w:eastAsia="Arial" w:hAnsi="Arial"/>
                <w:sz w:val="17"/>
                <w:szCs w:val="17"/>
                <w:color w:val="auto"/>
              </w:rPr>
              <w:t>1,254,665</w:t>
            </w:r>
          </w:p>
        </w:tc>
      </w:tr>
    </w:tbl>
    <w:p>
      <w:pPr>
        <w:spacing w:after="0" w:line="22" w:lineRule="exact"/>
        <w:rPr>
          <w:sz w:val="20"/>
          <w:szCs w:val="20"/>
          <w:color w:val="auto"/>
        </w:rPr>
      </w:pPr>
    </w:p>
    <w:p>
      <w:pPr>
        <w:jc w:val="both"/>
        <w:ind w:left="440" w:right="140" w:hanging="324"/>
        <w:spacing w:after="0" w:line="238" w:lineRule="auto"/>
        <w:tabs>
          <w:tab w:leader="none" w:pos="440" w:val="left"/>
        </w:tabs>
        <w:numPr>
          <w:ilvl w:val="0"/>
          <w:numId w:val="29"/>
        </w:numPr>
        <w:rPr>
          <w:rFonts w:ascii="Arial" w:cs="Arial" w:eastAsia="Arial" w:hAnsi="Arial"/>
          <w:sz w:val="12"/>
          <w:szCs w:val="12"/>
          <w:color w:val="auto"/>
        </w:rPr>
      </w:pPr>
      <w:r>
        <w:rPr>
          <w:rFonts w:ascii="Arial" w:cs="Arial" w:eastAsia="Arial" w:hAnsi="Arial"/>
          <w:sz w:val="14"/>
          <w:szCs w:val="14"/>
          <w:color w:val="auto"/>
        </w:rPr>
        <w:t>Audit fees consist of fees for professional services rendered for the audits of our annual consolidated financial statements and internal control over financial reporting, and the statutory audit performed in the UK. The audit fees also include professional services provided in connection with changes in accounting and accounting and financial reporting associated with non-recurring transactions and SEC filings.</w:t>
      </w:r>
    </w:p>
    <w:p>
      <w:pPr>
        <w:spacing w:after="0" w:line="7" w:lineRule="exact"/>
        <w:rPr>
          <w:rFonts w:ascii="Arial" w:cs="Arial" w:eastAsia="Arial" w:hAnsi="Arial"/>
          <w:sz w:val="12"/>
          <w:szCs w:val="12"/>
          <w:color w:val="auto"/>
        </w:rPr>
      </w:pPr>
    </w:p>
    <w:p>
      <w:pPr>
        <w:ind w:left="440" w:hanging="324"/>
        <w:spacing w:after="0"/>
        <w:tabs>
          <w:tab w:leader="none" w:pos="440" w:val="left"/>
        </w:tabs>
        <w:numPr>
          <w:ilvl w:val="0"/>
          <w:numId w:val="29"/>
        </w:numPr>
        <w:rPr>
          <w:rFonts w:ascii="Arial" w:cs="Arial" w:eastAsia="Arial" w:hAnsi="Arial"/>
          <w:sz w:val="12"/>
          <w:szCs w:val="12"/>
          <w:color w:val="auto"/>
        </w:rPr>
      </w:pPr>
      <w:r>
        <w:rPr>
          <w:rFonts w:ascii="Arial" w:cs="Arial" w:eastAsia="Arial" w:hAnsi="Arial"/>
          <w:sz w:val="14"/>
          <w:szCs w:val="14"/>
          <w:color w:val="auto"/>
        </w:rPr>
        <w:t>All other fees consist of a capital markets project, which was pre-approved and discussed with the audit committee prior to performance of the service.</w:t>
      </w:r>
    </w:p>
    <w:p>
      <w:pPr>
        <w:spacing w:after="0" w:line="226"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Audit Committee pre-approval policies and procedures</w:t>
      </w:r>
    </w:p>
    <w:p>
      <w:pPr>
        <w:spacing w:after="0" w:line="207" w:lineRule="exact"/>
        <w:rPr>
          <w:sz w:val="20"/>
          <w:szCs w:val="20"/>
          <w:color w:val="auto"/>
        </w:rPr>
      </w:pPr>
    </w:p>
    <w:p>
      <w:pPr>
        <w:ind w:left="120" w:right="20"/>
        <w:spacing w:after="0" w:line="253" w:lineRule="auto"/>
        <w:rPr>
          <w:sz w:val="20"/>
          <w:szCs w:val="20"/>
          <w:color w:val="auto"/>
        </w:rPr>
      </w:pPr>
      <w:r>
        <w:rPr>
          <w:rFonts w:ascii="Arial" w:cs="Arial" w:eastAsia="Arial" w:hAnsi="Arial"/>
          <w:sz w:val="18"/>
          <w:szCs w:val="18"/>
          <w:color w:val="auto"/>
        </w:rPr>
        <w:t>The Audit Committee annually approves the scope of services and fees payable for the year-end audit and statutory audits to be performed by the independent auditor for the next fiscal year. In addition, the Audit Committee has adopted a pre-approval policy pursuant to which the Committee annually approves certain audit, audit-related and tax services that may be provided by the independent auditor, along with the associated fees for such services, during the upcoming fiscal year. Other than services pre-approved in connection with the annual engagement of the independent auditor or pursuant to the pre-approval policy, all services to be provided by the independent auditor must be specifically pre-approved by the Audit Committee. Requests for pre-approval must contain sufficient detail to ensure the Audit Committee knows precisely what services it is being asked to pre-approve so that it can make a well-reasoned assessment of the impact of the service on the auditor’s independence. With certain specified limitations, the Audit Committee has delegated its pre-approval authority to its chairperson, who must report any pre-approval decisions to the full Audit Committee at its next scheduled meeting. All of the services described above were approved by the Audit Committee in accordance with the foregoing policies and procedures.</w:t>
      </w:r>
    </w:p>
    <w:p>
      <w:pPr>
        <w:spacing w:after="0" w:line="131"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34</w:t>
      </w:r>
    </w:p>
    <w:p>
      <w:pPr>
        <w:sectPr>
          <w:pgSz w:w="11900" w:h="16838" w:orient="portrait"/>
          <w:cols w:equalWidth="0" w:num="1">
            <w:col w:w="11140"/>
          </w:cols>
          <w:pgMar w:left="320" w:top="459" w:right="4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Proposal 3</w:t>
      </w:r>
    </w:p>
    <w:p>
      <w:pPr>
        <w:spacing w:after="0" w:line="76" w:lineRule="exact"/>
        <w:rPr>
          <w:sz w:val="20"/>
          <w:szCs w:val="20"/>
          <w:color w:val="auto"/>
        </w:rPr>
      </w:pPr>
    </w:p>
    <w:p>
      <w:pPr>
        <w:ind w:left="120" w:right="1480"/>
        <w:spacing w:after="0" w:line="282" w:lineRule="auto"/>
        <w:rPr>
          <w:sz w:val="20"/>
          <w:szCs w:val="20"/>
          <w:color w:val="auto"/>
        </w:rPr>
      </w:pPr>
      <w:r>
        <w:rPr>
          <w:rFonts w:ascii="Arial" w:cs="Arial" w:eastAsia="Arial" w:hAnsi="Arial"/>
          <w:sz w:val="51"/>
          <w:szCs w:val="51"/>
          <w:b w:val="1"/>
          <w:bCs w:val="1"/>
          <w:color w:val="auto"/>
        </w:rPr>
        <w:t>Approval, on an advisory basis, of named executive officer compensation</w:t>
      </w:r>
    </w:p>
    <w:p>
      <w:pPr>
        <w:spacing w:after="0" w:line="47" w:lineRule="exact"/>
        <w:rPr>
          <w:sz w:val="20"/>
          <w:szCs w:val="20"/>
          <w:color w:val="auto"/>
        </w:rPr>
      </w:pPr>
    </w:p>
    <w:p>
      <w:pPr>
        <w:ind w:left="120"/>
        <w:spacing w:after="0" w:line="291" w:lineRule="auto"/>
        <w:rPr>
          <w:sz w:val="20"/>
          <w:szCs w:val="20"/>
          <w:color w:val="auto"/>
        </w:rPr>
      </w:pPr>
      <w:r>
        <w:rPr>
          <w:rFonts w:ascii="Arial" w:cs="Arial" w:eastAsia="Arial" w:hAnsi="Arial"/>
          <w:sz w:val="16"/>
          <w:szCs w:val="16"/>
          <w:color w:val="auto"/>
        </w:rPr>
        <w:t>We are asking our shareholders to approve, on an advisory basis, the compensation of our named executive officers as disclosed in this proxy statement. Although this is an advisory vote, and therefore not binding on our Board of Directors, the Compensation Committee, which is responsible for designing and administering our executive compensation program, values the opinions expressed by our shareholders with respect to this proposal and will review and consider the voting results when making future decisions regarding our executive compensation programs. We conduct this “say-on-pay” vote annually as we consider it to be a matter of good corporate governance. At the 2021 annual meeting of shareholders, the “say-on-pay” advisory vote passed with approximately 95% of votes cast in favor of our proposal. We anticipate that shareholders will next have the opportunity to vote on the frequency of future advisory votes on the compensation of our named executive officers at the 2027 annual meeting of shareholders.</w:t>
      </w:r>
    </w:p>
    <w:p>
      <w:pPr>
        <w:spacing w:after="0" w:line="126" w:lineRule="exact"/>
        <w:rPr>
          <w:sz w:val="20"/>
          <w:szCs w:val="20"/>
          <w:color w:val="auto"/>
        </w:rPr>
      </w:pPr>
    </w:p>
    <w:p>
      <w:pPr>
        <w:jc w:val="both"/>
        <w:ind w:left="120" w:right="40"/>
        <w:spacing w:after="0" w:line="263" w:lineRule="auto"/>
        <w:rPr>
          <w:sz w:val="20"/>
          <w:szCs w:val="20"/>
          <w:color w:val="auto"/>
        </w:rPr>
      </w:pPr>
      <w:r>
        <w:rPr>
          <w:rFonts w:ascii="Arial" w:cs="Arial" w:eastAsia="Arial" w:hAnsi="Arial"/>
          <w:sz w:val="18"/>
          <w:szCs w:val="18"/>
          <w:color w:val="auto"/>
        </w:rPr>
        <w:t>As we explain in the compensation discussion and analysis that follows, our executive compensation program is designed to attract, retain, motivate and reward our named executive officers for achieving specific annual, long-term and strategic goals, and also for increasing shareholder value. We believe the compensation program for our named executive officers:</w:t>
      </w:r>
    </w:p>
    <w:p>
      <w:pPr>
        <w:spacing w:after="0" w:line="184" w:lineRule="exact"/>
        <w:rPr>
          <w:sz w:val="20"/>
          <w:szCs w:val="20"/>
          <w:color w:val="auto"/>
        </w:rPr>
      </w:pPr>
    </w:p>
    <w:p>
      <w:pPr>
        <w:ind w:left="980" w:hanging="216"/>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aligns the interests of our executives with those of our shareholders;</w:t>
      </w:r>
    </w:p>
    <w:p>
      <w:pPr>
        <w:spacing w:after="0" w:line="23" w:lineRule="exact"/>
        <w:rPr>
          <w:rFonts w:ascii="Arial" w:cs="Arial" w:eastAsia="Arial" w:hAnsi="Arial"/>
          <w:sz w:val="18"/>
          <w:szCs w:val="18"/>
          <w:color w:val="auto"/>
        </w:rPr>
      </w:pPr>
    </w:p>
    <w:p>
      <w:pPr>
        <w:ind w:left="980" w:hanging="216"/>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rewards executives for sustained, strong business and financial results; and</w:t>
      </w:r>
    </w:p>
    <w:p>
      <w:pPr>
        <w:spacing w:after="0" w:line="9" w:lineRule="exact"/>
        <w:rPr>
          <w:rFonts w:ascii="Arial" w:cs="Arial" w:eastAsia="Arial" w:hAnsi="Arial"/>
          <w:sz w:val="18"/>
          <w:szCs w:val="18"/>
          <w:color w:val="auto"/>
        </w:rPr>
      </w:pPr>
    </w:p>
    <w:p>
      <w:pPr>
        <w:ind w:left="980" w:hanging="216"/>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enables us to attract, retain and motivate the best talent.</w:t>
      </w:r>
    </w:p>
    <w:p>
      <w:pPr>
        <w:spacing w:after="0" w:line="170" w:lineRule="exact"/>
        <w:rPr>
          <w:sz w:val="20"/>
          <w:szCs w:val="20"/>
          <w:color w:val="auto"/>
        </w:rPr>
      </w:pPr>
    </w:p>
    <w:p>
      <w:pPr>
        <w:ind w:left="120" w:right="60"/>
        <w:spacing w:after="0" w:line="259" w:lineRule="auto"/>
        <w:rPr>
          <w:sz w:val="20"/>
          <w:szCs w:val="20"/>
          <w:color w:val="auto"/>
        </w:rPr>
      </w:pPr>
      <w:r>
        <w:rPr>
          <w:rFonts w:ascii="Arial" w:cs="Arial" w:eastAsia="Arial" w:hAnsi="Arial"/>
          <w:sz w:val="18"/>
          <w:szCs w:val="18"/>
          <w:color w:val="auto"/>
        </w:rPr>
        <w:t>We encourage you to review carefully the compensation discussion and analysis, the compensation tables, and related disclosures included in this proxy statement. They contain information about the processes the Compensation Committee follows and the factors it considers when determining compensation for our named executive officers. They also describe the elements of our executive compensation program and the 2021 compensation of our named executive officers.</w:t>
      </w:r>
    </w:p>
    <w:p>
      <w:pPr>
        <w:spacing w:after="0" w:line="160"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Therefore, as required under the Dodd-Frank Wall Street Reform and Consumer Protection Act and Section 14A of the Exchange Act, we are asking you to approve, on an advisory (non-binding) basis, the following resolution at our 2022 annual meeting of shareholders:</w:t>
      </w:r>
    </w:p>
    <w:p>
      <w:pPr>
        <w:spacing w:after="0" w:line="130" w:lineRule="exact"/>
        <w:rPr>
          <w:sz w:val="20"/>
          <w:szCs w:val="20"/>
          <w:color w:val="auto"/>
        </w:rPr>
      </w:pPr>
    </w:p>
    <w:p>
      <w:pPr>
        <w:jc w:val="both"/>
        <w:ind w:left="1000" w:right="1000"/>
        <w:spacing w:after="0" w:line="263" w:lineRule="auto"/>
        <w:rPr>
          <w:sz w:val="20"/>
          <w:szCs w:val="20"/>
          <w:color w:val="auto"/>
        </w:rPr>
      </w:pPr>
      <w:r>
        <w:rPr>
          <w:rFonts w:ascii="Arial" w:cs="Arial" w:eastAsia="Arial" w:hAnsi="Arial"/>
          <w:sz w:val="18"/>
          <w:szCs w:val="18"/>
          <w:i w:val="1"/>
          <w:iCs w:val="1"/>
          <w:color w:val="auto"/>
        </w:rPr>
        <w:t>RESOLVED, that the compensation of the named executive officers as disclosed pursuant to the compensation disclosure rules of the Securities and Exchange Commission, including the compensation discussion and analysis, the compensation tables and any related material disclosed in this proxy statement, is hereby APPROVED.</w:t>
      </w:r>
    </w:p>
    <w:p>
      <w:pPr>
        <w:spacing w:after="0" w:line="143" w:lineRule="exact"/>
        <w:rPr>
          <w:sz w:val="20"/>
          <w:szCs w:val="20"/>
          <w:color w:val="auto"/>
        </w:rPr>
      </w:pPr>
    </w:p>
    <w:p>
      <w:pPr>
        <w:ind w:left="120" w:right="320"/>
        <w:spacing w:after="0" w:line="277" w:lineRule="auto"/>
        <w:rPr>
          <w:sz w:val="20"/>
          <w:szCs w:val="20"/>
          <w:color w:val="auto"/>
        </w:rPr>
      </w:pPr>
      <w:r>
        <w:rPr>
          <w:rFonts w:ascii="Arial" w:cs="Arial" w:eastAsia="Arial" w:hAnsi="Arial"/>
          <w:sz w:val="18"/>
          <w:szCs w:val="18"/>
          <w:color w:val="auto"/>
        </w:rPr>
        <w:t>The Board recommends that shareholders indicate their support for the compensation of the company’s named executive officers as described in this proxy statement by voting “FOR” approval of this proposal at the annual meeting.</w:t>
      </w:r>
    </w:p>
    <w:p>
      <w:pPr>
        <w:spacing w:after="0" w:line="107"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35</w:t>
      </w:r>
    </w:p>
    <w:p>
      <w:pPr>
        <w:sectPr>
          <w:pgSz w:w="11900" w:h="16838" w:orient="portrait"/>
          <w:cols w:equalWidth="0" w:num="1">
            <w:col w:w="11120"/>
          </w:cols>
          <w:pgMar w:left="320" w:top="459" w:right="45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spacing w:after="0" w:line="286" w:lineRule="auto"/>
        <w:rPr>
          <w:sz w:val="20"/>
          <w:szCs w:val="20"/>
          <w:color w:val="auto"/>
        </w:rPr>
      </w:pPr>
      <w:r>
        <w:rPr>
          <w:rFonts w:ascii="Arial" w:cs="Arial" w:eastAsia="Arial" w:hAnsi="Arial"/>
          <w:sz w:val="17"/>
          <w:szCs w:val="17"/>
          <w:color w:val="auto"/>
        </w:rPr>
        <w:t>The Compensation Committee will consider the affirmative vote of a majority of the votes cast on this proposal as approval of the compensation paid to the company’s executive officers. If there are a significant number of negative votes, the Compensation Committee will seek to understand and consider the concerns that influenced such votes in making future decisions about executive compensation programs.</w:t>
      </w:r>
    </w:p>
    <w:p>
      <w:pPr>
        <w:spacing w:after="0" w:line="13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Shares represented by proxy will be voted FOR this proposal unless you specify otherwise in your voting instructions.</w:t>
      </w:r>
    </w:p>
    <w:p>
      <w:pPr>
        <w:spacing w:after="0" w:line="225" w:lineRule="exact"/>
        <w:rPr>
          <w:sz w:val="20"/>
          <w:szCs w:val="20"/>
          <w:color w:val="auto"/>
        </w:rPr>
      </w:pPr>
    </w:p>
    <w:p>
      <w:pPr>
        <w:jc w:val="center"/>
        <w:ind w:left="940"/>
        <w:spacing w:after="0"/>
        <w:rPr>
          <w:sz w:val="20"/>
          <w:szCs w:val="20"/>
          <w:color w:val="auto"/>
        </w:rPr>
      </w:pPr>
      <w:r>
        <w:rPr>
          <w:rFonts w:ascii="Arial" w:cs="Arial" w:eastAsia="Arial" w:hAnsi="Arial"/>
          <w:sz w:val="18"/>
          <w:szCs w:val="18"/>
          <w:b w:val="1"/>
          <w:bCs w:val="1"/>
          <w:color w:val="auto"/>
        </w:rPr>
        <w:t>Your Board of Directors recommends a vote for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2002155</wp:posOffset>
            </wp:positionH>
            <wp:positionV relativeFrom="paragraph">
              <wp:posOffset>-85090</wp:posOffset>
            </wp:positionV>
            <wp:extent cx="342900" cy="3429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342900" cy="342900"/>
                    </a:xfrm>
                    <a:prstGeom prst="rect">
                      <a:avLst/>
                    </a:prstGeom>
                    <a:noFill/>
                  </pic:spPr>
                </pic:pic>
              </a:graphicData>
            </a:graphic>
          </wp:anchor>
        </w:drawing>
      </w:r>
    </w:p>
    <w:p>
      <w:pPr>
        <w:spacing w:after="0" w:line="7" w:lineRule="exact"/>
        <w:rPr>
          <w:sz w:val="20"/>
          <w:szCs w:val="20"/>
          <w:color w:val="auto"/>
        </w:rPr>
      </w:pPr>
    </w:p>
    <w:p>
      <w:pPr>
        <w:jc w:val="center"/>
        <w:ind w:left="940"/>
        <w:spacing w:after="0"/>
        <w:rPr>
          <w:sz w:val="20"/>
          <w:szCs w:val="20"/>
          <w:color w:val="auto"/>
        </w:rPr>
      </w:pPr>
      <w:r>
        <w:rPr>
          <w:rFonts w:ascii="Arial" w:cs="Arial" w:eastAsia="Arial" w:hAnsi="Arial"/>
          <w:sz w:val="18"/>
          <w:szCs w:val="18"/>
          <w:b w:val="1"/>
          <w:bCs w:val="1"/>
          <w:color w:val="auto"/>
        </w:rPr>
        <w:t>advisory approval of the compensation of our</w:t>
      </w:r>
    </w:p>
    <w:p>
      <w:pPr>
        <w:spacing w:after="0" w:line="9" w:lineRule="exact"/>
        <w:rPr>
          <w:sz w:val="20"/>
          <w:szCs w:val="20"/>
          <w:color w:val="auto"/>
        </w:rPr>
      </w:pPr>
    </w:p>
    <w:p>
      <w:pPr>
        <w:jc w:val="center"/>
        <w:ind w:left="940"/>
        <w:spacing w:after="0"/>
        <w:rPr>
          <w:sz w:val="20"/>
          <w:szCs w:val="20"/>
          <w:color w:val="auto"/>
        </w:rPr>
      </w:pPr>
      <w:r>
        <w:rPr>
          <w:rFonts w:ascii="Arial" w:cs="Arial" w:eastAsia="Arial" w:hAnsi="Arial"/>
          <w:sz w:val="18"/>
          <w:szCs w:val="18"/>
          <w:b w:val="1"/>
          <w:bCs w:val="1"/>
          <w:color w:val="auto"/>
        </w:rPr>
        <w:t>named executive officers.</w:t>
      </w:r>
    </w:p>
    <w:p>
      <w:pPr>
        <w:spacing w:after="0" w:line="161"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36</w:t>
      </w:r>
    </w:p>
    <w:p>
      <w:pPr>
        <w:sectPr>
          <w:pgSz w:w="11900" w:h="16838" w:orient="portrait"/>
          <w:cols w:equalWidth="0" w:num="1">
            <w:col w:w="11080"/>
          </w:cols>
          <w:pgMar w:left="320" w:top="459" w:right="49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Compensation discussion and analysis</w:t>
      </w:r>
    </w:p>
    <w:p>
      <w:pPr>
        <w:spacing w:after="0" w:line="232" w:lineRule="exact"/>
        <w:rPr>
          <w:sz w:val="20"/>
          <w:szCs w:val="20"/>
          <w:color w:val="auto"/>
        </w:rPr>
      </w:pPr>
    </w:p>
    <w:p>
      <w:pPr>
        <w:ind w:left="120" w:right="20"/>
        <w:spacing w:after="0" w:line="308" w:lineRule="auto"/>
        <w:rPr>
          <w:sz w:val="20"/>
          <w:szCs w:val="20"/>
          <w:color w:val="auto"/>
        </w:rPr>
      </w:pPr>
      <w:r>
        <w:rPr>
          <w:rFonts w:ascii="Arial" w:cs="Arial" w:eastAsia="Arial" w:hAnsi="Arial"/>
          <w:sz w:val="17"/>
          <w:szCs w:val="17"/>
          <w:color w:val="auto"/>
        </w:rPr>
        <w:t>This Compensation Discussion and Analysis (“CD&amp;A”) provides an overview of our named executive officer (“NEO”) compensation philosophy and practices, and the factors considered by the Compensation Committee in granting and delivering NEO compensation for 2021.</w:t>
      </w:r>
    </w:p>
    <w:p>
      <w:pPr>
        <w:spacing w:after="0" w:line="10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This CD&amp;A focuses on the following individuals, whom we have determined to be the NEOs of TimkenSteel for 2021:</w:t>
      </w:r>
    </w:p>
    <w:p>
      <w:pPr>
        <w:spacing w:after="0" w:line="239" w:lineRule="exact"/>
        <w:rPr>
          <w:sz w:val="20"/>
          <w:szCs w:val="20"/>
          <w:color w:val="auto"/>
        </w:rPr>
      </w:pPr>
    </w:p>
    <w:tbl>
      <w:tblPr>
        <w:tblLayout w:type="fixed"/>
        <w:tblInd w:w="560" w:type="dxa"/>
        <w:tblCellMar>
          <w:top w:w="0" w:type="dxa"/>
          <w:left w:w="0" w:type="dxa"/>
          <w:bottom w:w="0" w:type="dxa"/>
          <w:right w:w="0" w:type="dxa"/>
        </w:tblCellMar>
      </w:tblPr>
      <w:tr>
        <w:trPr>
          <w:trHeight w:val="216"/>
        </w:trPr>
        <w:tc>
          <w:tcPr>
            <w:tcW w:w="3060" w:type="dxa"/>
            <w:vAlign w:val="bottom"/>
            <w:shd w:val="clear" w:color="auto" w:fill="939598"/>
          </w:tcPr>
          <w:p>
            <w:pPr>
              <w:ind w:left="900"/>
              <w:spacing w:after="0"/>
              <w:rPr>
                <w:sz w:val="20"/>
                <w:szCs w:val="20"/>
                <w:color w:val="auto"/>
              </w:rPr>
            </w:pPr>
            <w:r>
              <w:rPr>
                <w:rFonts w:ascii="Arial" w:cs="Arial" w:eastAsia="Arial" w:hAnsi="Arial"/>
                <w:sz w:val="16"/>
                <w:szCs w:val="16"/>
                <w:b w:val="1"/>
                <w:bCs w:val="1"/>
                <w:color w:val="FFFFFF"/>
              </w:rPr>
              <w:t>Named executive officer</w:t>
            </w:r>
          </w:p>
        </w:tc>
        <w:tc>
          <w:tcPr>
            <w:tcW w:w="7060" w:type="dxa"/>
            <w:vAlign w:val="bottom"/>
            <w:shd w:val="clear" w:color="auto" w:fill="939598"/>
          </w:tcPr>
          <w:p>
            <w:pPr>
              <w:ind w:left="3620"/>
              <w:spacing w:after="0"/>
              <w:rPr>
                <w:sz w:val="20"/>
                <w:szCs w:val="20"/>
                <w:color w:val="auto"/>
              </w:rPr>
            </w:pPr>
            <w:r>
              <w:rPr>
                <w:rFonts w:ascii="Arial" w:cs="Arial" w:eastAsia="Arial" w:hAnsi="Arial"/>
                <w:sz w:val="16"/>
                <w:szCs w:val="16"/>
                <w:b w:val="1"/>
                <w:bCs w:val="1"/>
                <w:color w:val="FFFFFF"/>
              </w:rPr>
              <w:t>Title</w:t>
            </w:r>
          </w:p>
        </w:tc>
      </w:tr>
      <w:tr>
        <w:trPr>
          <w:trHeight w:val="229"/>
        </w:trPr>
        <w:tc>
          <w:tcPr>
            <w:tcW w:w="3060" w:type="dxa"/>
            <w:vAlign w:val="bottom"/>
            <w:shd w:val="clear" w:color="auto" w:fill="58595B"/>
          </w:tcPr>
          <w:p>
            <w:pPr>
              <w:spacing w:after="0"/>
              <w:rPr>
                <w:sz w:val="19"/>
                <w:szCs w:val="19"/>
                <w:color w:val="auto"/>
              </w:rPr>
            </w:pPr>
          </w:p>
        </w:tc>
        <w:tc>
          <w:tcPr>
            <w:tcW w:w="7060" w:type="dxa"/>
            <w:vAlign w:val="bottom"/>
            <w:shd w:val="clear" w:color="auto" w:fill="58595B"/>
          </w:tcPr>
          <w:p>
            <w:pPr>
              <w:spacing w:after="0"/>
              <w:rPr>
                <w:sz w:val="19"/>
                <w:szCs w:val="19"/>
                <w:color w:val="auto"/>
              </w:rPr>
            </w:pPr>
          </w:p>
        </w:tc>
      </w:tr>
      <w:tr>
        <w:trPr>
          <w:trHeight w:val="237"/>
        </w:trPr>
        <w:tc>
          <w:tcPr>
            <w:tcW w:w="30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Michael S. Williams</w:t>
            </w:r>
          </w:p>
        </w:tc>
        <w:tc>
          <w:tcPr>
            <w:tcW w:w="7060" w:type="dxa"/>
            <w:vAlign w:val="bottom"/>
            <w:tcBorders>
              <w:bottom w:val="single" w:sz="8" w:color="D8D8D8"/>
            </w:tcBorders>
          </w:tcPr>
          <w:p>
            <w:pPr>
              <w:ind w:left="500"/>
              <w:spacing w:after="0"/>
              <w:rPr>
                <w:sz w:val="20"/>
                <w:szCs w:val="20"/>
                <w:color w:val="auto"/>
              </w:rPr>
            </w:pPr>
            <w:r>
              <w:rPr>
                <w:rFonts w:ascii="Arial" w:cs="Arial" w:eastAsia="Arial" w:hAnsi="Arial"/>
                <w:sz w:val="16"/>
                <w:szCs w:val="16"/>
                <w:color w:val="auto"/>
              </w:rPr>
              <w:t>President and Chief Executive Officer</w:t>
            </w:r>
          </w:p>
        </w:tc>
      </w:tr>
      <w:tr>
        <w:trPr>
          <w:trHeight w:val="237"/>
        </w:trPr>
        <w:tc>
          <w:tcPr>
            <w:tcW w:w="30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Kristopher R. Westbrooks</w:t>
            </w:r>
          </w:p>
        </w:tc>
        <w:tc>
          <w:tcPr>
            <w:tcW w:w="7060" w:type="dxa"/>
            <w:vAlign w:val="bottom"/>
            <w:tcBorders>
              <w:bottom w:val="single" w:sz="8" w:color="D8D8D8"/>
            </w:tcBorders>
          </w:tcPr>
          <w:p>
            <w:pPr>
              <w:ind w:left="500"/>
              <w:spacing w:after="0"/>
              <w:rPr>
                <w:sz w:val="20"/>
                <w:szCs w:val="20"/>
                <w:color w:val="auto"/>
              </w:rPr>
            </w:pPr>
            <w:r>
              <w:rPr>
                <w:rFonts w:ascii="Arial" w:cs="Arial" w:eastAsia="Arial" w:hAnsi="Arial"/>
                <w:sz w:val="16"/>
                <w:szCs w:val="16"/>
                <w:color w:val="auto"/>
              </w:rPr>
              <w:t>Executive Vice President and Chief Financial Officer</w:t>
            </w:r>
          </w:p>
        </w:tc>
      </w:tr>
      <w:tr>
        <w:trPr>
          <w:trHeight w:val="236"/>
        </w:trPr>
        <w:tc>
          <w:tcPr>
            <w:tcW w:w="30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Kristine C. Syrvalin</w:t>
            </w:r>
          </w:p>
        </w:tc>
        <w:tc>
          <w:tcPr>
            <w:tcW w:w="7060" w:type="dxa"/>
            <w:vAlign w:val="bottom"/>
            <w:tcBorders>
              <w:bottom w:val="single" w:sz="8" w:color="D8D8D8"/>
            </w:tcBorders>
          </w:tcPr>
          <w:p>
            <w:pPr>
              <w:ind w:left="500"/>
              <w:spacing w:after="0"/>
              <w:rPr>
                <w:sz w:val="20"/>
                <w:szCs w:val="20"/>
                <w:color w:val="auto"/>
              </w:rPr>
            </w:pPr>
            <w:r>
              <w:rPr>
                <w:rFonts w:ascii="Arial" w:cs="Arial" w:eastAsia="Arial" w:hAnsi="Arial"/>
                <w:sz w:val="16"/>
                <w:szCs w:val="16"/>
                <w:color w:val="auto"/>
              </w:rPr>
              <w:t>Executive Vice President, General Counsel and Secretary</w:t>
            </w:r>
          </w:p>
        </w:tc>
      </w:tr>
      <w:tr>
        <w:trPr>
          <w:trHeight w:val="237"/>
        </w:trPr>
        <w:tc>
          <w:tcPr>
            <w:tcW w:w="30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Kevin A. Raketich*</w:t>
            </w:r>
          </w:p>
        </w:tc>
        <w:tc>
          <w:tcPr>
            <w:tcW w:w="7060" w:type="dxa"/>
            <w:vAlign w:val="bottom"/>
            <w:tcBorders>
              <w:bottom w:val="single" w:sz="8" w:color="D8D8D8"/>
            </w:tcBorders>
          </w:tcPr>
          <w:p>
            <w:pPr>
              <w:ind w:left="500"/>
              <w:spacing w:after="0"/>
              <w:rPr>
                <w:sz w:val="20"/>
                <w:szCs w:val="20"/>
                <w:color w:val="auto"/>
              </w:rPr>
            </w:pPr>
            <w:r>
              <w:rPr>
                <w:rFonts w:ascii="Arial" w:cs="Arial" w:eastAsia="Arial" w:hAnsi="Arial"/>
                <w:sz w:val="16"/>
                <w:szCs w:val="16"/>
                <w:color w:val="auto"/>
              </w:rPr>
              <w:t>Executive Vice President, Sales, Marketing and Business Development</w:t>
            </w:r>
          </w:p>
        </w:tc>
      </w:tr>
      <w:tr>
        <w:trPr>
          <w:trHeight w:val="237"/>
        </w:trPr>
        <w:tc>
          <w:tcPr>
            <w:tcW w:w="3060" w:type="dxa"/>
            <w:vAlign w:val="bottom"/>
            <w:tcBorders>
              <w:bottom w:val="single" w:sz="8" w:color="D8D8D8"/>
            </w:tcBorders>
          </w:tcPr>
          <w:p>
            <w:pPr>
              <w:ind w:left="60"/>
              <w:spacing w:after="0"/>
              <w:rPr>
                <w:sz w:val="20"/>
                <w:szCs w:val="20"/>
                <w:color w:val="auto"/>
              </w:rPr>
            </w:pPr>
            <w:r>
              <w:rPr>
                <w:rFonts w:ascii="Arial" w:cs="Arial" w:eastAsia="Arial" w:hAnsi="Arial"/>
                <w:sz w:val="16"/>
                <w:szCs w:val="16"/>
                <w:b w:val="1"/>
                <w:bCs w:val="1"/>
                <w:color w:val="auto"/>
              </w:rPr>
              <w:t>William P. Bryan*</w:t>
            </w:r>
          </w:p>
        </w:tc>
        <w:tc>
          <w:tcPr>
            <w:tcW w:w="7060" w:type="dxa"/>
            <w:vAlign w:val="bottom"/>
            <w:tcBorders>
              <w:bottom w:val="single" w:sz="8" w:color="D8D8D8"/>
            </w:tcBorders>
          </w:tcPr>
          <w:p>
            <w:pPr>
              <w:ind w:left="500"/>
              <w:spacing w:after="0"/>
              <w:rPr>
                <w:sz w:val="20"/>
                <w:szCs w:val="20"/>
                <w:color w:val="auto"/>
              </w:rPr>
            </w:pPr>
            <w:r>
              <w:rPr>
                <w:rFonts w:ascii="Arial" w:cs="Arial" w:eastAsia="Arial" w:hAnsi="Arial"/>
                <w:sz w:val="16"/>
                <w:szCs w:val="16"/>
                <w:color w:val="auto"/>
              </w:rPr>
              <w:t>Former Executive Vice President, Manufacturing and Supply Chain</w:t>
            </w:r>
          </w:p>
        </w:tc>
      </w:tr>
      <w:tr>
        <w:trPr>
          <w:trHeight w:val="223"/>
        </w:trPr>
        <w:tc>
          <w:tcPr>
            <w:tcW w:w="3060" w:type="dxa"/>
            <w:vAlign w:val="bottom"/>
          </w:tcPr>
          <w:p>
            <w:pPr>
              <w:ind w:left="60"/>
              <w:spacing w:after="0"/>
              <w:rPr>
                <w:sz w:val="20"/>
                <w:szCs w:val="20"/>
                <w:color w:val="auto"/>
              </w:rPr>
            </w:pPr>
            <w:r>
              <w:rPr>
                <w:rFonts w:ascii="Arial" w:cs="Arial" w:eastAsia="Arial" w:hAnsi="Arial"/>
                <w:sz w:val="16"/>
                <w:szCs w:val="16"/>
                <w:b w:val="1"/>
                <w:bCs w:val="1"/>
                <w:color w:val="auto"/>
              </w:rPr>
              <w:t>Thomas D. Moline*</w:t>
            </w:r>
          </w:p>
        </w:tc>
        <w:tc>
          <w:tcPr>
            <w:tcW w:w="7060" w:type="dxa"/>
            <w:vAlign w:val="bottom"/>
          </w:tcPr>
          <w:p>
            <w:pPr>
              <w:ind w:left="500"/>
              <w:spacing w:after="0"/>
              <w:rPr>
                <w:sz w:val="20"/>
                <w:szCs w:val="20"/>
                <w:color w:val="auto"/>
              </w:rPr>
            </w:pPr>
            <w:r>
              <w:rPr>
                <w:rFonts w:ascii="Arial" w:cs="Arial" w:eastAsia="Arial" w:hAnsi="Arial"/>
                <w:sz w:val="16"/>
                <w:szCs w:val="16"/>
                <w:color w:val="auto"/>
              </w:rPr>
              <w:t>Former Executive Vice President, Commercial Operations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12065</wp:posOffset>
            </wp:positionV>
            <wp:extent cx="6429375"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429375" cy="8890"/>
                    </a:xfrm>
                    <a:prstGeom prst="rect">
                      <a:avLst/>
                    </a:prstGeom>
                    <a:noFill/>
                  </pic:spPr>
                </pic:pic>
              </a:graphicData>
            </a:graphic>
          </wp:anchor>
        </w:drawing>
      </w:r>
    </w:p>
    <w:p>
      <w:pPr>
        <w:spacing w:after="0" w:line="35" w:lineRule="exact"/>
        <w:rPr>
          <w:sz w:val="20"/>
          <w:szCs w:val="20"/>
          <w:color w:val="auto"/>
        </w:rPr>
      </w:pPr>
    </w:p>
    <w:p>
      <w:pPr>
        <w:ind w:left="560" w:right="620"/>
        <w:spacing w:after="0" w:line="253" w:lineRule="auto"/>
        <w:rPr>
          <w:sz w:val="20"/>
          <w:szCs w:val="20"/>
          <w:color w:val="auto"/>
        </w:rPr>
      </w:pPr>
      <w:r>
        <w:rPr>
          <w:rFonts w:ascii="Arial" w:cs="Arial" w:eastAsia="Arial" w:hAnsi="Arial"/>
          <w:sz w:val="14"/>
          <w:szCs w:val="14"/>
          <w:color w:val="auto"/>
        </w:rPr>
        <w:t>*Messrs. Bryan and Moline separated employment with the company effective May 7, 2021. Mr. Raketich was appointed Executive Vice President, Sales, Marketing and Business Development effective May 8, 2021.</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Executive summary</w:t>
      </w:r>
    </w:p>
    <w:p>
      <w:pPr>
        <w:spacing w:after="0" w:line="23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Appointment of a new president and chief executive officer for 2021</w:t>
      </w:r>
    </w:p>
    <w:p>
      <w:pPr>
        <w:spacing w:after="0" w:line="117" w:lineRule="exact"/>
        <w:rPr>
          <w:sz w:val="20"/>
          <w:szCs w:val="20"/>
          <w:color w:val="auto"/>
        </w:rPr>
      </w:pPr>
    </w:p>
    <w:p>
      <w:pPr>
        <w:ind w:left="120" w:right="80"/>
        <w:spacing w:after="0" w:line="257" w:lineRule="auto"/>
        <w:rPr>
          <w:sz w:val="20"/>
          <w:szCs w:val="20"/>
          <w:color w:val="auto"/>
        </w:rPr>
      </w:pPr>
      <w:r>
        <w:rPr>
          <w:rFonts w:ascii="Arial" w:cs="Arial" w:eastAsia="Arial" w:hAnsi="Arial"/>
          <w:sz w:val="18"/>
          <w:szCs w:val="18"/>
          <w:color w:val="auto"/>
        </w:rPr>
        <w:t>On December 16, 2020, Michael S. Williams was named President and Chief Executive Officer effective January 1, 2021. In connection with his appointment, the Compensation Committee approved a compensation package and structure for Mr. Williams that is competitive with the market and best practices and weighted significantly towards variable and performance-based compensation. As such, in December 2020, the Compensation Committee recommended and the Board approved the following compensation package for Mr. Williams for his service as President and Chief Executive Officer:</w:t>
      </w:r>
    </w:p>
    <w:p>
      <w:pPr>
        <w:spacing w:after="0" w:line="93" w:lineRule="exact"/>
        <w:rPr>
          <w:sz w:val="20"/>
          <w:szCs w:val="20"/>
          <w:color w:val="auto"/>
        </w:rPr>
      </w:pPr>
    </w:p>
    <w:p>
      <w:pPr>
        <w:ind w:left="980" w:hanging="432"/>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an initial base salary of $800,000 per year;</w:t>
      </w:r>
    </w:p>
    <w:p>
      <w:pPr>
        <w:spacing w:after="0" w:line="49" w:lineRule="exact"/>
        <w:rPr>
          <w:rFonts w:ascii="Arial" w:cs="Arial" w:eastAsia="Arial" w:hAnsi="Arial"/>
          <w:sz w:val="18"/>
          <w:szCs w:val="18"/>
          <w:color w:val="auto"/>
        </w:rPr>
      </w:pPr>
    </w:p>
    <w:p>
      <w:pPr>
        <w:ind w:left="980" w:hanging="432"/>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target award opportunity equal to 100 percent of base salary under the company’s annual performance award plan; and</w:t>
      </w:r>
    </w:p>
    <w:p>
      <w:pPr>
        <w:spacing w:after="0" w:line="49" w:lineRule="exact"/>
        <w:rPr>
          <w:rFonts w:ascii="Arial" w:cs="Arial" w:eastAsia="Arial" w:hAnsi="Arial"/>
          <w:sz w:val="18"/>
          <w:szCs w:val="18"/>
          <w:color w:val="auto"/>
        </w:rPr>
      </w:pPr>
    </w:p>
    <w:p>
      <w:pPr>
        <w:ind w:left="980" w:right="320" w:hanging="432"/>
        <w:spacing w:after="0" w:line="342" w:lineRule="auto"/>
        <w:tabs>
          <w:tab w:leader="none" w:pos="9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beginning in 2022, eligibility for consideration of an annual grant under the company’s long-term incentive plan with a target value of $2,000,000 and comprised of at least 50 percent performance shares with the balance in time-based restricted stock units.</w:t>
      </w:r>
    </w:p>
    <w:p>
      <w:pPr>
        <w:spacing w:after="0" w:line="83" w:lineRule="exact"/>
        <w:rPr>
          <w:sz w:val="20"/>
          <w:szCs w:val="20"/>
          <w:color w:val="auto"/>
        </w:rPr>
      </w:pPr>
    </w:p>
    <w:p>
      <w:pPr>
        <w:ind w:left="120"/>
        <w:spacing w:after="0" w:line="311" w:lineRule="auto"/>
        <w:rPr>
          <w:sz w:val="20"/>
          <w:szCs w:val="20"/>
          <w:color w:val="auto"/>
        </w:rPr>
      </w:pPr>
      <w:r>
        <w:rPr>
          <w:rFonts w:ascii="Arial" w:cs="Arial" w:eastAsia="Arial" w:hAnsi="Arial"/>
          <w:sz w:val="16"/>
          <w:szCs w:val="16"/>
          <w:color w:val="auto"/>
        </w:rPr>
        <w:t>Finally, as an inducement to enter into employment with the company, and to encourage stock ownership by Mr. Williams, thereby further aligning his interests with those of the company’s shareholders, Mr. Williams was awarded a sign-on equity grant of 423,400 performance shares (having a target value at grant of approximately $2,000,000) and 423,400 time-based restricted stock units (also having a value at grant of approximately $2,000,000).</w:t>
      </w:r>
    </w:p>
    <w:p>
      <w:pPr>
        <w:spacing w:after="0" w:line="86" w:lineRule="exact"/>
        <w:rPr>
          <w:sz w:val="20"/>
          <w:szCs w:val="20"/>
          <w:color w:val="auto"/>
        </w:rPr>
      </w:pPr>
    </w:p>
    <w:p>
      <w:pPr>
        <w:jc w:val="center"/>
        <w:ind w:right="-299"/>
        <w:spacing w:after="0"/>
        <w:rPr>
          <w:sz w:val="20"/>
          <w:szCs w:val="20"/>
          <w:color w:val="auto"/>
        </w:rPr>
      </w:pPr>
      <w:r>
        <w:rPr>
          <w:rFonts w:ascii="Arial" w:cs="Arial" w:eastAsia="Arial" w:hAnsi="Arial"/>
          <w:sz w:val="16"/>
          <w:szCs w:val="16"/>
          <w:color w:val="auto"/>
        </w:rPr>
        <w:t>37</w:t>
      </w:r>
    </w:p>
    <w:p>
      <w:pPr>
        <w:sectPr>
          <w:pgSz w:w="11900" w:h="16838" w:orient="portrait"/>
          <w:cols w:equalWidth="0" w:num="1">
            <w:col w:w="10940"/>
          </w:cols>
          <w:pgMar w:left="320" w:top="459" w:right="6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Our 2021 business performance</w:t>
      </w:r>
    </w:p>
    <w:p>
      <w:pPr>
        <w:spacing w:after="0" w:line="198" w:lineRule="exact"/>
        <w:rPr>
          <w:sz w:val="20"/>
          <w:szCs w:val="20"/>
          <w:color w:val="auto"/>
        </w:rPr>
      </w:pPr>
    </w:p>
    <w:p>
      <w:pPr>
        <w:ind w:left="120"/>
        <w:spacing w:after="0"/>
        <w:rPr>
          <w:sz w:val="20"/>
          <w:szCs w:val="20"/>
          <w:color w:val="auto"/>
        </w:rPr>
      </w:pPr>
      <w:r>
        <w:rPr>
          <w:rFonts w:ascii="Arial" w:cs="Arial" w:eastAsia="Arial" w:hAnsi="Arial"/>
          <w:sz w:val="16"/>
          <w:szCs w:val="16"/>
          <w:color w:val="auto"/>
        </w:rPr>
        <w:t>In 2021, with a new CEO in place, TimkenSteel unveiled a refreshed vision –– harnessing the enduring power of steel to make the world a better place</w:t>
      </w:r>
    </w:p>
    <w:p>
      <w:pPr>
        <w:spacing w:after="0" w:line="46" w:lineRule="exact"/>
        <w:rPr>
          <w:sz w:val="20"/>
          <w:szCs w:val="20"/>
          <w:color w:val="auto"/>
        </w:rPr>
      </w:pPr>
    </w:p>
    <w:p>
      <w:pPr>
        <w:ind w:left="120" w:right="40"/>
        <w:spacing w:after="0" w:line="270" w:lineRule="auto"/>
        <w:rPr>
          <w:sz w:val="20"/>
          <w:szCs w:val="20"/>
          <w:color w:val="auto"/>
        </w:rPr>
      </w:pPr>
      <w:r>
        <w:rPr>
          <w:rFonts w:ascii="Arial" w:cs="Arial" w:eastAsia="Arial" w:hAnsi="Arial"/>
          <w:sz w:val="17"/>
          <w:szCs w:val="17"/>
          <w:color w:val="auto"/>
        </w:rPr>
        <w:t>— and a mission to be an industry-leading provider of high-quality specialty steel, manufactured components and supply chain solutions and to deliver exceptional value to our customers, employees and shareholders. Our vision and mission are underscored by a common set of core values that guide our ethical behaviors, safety culture, and customer engagement, and five strategic imperatives, which provide a roadmap to achieving our vision and mission. These strategic imperatives are centered around attracting, retaining and empowering top talent, achieving sustainable profitable growth, thoughtfully pursuing new opportunities to enhance our portfolio of products and services, making ease of doing business a priority and advancing our commitment to environmental, social and governance (ESG).</w:t>
      </w:r>
    </w:p>
    <w:p>
      <w:pPr>
        <w:spacing w:after="0" w:line="138" w:lineRule="exact"/>
        <w:rPr>
          <w:sz w:val="20"/>
          <w:szCs w:val="20"/>
          <w:color w:val="auto"/>
        </w:rPr>
      </w:pPr>
    </w:p>
    <w:p>
      <w:pPr>
        <w:ind w:left="120"/>
        <w:spacing w:after="0" w:line="289" w:lineRule="auto"/>
        <w:rPr>
          <w:sz w:val="20"/>
          <w:szCs w:val="20"/>
          <w:color w:val="auto"/>
        </w:rPr>
      </w:pPr>
      <w:r>
        <w:rPr>
          <w:rFonts w:ascii="Arial" w:cs="Arial" w:eastAsia="Arial" w:hAnsi="Arial"/>
          <w:sz w:val="16"/>
          <w:szCs w:val="16"/>
          <w:color w:val="auto"/>
        </w:rPr>
        <w:t>Under the leadership of Mr. Williams, in 2021 the company continued its strategy to improve cash flow and profitability, with an objective of delivering sustainable through-cycle profitability and cash flow, while simultaneously navigating the challenges of the ongoing COVID-19 pandemic. We have worked collaboratively with employees, suppliers and the USW to ensure our workplaces remain safe, and our manufacturing employees have been diligent in following COVID-19 safety protocols, enabling our manufacturing facilities to continue to operate throughout the pandemic. After more than 15 months with most corporate office employees working remotely, we welcomed all employees back to the office in August 2021. At the same time, recognizing that many employees had shown they could be largely effective working remotely and understanding that flexibility is now a key element in attracting and retaining talent, the company introduced a new hybrid work policy. This policy generally allows corporate office employees to work a substantial portion of their work days remotely, while ensuring a minimum level of the face-to-face time that we believe is important in the culture of a manufacturing company to building the teamwork and collaboration needed to achieve our strategic imperatives.</w:t>
      </w:r>
    </w:p>
    <w:p>
      <w:pPr>
        <w:spacing w:after="0" w:line="126" w:lineRule="exact"/>
        <w:rPr>
          <w:sz w:val="20"/>
          <w:szCs w:val="20"/>
          <w:color w:val="auto"/>
        </w:rPr>
      </w:pPr>
    </w:p>
    <w:p>
      <w:pPr>
        <w:ind w:left="120" w:right="60"/>
        <w:spacing w:after="0" w:line="259" w:lineRule="auto"/>
        <w:rPr>
          <w:sz w:val="20"/>
          <w:szCs w:val="20"/>
          <w:color w:val="auto"/>
        </w:rPr>
      </w:pPr>
      <w:r>
        <w:rPr>
          <w:rFonts w:ascii="Arial" w:cs="Arial" w:eastAsia="Arial" w:hAnsi="Arial"/>
          <w:sz w:val="18"/>
          <w:szCs w:val="18"/>
          <w:color w:val="auto"/>
        </w:rPr>
        <w:t>During 2021, the company reported net sales of $1.3 billion, an increase of 54 percent from 2020, and delivered net income of $171.0 million, adjusted EBITDA of $245.9 million and strong operating cash flow of $196.9 million. These significantly improved results were driven by an improved demand environment, higher melt utilization due to the consolidation of our melt shop capacity, and a continued focus on controlling costs with further streamlining of our organizational structure and administrative processes.</w:t>
      </w:r>
    </w:p>
    <w:p>
      <w:pPr>
        <w:spacing w:after="0" w:line="160" w:lineRule="exact"/>
        <w:rPr>
          <w:sz w:val="20"/>
          <w:szCs w:val="20"/>
          <w:color w:val="auto"/>
        </w:rPr>
      </w:pPr>
    </w:p>
    <w:p>
      <w:pPr>
        <w:ind w:left="120" w:right="220"/>
        <w:spacing w:after="0" w:line="342" w:lineRule="auto"/>
        <w:rPr>
          <w:sz w:val="20"/>
          <w:szCs w:val="20"/>
          <w:color w:val="auto"/>
        </w:rPr>
      </w:pPr>
      <w:r>
        <w:rPr>
          <w:rFonts w:ascii="Arial" w:cs="Arial" w:eastAsia="Arial" w:hAnsi="Arial"/>
          <w:sz w:val="16"/>
          <w:szCs w:val="16"/>
          <w:color w:val="auto"/>
        </w:rPr>
        <w:t>With adjusted EBITDA and adjusted operating cash flow performance well in excess of 2021 targets, the variable compensation payout to employees was also delivered in excess of target at 190 percent, validating that our pay-for-performance compensation plans operated as intended.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87630</wp:posOffset>
            </wp:positionV>
            <wp:extent cx="6995160" cy="166306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995160" cy="1663065"/>
                    </a:xfrm>
                    <a:prstGeom prst="rect">
                      <a:avLst/>
                    </a:prstGeom>
                    <a:noFill/>
                  </pic:spPr>
                </pic:pic>
              </a:graphicData>
            </a:graphic>
          </wp:anchor>
        </w:drawing>
      </w:r>
    </w:p>
    <w:p>
      <w:pPr>
        <w:spacing w:after="0" w:line="248" w:lineRule="exact"/>
        <w:rPr>
          <w:sz w:val="20"/>
          <w:szCs w:val="20"/>
          <w:color w:val="auto"/>
        </w:rPr>
      </w:pPr>
    </w:p>
    <w:tbl>
      <w:tblPr>
        <w:tblLayout w:type="fixed"/>
        <w:tblInd w:w="840" w:type="dxa"/>
        <w:tblCellMar>
          <w:top w:w="0" w:type="dxa"/>
          <w:left w:w="0" w:type="dxa"/>
          <w:bottom w:w="0" w:type="dxa"/>
          <w:right w:w="0" w:type="dxa"/>
        </w:tblCellMar>
      </w:tblPr>
      <w:tr>
        <w:trPr>
          <w:trHeight w:val="338"/>
        </w:trPr>
        <w:tc>
          <w:tcPr>
            <w:tcW w:w="3520" w:type="dxa"/>
            <w:vAlign w:val="bottom"/>
          </w:tcPr>
          <w:p>
            <w:pPr>
              <w:jc w:val="right"/>
              <w:ind w:right="1656"/>
              <w:spacing w:after="0"/>
              <w:rPr>
                <w:sz w:val="20"/>
                <w:szCs w:val="20"/>
                <w:color w:val="auto"/>
              </w:rPr>
            </w:pPr>
            <w:r>
              <w:rPr>
                <w:rFonts w:ascii="Arial" w:cs="Arial" w:eastAsia="Arial" w:hAnsi="Arial"/>
                <w:sz w:val="29"/>
                <w:szCs w:val="29"/>
                <w:b w:val="1"/>
                <w:bCs w:val="1"/>
                <w:color w:val="FFFFFF"/>
              </w:rPr>
              <w:t>2021</w:t>
            </w:r>
          </w:p>
        </w:tc>
        <w:tc>
          <w:tcPr>
            <w:tcW w:w="2640" w:type="dxa"/>
            <w:vAlign w:val="bottom"/>
          </w:tcPr>
          <w:p>
            <w:pPr>
              <w:spacing w:after="0"/>
              <w:rPr>
                <w:sz w:val="24"/>
                <w:szCs w:val="24"/>
                <w:color w:val="auto"/>
              </w:rPr>
            </w:pPr>
          </w:p>
        </w:tc>
        <w:tc>
          <w:tcPr>
            <w:tcW w:w="2860" w:type="dxa"/>
            <w:vAlign w:val="bottom"/>
          </w:tcPr>
          <w:p>
            <w:pPr>
              <w:jc w:val="right"/>
              <w:ind w:right="396"/>
              <w:spacing w:after="0"/>
              <w:rPr>
                <w:sz w:val="20"/>
                <w:szCs w:val="20"/>
                <w:color w:val="auto"/>
              </w:rPr>
            </w:pPr>
            <w:r>
              <w:rPr>
                <w:rFonts w:ascii="Arial" w:cs="Arial" w:eastAsia="Arial" w:hAnsi="Arial"/>
                <w:sz w:val="29"/>
                <w:szCs w:val="29"/>
                <w:b w:val="1"/>
                <w:bCs w:val="1"/>
                <w:color w:val="FFFFFF"/>
              </w:rPr>
              <w:t>2020</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5"/>
        </w:trPr>
        <w:tc>
          <w:tcPr>
            <w:tcW w:w="3520" w:type="dxa"/>
            <w:vAlign w:val="bottom"/>
          </w:tcPr>
          <w:p>
            <w:pPr>
              <w:jc w:val="center"/>
              <w:ind w:right="536"/>
              <w:spacing w:after="0"/>
              <w:rPr>
                <w:sz w:val="20"/>
                <w:szCs w:val="20"/>
                <w:color w:val="auto"/>
              </w:rPr>
            </w:pPr>
            <w:r>
              <w:rPr>
                <w:rFonts w:ascii="Arial" w:cs="Arial" w:eastAsia="Arial" w:hAnsi="Arial"/>
                <w:sz w:val="29"/>
                <w:szCs w:val="29"/>
                <w:b w:val="1"/>
                <w:bCs w:val="1"/>
                <w:color w:val="FFFFFF"/>
                <w:w w:val="89"/>
              </w:rPr>
              <w:t>Net sales $1,282.9M</w:t>
            </w:r>
          </w:p>
        </w:tc>
        <w:tc>
          <w:tcPr>
            <w:tcW w:w="2640" w:type="dxa"/>
            <w:vAlign w:val="bottom"/>
            <w:vMerge w:val="restart"/>
          </w:tcPr>
          <w:p>
            <w:pPr>
              <w:jc w:val="center"/>
              <w:spacing w:after="0"/>
              <w:rPr>
                <w:sz w:val="20"/>
                <w:szCs w:val="20"/>
                <w:color w:val="auto"/>
              </w:rPr>
            </w:pPr>
            <w:r>
              <w:rPr>
                <w:rFonts w:ascii="Arial" w:cs="Arial" w:eastAsia="Arial" w:hAnsi="Arial"/>
                <w:sz w:val="29"/>
                <w:szCs w:val="29"/>
                <w:b w:val="1"/>
                <w:bCs w:val="1"/>
                <w:color w:val="FFFFFF"/>
                <w:w w:val="80"/>
              </w:rPr>
              <w:t>as</w:t>
            </w:r>
          </w:p>
        </w:tc>
        <w:tc>
          <w:tcPr>
            <w:tcW w:w="3340" w:type="dxa"/>
            <w:vAlign w:val="bottom"/>
            <w:gridSpan w:val="2"/>
          </w:tcPr>
          <w:p>
            <w:pPr>
              <w:ind w:left="940"/>
              <w:spacing w:after="0"/>
              <w:rPr>
                <w:sz w:val="20"/>
                <w:szCs w:val="20"/>
                <w:color w:val="auto"/>
              </w:rPr>
            </w:pPr>
            <w:r>
              <w:rPr>
                <w:rFonts w:ascii="Arial" w:cs="Arial" w:eastAsia="Arial" w:hAnsi="Arial"/>
                <w:sz w:val="29"/>
                <w:szCs w:val="29"/>
                <w:b w:val="1"/>
                <w:bCs w:val="1"/>
                <w:color w:val="FFFFFF"/>
                <w:w w:val="95"/>
              </w:rPr>
              <w:t>Net sales $830.7M</w:t>
            </w:r>
          </w:p>
        </w:tc>
        <w:tc>
          <w:tcPr>
            <w:tcW w:w="0" w:type="dxa"/>
            <w:vAlign w:val="bottom"/>
          </w:tcPr>
          <w:p>
            <w:pPr>
              <w:spacing w:after="0"/>
              <w:rPr>
                <w:sz w:val="1"/>
                <w:szCs w:val="1"/>
                <w:color w:val="auto"/>
              </w:rPr>
            </w:pPr>
          </w:p>
        </w:tc>
      </w:tr>
      <w:tr>
        <w:trPr>
          <w:trHeight w:val="192"/>
        </w:trPr>
        <w:tc>
          <w:tcPr>
            <w:tcW w:w="3520" w:type="dxa"/>
            <w:vAlign w:val="bottom"/>
          </w:tcPr>
          <w:p>
            <w:pPr>
              <w:spacing w:after="0"/>
              <w:rPr>
                <w:sz w:val="16"/>
                <w:szCs w:val="16"/>
                <w:color w:val="auto"/>
              </w:rPr>
            </w:pPr>
          </w:p>
        </w:tc>
        <w:tc>
          <w:tcPr>
            <w:tcW w:w="2640" w:type="dxa"/>
            <w:vAlign w:val="bottom"/>
            <w:vMerge w:val="continue"/>
          </w:tcPr>
          <w:p>
            <w:pPr>
              <w:spacing w:after="0"/>
              <w:rPr>
                <w:sz w:val="16"/>
                <w:szCs w:val="16"/>
                <w:color w:val="auto"/>
              </w:rPr>
            </w:pPr>
          </w:p>
        </w:tc>
        <w:tc>
          <w:tcPr>
            <w:tcW w:w="28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38"/>
        </w:trPr>
        <w:tc>
          <w:tcPr>
            <w:tcW w:w="3520" w:type="dxa"/>
            <w:vAlign w:val="bottom"/>
            <w:vMerge w:val="restart"/>
          </w:tcPr>
          <w:p>
            <w:pPr>
              <w:jc w:val="center"/>
              <w:ind w:right="516"/>
              <w:spacing w:after="0"/>
              <w:rPr>
                <w:sz w:val="20"/>
                <w:szCs w:val="20"/>
                <w:color w:val="auto"/>
              </w:rPr>
            </w:pPr>
            <w:r>
              <w:rPr>
                <w:rFonts w:ascii="Arial" w:cs="Arial" w:eastAsia="Arial" w:hAnsi="Arial"/>
                <w:sz w:val="29"/>
                <w:szCs w:val="29"/>
                <w:b w:val="1"/>
                <w:bCs w:val="1"/>
                <w:color w:val="FFFFFF"/>
                <w:w w:val="90"/>
              </w:rPr>
              <w:t xml:space="preserve">Net income $171.0M </w:t>
            </w:r>
            <w:r>
              <w:rPr>
                <w:rFonts w:ascii="Arial" w:cs="Arial" w:eastAsia="Arial" w:hAnsi="Arial"/>
                <w:sz w:val="24"/>
                <w:szCs w:val="24"/>
                <w:b w:val="1"/>
                <w:bCs w:val="1"/>
                <w:color w:val="FFFFFF"/>
                <w:w w:val="90"/>
              </w:rPr>
              <w:t>(1)</w:t>
            </w:r>
          </w:p>
        </w:tc>
        <w:tc>
          <w:tcPr>
            <w:tcW w:w="2640" w:type="dxa"/>
            <w:vAlign w:val="bottom"/>
          </w:tcPr>
          <w:p>
            <w:pPr>
              <w:jc w:val="center"/>
              <w:spacing w:after="0"/>
              <w:rPr>
                <w:sz w:val="20"/>
                <w:szCs w:val="20"/>
                <w:color w:val="auto"/>
              </w:rPr>
            </w:pPr>
            <w:r>
              <w:rPr>
                <w:rFonts w:ascii="Arial" w:cs="Arial" w:eastAsia="Arial" w:hAnsi="Arial"/>
                <w:sz w:val="29"/>
                <w:szCs w:val="29"/>
                <w:b w:val="1"/>
                <w:bCs w:val="1"/>
                <w:color w:val="FFFFFF"/>
                <w:w w:val="87"/>
              </w:rPr>
              <w:t>compared</w:t>
            </w:r>
          </w:p>
        </w:tc>
        <w:tc>
          <w:tcPr>
            <w:tcW w:w="2860" w:type="dxa"/>
            <w:vAlign w:val="bottom"/>
            <w:vMerge w:val="restart"/>
          </w:tcPr>
          <w:p>
            <w:pPr>
              <w:ind w:left="900"/>
              <w:spacing w:after="0"/>
              <w:rPr>
                <w:sz w:val="20"/>
                <w:szCs w:val="20"/>
                <w:color w:val="auto"/>
              </w:rPr>
            </w:pPr>
            <w:r>
              <w:rPr>
                <w:rFonts w:ascii="Arial" w:cs="Arial" w:eastAsia="Arial" w:hAnsi="Arial"/>
                <w:sz w:val="29"/>
                <w:szCs w:val="29"/>
                <w:b w:val="1"/>
                <w:bCs w:val="1"/>
                <w:color w:val="FFFFFF"/>
                <w:w w:val="89"/>
              </w:rPr>
              <w:t>Net loss $61.9M</w:t>
            </w:r>
          </w:p>
        </w:tc>
        <w:tc>
          <w:tcPr>
            <w:tcW w:w="480" w:type="dxa"/>
            <w:vAlign w:val="bottom"/>
            <w:vMerge w:val="restart"/>
          </w:tcPr>
          <w:p>
            <w:pPr>
              <w:jc w:val="right"/>
              <w:ind w:right="38"/>
              <w:spacing w:after="0"/>
              <w:rPr>
                <w:sz w:val="20"/>
                <w:szCs w:val="20"/>
                <w:color w:val="auto"/>
              </w:rPr>
            </w:pPr>
            <w:r>
              <w:rPr>
                <w:rFonts w:ascii="Arial" w:cs="Arial" w:eastAsia="Arial" w:hAnsi="Arial"/>
                <w:sz w:val="24"/>
                <w:szCs w:val="24"/>
                <w:b w:val="1"/>
                <w:bCs w:val="1"/>
                <w:color w:val="FFFFFF"/>
              </w:rPr>
              <w:t>(1)</w:t>
            </w:r>
          </w:p>
        </w:tc>
        <w:tc>
          <w:tcPr>
            <w:tcW w:w="0" w:type="dxa"/>
            <w:vAlign w:val="bottom"/>
          </w:tcPr>
          <w:p>
            <w:pPr>
              <w:spacing w:after="0"/>
              <w:rPr>
                <w:sz w:val="1"/>
                <w:szCs w:val="1"/>
                <w:color w:val="auto"/>
              </w:rPr>
            </w:pPr>
          </w:p>
        </w:tc>
      </w:tr>
      <w:tr>
        <w:trPr>
          <w:trHeight w:val="145"/>
        </w:trPr>
        <w:tc>
          <w:tcPr>
            <w:tcW w:w="3520" w:type="dxa"/>
            <w:vAlign w:val="bottom"/>
            <w:vMerge w:val="continue"/>
          </w:tcPr>
          <w:p>
            <w:pPr>
              <w:spacing w:after="0"/>
              <w:rPr>
                <w:sz w:val="12"/>
                <w:szCs w:val="12"/>
                <w:color w:val="auto"/>
              </w:rPr>
            </w:pPr>
          </w:p>
        </w:tc>
        <w:tc>
          <w:tcPr>
            <w:tcW w:w="2640" w:type="dxa"/>
            <w:vAlign w:val="bottom"/>
            <w:vMerge w:val="restart"/>
          </w:tcPr>
          <w:p>
            <w:pPr>
              <w:jc w:val="center"/>
              <w:spacing w:after="0"/>
              <w:rPr>
                <w:sz w:val="20"/>
                <w:szCs w:val="20"/>
                <w:color w:val="auto"/>
              </w:rPr>
            </w:pPr>
            <w:r>
              <w:rPr>
                <w:rFonts w:ascii="Arial" w:cs="Arial" w:eastAsia="Arial" w:hAnsi="Arial"/>
                <w:sz w:val="29"/>
                <w:szCs w:val="29"/>
                <w:b w:val="1"/>
                <w:bCs w:val="1"/>
                <w:color w:val="FFFFFF"/>
                <w:w w:val="93"/>
              </w:rPr>
              <w:t>with</w:t>
            </w:r>
          </w:p>
        </w:tc>
        <w:tc>
          <w:tcPr>
            <w:tcW w:w="2860" w:type="dxa"/>
            <w:vAlign w:val="bottom"/>
            <w:vMerge w:val="continue"/>
          </w:tcPr>
          <w:p>
            <w:pPr>
              <w:spacing w:after="0"/>
              <w:rPr>
                <w:sz w:val="12"/>
                <w:szCs w:val="12"/>
                <w:color w:val="auto"/>
              </w:rPr>
            </w:pPr>
          </w:p>
        </w:tc>
        <w:tc>
          <w:tcPr>
            <w:tcW w:w="4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30"/>
        </w:trPr>
        <w:tc>
          <w:tcPr>
            <w:tcW w:w="3520" w:type="dxa"/>
            <w:vAlign w:val="bottom"/>
          </w:tcPr>
          <w:p>
            <w:pPr>
              <w:spacing w:after="0"/>
              <w:rPr>
                <w:sz w:val="19"/>
                <w:szCs w:val="19"/>
                <w:color w:val="auto"/>
              </w:rPr>
            </w:pPr>
          </w:p>
        </w:tc>
        <w:tc>
          <w:tcPr>
            <w:tcW w:w="2640" w:type="dxa"/>
            <w:vAlign w:val="bottom"/>
            <w:vMerge w:val="continue"/>
          </w:tcPr>
          <w:p>
            <w:pPr>
              <w:spacing w:after="0"/>
              <w:rPr>
                <w:sz w:val="19"/>
                <w:szCs w:val="19"/>
                <w:color w:val="auto"/>
              </w:rPr>
            </w:pPr>
          </w:p>
        </w:tc>
        <w:tc>
          <w:tcPr>
            <w:tcW w:w="28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08"/>
        </w:trPr>
        <w:tc>
          <w:tcPr>
            <w:tcW w:w="3520" w:type="dxa"/>
            <w:vAlign w:val="bottom"/>
          </w:tcPr>
          <w:p>
            <w:pPr>
              <w:jc w:val="center"/>
              <w:ind w:right="516"/>
              <w:spacing w:after="0"/>
              <w:rPr>
                <w:sz w:val="20"/>
                <w:szCs w:val="20"/>
                <w:color w:val="auto"/>
              </w:rPr>
            </w:pPr>
            <w:r>
              <w:rPr>
                <w:rFonts w:ascii="Arial" w:cs="Arial" w:eastAsia="Arial" w:hAnsi="Arial"/>
                <w:sz w:val="29"/>
                <w:szCs w:val="29"/>
                <w:b w:val="1"/>
                <w:bCs w:val="1"/>
                <w:color w:val="FFFFFF"/>
                <w:w w:val="95"/>
              </w:rPr>
              <w:t>Adjusted EBITDA</w:t>
            </w:r>
            <w:r>
              <w:rPr>
                <w:rFonts w:ascii="Arial" w:cs="Arial" w:eastAsia="Arial" w:hAnsi="Arial"/>
                <w:sz w:val="24"/>
                <w:szCs w:val="24"/>
                <w:b w:val="1"/>
                <w:bCs w:val="1"/>
                <w:color w:val="FFFFFF"/>
                <w:w w:val="95"/>
              </w:rPr>
              <w:t>(2)</w:t>
            </w:r>
          </w:p>
        </w:tc>
        <w:tc>
          <w:tcPr>
            <w:tcW w:w="2640" w:type="dxa"/>
            <w:vAlign w:val="bottom"/>
          </w:tcPr>
          <w:p>
            <w:pPr>
              <w:spacing w:after="0"/>
              <w:rPr>
                <w:sz w:val="24"/>
                <w:szCs w:val="24"/>
                <w:color w:val="auto"/>
              </w:rPr>
            </w:pPr>
          </w:p>
        </w:tc>
        <w:tc>
          <w:tcPr>
            <w:tcW w:w="3340" w:type="dxa"/>
            <w:vAlign w:val="bottom"/>
            <w:gridSpan w:val="2"/>
          </w:tcPr>
          <w:p>
            <w:pPr>
              <w:ind w:left="740"/>
              <w:spacing w:after="0"/>
              <w:rPr>
                <w:sz w:val="20"/>
                <w:szCs w:val="20"/>
                <w:color w:val="auto"/>
              </w:rPr>
            </w:pPr>
            <w:r>
              <w:rPr>
                <w:rFonts w:ascii="Arial" w:cs="Arial" w:eastAsia="Arial" w:hAnsi="Arial"/>
                <w:sz w:val="29"/>
                <w:szCs w:val="29"/>
                <w:b w:val="1"/>
                <w:bCs w:val="1"/>
                <w:color w:val="FFFFFF"/>
                <w:w w:val="95"/>
              </w:rPr>
              <w:t>Adjusted EBITDA</w:t>
            </w:r>
            <w:r>
              <w:rPr>
                <w:rFonts w:ascii="Arial" w:cs="Arial" w:eastAsia="Arial" w:hAnsi="Arial"/>
                <w:sz w:val="24"/>
                <w:szCs w:val="24"/>
                <w:b w:val="1"/>
                <w:bCs w:val="1"/>
                <w:color w:val="FFFFFF"/>
                <w:w w:val="95"/>
              </w:rPr>
              <w:t>(2)</w:t>
            </w:r>
          </w:p>
        </w:tc>
        <w:tc>
          <w:tcPr>
            <w:tcW w:w="0" w:type="dxa"/>
            <w:vAlign w:val="bottom"/>
          </w:tcPr>
          <w:p>
            <w:pPr>
              <w:spacing w:after="0"/>
              <w:rPr>
                <w:sz w:val="1"/>
                <w:szCs w:val="1"/>
                <w:color w:val="auto"/>
              </w:rPr>
            </w:pPr>
          </w:p>
        </w:tc>
      </w:tr>
      <w:tr>
        <w:trPr>
          <w:trHeight w:val="375"/>
        </w:trPr>
        <w:tc>
          <w:tcPr>
            <w:tcW w:w="3520" w:type="dxa"/>
            <w:vAlign w:val="bottom"/>
          </w:tcPr>
          <w:p>
            <w:pPr>
              <w:jc w:val="center"/>
              <w:ind w:right="516"/>
              <w:spacing w:after="0"/>
              <w:rPr>
                <w:sz w:val="20"/>
                <w:szCs w:val="20"/>
                <w:color w:val="auto"/>
              </w:rPr>
            </w:pPr>
            <w:r>
              <w:rPr>
                <w:rFonts w:ascii="Arial" w:cs="Arial" w:eastAsia="Arial" w:hAnsi="Arial"/>
                <w:sz w:val="29"/>
                <w:szCs w:val="29"/>
                <w:b w:val="1"/>
                <w:bCs w:val="1"/>
                <w:color w:val="FFFFFF"/>
                <w:w w:val="93"/>
              </w:rPr>
              <w:t>$245.9M</w:t>
            </w:r>
          </w:p>
        </w:tc>
        <w:tc>
          <w:tcPr>
            <w:tcW w:w="2640" w:type="dxa"/>
            <w:vAlign w:val="bottom"/>
          </w:tcPr>
          <w:p>
            <w:pPr>
              <w:spacing w:after="0"/>
              <w:rPr>
                <w:sz w:val="24"/>
                <w:szCs w:val="24"/>
                <w:color w:val="auto"/>
              </w:rPr>
            </w:pPr>
          </w:p>
        </w:tc>
        <w:tc>
          <w:tcPr>
            <w:tcW w:w="2860" w:type="dxa"/>
            <w:vAlign w:val="bottom"/>
          </w:tcPr>
          <w:p>
            <w:pPr>
              <w:jc w:val="center"/>
              <w:ind w:left="1076"/>
              <w:spacing w:after="0"/>
              <w:rPr>
                <w:sz w:val="20"/>
                <w:szCs w:val="20"/>
                <w:color w:val="auto"/>
              </w:rPr>
            </w:pPr>
            <w:r>
              <w:rPr>
                <w:rFonts w:ascii="Arial" w:cs="Arial" w:eastAsia="Arial" w:hAnsi="Arial"/>
                <w:sz w:val="29"/>
                <w:szCs w:val="29"/>
                <w:b w:val="1"/>
                <w:bCs w:val="1"/>
                <w:color w:val="FFFFFF"/>
                <w:w w:val="95"/>
              </w:rPr>
              <w:t>$38.0M</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0" w:lineRule="exact"/>
        <w:rPr>
          <w:sz w:val="20"/>
          <w:szCs w:val="20"/>
          <w:color w:val="auto"/>
        </w:rPr>
      </w:pPr>
    </w:p>
    <w:p>
      <w:pPr>
        <w:ind w:left="540" w:hanging="424"/>
        <w:spacing w:after="0"/>
        <w:tabs>
          <w:tab w:leader="none" w:pos="540" w:val="left"/>
        </w:tabs>
        <w:numPr>
          <w:ilvl w:val="0"/>
          <w:numId w:val="33"/>
        </w:numPr>
        <w:rPr>
          <w:rFonts w:ascii="Arial" w:cs="Arial" w:eastAsia="Arial" w:hAnsi="Arial"/>
          <w:sz w:val="14"/>
          <w:szCs w:val="14"/>
          <w:color w:val="auto"/>
        </w:rPr>
      </w:pPr>
      <w:r>
        <w:rPr>
          <w:rFonts w:ascii="Arial" w:cs="Arial" w:eastAsia="Arial" w:hAnsi="Arial"/>
          <w:sz w:val="14"/>
          <w:szCs w:val="14"/>
          <w:color w:val="auto"/>
        </w:rPr>
        <w:t>Net income for 2021 and net loss for 2020 includes a gain of $20.1M in 2021 and a loss of $14.7M in 2020 from the remeasurement of benefit plans.</w:t>
      </w:r>
    </w:p>
    <w:p>
      <w:pPr>
        <w:ind w:left="540" w:hanging="424"/>
        <w:spacing w:after="0"/>
        <w:tabs>
          <w:tab w:leader="none" w:pos="540" w:val="left"/>
        </w:tabs>
        <w:numPr>
          <w:ilvl w:val="0"/>
          <w:numId w:val="33"/>
        </w:numPr>
        <w:rPr>
          <w:rFonts w:ascii="Arial" w:cs="Arial" w:eastAsia="Arial" w:hAnsi="Arial"/>
          <w:sz w:val="14"/>
          <w:szCs w:val="14"/>
          <w:color w:val="auto"/>
        </w:rPr>
      </w:pPr>
      <w:r>
        <w:rPr>
          <w:rFonts w:ascii="Arial" w:cs="Arial" w:eastAsia="Arial" w:hAnsi="Arial"/>
          <w:sz w:val="14"/>
          <w:szCs w:val="14"/>
          <w:color w:val="auto"/>
        </w:rPr>
        <w:t>Adjusted EBITDA is a non-GAAP financial measure. Please see appendix for a reconciliation of this financial measure to the most comparable GAAP financial measure.</w:t>
      </w:r>
    </w:p>
    <w:p>
      <w:pPr>
        <w:spacing w:after="0" w:line="133"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38</w:t>
      </w:r>
    </w:p>
    <w:p>
      <w:pPr>
        <w:sectPr>
          <w:pgSz w:w="11900" w:h="16838" w:orient="portrait"/>
          <w:cols w:equalWidth="0" w:num="1">
            <w:col w:w="11100"/>
          </w:cols>
          <w:pgMar w:left="320" w:top="459" w:right="47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Pay for performance</w:t>
      </w:r>
    </w:p>
    <w:p>
      <w:pPr>
        <w:spacing w:after="0" w:line="117" w:lineRule="exact"/>
        <w:rPr>
          <w:sz w:val="20"/>
          <w:szCs w:val="20"/>
          <w:color w:val="auto"/>
        </w:rPr>
      </w:pPr>
    </w:p>
    <w:p>
      <w:pPr>
        <w:ind w:left="120" w:right="360"/>
        <w:spacing w:after="0" w:line="277" w:lineRule="auto"/>
        <w:rPr>
          <w:sz w:val="20"/>
          <w:szCs w:val="20"/>
          <w:color w:val="auto"/>
        </w:rPr>
      </w:pPr>
      <w:r>
        <w:rPr>
          <w:rFonts w:ascii="Arial" w:cs="Arial" w:eastAsia="Arial" w:hAnsi="Arial"/>
          <w:sz w:val="18"/>
          <w:szCs w:val="18"/>
          <w:color w:val="auto"/>
        </w:rPr>
        <w:t>At TimkenSteel, we believe in rewarding employees, including our NEOs, for helping the company achieve our corporate goals, deliver exceptional performance and build shareholder value. In this spirit, we designed our executive compensation program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1410970</wp:posOffset>
            </wp:positionH>
            <wp:positionV relativeFrom="paragraph">
              <wp:posOffset>117475</wp:posOffset>
            </wp:positionV>
            <wp:extent cx="4328795" cy="15430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4328795" cy="154305"/>
                    </a:xfrm>
                    <a:prstGeom prst="rect">
                      <a:avLst/>
                    </a:prstGeom>
                    <a:noFill/>
                  </pic:spPr>
                </pic:pic>
              </a:graphicData>
            </a:graphic>
          </wp:anchor>
        </w:drawing>
      </w:r>
    </w:p>
    <w:p>
      <w:pPr>
        <w:spacing w:after="0" w:line="173"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FFFFFF"/>
        </w:rPr>
        <w:t>Executive Compensation Program Objectives: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1410970</wp:posOffset>
            </wp:positionH>
            <wp:positionV relativeFrom="paragraph">
              <wp:posOffset>17145</wp:posOffset>
            </wp:positionV>
            <wp:extent cx="4328795" cy="1454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4328795" cy="145415"/>
                    </a:xfrm>
                    <a:prstGeom prst="rect">
                      <a:avLst/>
                    </a:prstGeom>
                    <a:noFill/>
                  </pic:spPr>
                </pic:pic>
              </a:graphicData>
            </a:graphic>
          </wp:anchor>
        </w:drawing>
      </w:r>
    </w:p>
    <w:p>
      <w:pPr>
        <w:spacing w:after="0" w:line="236" w:lineRule="exact"/>
        <w:rPr>
          <w:sz w:val="20"/>
          <w:szCs w:val="20"/>
          <w:color w:val="auto"/>
        </w:rPr>
      </w:pPr>
    </w:p>
    <w:p>
      <w:pPr>
        <w:ind w:left="2740" w:hanging="417"/>
        <w:spacing w:after="0"/>
        <w:tabs>
          <w:tab w:leader="none" w:pos="2740" w:val="left"/>
        </w:tabs>
        <w:numPr>
          <w:ilvl w:val="0"/>
          <w:numId w:val="34"/>
        </w:numPr>
        <w:rPr>
          <w:rFonts w:ascii="MS PGothic" w:cs="MS PGothic" w:eastAsia="MS PGothic" w:hAnsi="MS PGothic"/>
          <w:sz w:val="18"/>
          <w:szCs w:val="18"/>
          <w:color w:val="auto"/>
        </w:rPr>
      </w:pPr>
      <w:r>
        <w:rPr>
          <w:rFonts w:ascii="Arial" w:cs="Arial" w:eastAsia="Arial" w:hAnsi="Arial"/>
          <w:sz w:val="18"/>
          <w:szCs w:val="18"/>
          <w:color w:val="auto"/>
        </w:rPr>
        <w:t>Align the interests of our executives and shareholders</w:t>
      </w:r>
    </w:p>
    <w:p>
      <w:pPr>
        <w:spacing w:after="0" w:line="157" w:lineRule="exact"/>
        <w:rPr>
          <w:rFonts w:ascii="MS PGothic" w:cs="MS PGothic" w:eastAsia="MS PGothic" w:hAnsi="MS PGothic"/>
          <w:sz w:val="18"/>
          <w:szCs w:val="18"/>
          <w:color w:val="auto"/>
        </w:rPr>
      </w:pPr>
    </w:p>
    <w:p>
      <w:pPr>
        <w:ind w:left="2760" w:hanging="437"/>
        <w:spacing w:after="0"/>
        <w:tabs>
          <w:tab w:leader="none" w:pos="2760" w:val="left"/>
        </w:tabs>
        <w:numPr>
          <w:ilvl w:val="0"/>
          <w:numId w:val="34"/>
        </w:numPr>
        <w:rPr>
          <w:rFonts w:ascii="MS PGothic" w:cs="MS PGothic" w:eastAsia="MS PGothic" w:hAnsi="MS PGothic"/>
          <w:sz w:val="18"/>
          <w:szCs w:val="18"/>
          <w:color w:val="auto"/>
        </w:rPr>
      </w:pPr>
      <w:r>
        <w:rPr>
          <w:rFonts w:ascii="Arial" w:cs="Arial" w:eastAsia="Arial" w:hAnsi="Arial"/>
          <w:sz w:val="18"/>
          <w:szCs w:val="18"/>
          <w:color w:val="auto"/>
        </w:rPr>
        <w:t>Reward executives for strong business and financial results</w:t>
      </w:r>
    </w:p>
    <w:p>
      <w:pPr>
        <w:spacing w:after="0" w:line="157" w:lineRule="exact"/>
        <w:rPr>
          <w:rFonts w:ascii="MS PGothic" w:cs="MS PGothic" w:eastAsia="MS PGothic" w:hAnsi="MS PGothic"/>
          <w:sz w:val="18"/>
          <w:szCs w:val="18"/>
          <w:color w:val="auto"/>
        </w:rPr>
      </w:pPr>
    </w:p>
    <w:p>
      <w:pPr>
        <w:ind w:left="2740" w:hanging="417"/>
        <w:spacing w:after="0"/>
        <w:tabs>
          <w:tab w:leader="none" w:pos="2740" w:val="left"/>
        </w:tabs>
        <w:numPr>
          <w:ilvl w:val="0"/>
          <w:numId w:val="34"/>
        </w:numPr>
        <w:rPr>
          <w:rFonts w:ascii="MS PGothic" w:cs="MS PGothic" w:eastAsia="MS PGothic" w:hAnsi="MS PGothic"/>
          <w:sz w:val="18"/>
          <w:szCs w:val="18"/>
          <w:color w:val="auto"/>
        </w:rPr>
      </w:pPr>
      <w:r>
        <w:rPr>
          <w:rFonts w:ascii="Arial" w:cs="Arial" w:eastAsia="Arial" w:hAnsi="Arial"/>
          <w:sz w:val="18"/>
          <w:szCs w:val="18"/>
          <w:color w:val="auto"/>
        </w:rPr>
        <w:t>Attract, retain and motivate the best talent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1410970</wp:posOffset>
            </wp:positionH>
            <wp:positionV relativeFrom="paragraph">
              <wp:posOffset>92075</wp:posOffset>
            </wp:positionV>
            <wp:extent cx="4328795"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4328795"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-139065</wp:posOffset>
            </wp:positionV>
            <wp:extent cx="4328795"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4328795"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-370205</wp:posOffset>
            </wp:positionV>
            <wp:extent cx="4328795"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328795" cy="8255"/>
                    </a:xfrm>
                    <a:prstGeom prst="rect">
                      <a:avLst/>
                    </a:prstGeom>
                    <a:noFill/>
                  </pic:spPr>
                </pic:pic>
              </a:graphicData>
            </a:graphic>
          </wp:anchor>
        </w:drawing>
      </w:r>
    </w:p>
    <w:p>
      <w:pPr>
        <w:spacing w:after="0" w:line="340" w:lineRule="exact"/>
        <w:rPr>
          <w:sz w:val="20"/>
          <w:szCs w:val="20"/>
          <w:color w:val="auto"/>
        </w:rPr>
      </w:pPr>
    </w:p>
    <w:p>
      <w:pPr>
        <w:ind w:left="120" w:right="700"/>
        <w:spacing w:after="0" w:line="277" w:lineRule="auto"/>
        <w:rPr>
          <w:sz w:val="20"/>
          <w:szCs w:val="20"/>
          <w:color w:val="auto"/>
        </w:rPr>
      </w:pPr>
      <w:r>
        <w:rPr>
          <w:rFonts w:ascii="Arial" w:cs="Arial" w:eastAsia="Arial" w:hAnsi="Arial"/>
          <w:sz w:val="18"/>
          <w:szCs w:val="18"/>
          <w:color w:val="auto"/>
        </w:rPr>
        <w:t>The compensation of our NEOs during 2021 reflects our financial results and demonstrates that our compensation plans pay for performance as intended.</w:t>
      </w:r>
    </w:p>
    <w:p>
      <w:pPr>
        <w:spacing w:after="0" w:line="35" w:lineRule="exact"/>
        <w:rPr>
          <w:sz w:val="20"/>
          <w:szCs w:val="20"/>
          <w:color w:val="auto"/>
        </w:rPr>
      </w:pPr>
    </w:p>
    <w:p>
      <w:pPr>
        <w:ind w:left="980" w:right="80" w:hanging="432"/>
        <w:spacing w:after="0" w:line="263" w:lineRule="auto"/>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metrics established for our annual performance award plan (“APA plan”) for 2021 were (i) adjusted earnings before interest, taxes, depreciation and amortization (“adjusted EBITDA”) and (ii) adjusted operating cash flow, with performance modifiers for achieving certain safety objectives and for individual performance.</w:t>
      </w:r>
    </w:p>
    <w:p>
      <w:pPr>
        <w:spacing w:after="0" w:line="48" w:lineRule="exact"/>
        <w:rPr>
          <w:rFonts w:ascii="Arial" w:cs="Arial" w:eastAsia="Arial" w:hAnsi="Arial"/>
          <w:sz w:val="18"/>
          <w:szCs w:val="18"/>
          <w:color w:val="auto"/>
        </w:rPr>
      </w:pPr>
    </w:p>
    <w:p>
      <w:pPr>
        <w:ind w:left="980" w:right="280" w:hanging="432"/>
        <w:spacing w:after="0" w:line="259" w:lineRule="auto"/>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Adjusted EBITDA and adjusted operating cash flow performance exceeded the maximum performance objectives established for 2021, resulting in a payout percentage on these metrics of 200 percent of target. Because the safety modifier was not achieved, this 200 percent payout percentage was multiplied by 95 percent to arrive at a total calculated payout under the APA plan of 190 percent of target, prior to application of the individual performance modifier.</w:t>
      </w:r>
    </w:p>
    <w:p>
      <w:pPr>
        <w:spacing w:after="0" w:line="51" w:lineRule="exact"/>
        <w:rPr>
          <w:rFonts w:ascii="Arial" w:cs="Arial" w:eastAsia="Arial" w:hAnsi="Arial"/>
          <w:sz w:val="18"/>
          <w:szCs w:val="18"/>
          <w:color w:val="auto"/>
        </w:rPr>
      </w:pPr>
    </w:p>
    <w:p>
      <w:pPr>
        <w:ind w:left="980" w:hanging="432"/>
        <w:spacing w:after="0" w:line="301" w:lineRule="auto"/>
        <w:tabs>
          <w:tab w:leader="none" w:pos="9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This payout level under the APA plan reflected financial performance that was substantially improved as compared to 2020 and, generally, the best since the spinoff of the company in mid-2014. Performance was driven by an improved demand environment, higher melt utilization due to the consolidation of our melt shop capacity, and a continued focus on controlling costs with further streamlining of our organizational structure and administrative processes, resulting in profitability and operating cash flow that exceeded expectations in 2021.</w:t>
      </w:r>
    </w:p>
    <w:p>
      <w:pPr>
        <w:spacing w:after="0" w:line="22" w:lineRule="exact"/>
        <w:rPr>
          <w:rFonts w:ascii="Arial" w:cs="Arial" w:eastAsia="Arial" w:hAnsi="Arial"/>
          <w:sz w:val="16"/>
          <w:szCs w:val="16"/>
          <w:color w:val="auto"/>
        </w:rPr>
      </w:pPr>
    </w:p>
    <w:p>
      <w:pPr>
        <w:ind w:left="980" w:right="240" w:hanging="432"/>
        <w:spacing w:after="0" w:line="277" w:lineRule="auto"/>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As a result, our NEOs’ aggregate realizable compensation for 2021 was above established target compensation, further demonstrating our pay-for-performance alignment.</w:t>
      </w:r>
    </w:p>
    <w:p>
      <w:pPr>
        <w:spacing w:after="0" w:line="35" w:lineRule="exact"/>
        <w:rPr>
          <w:rFonts w:ascii="Arial" w:cs="Arial" w:eastAsia="Arial" w:hAnsi="Arial"/>
          <w:sz w:val="18"/>
          <w:szCs w:val="18"/>
          <w:color w:val="auto"/>
        </w:rPr>
      </w:pPr>
    </w:p>
    <w:p>
      <w:pPr>
        <w:ind w:left="980" w:right="420" w:hanging="432"/>
        <w:spacing w:after="0" w:line="277" w:lineRule="auto"/>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All performance shares granted to our NEOs prior to 2020, including grants for the 2019-2021 performance cycle, were forfeited as the threshold performance requirements have not been met.</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say-on-pay vote and 2022 executive compensation changes</w:t>
      </w:r>
    </w:p>
    <w:p>
      <w:pPr>
        <w:spacing w:after="0" w:line="63" w:lineRule="exact"/>
        <w:rPr>
          <w:sz w:val="20"/>
          <w:szCs w:val="20"/>
          <w:color w:val="auto"/>
        </w:rPr>
      </w:pPr>
    </w:p>
    <w:p>
      <w:pPr>
        <w:jc w:val="both"/>
        <w:ind w:left="120" w:right="140"/>
        <w:spacing w:after="0" w:line="311" w:lineRule="auto"/>
        <w:rPr>
          <w:sz w:val="20"/>
          <w:szCs w:val="20"/>
          <w:color w:val="auto"/>
        </w:rPr>
      </w:pPr>
      <w:r>
        <w:rPr>
          <w:rFonts w:ascii="Arial" w:cs="Arial" w:eastAsia="Arial" w:hAnsi="Arial"/>
          <w:sz w:val="16"/>
          <w:szCs w:val="16"/>
          <w:color w:val="auto"/>
        </w:rPr>
        <w:t>In 2021, shareholders approved the compensation of our NEOs with approximately 95 percent of votes cast in favor of our “say-on-pay” proposal. Our Compensation Committee considered the results of this vote, shareholder feedback received in previous years and market data during its annual review of executive compensation plans. The Committee also considered the changes made to executive compensation programs in recent years, including:</w:t>
      </w:r>
    </w:p>
    <w:p>
      <w:pPr>
        <w:spacing w:after="0" w:line="14" w:lineRule="exact"/>
        <w:rPr>
          <w:sz w:val="20"/>
          <w:szCs w:val="20"/>
          <w:color w:val="auto"/>
        </w:rPr>
      </w:pPr>
    </w:p>
    <w:p>
      <w:pPr>
        <w:ind w:left="980" w:right="460" w:hanging="432"/>
        <w:spacing w:after="0" w:line="334" w:lineRule="auto"/>
        <w:tabs>
          <w:tab w:leader="none" w:pos="980" w:val="left"/>
        </w:tabs>
        <w:numPr>
          <w:ilvl w:val="0"/>
          <w:numId w:val="36"/>
        </w:numPr>
        <w:rPr>
          <w:rFonts w:ascii="Arial" w:cs="Arial" w:eastAsia="Arial" w:hAnsi="Arial"/>
          <w:sz w:val="16"/>
          <w:szCs w:val="16"/>
          <w:color w:val="auto"/>
        </w:rPr>
      </w:pPr>
      <w:r>
        <w:rPr>
          <w:rFonts w:ascii="Arial" w:cs="Arial" w:eastAsia="Arial" w:hAnsi="Arial"/>
          <w:sz w:val="16"/>
          <w:szCs w:val="16"/>
          <w:color w:val="auto"/>
        </w:rPr>
        <w:t>simplifying the annual incentive plan by utilizing two commonly understood key performance metrics, adjusted EBITDA and adjusted operating cash flow, with performance modifiers for achievement of certain safety objectives and for individual performance;</w:t>
      </w:r>
    </w:p>
    <w:p>
      <w:pPr>
        <w:ind w:left="980" w:right="340" w:hanging="432"/>
        <w:spacing w:after="0" w:line="277" w:lineRule="auto"/>
        <w:tabs>
          <w:tab w:leader="none" w:pos="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implementing a relative total shareholder return calculation over a three-year performance cycle as the metric used to determine whether (and how many) performance shares are earned; and</w:t>
      </w:r>
    </w:p>
    <w:p>
      <w:pPr>
        <w:spacing w:after="0" w:line="35" w:lineRule="exact"/>
        <w:rPr>
          <w:rFonts w:ascii="Arial" w:cs="Arial" w:eastAsia="Arial" w:hAnsi="Arial"/>
          <w:sz w:val="18"/>
          <w:szCs w:val="18"/>
          <w:color w:val="auto"/>
        </w:rPr>
      </w:pPr>
    </w:p>
    <w:p>
      <w:pPr>
        <w:ind w:left="980" w:hanging="432"/>
        <w:spacing w:after="0"/>
        <w:tabs>
          <w:tab w:leader="none" w:pos="980" w:val="left"/>
        </w:tabs>
        <w:numPr>
          <w:ilvl w:val="0"/>
          <w:numId w:val="36"/>
        </w:numPr>
        <w:rPr>
          <w:rFonts w:ascii="Arial" w:cs="Arial" w:eastAsia="Arial" w:hAnsi="Arial"/>
          <w:sz w:val="17"/>
          <w:szCs w:val="17"/>
          <w:color w:val="auto"/>
        </w:rPr>
      </w:pPr>
      <w:r>
        <w:rPr>
          <w:rFonts w:ascii="Arial" w:cs="Arial" w:eastAsia="Arial" w:hAnsi="Arial"/>
          <w:sz w:val="17"/>
          <w:szCs w:val="17"/>
          <w:color w:val="auto"/>
        </w:rPr>
        <w:t>eliminating stock options from the long-term incentive portfolio, with the 2021 long-term incentive grants for the NEOs consisting of</w:t>
      </w:r>
    </w:p>
    <w:p>
      <w:pPr>
        <w:spacing w:after="0" w:line="34" w:lineRule="exact"/>
        <w:rPr>
          <w:rFonts w:ascii="Arial" w:cs="Arial" w:eastAsia="Arial" w:hAnsi="Arial"/>
          <w:sz w:val="17"/>
          <w:szCs w:val="17"/>
          <w:color w:val="auto"/>
        </w:rPr>
      </w:pPr>
    </w:p>
    <w:p>
      <w:pPr>
        <w:ind w:left="980" w:right="360"/>
        <w:spacing w:after="0" w:line="260" w:lineRule="auto"/>
        <w:rPr>
          <w:rFonts w:ascii="Arial" w:cs="Arial" w:eastAsia="Arial" w:hAnsi="Arial"/>
          <w:sz w:val="17"/>
          <w:szCs w:val="17"/>
          <w:color w:val="auto"/>
        </w:rPr>
      </w:pPr>
      <w:r>
        <w:rPr>
          <w:rFonts w:ascii="Arial" w:cs="Arial" w:eastAsia="Arial" w:hAnsi="Arial"/>
          <w:sz w:val="18"/>
          <w:szCs w:val="18"/>
          <w:color w:val="auto"/>
        </w:rPr>
        <w:t>50 percent time-based restricted stock units and 50 percent performance shares, to align with market practice, award more performance-based compensation and eliminate unfavorable share utilization.</w:t>
      </w:r>
    </w:p>
    <w:p>
      <w:pPr>
        <w:spacing w:after="0" w:line="122"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39</w:t>
      </w:r>
    </w:p>
    <w:p>
      <w:pPr>
        <w:sectPr>
          <w:pgSz w:w="11900" w:h="16838" w:orient="portrait"/>
          <w:cols w:equalWidth="0" w:num="1">
            <w:col w:w="11140"/>
          </w:cols>
          <w:pgMar w:left="320" w:top="459" w:right="4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60"/>
        <w:spacing w:after="0" w:line="259" w:lineRule="auto"/>
        <w:rPr>
          <w:sz w:val="20"/>
          <w:szCs w:val="20"/>
          <w:color w:val="auto"/>
        </w:rPr>
      </w:pPr>
      <w:r>
        <w:rPr>
          <w:rFonts w:ascii="Arial" w:cs="Arial" w:eastAsia="Arial" w:hAnsi="Arial"/>
          <w:sz w:val="18"/>
          <w:szCs w:val="18"/>
          <w:color w:val="auto"/>
        </w:rPr>
        <w:t>For 2022, the Compensation Committee has determined to continue to focus the annual incentive plan on profitability, cash flow generation and safety and to continue using relative total shareholder return, measured over a three-year performance cycle, as the metric for the performance shares awarded under the company’s long-term incentive plan. Additionally, the long-term incentive mix for NEOs will continue to consist of approximately 50 percent performance shares and 50 percent time-based RSUs.</w:t>
      </w:r>
    </w:p>
    <w:p>
      <w:pPr>
        <w:spacing w:after="0" w:line="160" w:lineRule="exact"/>
        <w:rPr>
          <w:sz w:val="20"/>
          <w:szCs w:val="20"/>
          <w:color w:val="auto"/>
        </w:rPr>
      </w:pPr>
    </w:p>
    <w:p>
      <w:pPr>
        <w:ind w:left="120" w:right="40"/>
        <w:spacing w:after="0" w:line="255" w:lineRule="auto"/>
        <w:rPr>
          <w:sz w:val="20"/>
          <w:szCs w:val="20"/>
          <w:color w:val="auto"/>
        </w:rPr>
      </w:pPr>
      <w:r>
        <w:rPr>
          <w:rFonts w:ascii="Arial" w:cs="Arial" w:eastAsia="Arial" w:hAnsi="Arial"/>
          <w:sz w:val="18"/>
          <w:szCs w:val="18"/>
          <w:color w:val="auto"/>
        </w:rPr>
        <w:t>To better align with market, the Committee has determined to modify the payout structure for performance shares, beginning with the 2022–2024 performance cycle, by adding a 200 percent maximum payout opportunity if the Company’s relative total shareholder return is at or above the 90th percentile of the identified peer group; provided, however, that regardless of the percentile performance achieved, if relative total shareholder return for the three-year performance period is negative, any resulting payout will be limited to 150 percent. Previously, the maximum payout opportunity available for the performance shares was 150 percent of the target number of performance shares awarded for achieving relative total shareholder return at or above the 75th percentile of the identified peer group.</w:t>
      </w:r>
    </w:p>
    <w:p>
      <w:pPr>
        <w:spacing w:after="0" w:line="152" w:lineRule="exact"/>
        <w:rPr>
          <w:sz w:val="20"/>
          <w:szCs w:val="20"/>
          <w:color w:val="auto"/>
        </w:rPr>
      </w:pPr>
    </w:p>
    <w:p>
      <w:pPr>
        <w:ind w:left="120"/>
        <w:spacing w:after="0" w:line="289" w:lineRule="auto"/>
        <w:rPr>
          <w:sz w:val="20"/>
          <w:szCs w:val="20"/>
          <w:color w:val="auto"/>
        </w:rPr>
      </w:pPr>
      <w:r>
        <w:rPr>
          <w:rFonts w:ascii="Arial" w:cs="Arial" w:eastAsia="Arial" w:hAnsi="Arial"/>
          <w:sz w:val="16"/>
          <w:szCs w:val="16"/>
          <w:color w:val="auto"/>
        </w:rPr>
        <w:t>Finally, in connection with the annual review of the compensation of the company’s President and CEO, in February 2022 the Compensation Committee recommended and the Board approved an increase in the target value of awards under the company’s long-term incentive plan for Mr. Williams from $2 million to $2.4 million annually. The Compensation Committee’s recommendation to increase the target value of Mr. Williams’ long-term incentive awards was based on a combination of factors, including a finding that the current target total direct compensation for the company’s President and CEO fell below the market median competitive range (as compared to peer group compensation data provided by the Committee’s independent compensation consultant, Meridian Compensation Partners, LLC), and Mr. Williams’ exceptional performance as CEO since joining the company in January 2021. The mix of long-term incentives will remain unchanged in 2022, with 50 percent of the target value being awarded in the form of performance shares and the balance in time-based restricted stock units. Upon recommendation of the Committee and with the approval of the Board, there was no increase to either base salary or the target annual incentive opportunity for Mr. Williams for 2022.</w:t>
      </w:r>
    </w:p>
    <w:p>
      <w:pPr>
        <w:sectPr>
          <w:pgSz w:w="11900" w:h="16838" w:orient="portrait"/>
          <w:cols w:equalWidth="0" w:num="1">
            <w:col w:w="11100"/>
          </w:cols>
          <w:pgMar w:left="320" w:top="459" w:right="479" w:bottom="1440" w:gutter="0" w:footer="0" w:header="0"/>
        </w:sect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Executive compensation highlights</w:t>
      </w:r>
    </w:p>
    <w:p>
      <w:pPr>
        <w:spacing w:after="0" w:line="221" w:lineRule="exact"/>
        <w:rPr>
          <w:sz w:val="20"/>
          <w:szCs w:val="20"/>
          <w:color w:val="auto"/>
        </w:rPr>
      </w:pPr>
    </w:p>
    <w:p>
      <w:pPr>
        <w:ind w:left="220"/>
        <w:spacing w:after="0"/>
        <w:rPr>
          <w:sz w:val="20"/>
          <w:szCs w:val="20"/>
          <w:color w:val="auto"/>
        </w:rPr>
      </w:pPr>
      <w:r>
        <w:rPr>
          <w:rFonts w:ascii="Arial" w:cs="Arial" w:eastAsia="Arial" w:hAnsi="Arial"/>
          <w:sz w:val="18"/>
          <w:szCs w:val="18"/>
          <w:b w:val="1"/>
          <w:bCs w:val="1"/>
          <w:color w:val="auto"/>
        </w:rPr>
        <w:t>What we do</w:t>
      </w:r>
    </w:p>
    <w:p>
      <w:pPr>
        <w:spacing w:after="0" w:line="67" w:lineRule="exact"/>
        <w:rPr>
          <w:sz w:val="20"/>
          <w:szCs w:val="20"/>
          <w:color w:val="auto"/>
        </w:rPr>
      </w:pPr>
    </w:p>
    <w:p>
      <w:pPr>
        <w:ind w:left="480" w:hanging="270"/>
        <w:spacing w:after="0"/>
        <w:tabs>
          <w:tab w:leader="none" w:pos="480"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Pay for performance</w:t>
      </w:r>
    </w:p>
    <w:p>
      <w:pPr>
        <w:spacing w:after="0" w:line="63"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Establish target pay based on market norms</w:t>
      </w:r>
    </w:p>
    <w:p>
      <w:pPr>
        <w:spacing w:after="0" w:line="63"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6"/>
          <w:szCs w:val="16"/>
          <w:color w:val="auto"/>
        </w:rPr>
      </w:pPr>
      <w:r>
        <w:rPr>
          <w:rFonts w:ascii="Arial" w:cs="Arial" w:eastAsia="Arial" w:hAnsi="Arial"/>
          <w:sz w:val="16"/>
          <w:szCs w:val="16"/>
          <w:color w:val="auto"/>
        </w:rPr>
        <w:t>Deliver total direct compensation primarily through variable pay</w:t>
      </w:r>
    </w:p>
    <w:p>
      <w:pPr>
        <w:spacing w:after="0" w:line="86" w:lineRule="exact"/>
        <w:rPr>
          <w:rFonts w:ascii="MS PGothic" w:cs="MS PGothic" w:eastAsia="MS PGothic" w:hAnsi="MS PGothic"/>
          <w:sz w:val="16"/>
          <w:szCs w:val="16"/>
          <w:color w:val="auto"/>
        </w:rPr>
      </w:pPr>
    </w:p>
    <w:p>
      <w:pPr>
        <w:ind w:left="480" w:hanging="270"/>
        <w:spacing w:after="0"/>
        <w:tabs>
          <w:tab w:leader="none" w:pos="480" w:val="left"/>
        </w:tabs>
        <w:numPr>
          <w:ilvl w:val="0"/>
          <w:numId w:val="37"/>
        </w:numPr>
        <w:rPr>
          <w:rFonts w:ascii="MS PGothic" w:cs="MS PGothic" w:eastAsia="MS PGothic" w:hAnsi="MS PGothic"/>
          <w:sz w:val="17"/>
          <w:szCs w:val="17"/>
          <w:color w:val="auto"/>
        </w:rPr>
      </w:pPr>
      <w:r>
        <w:rPr>
          <w:rFonts w:ascii="Arial" w:cs="Arial" w:eastAsia="Arial" w:hAnsi="Arial"/>
          <w:sz w:val="17"/>
          <w:szCs w:val="17"/>
          <w:color w:val="auto"/>
        </w:rPr>
        <w:t>Set challenging short- and long-term incentive award goals</w:t>
      </w:r>
    </w:p>
    <w:p>
      <w:pPr>
        <w:spacing w:after="0" w:line="74" w:lineRule="exact"/>
        <w:rPr>
          <w:rFonts w:ascii="MS PGothic" w:cs="MS PGothic" w:eastAsia="MS PGothic" w:hAnsi="MS PGothic"/>
          <w:sz w:val="17"/>
          <w:szCs w:val="17"/>
          <w:color w:val="auto"/>
        </w:rPr>
      </w:pPr>
    </w:p>
    <w:p>
      <w:pPr>
        <w:ind w:left="480" w:right="20" w:hanging="270"/>
        <w:spacing w:after="0" w:line="258" w:lineRule="auto"/>
        <w:tabs>
          <w:tab w:leader="none" w:pos="485"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Provide strong oversight and regular evaluation of compensation programs, taking into account shareholder feedback and market practices</w:t>
      </w:r>
    </w:p>
    <w:p>
      <w:pPr>
        <w:spacing w:after="0" w:line="34"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Maintain robust stock ownership requirements</w:t>
      </w:r>
    </w:p>
    <w:p>
      <w:pPr>
        <w:spacing w:after="0" w:line="63"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6"/>
          <w:szCs w:val="16"/>
          <w:color w:val="auto"/>
        </w:rPr>
      </w:pPr>
      <w:r>
        <w:rPr>
          <w:rFonts w:ascii="Arial" w:cs="Arial" w:eastAsia="Arial" w:hAnsi="Arial"/>
          <w:sz w:val="16"/>
          <w:szCs w:val="16"/>
          <w:color w:val="auto"/>
        </w:rPr>
        <w:t>Include double-trigger vesting in the event of a change in control</w:t>
      </w:r>
    </w:p>
    <w:p>
      <w:pPr>
        <w:spacing w:after="0" w:line="86" w:lineRule="exact"/>
        <w:rPr>
          <w:rFonts w:ascii="MS PGothic" w:cs="MS PGothic" w:eastAsia="MS PGothic" w:hAnsi="MS PGothic"/>
          <w:sz w:val="16"/>
          <w:szCs w:val="16"/>
          <w:color w:val="auto"/>
        </w:rPr>
      </w:pPr>
    </w:p>
    <w:p>
      <w:pPr>
        <w:ind w:left="480" w:right="220" w:hanging="270"/>
        <w:spacing w:after="0" w:line="262" w:lineRule="auto"/>
        <w:tabs>
          <w:tab w:leader="none" w:pos="475"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Adhere to an incentive compensation recoupment “clawback” policy</w:t>
      </w:r>
    </w:p>
    <w:p>
      <w:pPr>
        <w:spacing w:after="0" w:line="34" w:lineRule="exact"/>
        <w:rPr>
          <w:rFonts w:ascii="MS PGothic" w:cs="MS PGothic" w:eastAsia="MS PGothic" w:hAnsi="MS PGothic"/>
          <w:sz w:val="18"/>
          <w:szCs w:val="18"/>
          <w:color w:val="auto"/>
        </w:rPr>
      </w:pPr>
    </w:p>
    <w:p>
      <w:pPr>
        <w:ind w:left="480" w:right="60" w:hanging="270"/>
        <w:spacing w:after="0" w:line="262" w:lineRule="auto"/>
        <w:tabs>
          <w:tab w:leader="none" w:pos="485"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Maintain anti-hedging and anti-pledging policies with respect to company stock</w:t>
      </w:r>
    </w:p>
    <w:p>
      <w:pPr>
        <w:spacing w:after="0" w:line="34"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Offer market-competitive benefits</w:t>
      </w:r>
    </w:p>
    <w:p>
      <w:pPr>
        <w:spacing w:after="0" w:line="63" w:lineRule="exact"/>
        <w:rPr>
          <w:rFonts w:ascii="MS PGothic" w:cs="MS PGothic" w:eastAsia="MS PGothic" w:hAnsi="MS PGothic"/>
          <w:sz w:val="18"/>
          <w:szCs w:val="18"/>
          <w:color w:val="auto"/>
        </w:rPr>
      </w:pPr>
    </w:p>
    <w:p>
      <w:pPr>
        <w:ind w:left="480" w:hanging="270"/>
        <w:spacing w:after="0"/>
        <w:tabs>
          <w:tab w:leader="none" w:pos="480" w:val="left"/>
        </w:tabs>
        <w:numPr>
          <w:ilvl w:val="0"/>
          <w:numId w:val="37"/>
        </w:numPr>
        <w:rPr>
          <w:rFonts w:ascii="MS PGothic" w:cs="MS PGothic" w:eastAsia="MS PGothic" w:hAnsi="MS PGothic"/>
          <w:sz w:val="18"/>
          <w:szCs w:val="18"/>
          <w:color w:val="auto"/>
        </w:rPr>
      </w:pPr>
      <w:r>
        <w:rPr>
          <w:rFonts w:ascii="Arial" w:cs="Arial" w:eastAsia="Arial" w:hAnsi="Arial"/>
          <w:sz w:val="18"/>
          <w:szCs w:val="18"/>
          <w:color w:val="auto"/>
        </w:rPr>
        <w:t>Consult with an independent advisor on pay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-2385060</wp:posOffset>
            </wp:positionV>
            <wp:extent cx="3377565" cy="1714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3377565" cy="17145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-2042160</wp:posOffset>
            </wp:positionV>
            <wp:extent cx="3377565" cy="1714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3377565" cy="17145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-1699260</wp:posOffset>
            </wp:positionV>
            <wp:extent cx="3377565" cy="44577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3377565" cy="44577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-1082040</wp:posOffset>
            </wp:positionV>
            <wp:extent cx="3377565" cy="1714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3377565" cy="17145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-601980</wp:posOffset>
            </wp:positionV>
            <wp:extent cx="3377565" cy="30861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3377565" cy="30861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-121920</wp:posOffset>
            </wp:positionV>
            <wp:extent cx="3377565" cy="1714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3377565" cy="1714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380"/>
        <w:spacing w:after="0"/>
        <w:rPr>
          <w:sz w:val="20"/>
          <w:szCs w:val="20"/>
          <w:color w:val="auto"/>
        </w:rPr>
      </w:pPr>
      <w:r>
        <w:rPr>
          <w:rFonts w:ascii="Arial" w:cs="Arial" w:eastAsia="Arial" w:hAnsi="Arial"/>
          <w:sz w:val="18"/>
          <w:szCs w:val="18"/>
          <w:b w:val="1"/>
          <w:bCs w:val="1"/>
          <w:color w:val="auto"/>
        </w:rPr>
        <w:t>What we don’t do</w:t>
      </w:r>
    </w:p>
    <w:p>
      <w:pPr>
        <w:spacing w:after="0" w:line="67" w:lineRule="exact"/>
        <w:rPr>
          <w:sz w:val="20"/>
          <w:szCs w:val="20"/>
          <w:color w:val="auto"/>
        </w:rPr>
      </w:pPr>
    </w:p>
    <w:p>
      <w:pPr>
        <w:ind w:left="640" w:hanging="259"/>
        <w:spacing w:after="0"/>
        <w:tabs>
          <w:tab w:leader="none" w:pos="640" w:val="left"/>
        </w:tabs>
        <w:numPr>
          <w:ilvl w:val="0"/>
          <w:numId w:val="38"/>
        </w:numPr>
        <w:rPr>
          <w:rFonts w:ascii="Arial" w:cs="Arial" w:eastAsia="Arial" w:hAnsi="Arial"/>
          <w:sz w:val="18"/>
          <w:szCs w:val="18"/>
          <w:b w:val="1"/>
          <w:bCs w:val="1"/>
          <w:color w:val="auto"/>
        </w:rPr>
      </w:pPr>
      <w:r>
        <w:rPr>
          <w:rFonts w:ascii="Arial" w:cs="Arial" w:eastAsia="Arial" w:hAnsi="Arial"/>
          <w:sz w:val="18"/>
          <w:szCs w:val="18"/>
          <w:color w:val="auto"/>
        </w:rPr>
        <w:t>Provide excise tax gross-ups</w:t>
      </w:r>
    </w:p>
    <w:p>
      <w:pPr>
        <w:spacing w:after="0" w:line="63" w:lineRule="exact"/>
        <w:rPr>
          <w:rFonts w:ascii="Arial" w:cs="Arial" w:eastAsia="Arial" w:hAnsi="Arial"/>
          <w:sz w:val="18"/>
          <w:szCs w:val="18"/>
          <w:b w:val="1"/>
          <w:bCs w:val="1"/>
          <w:color w:val="auto"/>
        </w:rPr>
      </w:pPr>
    </w:p>
    <w:p>
      <w:pPr>
        <w:ind w:left="640" w:hanging="259"/>
        <w:spacing w:after="0"/>
        <w:tabs>
          <w:tab w:leader="none" w:pos="640" w:val="left"/>
        </w:tabs>
        <w:numPr>
          <w:ilvl w:val="0"/>
          <w:numId w:val="38"/>
        </w:numPr>
        <w:rPr>
          <w:rFonts w:ascii="Arial" w:cs="Arial" w:eastAsia="Arial" w:hAnsi="Arial"/>
          <w:sz w:val="18"/>
          <w:szCs w:val="18"/>
          <w:b w:val="1"/>
          <w:bCs w:val="1"/>
          <w:color w:val="auto"/>
        </w:rPr>
      </w:pPr>
      <w:r>
        <w:rPr>
          <w:rFonts w:ascii="Arial" w:cs="Arial" w:eastAsia="Arial" w:hAnsi="Arial"/>
          <w:sz w:val="18"/>
          <w:szCs w:val="18"/>
          <w:color w:val="auto"/>
        </w:rPr>
        <w:t>Re-price stock options</w:t>
      </w:r>
    </w:p>
    <w:p>
      <w:pPr>
        <w:spacing w:after="0" w:line="63" w:lineRule="exact"/>
        <w:rPr>
          <w:rFonts w:ascii="Arial" w:cs="Arial" w:eastAsia="Arial" w:hAnsi="Arial"/>
          <w:sz w:val="18"/>
          <w:szCs w:val="18"/>
          <w:b w:val="1"/>
          <w:bCs w:val="1"/>
          <w:color w:val="auto"/>
        </w:rPr>
      </w:pPr>
    </w:p>
    <w:p>
      <w:pPr>
        <w:ind w:left="640" w:hanging="259"/>
        <w:spacing w:after="0"/>
        <w:tabs>
          <w:tab w:leader="none" w:pos="640" w:val="left"/>
        </w:tabs>
        <w:numPr>
          <w:ilvl w:val="0"/>
          <w:numId w:val="38"/>
        </w:numPr>
        <w:rPr>
          <w:rFonts w:ascii="Arial" w:cs="Arial" w:eastAsia="Arial" w:hAnsi="Arial"/>
          <w:sz w:val="18"/>
          <w:szCs w:val="18"/>
          <w:b w:val="1"/>
          <w:bCs w:val="1"/>
          <w:color w:val="auto"/>
        </w:rPr>
      </w:pPr>
      <w:r>
        <w:rPr>
          <w:rFonts w:ascii="Arial" w:cs="Arial" w:eastAsia="Arial" w:hAnsi="Arial"/>
          <w:sz w:val="18"/>
          <w:szCs w:val="18"/>
          <w:color w:val="auto"/>
        </w:rPr>
        <w:t>Pay current dividends on any restricted stock units</w:t>
      </w:r>
    </w:p>
    <w:p>
      <w:pPr>
        <w:spacing w:after="0" w:line="63" w:lineRule="exact"/>
        <w:rPr>
          <w:rFonts w:ascii="Arial" w:cs="Arial" w:eastAsia="Arial" w:hAnsi="Arial"/>
          <w:sz w:val="18"/>
          <w:szCs w:val="18"/>
          <w:b w:val="1"/>
          <w:bCs w:val="1"/>
          <w:color w:val="auto"/>
        </w:rPr>
      </w:pPr>
    </w:p>
    <w:p>
      <w:pPr>
        <w:ind w:left="640" w:hanging="259"/>
        <w:spacing w:after="0"/>
        <w:tabs>
          <w:tab w:leader="none" w:pos="640" w:val="left"/>
        </w:tabs>
        <w:numPr>
          <w:ilvl w:val="0"/>
          <w:numId w:val="38"/>
        </w:numPr>
        <w:rPr>
          <w:rFonts w:ascii="Arial" w:cs="Arial" w:eastAsia="Arial" w:hAnsi="Arial"/>
          <w:sz w:val="18"/>
          <w:szCs w:val="18"/>
          <w:b w:val="1"/>
          <w:bCs w:val="1"/>
          <w:color w:val="auto"/>
        </w:rPr>
      </w:pPr>
      <w:r>
        <w:rPr>
          <w:rFonts w:ascii="Arial" w:cs="Arial" w:eastAsia="Arial" w:hAnsi="Arial"/>
          <w:sz w:val="18"/>
          <w:szCs w:val="18"/>
          <w:color w:val="auto"/>
        </w:rPr>
        <w:t>Provide excessive perquisites</w:t>
      </w:r>
    </w:p>
    <w:p>
      <w:pPr>
        <w:spacing w:after="0" w:line="63" w:lineRule="exact"/>
        <w:rPr>
          <w:rFonts w:ascii="Arial" w:cs="Arial" w:eastAsia="Arial" w:hAnsi="Arial"/>
          <w:sz w:val="18"/>
          <w:szCs w:val="18"/>
          <w:b w:val="1"/>
          <w:bCs w:val="1"/>
          <w:color w:val="auto"/>
        </w:rPr>
      </w:pPr>
    </w:p>
    <w:p>
      <w:pPr>
        <w:ind w:left="660" w:right="360" w:hanging="279"/>
        <w:spacing w:after="0" w:line="277" w:lineRule="auto"/>
        <w:tabs>
          <w:tab w:leader="none" w:pos="652" w:val="left"/>
        </w:tabs>
        <w:numPr>
          <w:ilvl w:val="0"/>
          <w:numId w:val="38"/>
        </w:numPr>
        <w:rPr>
          <w:rFonts w:ascii="Arial" w:cs="Arial" w:eastAsia="Arial" w:hAnsi="Arial"/>
          <w:sz w:val="18"/>
          <w:szCs w:val="18"/>
          <w:b w:val="1"/>
          <w:bCs w:val="1"/>
          <w:color w:val="auto"/>
        </w:rPr>
      </w:pPr>
      <w:r>
        <w:rPr>
          <w:rFonts w:ascii="Arial" w:cs="Arial" w:eastAsia="Arial" w:hAnsi="Arial"/>
          <w:sz w:val="18"/>
          <w:szCs w:val="18"/>
          <w:color w:val="auto"/>
        </w:rPr>
        <w:t>Reward executives without a link to performance or creation of shareholder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173355</wp:posOffset>
            </wp:positionH>
            <wp:positionV relativeFrom="paragraph">
              <wp:posOffset>-979170</wp:posOffset>
            </wp:positionV>
            <wp:extent cx="3377565" cy="1714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3377565" cy="171450"/>
                    </a:xfrm>
                    <a:prstGeom prst="rect">
                      <a:avLst/>
                    </a:prstGeom>
                    <a:noFill/>
                  </pic:spPr>
                </pic:pic>
              </a:graphicData>
            </a:graphic>
          </wp:anchor>
        </w:drawing>
        <w:drawing>
          <wp:anchor simplePos="0" relativeHeight="251657728" behindDoc="1" locked="0" layoutInCell="0" allowOverlap="1">
            <wp:simplePos x="0" y="0"/>
            <wp:positionH relativeFrom="column">
              <wp:posOffset>173355</wp:posOffset>
            </wp:positionH>
            <wp:positionV relativeFrom="paragraph">
              <wp:posOffset>-636270</wp:posOffset>
            </wp:positionV>
            <wp:extent cx="3377565" cy="1714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3377565" cy="171450"/>
                    </a:xfrm>
                    <a:prstGeom prst="rect">
                      <a:avLst/>
                    </a:prstGeom>
                    <a:noFill/>
                  </pic:spPr>
                </pic:pic>
              </a:graphicData>
            </a:graphic>
          </wp:anchor>
        </w:drawing>
        <w:drawing>
          <wp:anchor simplePos="0" relativeHeight="251657728" behindDoc="1" locked="0" layoutInCell="0" allowOverlap="1">
            <wp:simplePos x="0" y="0"/>
            <wp:positionH relativeFrom="column">
              <wp:posOffset>173355</wp:posOffset>
            </wp:positionH>
            <wp:positionV relativeFrom="paragraph">
              <wp:posOffset>-293370</wp:posOffset>
            </wp:positionV>
            <wp:extent cx="3377565" cy="4457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3377565" cy="445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40</w:t>
      </w:r>
    </w:p>
    <w:p>
      <w:pPr>
        <w:sectPr>
          <w:pgSz w:w="11900" w:h="16838" w:orient="portrait"/>
          <w:cols w:equalWidth="0" w:num="2">
            <w:col w:w="5160" w:space="380"/>
            <w:col w:w="5560"/>
          </w:cols>
          <w:pgMar w:left="320" w:top="459" w:right="479" w:bottom="1440" w:gutter="0" w:footer="0" w:header="0"/>
          <w:type w:val="continuous"/>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Our compensation philosophy</w:t>
      </w:r>
    </w:p>
    <w:p>
      <w:pPr>
        <w:spacing w:after="0" w:line="234"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At TimkenSteel, our executive compensation program is designed to align our executives’ interests with those of our shareholders, to reward leaders for strong business results, and to attract, retain and motivate the best talent in the industry.</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Our executive compensation philosophy embodies the following principles:</w:t>
      </w:r>
    </w:p>
    <w:p>
      <w:pPr>
        <w:spacing w:after="0" w:line="225" w:lineRule="exact"/>
        <w:rPr>
          <w:sz w:val="20"/>
          <w:szCs w:val="20"/>
          <w:color w:val="auto"/>
        </w:rPr>
      </w:pPr>
    </w:p>
    <w:p>
      <w:pPr>
        <w:ind w:left="880" w:hanging="548"/>
        <w:spacing w:after="0"/>
        <w:tabs>
          <w:tab w:leader="none" w:pos="880"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Recognizes people are our strongest asset</w:t>
      </w:r>
    </w:p>
    <w:p>
      <w:pPr>
        <w:spacing w:after="0" w:line="225" w:lineRule="exact"/>
        <w:rPr>
          <w:rFonts w:ascii="MS PGothic" w:cs="MS PGothic" w:eastAsia="MS PGothic" w:hAnsi="MS PGothic"/>
          <w:sz w:val="18"/>
          <w:szCs w:val="18"/>
          <w:color w:val="auto"/>
        </w:rPr>
      </w:pPr>
    </w:p>
    <w:p>
      <w:pPr>
        <w:ind w:left="880" w:hanging="548"/>
        <w:spacing w:after="0"/>
        <w:tabs>
          <w:tab w:leader="none" w:pos="880"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Rewards results linked to short- and long-term performance (pay-for-performance)</w:t>
      </w:r>
    </w:p>
    <w:p>
      <w:pPr>
        <w:spacing w:after="0" w:line="225" w:lineRule="exact"/>
        <w:rPr>
          <w:rFonts w:ascii="MS PGothic" w:cs="MS PGothic" w:eastAsia="MS PGothic" w:hAnsi="MS PGothic"/>
          <w:sz w:val="18"/>
          <w:szCs w:val="18"/>
          <w:color w:val="auto"/>
        </w:rPr>
      </w:pPr>
    </w:p>
    <w:p>
      <w:pPr>
        <w:ind w:left="880" w:hanging="548"/>
        <w:spacing w:after="0"/>
        <w:tabs>
          <w:tab w:leader="none" w:pos="880"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Positions pay affordably and competitively in the marketplace</w:t>
      </w:r>
    </w:p>
    <w:p>
      <w:pPr>
        <w:spacing w:after="0" w:line="225" w:lineRule="exact"/>
        <w:rPr>
          <w:rFonts w:ascii="MS PGothic" w:cs="MS PGothic" w:eastAsia="MS PGothic" w:hAnsi="MS PGothic"/>
          <w:sz w:val="18"/>
          <w:szCs w:val="18"/>
          <w:color w:val="auto"/>
        </w:rPr>
      </w:pPr>
    </w:p>
    <w:p>
      <w:pPr>
        <w:ind w:left="880" w:hanging="548"/>
        <w:spacing w:after="0"/>
        <w:tabs>
          <w:tab w:leader="none" w:pos="880"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Drives a focus on increasing shareholder value</w:t>
      </w:r>
    </w:p>
    <w:p>
      <w:pPr>
        <w:sectPr>
          <w:pgSz w:w="11900" w:h="16838" w:orient="portrait"/>
          <w:cols w:equalWidth="0" w:num="1">
            <w:col w:w="11060"/>
          </w:cols>
          <w:pgMar w:left="320" w:top="459" w:right="519" w:bottom="1440" w:gutter="0" w:footer="0" w:header="0"/>
        </w:sectPr>
      </w:pPr>
    </w:p>
    <w:p>
      <w:pPr>
        <w:spacing w:after="0" w:line="19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Rewarding performance</w:t>
      </w:r>
    </w:p>
    <w:p>
      <w:pPr>
        <w:spacing w:after="0" w:line="131" w:lineRule="exact"/>
        <w:rPr>
          <w:sz w:val="20"/>
          <w:szCs w:val="20"/>
          <w:color w:val="auto"/>
        </w:rPr>
      </w:pPr>
    </w:p>
    <w:p>
      <w:pPr>
        <w:ind w:left="120"/>
        <w:spacing w:after="0" w:line="259" w:lineRule="auto"/>
        <w:rPr>
          <w:sz w:val="20"/>
          <w:szCs w:val="20"/>
          <w:color w:val="auto"/>
        </w:rPr>
      </w:pPr>
      <w:r>
        <w:rPr>
          <w:rFonts w:ascii="Arial" w:cs="Arial" w:eastAsia="Arial" w:hAnsi="Arial"/>
          <w:sz w:val="18"/>
          <w:szCs w:val="18"/>
          <w:color w:val="auto"/>
        </w:rPr>
        <w:t>TimkenSteel’s success depends largely on the contributions by motivated, focused and energized people working together to achieve our strategic objectives. This understanding shapes our approach to providing a competitive total rewards package to our CEO and the other NEOs.</w:t>
      </w:r>
    </w:p>
    <w:p>
      <w:pPr>
        <w:spacing w:after="0" w:line="187" w:lineRule="exact"/>
        <w:rPr>
          <w:sz w:val="20"/>
          <w:szCs w:val="20"/>
          <w:color w:val="auto"/>
        </w:rPr>
      </w:pPr>
    </w:p>
    <w:p>
      <w:pPr>
        <w:ind w:left="120" w:right="80"/>
        <w:spacing w:after="0" w:line="279" w:lineRule="auto"/>
        <w:rPr>
          <w:sz w:val="20"/>
          <w:szCs w:val="20"/>
          <w:color w:val="auto"/>
        </w:rPr>
      </w:pPr>
      <w:r>
        <w:rPr>
          <w:rFonts w:ascii="Arial" w:cs="Arial" w:eastAsia="Arial" w:hAnsi="Arial"/>
          <w:sz w:val="17"/>
          <w:szCs w:val="17"/>
          <w:color w:val="auto"/>
        </w:rPr>
        <w:t>As noted above, pay-for-performance is one of the four principles of our executive compensation philosophy. To ensure we are adhering to this principle, we regularly evaluate our incentive compensation plans to ensure that the opportunities and metrics drive desired business results, including for 2021:</w:t>
      </w:r>
    </w:p>
    <w:p>
      <w:pPr>
        <w:spacing w:after="0" w:line="171" w:lineRule="exact"/>
        <w:rPr>
          <w:sz w:val="20"/>
          <w:szCs w:val="20"/>
          <w:color w:val="auto"/>
        </w:rPr>
      </w:pPr>
    </w:p>
    <w:p>
      <w:pPr>
        <w:ind w:left="740" w:hanging="300"/>
        <w:spacing w:after="0"/>
        <w:tabs>
          <w:tab w:leader="none" w:pos="74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Adjusted EBITDA;</w:t>
      </w:r>
    </w:p>
    <w:p>
      <w:pPr>
        <w:spacing w:after="0" w:line="23" w:lineRule="exact"/>
        <w:rPr>
          <w:rFonts w:ascii="Arial" w:cs="Arial" w:eastAsia="Arial" w:hAnsi="Arial"/>
          <w:sz w:val="18"/>
          <w:szCs w:val="18"/>
          <w:color w:val="auto"/>
        </w:rPr>
      </w:pPr>
    </w:p>
    <w:p>
      <w:pPr>
        <w:ind w:left="740" w:hanging="300"/>
        <w:spacing w:after="0"/>
        <w:tabs>
          <w:tab w:leader="none" w:pos="74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Adjusted operating cash flow;</w:t>
      </w:r>
    </w:p>
    <w:p>
      <w:pPr>
        <w:spacing w:after="0" w:line="9" w:lineRule="exact"/>
        <w:rPr>
          <w:rFonts w:ascii="Arial" w:cs="Arial" w:eastAsia="Arial" w:hAnsi="Arial"/>
          <w:sz w:val="18"/>
          <w:szCs w:val="18"/>
          <w:color w:val="auto"/>
        </w:rPr>
      </w:pPr>
    </w:p>
    <w:p>
      <w:pPr>
        <w:ind w:left="760" w:hanging="320"/>
        <w:spacing w:after="0"/>
        <w:tabs>
          <w:tab w:leader="none" w:pos="7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Safety; and</w:t>
      </w:r>
    </w:p>
    <w:p>
      <w:pPr>
        <w:spacing w:after="0" w:line="9" w:lineRule="exact"/>
        <w:rPr>
          <w:rFonts w:ascii="Arial" w:cs="Arial" w:eastAsia="Arial" w:hAnsi="Arial"/>
          <w:sz w:val="18"/>
          <w:szCs w:val="18"/>
          <w:color w:val="auto"/>
        </w:rPr>
      </w:pPr>
    </w:p>
    <w:p>
      <w:pPr>
        <w:ind w:left="760" w:hanging="320"/>
        <w:spacing w:after="0"/>
        <w:tabs>
          <w:tab w:leader="none" w:pos="7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Relative total shareholder return.</w:t>
      </w:r>
    </w:p>
    <w:p>
      <w:pPr>
        <w:spacing w:after="0" w:line="211" w:lineRule="exact"/>
        <w:rPr>
          <w:sz w:val="20"/>
          <w:szCs w:val="20"/>
          <w:color w:val="auto"/>
        </w:rPr>
      </w:pPr>
    </w:p>
    <w:p>
      <w:pPr>
        <w:ind w:left="120" w:right="200"/>
        <w:spacing w:after="0" w:line="259" w:lineRule="auto"/>
        <w:rPr>
          <w:sz w:val="20"/>
          <w:szCs w:val="20"/>
          <w:color w:val="auto"/>
        </w:rPr>
      </w:pPr>
      <w:r>
        <w:rPr>
          <w:rFonts w:ascii="Arial" w:cs="Arial" w:eastAsia="Arial" w:hAnsi="Arial"/>
          <w:sz w:val="18"/>
          <w:szCs w:val="18"/>
          <w:color w:val="auto"/>
        </w:rPr>
        <w:t>The Compensation Committee uses a comprehensive process to assess company performance. We believe the metrics used in our incentive compensation plans focus management on the appropriate objectives for creating both short- and long-term shareholder value.</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6"/>
          <w:szCs w:val="16"/>
          <w:color w:val="auto"/>
        </w:rPr>
        <w:t>As had been contemplated, the compensation structure approved by the Compensation</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Committee for Mr. Williams as the company’s new President and CEO as of</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6"/>
          <w:szCs w:val="16"/>
          <w:color w:val="auto"/>
        </w:rPr>
        <w:t>January 1, 2021, is weighted significantly towards variable compensation, with greater</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than 75 percent of his target total direct compensation designed to be at risk. Variable</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pay comprised between 57 percent and 68 percent of the target total direct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compensation for the other NEOs.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
        <w:spacing w:after="0"/>
        <w:rPr>
          <w:sz w:val="20"/>
          <w:szCs w:val="20"/>
          <w:color w:val="auto"/>
        </w:rPr>
      </w:pPr>
      <w:r>
        <w:rPr>
          <w:rFonts w:ascii="Arial" w:cs="Arial" w:eastAsia="Arial" w:hAnsi="Arial"/>
          <w:sz w:val="17"/>
          <w:szCs w:val="17"/>
          <w:b w:val="1"/>
          <w:bCs w:val="1"/>
          <w:color w:val="auto"/>
        </w:rPr>
        <w:t>The company’s approach to rewarding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wp:posOffset>
            </wp:positionH>
            <wp:positionV relativeFrom="paragraph">
              <wp:posOffset>-429260</wp:posOffset>
            </wp:positionV>
            <wp:extent cx="2794635" cy="374586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2794635" cy="3745865"/>
                    </a:xfrm>
                    <a:prstGeom prst="rect">
                      <a:avLst/>
                    </a:prstGeom>
                    <a:noFill/>
                  </pic:spPr>
                </pic:pic>
              </a:graphicData>
            </a:graphic>
          </wp:anchor>
        </w:drawing>
      </w:r>
    </w:p>
    <w:p>
      <w:pPr>
        <w:spacing w:after="0" w:line="221" w:lineRule="exact"/>
        <w:rPr>
          <w:sz w:val="20"/>
          <w:szCs w:val="20"/>
          <w:color w:val="auto"/>
        </w:rPr>
      </w:pPr>
    </w:p>
    <w:p>
      <w:pPr>
        <w:ind w:left="1"/>
        <w:spacing w:after="0"/>
        <w:rPr>
          <w:sz w:val="20"/>
          <w:szCs w:val="20"/>
          <w:color w:val="auto"/>
        </w:rPr>
      </w:pPr>
      <w:r>
        <w:rPr>
          <w:rFonts w:ascii="Arial" w:cs="Arial" w:eastAsia="Arial" w:hAnsi="Arial"/>
          <w:sz w:val="18"/>
          <w:szCs w:val="18"/>
          <w:i w:val="1"/>
          <w:iCs w:val="1"/>
          <w:color w:val="auto"/>
        </w:rPr>
        <w:t>Annual incentive</w:t>
      </w:r>
    </w:p>
    <w:p>
      <w:pPr>
        <w:spacing w:after="0" w:line="90" w:lineRule="exact"/>
        <w:rPr>
          <w:sz w:val="20"/>
          <w:szCs w:val="20"/>
          <w:color w:val="auto"/>
        </w:rPr>
      </w:pPr>
    </w:p>
    <w:p>
      <w:pPr>
        <w:ind w:left="321" w:right="340" w:hanging="321"/>
        <w:spacing w:after="0" w:line="277" w:lineRule="auto"/>
        <w:tabs>
          <w:tab w:leader="none" w:pos="341" w:val="left"/>
        </w:tabs>
        <w:numPr>
          <w:ilvl w:val="0"/>
          <w:numId w:val="41"/>
        </w:numPr>
        <w:rPr>
          <w:rFonts w:ascii="Arial" w:cs="Arial" w:eastAsia="Arial" w:hAnsi="Arial"/>
          <w:sz w:val="18"/>
          <w:szCs w:val="18"/>
          <w:color w:val="auto"/>
        </w:rPr>
      </w:pPr>
      <w:r>
        <w:rPr>
          <w:rFonts w:ascii="Arial" w:cs="Arial" w:eastAsia="Arial" w:hAnsi="Arial"/>
          <w:sz w:val="18"/>
          <w:szCs w:val="18"/>
          <w:color w:val="auto"/>
        </w:rPr>
        <w:t>Reward achievement of short-term corporate and individual performance goals</w:t>
      </w:r>
    </w:p>
    <w:p>
      <w:pPr>
        <w:spacing w:after="0" w:line="170" w:lineRule="exact"/>
        <w:rPr>
          <w:sz w:val="20"/>
          <w:szCs w:val="20"/>
          <w:color w:val="auto"/>
        </w:rPr>
      </w:pPr>
    </w:p>
    <w:p>
      <w:pPr>
        <w:ind w:left="1"/>
        <w:spacing w:after="0"/>
        <w:rPr>
          <w:sz w:val="20"/>
          <w:szCs w:val="20"/>
          <w:color w:val="auto"/>
        </w:rPr>
      </w:pPr>
      <w:r>
        <w:rPr>
          <w:rFonts w:ascii="Arial" w:cs="Arial" w:eastAsia="Arial" w:hAnsi="Arial"/>
          <w:sz w:val="18"/>
          <w:szCs w:val="18"/>
          <w:i w:val="1"/>
          <w:iCs w:val="1"/>
          <w:color w:val="auto"/>
        </w:rPr>
        <w:t>Restricted stock units</w:t>
      </w:r>
    </w:p>
    <w:p>
      <w:pPr>
        <w:spacing w:after="0" w:line="90" w:lineRule="exact"/>
        <w:rPr>
          <w:sz w:val="20"/>
          <w:szCs w:val="20"/>
          <w:color w:val="auto"/>
        </w:rPr>
      </w:pPr>
    </w:p>
    <w:p>
      <w:pPr>
        <w:ind w:left="341" w:hanging="341"/>
        <w:spacing w:after="0"/>
        <w:tabs>
          <w:tab w:leader="none" w:pos="341"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Reward long-term value creation</w:t>
      </w:r>
    </w:p>
    <w:p>
      <w:pPr>
        <w:spacing w:after="0" w:line="90" w:lineRule="exact"/>
        <w:rPr>
          <w:rFonts w:ascii="Arial" w:cs="Arial" w:eastAsia="Arial" w:hAnsi="Arial"/>
          <w:sz w:val="18"/>
          <w:szCs w:val="18"/>
          <w:color w:val="auto"/>
        </w:rPr>
      </w:pPr>
    </w:p>
    <w:p>
      <w:pPr>
        <w:ind w:left="341" w:hanging="341"/>
        <w:spacing w:after="0"/>
        <w:tabs>
          <w:tab w:leader="none" w:pos="341"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Reinforce ownership in the company</w:t>
      </w:r>
    </w:p>
    <w:p>
      <w:pPr>
        <w:spacing w:after="0" w:line="90" w:lineRule="exact"/>
        <w:rPr>
          <w:rFonts w:ascii="Arial" w:cs="Arial" w:eastAsia="Arial" w:hAnsi="Arial"/>
          <w:sz w:val="18"/>
          <w:szCs w:val="18"/>
          <w:color w:val="auto"/>
        </w:rPr>
      </w:pPr>
    </w:p>
    <w:p>
      <w:pPr>
        <w:ind w:left="341" w:hanging="341"/>
        <w:spacing w:after="0"/>
        <w:tabs>
          <w:tab w:leader="none" w:pos="341" w:val="left"/>
        </w:tabs>
        <w:numPr>
          <w:ilvl w:val="0"/>
          <w:numId w:val="42"/>
        </w:numPr>
        <w:rPr>
          <w:rFonts w:ascii="Arial" w:cs="Arial" w:eastAsia="Arial" w:hAnsi="Arial"/>
          <w:sz w:val="18"/>
          <w:szCs w:val="18"/>
          <w:color w:val="auto"/>
        </w:rPr>
      </w:pPr>
      <w:r>
        <w:rPr>
          <w:rFonts w:ascii="Arial" w:cs="Arial" w:eastAsia="Arial" w:hAnsi="Arial"/>
          <w:sz w:val="18"/>
          <w:szCs w:val="18"/>
          <w:color w:val="auto"/>
        </w:rPr>
        <w:t>Support retention of executives</w:t>
      </w:r>
    </w:p>
    <w:p>
      <w:pPr>
        <w:spacing w:after="0" w:line="225" w:lineRule="exact"/>
        <w:rPr>
          <w:sz w:val="20"/>
          <w:szCs w:val="20"/>
          <w:color w:val="auto"/>
        </w:rPr>
      </w:pPr>
    </w:p>
    <w:p>
      <w:pPr>
        <w:ind w:left="1"/>
        <w:spacing w:after="0"/>
        <w:rPr>
          <w:sz w:val="20"/>
          <w:szCs w:val="20"/>
          <w:color w:val="auto"/>
        </w:rPr>
      </w:pPr>
      <w:r>
        <w:rPr>
          <w:rFonts w:ascii="Arial" w:cs="Arial" w:eastAsia="Arial" w:hAnsi="Arial"/>
          <w:sz w:val="18"/>
          <w:szCs w:val="18"/>
          <w:i w:val="1"/>
          <w:iCs w:val="1"/>
          <w:color w:val="auto"/>
        </w:rPr>
        <w:t>Performance shares</w:t>
      </w:r>
    </w:p>
    <w:p>
      <w:pPr>
        <w:spacing w:after="0" w:line="90" w:lineRule="exact"/>
        <w:rPr>
          <w:sz w:val="20"/>
          <w:szCs w:val="20"/>
          <w:color w:val="auto"/>
        </w:rPr>
      </w:pPr>
    </w:p>
    <w:p>
      <w:pPr>
        <w:ind w:left="321" w:right="220" w:hanging="321"/>
        <w:spacing w:after="0" w:line="263" w:lineRule="auto"/>
        <w:tabs>
          <w:tab w:leader="none" w:pos="341"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Reward achievement of long-term financial results that drive value creation, measured based on performance relative to our peers</w:t>
      </w:r>
    </w:p>
    <w:p>
      <w:pPr>
        <w:spacing w:after="0" w:line="48" w:lineRule="exact"/>
        <w:rPr>
          <w:rFonts w:ascii="Arial" w:cs="Arial" w:eastAsia="Arial" w:hAnsi="Arial"/>
          <w:sz w:val="18"/>
          <w:szCs w:val="18"/>
          <w:color w:val="auto"/>
        </w:rPr>
      </w:pPr>
    </w:p>
    <w:p>
      <w:pPr>
        <w:ind w:left="321" w:right="20" w:hanging="321"/>
        <w:spacing w:after="0" w:line="277" w:lineRule="auto"/>
        <w:tabs>
          <w:tab w:leader="none" w:pos="341" w:val="left"/>
        </w:tabs>
        <w:numPr>
          <w:ilvl w:val="0"/>
          <w:numId w:val="43"/>
        </w:numPr>
        <w:rPr>
          <w:rFonts w:ascii="Arial" w:cs="Arial" w:eastAsia="Arial" w:hAnsi="Arial"/>
          <w:sz w:val="18"/>
          <w:szCs w:val="18"/>
          <w:color w:val="auto"/>
        </w:rPr>
      </w:pPr>
      <w:r>
        <w:rPr>
          <w:rFonts w:ascii="Arial" w:cs="Arial" w:eastAsia="Arial" w:hAnsi="Arial"/>
          <w:sz w:val="18"/>
          <w:szCs w:val="18"/>
          <w:color w:val="auto"/>
        </w:rPr>
        <w:t>Link compensation to building long-term shareholder value</w:t>
      </w:r>
    </w:p>
    <w:p>
      <w:pPr>
        <w:spacing w:after="0" w:line="35" w:lineRule="exact"/>
        <w:rPr>
          <w:rFonts w:ascii="Arial" w:cs="Arial" w:eastAsia="Arial" w:hAnsi="Arial"/>
          <w:sz w:val="18"/>
          <w:szCs w:val="18"/>
          <w:color w:val="auto"/>
        </w:rPr>
      </w:pPr>
    </w:p>
    <w:p>
      <w:pPr>
        <w:ind w:left="341" w:hanging="341"/>
        <w:spacing w:after="0"/>
        <w:tabs>
          <w:tab w:leader="none" w:pos="341"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Reinforce ownership in the company</w:t>
      </w:r>
    </w:p>
    <w:p>
      <w:pPr>
        <w:spacing w:after="0" w:line="90" w:lineRule="exact"/>
        <w:rPr>
          <w:rFonts w:ascii="Arial" w:cs="Arial" w:eastAsia="Arial" w:hAnsi="Arial"/>
          <w:sz w:val="18"/>
          <w:szCs w:val="18"/>
          <w:color w:val="auto"/>
        </w:rPr>
      </w:pPr>
    </w:p>
    <w:p>
      <w:pPr>
        <w:ind w:left="341" w:hanging="341"/>
        <w:spacing w:after="0"/>
        <w:tabs>
          <w:tab w:leader="none" w:pos="341" w:val="left"/>
        </w:tabs>
        <w:numPr>
          <w:ilvl w:val="0"/>
          <w:numId w:val="43"/>
        </w:numPr>
        <w:rPr>
          <w:rFonts w:ascii="Arial" w:cs="Arial" w:eastAsia="Arial" w:hAnsi="Arial"/>
          <w:sz w:val="18"/>
          <w:szCs w:val="18"/>
          <w:color w:val="auto"/>
        </w:rPr>
      </w:pPr>
      <w:r>
        <w:rPr>
          <w:rFonts w:ascii="Arial" w:cs="Arial" w:eastAsia="Arial" w:hAnsi="Arial"/>
          <w:sz w:val="18"/>
          <w:szCs w:val="18"/>
          <w:color w:val="auto"/>
        </w:rPr>
        <w:t>Support executive retention</w:t>
      </w:r>
    </w:p>
    <w:p>
      <w:pPr>
        <w:spacing w:after="0" w:line="578" w:lineRule="exact"/>
        <w:rPr>
          <w:sz w:val="20"/>
          <w:szCs w:val="20"/>
          <w:color w:val="auto"/>
        </w:rPr>
      </w:pPr>
    </w:p>
    <w:p>
      <w:pPr>
        <w:sectPr>
          <w:pgSz w:w="11900" w:h="16838" w:orient="portrait"/>
          <w:cols w:equalWidth="0" w:num="2">
            <w:col w:w="6400" w:space="439"/>
            <w:col w:w="4221"/>
          </w:cols>
          <w:pgMar w:left="320" w:top="459" w:right="519" w:bottom="1440" w:gutter="0" w:footer="0" w:header="0"/>
          <w:type w:val="continuous"/>
        </w:sectPr>
      </w:pPr>
    </w:p>
    <w:p>
      <w:pPr>
        <w:spacing w:after="0" w:line="231" w:lineRule="exact"/>
        <w:rPr>
          <w:sz w:val="20"/>
          <w:szCs w:val="20"/>
          <w:color w:val="auto"/>
        </w:rPr>
      </w:pPr>
    </w:p>
    <w:p>
      <w:pPr>
        <w:jc w:val="center"/>
        <w:ind w:right="-179"/>
        <w:spacing w:after="0"/>
        <w:rPr>
          <w:sz w:val="20"/>
          <w:szCs w:val="20"/>
          <w:color w:val="auto"/>
        </w:rPr>
      </w:pPr>
      <w:r>
        <w:rPr>
          <w:rFonts w:ascii="Arial" w:cs="Arial" w:eastAsia="Arial" w:hAnsi="Arial"/>
          <w:sz w:val="14"/>
          <w:szCs w:val="14"/>
          <w:color w:val="auto"/>
        </w:rPr>
        <w:t>41</w:t>
      </w:r>
    </w:p>
    <w:p>
      <w:pPr>
        <w:sectPr>
          <w:pgSz w:w="11900" w:h="16838" w:orient="portrait"/>
          <w:cols w:equalWidth="0" w:num="1">
            <w:col w:w="11060"/>
          </w:cols>
          <w:pgMar w:left="320" w:top="459" w:right="519" w:bottom="1440" w:gutter="0" w:footer="0" w:header="0"/>
          <w:type w:val="continuous"/>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Determining compensation for 2021</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Role of the Compensation Committee: Deciding on compensation</w:t>
      </w:r>
    </w:p>
    <w:p>
      <w:pPr>
        <w:spacing w:after="0" w:line="131" w:lineRule="exact"/>
        <w:rPr>
          <w:sz w:val="20"/>
          <w:szCs w:val="20"/>
          <w:color w:val="auto"/>
        </w:rPr>
      </w:pPr>
    </w:p>
    <w:p>
      <w:pPr>
        <w:ind w:left="120" w:right="80"/>
        <w:spacing w:after="0" w:line="255" w:lineRule="auto"/>
        <w:rPr>
          <w:sz w:val="20"/>
          <w:szCs w:val="20"/>
          <w:color w:val="auto"/>
        </w:rPr>
      </w:pPr>
      <w:r>
        <w:rPr>
          <w:rFonts w:ascii="Arial" w:cs="Arial" w:eastAsia="Arial" w:hAnsi="Arial"/>
          <w:sz w:val="18"/>
          <w:szCs w:val="18"/>
          <w:color w:val="auto"/>
        </w:rPr>
        <w:t>The Compensation Committee determines the appropriate level of compensation for all executive officers, including the CEO and other NEOs. The Committee reviews all compensation components and determines whether each individual’s total compensation is reasonable and consistent with the company’s compensation philosophy. In making this determination, the Committee may consider: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right="240"/>
        <w:spacing w:after="0" w:line="259" w:lineRule="auto"/>
        <w:rPr>
          <w:sz w:val="20"/>
          <w:szCs w:val="20"/>
          <w:color w:val="auto"/>
        </w:rPr>
      </w:pPr>
      <w:r>
        <w:rPr>
          <w:rFonts w:ascii="Arial" w:cs="Arial" w:eastAsia="Arial" w:hAnsi="Arial"/>
          <w:sz w:val="18"/>
          <w:szCs w:val="18"/>
          <w:i w:val="1"/>
          <w:iCs w:val="1"/>
          <w:color w:val="auto"/>
        </w:rPr>
        <w:t>The Compensation Committee considers whether the company’s compensation programs encourage unnecessary or excessive risk-taking and has determined that they do not.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-711835</wp:posOffset>
            </wp:positionV>
            <wp:extent cx="3042920" cy="8655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3042920" cy="865505"/>
                    </a:xfrm>
                    <a:prstGeom prst="rect">
                      <a:avLst/>
                    </a:prstGeom>
                    <a:noFill/>
                  </pic:spPr>
                </pic:pic>
              </a:graphicData>
            </a:graphic>
          </wp:anchor>
        </w:drawing>
      </w:r>
    </w:p>
    <w:p>
      <w:pPr>
        <w:spacing w:after="0" w:line="348" w:lineRule="exact"/>
        <w:rPr>
          <w:sz w:val="20"/>
          <w:szCs w:val="20"/>
          <w:color w:val="auto"/>
        </w:rPr>
      </w:pPr>
    </w:p>
    <w:p>
      <w:pPr>
        <w:sectPr>
          <w:pgSz w:w="11900" w:h="16838" w:orient="portrait"/>
          <w:cols w:equalWidth="0" w:num="2">
            <w:col w:w="5880" w:space="720"/>
            <w:col w:w="4520"/>
          </w:cols>
          <w:pgMar w:left="320" w:top="459" w:right="459" w:bottom="1440" w:gutter="0" w:footer="0" w:header="0"/>
        </w:sectPr>
      </w:pPr>
    </w:p>
    <w:p>
      <w:pPr>
        <w:ind w:left="980" w:hanging="432"/>
        <w:spacing w:after="0"/>
        <w:tabs>
          <w:tab w:leader="none" w:pos="9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with respect to all NEOs other than the CEO, the CEO’s recommendations;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market data provided by the Committee’s independent compensation consultant;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additional factors such as the executive’s operating responsibilities, experience level, retention risk, tenure and performance in the position.</w:t>
      </w:r>
    </w:p>
    <w:p>
      <w:pPr>
        <w:spacing w:after="0" w:line="193" w:lineRule="exact"/>
        <w:rPr>
          <w:sz w:val="20"/>
          <w:szCs w:val="20"/>
          <w:color w:val="auto"/>
        </w:rPr>
      </w:pPr>
    </w:p>
    <w:p>
      <w:pPr>
        <w:ind w:left="120" w:right="60"/>
        <w:spacing w:after="0" w:line="301" w:lineRule="auto"/>
        <w:rPr>
          <w:sz w:val="20"/>
          <w:szCs w:val="20"/>
          <w:color w:val="auto"/>
        </w:rPr>
      </w:pPr>
      <w:r>
        <w:rPr>
          <w:rFonts w:ascii="Arial" w:cs="Arial" w:eastAsia="Arial" w:hAnsi="Arial"/>
          <w:sz w:val="16"/>
          <w:szCs w:val="16"/>
          <w:color w:val="auto"/>
        </w:rPr>
        <w:t>In light of these considerations, the Compensation Committee may make adjustments to a particular element of an executive’s compensation. The Committee then approves, with any modifications it deems appropriate, base salary ranges, target annual performance award opportunities and long-term incentive opportunities and grants for the company’s NEOs. With respect to the CEO, the Committee determines the compensation package for the CEO and then presents its recommendation to the independent members of the Board of Directors for approval during executive session.</w:t>
      </w:r>
    </w:p>
    <w:p>
      <w:pPr>
        <w:spacing w:after="0" w:line="117" w:lineRule="exact"/>
        <w:rPr>
          <w:sz w:val="20"/>
          <w:szCs w:val="20"/>
          <w:color w:val="auto"/>
        </w:rPr>
      </w:pPr>
    </w:p>
    <w:p>
      <w:pPr>
        <w:ind w:left="120" w:right="180"/>
        <w:spacing w:after="0" w:line="277" w:lineRule="auto"/>
        <w:rPr>
          <w:sz w:val="20"/>
          <w:szCs w:val="20"/>
          <w:color w:val="auto"/>
        </w:rPr>
      </w:pPr>
      <w:r>
        <w:rPr>
          <w:rFonts w:ascii="Arial" w:cs="Arial" w:eastAsia="Arial" w:hAnsi="Arial"/>
          <w:sz w:val="18"/>
          <w:szCs w:val="18"/>
          <w:color w:val="auto"/>
        </w:rPr>
        <w:t>The amount of past compensation realized or potentially realizable does not directly impact the level at which current and long-term pay opportunities are set, although the Compensation Committee does consider this information in its deliberations.</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Role of the CEO and management: Providing compensation recommendations</w:t>
      </w:r>
    </w:p>
    <w:p>
      <w:pPr>
        <w:spacing w:after="0" w:line="117"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color w:val="auto"/>
        </w:rPr>
        <w:t>The CEO, working with human resources leadership and the compensation consultant, prepares compensation recommendations for the NEOs (other than the CEO) and presents them to the Compensation Committee. These recommendations are based on:</w:t>
      </w:r>
    </w:p>
    <w:p>
      <w:pPr>
        <w:spacing w:after="0" w:line="76" w:lineRule="exact"/>
        <w:rPr>
          <w:sz w:val="20"/>
          <w:szCs w:val="20"/>
          <w:color w:val="auto"/>
        </w:rPr>
      </w:pPr>
    </w:p>
    <w:p>
      <w:pPr>
        <w:ind w:left="980" w:right="80" w:hanging="432"/>
        <w:spacing w:after="0" w:line="258" w:lineRule="auto"/>
        <w:tabs>
          <w:tab w:leader="none" w:pos="9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CEO’s personal review of the other NEOs’ performance, job responsibilities and importance to the company’s overall business strategy; and</w:t>
      </w:r>
    </w:p>
    <w:p>
      <w:pPr>
        <w:spacing w:after="0" w:line="1" w:lineRule="exact"/>
        <w:rPr>
          <w:rFonts w:ascii="Arial" w:cs="Arial" w:eastAsia="Arial" w:hAnsi="Arial"/>
          <w:sz w:val="18"/>
          <w:szCs w:val="18"/>
          <w:color w:val="auto"/>
        </w:rPr>
      </w:pPr>
    </w:p>
    <w:p>
      <w:pPr>
        <w:ind w:left="980" w:hanging="432"/>
        <w:spacing w:after="0"/>
        <w:tabs>
          <w:tab w:leader="none" w:pos="9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company’s compensation philosophy.</w:t>
      </w:r>
    </w:p>
    <w:p>
      <w:pPr>
        <w:spacing w:after="0" w:line="170"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In preparing compensation recommendations for the NEOs, the CEO and human resources leadership together consider market data for the key elements of NEO compensation and evaluate the total compensation package in relation to the target established for the position, taking into account the scope of responsibilities for the particular position. The CEO, human resources leadership and compensation consultant also evaluate total direct compensation (base salary, annual incentives and long-term incentive grants) in relation to total compensation of comparable positions derived from our peer group and general market data as well as internal equity considerations.</w:t>
      </w:r>
    </w:p>
    <w:p>
      <w:pPr>
        <w:spacing w:after="0" w:line="147" w:lineRule="exact"/>
        <w:rPr>
          <w:sz w:val="20"/>
          <w:szCs w:val="20"/>
          <w:color w:val="auto"/>
        </w:rPr>
      </w:pPr>
    </w:p>
    <w:p>
      <w:pPr>
        <w:ind w:left="120" w:right="60"/>
        <w:spacing w:after="0" w:line="255" w:lineRule="auto"/>
        <w:rPr>
          <w:sz w:val="20"/>
          <w:szCs w:val="20"/>
          <w:color w:val="auto"/>
        </w:rPr>
      </w:pPr>
      <w:r>
        <w:rPr>
          <w:rFonts w:ascii="Arial" w:cs="Arial" w:eastAsia="Arial" w:hAnsi="Arial"/>
          <w:sz w:val="18"/>
          <w:szCs w:val="18"/>
          <w:color w:val="auto"/>
        </w:rPr>
        <w:t>For 2021, Mr. Williams (with input where appropriate from Mr. Dunlap, the company’s prior Interim CEO and President) discussed with the Committee his evaluation of the other NEOs’ performance, job responsibilities and importance to the company’s overall business strategy and provided recommendations regarding base salary increases and long-term incentive grants. At the conclusion of the year, Mr. Williams again discussed with the Committee his evaluation of the other NEOs’ performance, job responsibilities and importance to the company’s overall business strategy and provided recommendations regarding APA plan payouts for 2021 and, as applicable, base salary increases and long-term incentive grants for 2022 for the other NEOs.</w:t>
      </w:r>
    </w:p>
    <w:p>
      <w:pPr>
        <w:spacing w:after="0" w:line="16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Although these recommendations are given significant weight, the Committee retains full discretion when determining compensation.</w:t>
      </w:r>
    </w:p>
    <w:p>
      <w:pPr>
        <w:spacing w:after="0" w:line="162"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42</w:t>
      </w:r>
    </w:p>
    <w:p>
      <w:pPr>
        <w:sectPr>
          <w:pgSz w:w="11900" w:h="16838" w:orient="portrait"/>
          <w:cols w:equalWidth="0" w:num="1">
            <w:col w:w="11120"/>
          </w:cols>
          <w:pgMar w:left="320" w:top="459" w:right="459" w:bottom="1440" w:gutter="0" w:footer="0" w:header="0"/>
          <w:type w:val="continuous"/>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Role of the compensation consultant: Advising the Compensation Committee</w:t>
      </w:r>
    </w:p>
    <w:p>
      <w:pPr>
        <w:spacing w:after="0" w:line="117" w:lineRule="exact"/>
        <w:rPr>
          <w:sz w:val="20"/>
          <w:szCs w:val="20"/>
          <w:color w:val="auto"/>
        </w:rPr>
      </w:pPr>
    </w:p>
    <w:p>
      <w:pPr>
        <w:ind w:left="120" w:right="140"/>
        <w:spacing w:after="0" w:line="296" w:lineRule="auto"/>
        <w:rPr>
          <w:sz w:val="20"/>
          <w:szCs w:val="20"/>
          <w:color w:val="auto"/>
        </w:rPr>
      </w:pPr>
      <w:r>
        <w:rPr>
          <w:rFonts w:ascii="Arial" w:cs="Arial" w:eastAsia="Arial" w:hAnsi="Arial"/>
          <w:sz w:val="16"/>
          <w:szCs w:val="16"/>
          <w:color w:val="auto"/>
        </w:rPr>
        <w:t>The Compensation Committee retains the authority to approve and monitor all compensation and benefit programs (other than broad-based welfare benefit programs). The Committee engages the services of an independent compensation consultant to add rigor in the review process and to provide insight into market trends. The consultant analyzes the company’s executive compensation structure and plan designs and assesses whether the compensation program is competitive and supports the goal of aligning the interests of NEOs with those of shareholders. The consultant also provides market data directly to the Compensation Committee for its use in determining compensation for NEOs and assessing board compensation.</w:t>
      </w:r>
    </w:p>
    <w:p>
      <w:pPr>
        <w:spacing w:after="0" w:line="134"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Committee has retained Meridian Compensation Partners, LLC as its independent compensation consultant.</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In 2021, Meridian’s primary areas of assistance were:</w:t>
      </w:r>
    </w:p>
    <w:p>
      <w:pPr>
        <w:spacing w:after="0" w:line="131" w:lineRule="exact"/>
        <w:rPr>
          <w:sz w:val="20"/>
          <w:szCs w:val="20"/>
          <w:color w:val="auto"/>
        </w:rPr>
      </w:pPr>
    </w:p>
    <w:p>
      <w:pPr>
        <w:ind w:left="980" w:hanging="432"/>
        <w:spacing w:after="0"/>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gathering information related to current trends and practices in board of directors and executive compensation;</w:t>
      </w:r>
    </w:p>
    <w:p>
      <w:pPr>
        <w:spacing w:after="0" w:line="90" w:lineRule="exact"/>
        <w:rPr>
          <w:rFonts w:ascii="Arial" w:cs="Arial" w:eastAsia="Arial" w:hAnsi="Arial"/>
          <w:sz w:val="18"/>
          <w:szCs w:val="18"/>
          <w:color w:val="auto"/>
        </w:rPr>
      </w:pPr>
    </w:p>
    <w:p>
      <w:pPr>
        <w:ind w:left="980" w:hanging="432"/>
        <w:spacing w:after="0"/>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reviewing information developed by management for the Compensation Committee and providing its input to the Committee;</w:t>
      </w:r>
    </w:p>
    <w:p>
      <w:pPr>
        <w:spacing w:after="0" w:line="90" w:lineRule="exact"/>
        <w:rPr>
          <w:rFonts w:ascii="Arial" w:cs="Arial" w:eastAsia="Arial" w:hAnsi="Arial"/>
          <w:sz w:val="18"/>
          <w:szCs w:val="18"/>
          <w:color w:val="auto"/>
        </w:rPr>
      </w:pPr>
    </w:p>
    <w:p>
      <w:pPr>
        <w:ind w:left="980" w:right="580" w:hanging="432"/>
        <w:spacing w:after="0" w:line="277" w:lineRule="auto"/>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attending and participating in meetings with the Compensation Committee, as well as briefings with the Committee chairperson and management between regularly scheduled meetings;</w:t>
      </w:r>
    </w:p>
    <w:p>
      <w:pPr>
        <w:spacing w:after="0" w:line="35" w:lineRule="exact"/>
        <w:rPr>
          <w:rFonts w:ascii="Arial" w:cs="Arial" w:eastAsia="Arial" w:hAnsi="Arial"/>
          <w:sz w:val="18"/>
          <w:szCs w:val="18"/>
          <w:color w:val="auto"/>
        </w:rPr>
      </w:pPr>
    </w:p>
    <w:p>
      <w:pPr>
        <w:ind w:left="980" w:hanging="432"/>
        <w:spacing w:after="0"/>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advising the Committee with respect to compensation matters related to the company’s President and CEO;</w:t>
      </w:r>
    </w:p>
    <w:p>
      <w:pPr>
        <w:spacing w:after="0" w:line="90" w:lineRule="exact"/>
        <w:rPr>
          <w:rFonts w:ascii="Arial" w:cs="Arial" w:eastAsia="Arial" w:hAnsi="Arial"/>
          <w:sz w:val="18"/>
          <w:szCs w:val="18"/>
          <w:color w:val="auto"/>
        </w:rPr>
      </w:pPr>
    </w:p>
    <w:p>
      <w:pPr>
        <w:ind w:left="980" w:hanging="432"/>
        <w:spacing w:after="0"/>
        <w:tabs>
          <w:tab w:leader="none" w:pos="9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assisting the CEO and human resources leadership in determining compensation recommendations for the NEOs (other than the CEO); and</w:t>
      </w:r>
    </w:p>
    <w:p>
      <w:pPr>
        <w:spacing w:after="0" w:line="113" w:lineRule="exact"/>
        <w:rPr>
          <w:rFonts w:ascii="Arial" w:cs="Arial" w:eastAsia="Arial" w:hAnsi="Arial"/>
          <w:sz w:val="16"/>
          <w:szCs w:val="16"/>
          <w:color w:val="auto"/>
        </w:rPr>
      </w:pPr>
    </w:p>
    <w:p>
      <w:pPr>
        <w:ind w:left="980" w:hanging="432"/>
        <w:spacing w:after="0"/>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reviewing with management and the Compensation Committee materials to be used in the company’s proxy statement.</w:t>
      </w:r>
    </w:p>
    <w:p>
      <w:pPr>
        <w:spacing w:after="0" w:line="185" w:lineRule="exact"/>
        <w:rPr>
          <w:sz w:val="20"/>
          <w:szCs w:val="20"/>
          <w:color w:val="auto"/>
        </w:rPr>
      </w:pPr>
    </w:p>
    <w:p>
      <w:pPr>
        <w:ind w:left="120" w:right="660"/>
        <w:spacing w:after="0" w:line="263" w:lineRule="auto"/>
        <w:rPr>
          <w:sz w:val="20"/>
          <w:szCs w:val="20"/>
          <w:color w:val="auto"/>
        </w:rPr>
      </w:pPr>
      <w:r>
        <w:rPr>
          <w:rFonts w:ascii="Arial" w:cs="Arial" w:eastAsia="Arial" w:hAnsi="Arial"/>
          <w:sz w:val="18"/>
          <w:szCs w:val="18"/>
          <w:color w:val="auto"/>
        </w:rPr>
        <w:t>While the consultant reports directly to the Compensation Committee, the Committee has authorized the consultant to interact with company management, as needed, on the Committee’s behalf. Meridian works with company management only under the direction of the Compensation Committee and does not provide any other advice or consulting services to the company.</w:t>
      </w:r>
    </w:p>
    <w:p>
      <w:pPr>
        <w:spacing w:after="0" w:line="157" w:lineRule="exact"/>
        <w:rPr>
          <w:sz w:val="20"/>
          <w:szCs w:val="20"/>
          <w:color w:val="auto"/>
        </w:rPr>
      </w:pPr>
    </w:p>
    <w:p>
      <w:pPr>
        <w:ind w:left="120"/>
        <w:spacing w:after="0" w:line="293" w:lineRule="auto"/>
        <w:rPr>
          <w:sz w:val="20"/>
          <w:szCs w:val="20"/>
          <w:color w:val="auto"/>
        </w:rPr>
      </w:pPr>
      <w:r>
        <w:rPr>
          <w:rFonts w:ascii="Arial" w:cs="Arial" w:eastAsia="Arial" w:hAnsi="Arial"/>
          <w:sz w:val="16"/>
          <w:szCs w:val="16"/>
          <w:color w:val="auto"/>
        </w:rPr>
        <w:t>The Compensation Committee has the sole authority to approve the independent compensation consultant’s fees and terms of the engagement. Thus, the Committee annually reviews its relationship with its consultant – including services provided, quality of services and associated fees – to ensure executive compensation consulting independence and effectiveness. As part of its annual evaluation of independence, the Committee considered information provided by Meridian, as well as information received from the company’s executive officers and directors regarding any actual, potential, or perceived conflicts of interest with Meridian. Based on the Committee’s review, the Committee believes that the work performed by Meridian during 2021 did not raise a conflict of interest and there were no facts or circumstances that brought its independence into question.</w:t>
      </w:r>
    </w:p>
    <w:p>
      <w:pPr>
        <w:spacing w:after="0" w:line="101"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43</w:t>
      </w:r>
    </w:p>
    <w:p>
      <w:pPr>
        <w:sectPr>
          <w:pgSz w:w="11900" w:h="16838" w:orient="portrait"/>
          <w:cols w:equalWidth="0" w:num="1">
            <w:col w:w="11060"/>
          </w:cols>
          <w:pgMar w:left="320" w:top="459" w:right="51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Elements of our executive compensation program</w:t>
      </w:r>
    </w:p>
    <w:p>
      <w:pPr>
        <w:spacing w:after="0" w:line="234" w:lineRule="exact"/>
        <w:rPr>
          <w:sz w:val="20"/>
          <w:szCs w:val="20"/>
          <w:color w:val="auto"/>
        </w:rPr>
      </w:pPr>
    </w:p>
    <w:p>
      <w:pPr>
        <w:ind w:left="120" w:right="160"/>
        <w:spacing w:after="0" w:line="257" w:lineRule="auto"/>
        <w:rPr>
          <w:sz w:val="20"/>
          <w:szCs w:val="20"/>
          <w:color w:val="auto"/>
        </w:rPr>
      </w:pPr>
      <w:r>
        <w:rPr>
          <w:rFonts w:ascii="Arial" w:cs="Arial" w:eastAsia="Arial" w:hAnsi="Arial"/>
          <w:sz w:val="18"/>
          <w:szCs w:val="18"/>
          <w:color w:val="auto"/>
        </w:rPr>
        <w:t>TimkenSteel’s executive compensation program is designed to align the interests of our executives with those of our shareholders and to encourage the personal and collective growth of our executives to foster improved company performance. The company uses a balance of short- and long-term incentives as well as cash and non-cash compensation to meet its executive compensation program objectives. The company’s incentive compensation program for executives is designed to link compensation with the full spectrum of the company’s short- and long-term business goals. Our executive compensation program for 2021 consisted of the following elements:</w:t>
      </w:r>
    </w:p>
    <w:p>
      <w:pPr>
        <w:spacing w:after="0" w:line="229" w:lineRule="exact"/>
        <w:rPr>
          <w:sz w:val="20"/>
          <w:szCs w:val="20"/>
          <w:color w:val="auto"/>
        </w:rPr>
      </w:pPr>
    </w:p>
    <w:tbl>
      <w:tblPr>
        <w:tblLayout w:type="fixed"/>
        <w:tblInd w:w="120" w:type="dxa"/>
        <w:tblCellMar>
          <w:top w:w="0" w:type="dxa"/>
          <w:left w:w="0" w:type="dxa"/>
          <w:bottom w:w="0" w:type="dxa"/>
          <w:right w:w="0" w:type="dxa"/>
        </w:tblCellMar>
      </w:tblPr>
      <w:tr>
        <w:trPr>
          <w:trHeight w:val="237"/>
        </w:trPr>
        <w:tc>
          <w:tcPr>
            <w:tcW w:w="1760" w:type="dxa"/>
            <w:vAlign w:val="bottom"/>
            <w:tcBorders>
              <w:bottom w:val="single" w:sz="8" w:color="939598"/>
            </w:tcBorders>
            <w:shd w:val="clear" w:color="auto" w:fill="939598"/>
          </w:tcPr>
          <w:p>
            <w:pPr>
              <w:spacing w:after="0"/>
              <w:rPr>
                <w:sz w:val="20"/>
                <w:szCs w:val="20"/>
                <w:color w:val="auto"/>
              </w:rPr>
            </w:pPr>
          </w:p>
        </w:tc>
        <w:tc>
          <w:tcPr>
            <w:tcW w:w="2800" w:type="dxa"/>
            <w:vAlign w:val="bottom"/>
            <w:tcBorders>
              <w:bottom w:val="single" w:sz="8" w:color="939598"/>
            </w:tcBorders>
            <w:shd w:val="clear" w:color="auto" w:fill="939598"/>
          </w:tcPr>
          <w:p>
            <w:pPr>
              <w:jc w:val="center"/>
              <w:ind w:left="299"/>
              <w:spacing w:after="0"/>
              <w:rPr>
                <w:sz w:val="20"/>
                <w:szCs w:val="20"/>
                <w:color w:val="auto"/>
              </w:rPr>
            </w:pPr>
            <w:r>
              <w:rPr>
                <w:rFonts w:ascii="Arial" w:cs="Arial" w:eastAsia="Arial" w:hAnsi="Arial"/>
                <w:sz w:val="16"/>
                <w:szCs w:val="16"/>
                <w:b w:val="1"/>
                <w:bCs w:val="1"/>
                <w:color w:val="FFFFFF"/>
                <w:w w:val="89"/>
              </w:rPr>
              <w:t>Compensation element</w:t>
            </w:r>
          </w:p>
        </w:tc>
        <w:tc>
          <w:tcPr>
            <w:tcW w:w="820" w:type="dxa"/>
            <w:vAlign w:val="bottom"/>
            <w:tcBorders>
              <w:bottom w:val="single" w:sz="8" w:color="939598"/>
            </w:tcBorders>
            <w:shd w:val="clear" w:color="auto" w:fill="939598"/>
          </w:tcPr>
          <w:p>
            <w:pPr>
              <w:spacing w:after="0"/>
              <w:rPr>
                <w:sz w:val="20"/>
                <w:szCs w:val="20"/>
                <w:color w:val="auto"/>
              </w:rPr>
            </w:pPr>
          </w:p>
        </w:tc>
        <w:tc>
          <w:tcPr>
            <w:tcW w:w="5640" w:type="dxa"/>
            <w:vAlign w:val="bottom"/>
            <w:tcBorders>
              <w:bottom w:val="single" w:sz="8" w:color="939598"/>
            </w:tcBorders>
            <w:shd w:val="clear" w:color="auto" w:fill="939598"/>
          </w:tcPr>
          <w:p>
            <w:pPr>
              <w:ind w:left="1660"/>
              <w:spacing w:after="0"/>
              <w:rPr>
                <w:sz w:val="20"/>
                <w:szCs w:val="20"/>
                <w:color w:val="auto"/>
              </w:rPr>
            </w:pPr>
            <w:r>
              <w:rPr>
                <w:rFonts w:ascii="Arial" w:cs="Arial" w:eastAsia="Arial" w:hAnsi="Arial"/>
                <w:sz w:val="16"/>
                <w:szCs w:val="16"/>
                <w:b w:val="1"/>
                <w:bCs w:val="1"/>
                <w:color w:val="FFFFFF"/>
              </w:rPr>
              <w:t>Link to program objectives</w:t>
            </w:r>
          </w:p>
        </w:tc>
        <w:tc>
          <w:tcPr>
            <w:tcW w:w="0" w:type="dxa"/>
            <w:vAlign w:val="bottom"/>
          </w:tcPr>
          <w:p>
            <w:pPr>
              <w:spacing w:after="0"/>
              <w:rPr>
                <w:sz w:val="1"/>
                <w:szCs w:val="1"/>
                <w:color w:val="auto"/>
              </w:rPr>
            </w:pPr>
          </w:p>
        </w:tc>
      </w:tr>
      <w:tr>
        <w:trPr>
          <w:trHeight w:val="229"/>
        </w:trPr>
        <w:tc>
          <w:tcPr>
            <w:tcW w:w="1760" w:type="dxa"/>
            <w:vAlign w:val="bottom"/>
            <w:shd w:val="clear" w:color="auto" w:fill="595959"/>
          </w:tcPr>
          <w:p>
            <w:pPr>
              <w:spacing w:after="0"/>
              <w:rPr>
                <w:sz w:val="19"/>
                <w:szCs w:val="19"/>
                <w:color w:val="auto"/>
              </w:rPr>
            </w:pPr>
          </w:p>
        </w:tc>
        <w:tc>
          <w:tcPr>
            <w:tcW w:w="2800" w:type="dxa"/>
            <w:vAlign w:val="bottom"/>
            <w:shd w:val="clear" w:color="auto" w:fill="595959"/>
          </w:tcPr>
          <w:p>
            <w:pPr>
              <w:spacing w:after="0"/>
              <w:rPr>
                <w:sz w:val="19"/>
                <w:szCs w:val="19"/>
                <w:color w:val="auto"/>
              </w:rPr>
            </w:pPr>
          </w:p>
        </w:tc>
        <w:tc>
          <w:tcPr>
            <w:tcW w:w="6460" w:type="dxa"/>
            <w:vAlign w:val="bottom"/>
            <w:gridSpan w:val="2"/>
            <w:shd w:val="clear" w:color="auto" w:fill="595959"/>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760" w:type="dxa"/>
            <w:vAlign w:val="bottom"/>
            <w:shd w:val="clear" w:color="auto" w:fill="939598"/>
          </w:tcPr>
          <w:p>
            <w:pPr>
              <w:spacing w:after="0"/>
              <w:rPr>
                <w:sz w:val="20"/>
                <w:szCs w:val="20"/>
                <w:color w:val="auto"/>
              </w:rPr>
            </w:pPr>
          </w:p>
        </w:tc>
        <w:tc>
          <w:tcPr>
            <w:tcW w:w="2800" w:type="dxa"/>
            <w:vAlign w:val="bottom"/>
            <w:vMerge w:val="restart"/>
          </w:tcPr>
          <w:p>
            <w:pPr>
              <w:jc w:val="center"/>
              <w:ind w:left="319"/>
              <w:spacing w:after="0"/>
              <w:rPr>
                <w:sz w:val="20"/>
                <w:szCs w:val="20"/>
                <w:color w:val="auto"/>
              </w:rPr>
            </w:pPr>
            <w:r>
              <w:rPr>
                <w:rFonts w:ascii="Arial" w:cs="Arial" w:eastAsia="Arial" w:hAnsi="Arial"/>
                <w:sz w:val="16"/>
                <w:szCs w:val="16"/>
                <w:b w:val="1"/>
                <w:bCs w:val="1"/>
                <w:color w:val="auto"/>
                <w:w w:val="89"/>
              </w:rPr>
              <w:t>Base salary</w:t>
            </w: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5"/>
              </w:rPr>
              <w:t>Provides a stable source of income and is a standard element in executive compensation</w:t>
            </w:r>
          </w:p>
        </w:tc>
        <w:tc>
          <w:tcPr>
            <w:tcW w:w="0" w:type="dxa"/>
            <w:vAlign w:val="bottom"/>
          </w:tcPr>
          <w:p>
            <w:pPr>
              <w:spacing w:after="0"/>
              <w:rPr>
                <w:sz w:val="1"/>
                <w:szCs w:val="1"/>
                <w:color w:val="auto"/>
              </w:rPr>
            </w:pPr>
          </w:p>
        </w:tc>
      </w:tr>
      <w:tr>
        <w:trPr>
          <w:trHeight w:val="125"/>
        </w:trPr>
        <w:tc>
          <w:tcPr>
            <w:tcW w:w="1760" w:type="dxa"/>
            <w:vAlign w:val="bottom"/>
            <w:shd w:val="clear" w:color="auto" w:fill="939598"/>
          </w:tcPr>
          <w:p>
            <w:pPr>
              <w:spacing w:after="0"/>
              <w:rPr>
                <w:sz w:val="10"/>
                <w:szCs w:val="10"/>
                <w:color w:val="auto"/>
              </w:rPr>
            </w:pPr>
          </w:p>
        </w:tc>
        <w:tc>
          <w:tcPr>
            <w:tcW w:w="2800" w:type="dxa"/>
            <w:vAlign w:val="bottom"/>
            <w:vMerge w:val="continue"/>
          </w:tcPr>
          <w:p>
            <w:pPr>
              <w:spacing w:after="0"/>
              <w:rPr>
                <w:sz w:val="10"/>
                <w:szCs w:val="10"/>
                <w:color w:val="auto"/>
              </w:rPr>
            </w:pPr>
          </w:p>
        </w:tc>
        <w:tc>
          <w:tcPr>
            <w:tcW w:w="6460" w:type="dxa"/>
            <w:vAlign w:val="bottom"/>
            <w:gridSpan w:val="2"/>
            <w:vMerge w:val="restart"/>
          </w:tcPr>
          <w:p>
            <w:pPr>
              <w:ind w:left="400"/>
              <w:spacing w:after="0"/>
              <w:rPr>
                <w:sz w:val="20"/>
                <w:szCs w:val="20"/>
                <w:color w:val="auto"/>
              </w:rPr>
            </w:pPr>
            <w:r>
              <w:rPr>
                <w:rFonts w:ascii="Arial" w:cs="Arial" w:eastAsia="Arial" w:hAnsi="Arial"/>
                <w:sz w:val="16"/>
                <w:szCs w:val="16"/>
                <w:color w:val="auto"/>
              </w:rPr>
              <w:t>packages.</w:t>
            </w:r>
          </w:p>
        </w:tc>
        <w:tc>
          <w:tcPr>
            <w:tcW w:w="0" w:type="dxa"/>
            <w:vAlign w:val="bottom"/>
          </w:tcPr>
          <w:p>
            <w:pPr>
              <w:spacing w:after="0"/>
              <w:rPr>
                <w:sz w:val="1"/>
                <w:szCs w:val="1"/>
                <w:color w:val="auto"/>
              </w:rPr>
            </w:pPr>
          </w:p>
        </w:tc>
      </w:tr>
      <w:tr>
        <w:trPr>
          <w:trHeight w:val="81"/>
        </w:trPr>
        <w:tc>
          <w:tcPr>
            <w:tcW w:w="1760" w:type="dxa"/>
            <w:vAlign w:val="bottom"/>
            <w:shd w:val="clear" w:color="auto" w:fill="939598"/>
          </w:tcPr>
          <w:p>
            <w:pPr>
              <w:spacing w:after="0"/>
              <w:rPr>
                <w:sz w:val="7"/>
                <w:szCs w:val="7"/>
                <w:color w:val="auto"/>
              </w:rPr>
            </w:pPr>
          </w:p>
        </w:tc>
        <w:tc>
          <w:tcPr>
            <w:tcW w:w="2800" w:type="dxa"/>
            <w:vAlign w:val="bottom"/>
          </w:tcPr>
          <w:p>
            <w:pPr>
              <w:spacing w:after="0"/>
              <w:rPr>
                <w:sz w:val="7"/>
                <w:szCs w:val="7"/>
                <w:color w:val="auto"/>
              </w:rPr>
            </w:pPr>
          </w:p>
        </w:tc>
        <w:tc>
          <w:tcPr>
            <w:tcW w:w="646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00"/>
        </w:trPr>
        <w:tc>
          <w:tcPr>
            <w:tcW w:w="1760" w:type="dxa"/>
            <w:vAlign w:val="bottom"/>
            <w:tcBorders>
              <w:bottom w:val="single" w:sz="8" w:color="939598"/>
            </w:tcBorders>
            <w:shd w:val="clear" w:color="auto" w:fill="939598"/>
          </w:tcPr>
          <w:p>
            <w:pPr>
              <w:spacing w:after="0"/>
              <w:rPr>
                <w:sz w:val="8"/>
                <w:szCs w:val="8"/>
                <w:color w:val="auto"/>
              </w:rPr>
            </w:pPr>
          </w:p>
        </w:tc>
        <w:tc>
          <w:tcPr>
            <w:tcW w:w="2800" w:type="dxa"/>
            <w:vAlign w:val="bottom"/>
            <w:tcBorders>
              <w:bottom w:val="single" w:sz="8" w:color="D8D8D8"/>
            </w:tcBorders>
          </w:tcPr>
          <w:p>
            <w:pPr>
              <w:spacing w:after="0"/>
              <w:rPr>
                <w:sz w:val="8"/>
                <w:szCs w:val="8"/>
                <w:color w:val="auto"/>
              </w:rPr>
            </w:pPr>
          </w:p>
        </w:tc>
        <w:tc>
          <w:tcPr>
            <w:tcW w:w="6460" w:type="dxa"/>
            <w:vAlign w:val="bottom"/>
            <w:tcBorders>
              <w:bottom w:val="single" w:sz="8" w:color="D8D8D8"/>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27"/>
        </w:trPr>
        <w:tc>
          <w:tcPr>
            <w:tcW w:w="1760" w:type="dxa"/>
            <w:vAlign w:val="bottom"/>
            <w:shd w:val="clear" w:color="auto" w:fill="939598"/>
          </w:tcPr>
          <w:p>
            <w:pPr>
              <w:spacing w:after="0"/>
              <w:rPr>
                <w:sz w:val="19"/>
                <w:szCs w:val="19"/>
                <w:color w:val="auto"/>
              </w:rPr>
            </w:pPr>
          </w:p>
        </w:tc>
        <w:tc>
          <w:tcPr>
            <w:tcW w:w="2800" w:type="dxa"/>
            <w:vAlign w:val="bottom"/>
          </w:tcPr>
          <w:p>
            <w:pPr>
              <w:spacing w:after="0"/>
              <w:rPr>
                <w:sz w:val="19"/>
                <w:szCs w:val="19"/>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4"/>
              </w:rPr>
              <w:t>Encourages executives to focus on specific corporate performance goals. Target incentive</w:t>
            </w:r>
          </w:p>
        </w:tc>
        <w:tc>
          <w:tcPr>
            <w:tcW w:w="0" w:type="dxa"/>
            <w:vAlign w:val="bottom"/>
          </w:tcPr>
          <w:p>
            <w:pPr>
              <w:spacing w:after="0"/>
              <w:rPr>
                <w:sz w:val="1"/>
                <w:szCs w:val="1"/>
                <w:color w:val="auto"/>
              </w:rPr>
            </w:pPr>
          </w:p>
        </w:tc>
      </w:tr>
      <w:tr>
        <w:trPr>
          <w:trHeight w:val="203"/>
        </w:trPr>
        <w:tc>
          <w:tcPr>
            <w:tcW w:w="1760" w:type="dxa"/>
            <w:vAlign w:val="bottom"/>
            <w:shd w:val="clear" w:color="auto" w:fill="939598"/>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7"/>
              </w:rPr>
              <w:t>opportunity is set as a percentage of base salary and awards are earned after threshold</w:t>
            </w:r>
          </w:p>
        </w:tc>
        <w:tc>
          <w:tcPr>
            <w:tcW w:w="0" w:type="dxa"/>
            <w:vAlign w:val="bottom"/>
          </w:tcPr>
          <w:p>
            <w:pPr>
              <w:spacing w:after="0"/>
              <w:rPr>
                <w:sz w:val="1"/>
                <w:szCs w:val="1"/>
                <w:color w:val="auto"/>
              </w:rPr>
            </w:pPr>
          </w:p>
        </w:tc>
      </w:tr>
      <w:tr>
        <w:trPr>
          <w:trHeight w:val="206"/>
        </w:trPr>
        <w:tc>
          <w:tcPr>
            <w:tcW w:w="1760" w:type="dxa"/>
            <w:vAlign w:val="bottom"/>
            <w:shd w:val="clear" w:color="auto" w:fill="939598"/>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rPr>
              <w:t>performance levels are met. Metrics for 2021 include:</w:t>
            </w:r>
          </w:p>
        </w:tc>
        <w:tc>
          <w:tcPr>
            <w:tcW w:w="0" w:type="dxa"/>
            <w:vAlign w:val="bottom"/>
          </w:tcPr>
          <w:p>
            <w:pPr>
              <w:spacing w:after="0"/>
              <w:rPr>
                <w:sz w:val="1"/>
                <w:szCs w:val="1"/>
                <w:color w:val="auto"/>
              </w:rPr>
            </w:pPr>
          </w:p>
        </w:tc>
      </w:tr>
      <w:tr>
        <w:trPr>
          <w:trHeight w:val="280"/>
        </w:trPr>
        <w:tc>
          <w:tcPr>
            <w:tcW w:w="1760" w:type="dxa"/>
            <w:vAlign w:val="bottom"/>
            <w:shd w:val="clear" w:color="auto" w:fill="939598"/>
          </w:tcPr>
          <w:p>
            <w:pPr>
              <w:spacing w:after="0"/>
              <w:rPr>
                <w:sz w:val="24"/>
                <w:szCs w:val="24"/>
                <w:color w:val="auto"/>
              </w:rPr>
            </w:pPr>
          </w:p>
        </w:tc>
        <w:tc>
          <w:tcPr>
            <w:tcW w:w="2800" w:type="dxa"/>
            <w:vAlign w:val="bottom"/>
          </w:tcPr>
          <w:p>
            <w:pPr>
              <w:jc w:val="center"/>
              <w:ind w:left="319"/>
              <w:spacing w:after="0"/>
              <w:rPr>
                <w:sz w:val="20"/>
                <w:szCs w:val="20"/>
                <w:color w:val="auto"/>
              </w:rPr>
            </w:pPr>
            <w:r>
              <w:rPr>
                <w:rFonts w:ascii="Arial" w:cs="Arial" w:eastAsia="Arial" w:hAnsi="Arial"/>
                <w:sz w:val="16"/>
                <w:szCs w:val="16"/>
                <w:b w:val="1"/>
                <w:bCs w:val="1"/>
                <w:color w:val="auto"/>
                <w:w w:val="90"/>
              </w:rPr>
              <w:t>Annual incentive</w:t>
            </w:r>
          </w:p>
        </w:tc>
        <w:tc>
          <w:tcPr>
            <w:tcW w:w="820" w:type="dxa"/>
            <w:vAlign w:val="bottom"/>
          </w:tcPr>
          <w:p>
            <w:pPr>
              <w:ind w:left="640"/>
              <w:spacing w:after="0"/>
              <w:rPr>
                <w:sz w:val="20"/>
                <w:szCs w:val="20"/>
                <w:color w:val="auto"/>
              </w:rPr>
            </w:pPr>
            <w:r>
              <w:rPr>
                <w:rFonts w:ascii="Arial" w:cs="Arial" w:eastAsia="Arial" w:hAnsi="Arial"/>
                <w:sz w:val="16"/>
                <w:szCs w:val="16"/>
                <w:color w:val="auto"/>
              </w:rPr>
              <w:t>•</w:t>
            </w:r>
          </w:p>
        </w:tc>
        <w:tc>
          <w:tcPr>
            <w:tcW w:w="5640" w:type="dxa"/>
            <w:vAlign w:val="bottom"/>
          </w:tcPr>
          <w:p>
            <w:pPr>
              <w:ind w:left="40"/>
              <w:spacing w:after="0"/>
              <w:rPr>
                <w:sz w:val="20"/>
                <w:szCs w:val="20"/>
                <w:color w:val="auto"/>
              </w:rPr>
            </w:pPr>
            <w:r>
              <w:rPr>
                <w:rFonts w:ascii="Arial" w:cs="Arial" w:eastAsia="Arial" w:hAnsi="Arial"/>
                <w:sz w:val="16"/>
                <w:szCs w:val="16"/>
                <w:color w:val="auto"/>
              </w:rPr>
              <w:t>Adjusted EBITDA</w:t>
            </w:r>
          </w:p>
        </w:tc>
        <w:tc>
          <w:tcPr>
            <w:tcW w:w="0" w:type="dxa"/>
            <w:vAlign w:val="bottom"/>
          </w:tcPr>
          <w:p>
            <w:pPr>
              <w:spacing w:after="0"/>
              <w:rPr>
                <w:sz w:val="1"/>
                <w:szCs w:val="1"/>
                <w:color w:val="auto"/>
              </w:rPr>
            </w:pPr>
          </w:p>
        </w:tc>
      </w:tr>
      <w:tr>
        <w:trPr>
          <w:trHeight w:val="206"/>
        </w:trPr>
        <w:tc>
          <w:tcPr>
            <w:tcW w:w="1760" w:type="dxa"/>
            <w:vAlign w:val="bottom"/>
            <w:shd w:val="clear" w:color="auto" w:fill="939598"/>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640"/>
              <w:spacing w:after="0"/>
              <w:rPr>
                <w:sz w:val="20"/>
                <w:szCs w:val="20"/>
                <w:color w:val="auto"/>
              </w:rPr>
            </w:pPr>
            <w:r>
              <w:rPr>
                <w:rFonts w:ascii="Arial" w:cs="Arial" w:eastAsia="Arial" w:hAnsi="Arial"/>
                <w:sz w:val="16"/>
                <w:szCs w:val="16"/>
                <w:color w:val="auto"/>
              </w:rPr>
              <w:t>•  Adjusted operating cash flow</w:t>
            </w:r>
          </w:p>
        </w:tc>
        <w:tc>
          <w:tcPr>
            <w:tcW w:w="0" w:type="dxa"/>
            <w:vAlign w:val="bottom"/>
          </w:tcPr>
          <w:p>
            <w:pPr>
              <w:spacing w:after="0"/>
              <w:rPr>
                <w:sz w:val="1"/>
                <w:szCs w:val="1"/>
                <w:color w:val="auto"/>
              </w:rPr>
            </w:pPr>
          </w:p>
        </w:tc>
      </w:tr>
      <w:tr>
        <w:trPr>
          <w:trHeight w:val="243"/>
        </w:trPr>
        <w:tc>
          <w:tcPr>
            <w:tcW w:w="1760" w:type="dxa"/>
            <w:vAlign w:val="bottom"/>
            <w:shd w:val="clear" w:color="auto" w:fill="939598"/>
          </w:tcPr>
          <w:p>
            <w:pPr>
              <w:spacing w:after="0"/>
              <w:rPr>
                <w:sz w:val="21"/>
                <w:szCs w:val="21"/>
                <w:color w:val="auto"/>
              </w:rPr>
            </w:pPr>
          </w:p>
        </w:tc>
        <w:tc>
          <w:tcPr>
            <w:tcW w:w="2800" w:type="dxa"/>
            <w:vAlign w:val="bottom"/>
          </w:tcPr>
          <w:p>
            <w:pPr>
              <w:spacing w:after="0"/>
              <w:rPr>
                <w:sz w:val="21"/>
                <w:szCs w:val="21"/>
                <w:color w:val="auto"/>
              </w:rPr>
            </w:pPr>
          </w:p>
        </w:tc>
        <w:tc>
          <w:tcPr>
            <w:tcW w:w="820" w:type="dxa"/>
            <w:vAlign w:val="bottom"/>
          </w:tcPr>
          <w:p>
            <w:pPr>
              <w:ind w:left="640"/>
              <w:spacing w:after="0"/>
              <w:rPr>
                <w:sz w:val="20"/>
                <w:szCs w:val="20"/>
                <w:color w:val="auto"/>
              </w:rPr>
            </w:pPr>
            <w:r>
              <w:rPr>
                <w:rFonts w:ascii="Arial" w:cs="Arial" w:eastAsia="Arial" w:hAnsi="Arial"/>
                <w:sz w:val="16"/>
                <w:szCs w:val="16"/>
                <w:color w:val="auto"/>
              </w:rPr>
              <w:t>•</w:t>
            </w:r>
          </w:p>
        </w:tc>
        <w:tc>
          <w:tcPr>
            <w:tcW w:w="5640" w:type="dxa"/>
            <w:vAlign w:val="bottom"/>
          </w:tcPr>
          <w:p>
            <w:pPr>
              <w:ind w:left="60"/>
              <w:spacing w:after="0"/>
              <w:rPr>
                <w:sz w:val="20"/>
                <w:szCs w:val="20"/>
                <w:color w:val="auto"/>
              </w:rPr>
            </w:pPr>
            <w:r>
              <w:rPr>
                <w:rFonts w:ascii="Arial" w:cs="Arial" w:eastAsia="Arial" w:hAnsi="Arial"/>
                <w:sz w:val="16"/>
                <w:szCs w:val="16"/>
                <w:color w:val="auto"/>
              </w:rPr>
              <w:t>Safety</w:t>
            </w:r>
          </w:p>
        </w:tc>
        <w:tc>
          <w:tcPr>
            <w:tcW w:w="0" w:type="dxa"/>
            <w:vAlign w:val="bottom"/>
          </w:tcPr>
          <w:p>
            <w:pPr>
              <w:spacing w:after="0"/>
              <w:rPr>
                <w:sz w:val="1"/>
                <w:szCs w:val="1"/>
                <w:color w:val="auto"/>
              </w:rPr>
            </w:pPr>
          </w:p>
        </w:tc>
      </w:tr>
      <w:tr>
        <w:trPr>
          <w:trHeight w:val="283"/>
        </w:trPr>
        <w:tc>
          <w:tcPr>
            <w:tcW w:w="1760" w:type="dxa"/>
            <w:vAlign w:val="bottom"/>
            <w:tcBorders>
              <w:bottom w:val="single" w:sz="8" w:color="939598"/>
            </w:tcBorders>
            <w:shd w:val="clear" w:color="auto" w:fill="939598"/>
          </w:tcPr>
          <w:p>
            <w:pPr>
              <w:spacing w:after="0"/>
              <w:rPr>
                <w:sz w:val="24"/>
                <w:szCs w:val="24"/>
                <w:color w:val="auto"/>
              </w:rPr>
            </w:pPr>
          </w:p>
        </w:tc>
        <w:tc>
          <w:tcPr>
            <w:tcW w:w="2800" w:type="dxa"/>
            <w:vAlign w:val="bottom"/>
          </w:tcPr>
          <w:p>
            <w:pPr>
              <w:spacing w:after="0"/>
              <w:rPr>
                <w:sz w:val="24"/>
                <w:szCs w:val="24"/>
                <w:color w:val="auto"/>
              </w:rPr>
            </w:pPr>
          </w:p>
        </w:tc>
        <w:tc>
          <w:tcPr>
            <w:tcW w:w="820" w:type="dxa"/>
            <w:vAlign w:val="bottom"/>
          </w:tcPr>
          <w:p>
            <w:pPr>
              <w:ind w:left="640"/>
              <w:spacing w:after="0"/>
              <w:rPr>
                <w:sz w:val="20"/>
                <w:szCs w:val="20"/>
                <w:color w:val="auto"/>
              </w:rPr>
            </w:pPr>
            <w:r>
              <w:rPr>
                <w:rFonts w:ascii="Arial" w:cs="Arial" w:eastAsia="Arial" w:hAnsi="Arial"/>
                <w:sz w:val="16"/>
                <w:szCs w:val="16"/>
                <w:color w:val="auto"/>
              </w:rPr>
              <w:t>•</w:t>
            </w:r>
          </w:p>
        </w:tc>
        <w:tc>
          <w:tcPr>
            <w:tcW w:w="5640" w:type="dxa"/>
            <w:vAlign w:val="bottom"/>
          </w:tcPr>
          <w:p>
            <w:pPr>
              <w:ind w:left="60"/>
              <w:spacing w:after="0"/>
              <w:rPr>
                <w:sz w:val="20"/>
                <w:szCs w:val="20"/>
                <w:color w:val="auto"/>
              </w:rPr>
            </w:pPr>
            <w:r>
              <w:rPr>
                <w:rFonts w:ascii="Arial" w:cs="Arial" w:eastAsia="Arial" w:hAnsi="Arial"/>
                <w:sz w:val="16"/>
                <w:szCs w:val="16"/>
                <w:color w:val="auto"/>
              </w:rPr>
              <w:t>Individual performance</w:t>
            </w:r>
          </w:p>
        </w:tc>
        <w:tc>
          <w:tcPr>
            <w:tcW w:w="0" w:type="dxa"/>
            <w:vAlign w:val="bottom"/>
          </w:tcPr>
          <w:p>
            <w:pPr>
              <w:spacing w:after="0"/>
              <w:rPr>
                <w:sz w:val="1"/>
                <w:szCs w:val="1"/>
                <w:color w:val="auto"/>
              </w:rPr>
            </w:pPr>
          </w:p>
        </w:tc>
      </w:tr>
      <w:tr>
        <w:trPr>
          <w:trHeight w:val="229"/>
        </w:trPr>
        <w:tc>
          <w:tcPr>
            <w:tcW w:w="1760" w:type="dxa"/>
            <w:vAlign w:val="bottom"/>
            <w:shd w:val="clear" w:color="auto" w:fill="595959"/>
          </w:tcPr>
          <w:p>
            <w:pPr>
              <w:spacing w:after="0"/>
              <w:rPr>
                <w:sz w:val="19"/>
                <w:szCs w:val="19"/>
                <w:color w:val="auto"/>
              </w:rPr>
            </w:pPr>
          </w:p>
        </w:tc>
        <w:tc>
          <w:tcPr>
            <w:tcW w:w="2800" w:type="dxa"/>
            <w:vAlign w:val="bottom"/>
            <w:shd w:val="clear" w:color="auto" w:fill="595959"/>
          </w:tcPr>
          <w:p>
            <w:pPr>
              <w:spacing w:after="0"/>
              <w:rPr>
                <w:sz w:val="19"/>
                <w:szCs w:val="19"/>
                <w:color w:val="auto"/>
              </w:rPr>
            </w:pPr>
          </w:p>
        </w:tc>
        <w:tc>
          <w:tcPr>
            <w:tcW w:w="6460" w:type="dxa"/>
            <w:vAlign w:val="bottom"/>
            <w:gridSpan w:val="2"/>
            <w:shd w:val="clear" w:color="auto" w:fill="595959"/>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760" w:type="dxa"/>
            <w:vAlign w:val="bottom"/>
          </w:tcPr>
          <w:p>
            <w:pPr>
              <w:spacing w:after="0"/>
              <w:rPr>
                <w:sz w:val="20"/>
                <w:szCs w:val="20"/>
                <w:color w:val="auto"/>
              </w:rPr>
            </w:pPr>
          </w:p>
        </w:tc>
        <w:tc>
          <w:tcPr>
            <w:tcW w:w="2800" w:type="dxa"/>
            <w:vAlign w:val="bottom"/>
          </w:tcPr>
          <w:p>
            <w:pPr>
              <w:spacing w:after="0"/>
              <w:rPr>
                <w:sz w:val="20"/>
                <w:szCs w:val="20"/>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7"/>
              </w:rPr>
              <w:t>Granted in the form of performance-based restricted stock units, the performance share</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2"/>
              </w:rPr>
              <w:t>award links executive compensation to building long-term shareholder value, balances short-</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4"/>
              </w:rPr>
              <w:t>term operating focus, and aligns executive management’s long-term financial interests with</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1"/>
              </w:rPr>
              <w:t>those of our shareholders. Average payout for the company’s relative total shareholder return</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jc w:val="center"/>
              <w:ind w:left="299"/>
              <w:spacing w:after="0"/>
              <w:rPr>
                <w:sz w:val="20"/>
                <w:szCs w:val="20"/>
                <w:color w:val="auto"/>
              </w:rPr>
            </w:pPr>
            <w:r>
              <w:rPr>
                <w:rFonts w:ascii="Arial" w:cs="Arial" w:eastAsia="Arial" w:hAnsi="Arial"/>
                <w:sz w:val="16"/>
                <w:szCs w:val="16"/>
                <w:b w:val="1"/>
                <w:bCs w:val="1"/>
                <w:color w:val="auto"/>
                <w:w w:val="89"/>
              </w:rPr>
              <w:t>Performance shares</w:t>
            </w: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2"/>
              </w:rPr>
              <w:t>as compared to an identified peer group of steel companies for the one-, two- and three-year</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rPr>
              <w:t>periods beginning January 1, 2021 and ending December 31, 2021, 2022 and 2023,</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2"/>
              </w:rPr>
              <w:t>respectively, is used to determine whether (and how many) performance shares are earned.</w:t>
            </w:r>
          </w:p>
        </w:tc>
        <w:tc>
          <w:tcPr>
            <w:tcW w:w="0" w:type="dxa"/>
            <w:vAlign w:val="bottom"/>
          </w:tcPr>
          <w:p>
            <w:pPr>
              <w:spacing w:after="0"/>
              <w:rPr>
                <w:sz w:val="1"/>
                <w:szCs w:val="1"/>
                <w:color w:val="auto"/>
              </w:rPr>
            </w:pPr>
          </w:p>
        </w:tc>
      </w:tr>
      <w:tr>
        <w:trPr>
          <w:trHeight w:val="203"/>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rPr>
              <w:t>Performance shares earned are payable in shares at the conclusion of the three-year</w:t>
            </w:r>
          </w:p>
        </w:tc>
        <w:tc>
          <w:tcPr>
            <w:tcW w:w="0" w:type="dxa"/>
            <w:vAlign w:val="bottom"/>
          </w:tcPr>
          <w:p>
            <w:pPr>
              <w:spacing w:after="0"/>
              <w:rPr>
                <w:sz w:val="1"/>
                <w:szCs w:val="1"/>
                <w:color w:val="auto"/>
              </w:rPr>
            </w:pPr>
          </w:p>
        </w:tc>
      </w:tr>
      <w:tr>
        <w:trPr>
          <w:trHeight w:val="206"/>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rPr>
              <w:t>performance period.</w:t>
            </w:r>
          </w:p>
        </w:tc>
        <w:tc>
          <w:tcPr>
            <w:tcW w:w="0" w:type="dxa"/>
            <w:vAlign w:val="bottom"/>
          </w:tcPr>
          <w:p>
            <w:pPr>
              <w:spacing w:after="0"/>
              <w:rPr>
                <w:sz w:val="1"/>
                <w:szCs w:val="1"/>
                <w:color w:val="auto"/>
              </w:rPr>
            </w:pPr>
          </w:p>
        </w:tc>
      </w:tr>
      <w:tr>
        <w:trPr>
          <w:trHeight w:val="100"/>
        </w:trPr>
        <w:tc>
          <w:tcPr>
            <w:tcW w:w="1760" w:type="dxa"/>
            <w:vAlign w:val="bottom"/>
          </w:tcPr>
          <w:p>
            <w:pPr>
              <w:spacing w:after="0"/>
              <w:rPr>
                <w:sz w:val="8"/>
                <w:szCs w:val="8"/>
                <w:color w:val="auto"/>
              </w:rPr>
            </w:pPr>
          </w:p>
        </w:tc>
        <w:tc>
          <w:tcPr>
            <w:tcW w:w="2800" w:type="dxa"/>
            <w:vAlign w:val="bottom"/>
            <w:tcBorders>
              <w:bottom w:val="single" w:sz="8" w:color="D8D8D8"/>
            </w:tcBorders>
          </w:tcPr>
          <w:p>
            <w:pPr>
              <w:spacing w:after="0"/>
              <w:rPr>
                <w:sz w:val="8"/>
                <w:szCs w:val="8"/>
                <w:color w:val="auto"/>
              </w:rPr>
            </w:pPr>
          </w:p>
        </w:tc>
        <w:tc>
          <w:tcPr>
            <w:tcW w:w="6460" w:type="dxa"/>
            <w:vAlign w:val="bottom"/>
            <w:tcBorders>
              <w:bottom w:val="single" w:sz="8" w:color="D8D8D8"/>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27"/>
        </w:trPr>
        <w:tc>
          <w:tcPr>
            <w:tcW w:w="1760" w:type="dxa"/>
            <w:vAlign w:val="bottom"/>
          </w:tcPr>
          <w:p>
            <w:pPr>
              <w:spacing w:after="0"/>
              <w:rPr>
                <w:sz w:val="19"/>
                <w:szCs w:val="19"/>
                <w:color w:val="auto"/>
              </w:rPr>
            </w:pPr>
          </w:p>
        </w:tc>
        <w:tc>
          <w:tcPr>
            <w:tcW w:w="2800" w:type="dxa"/>
            <w:vAlign w:val="bottom"/>
            <w:vMerge w:val="restart"/>
          </w:tcPr>
          <w:p>
            <w:pPr>
              <w:jc w:val="center"/>
              <w:ind w:left="319"/>
              <w:spacing w:after="0"/>
              <w:rPr>
                <w:sz w:val="20"/>
                <w:szCs w:val="20"/>
                <w:color w:val="auto"/>
              </w:rPr>
            </w:pPr>
            <w:r>
              <w:rPr>
                <w:rFonts w:ascii="Arial" w:cs="Arial" w:eastAsia="Arial" w:hAnsi="Arial"/>
                <w:sz w:val="16"/>
                <w:szCs w:val="16"/>
                <w:b w:val="1"/>
                <w:bCs w:val="1"/>
                <w:color w:val="auto"/>
                <w:w w:val="88"/>
              </w:rPr>
              <w:t>Restricted stock units</w:t>
            </w: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4"/>
              </w:rPr>
              <w:t>Rewards long-term shareholder value creation. Three-year cliff vesting promotes retention</w:t>
            </w:r>
          </w:p>
        </w:tc>
        <w:tc>
          <w:tcPr>
            <w:tcW w:w="0" w:type="dxa"/>
            <w:vAlign w:val="bottom"/>
          </w:tcPr>
          <w:p>
            <w:pPr>
              <w:spacing w:after="0"/>
              <w:rPr>
                <w:sz w:val="1"/>
                <w:szCs w:val="1"/>
                <w:color w:val="auto"/>
              </w:rPr>
            </w:pPr>
          </w:p>
        </w:tc>
      </w:tr>
      <w:tr>
        <w:trPr>
          <w:trHeight w:val="125"/>
        </w:trPr>
        <w:tc>
          <w:tcPr>
            <w:tcW w:w="1760" w:type="dxa"/>
            <w:vAlign w:val="bottom"/>
          </w:tcPr>
          <w:p>
            <w:pPr>
              <w:spacing w:after="0"/>
              <w:rPr>
                <w:sz w:val="10"/>
                <w:szCs w:val="10"/>
                <w:color w:val="auto"/>
              </w:rPr>
            </w:pPr>
          </w:p>
        </w:tc>
        <w:tc>
          <w:tcPr>
            <w:tcW w:w="2800" w:type="dxa"/>
            <w:vAlign w:val="bottom"/>
            <w:vMerge w:val="continue"/>
          </w:tcPr>
          <w:p>
            <w:pPr>
              <w:spacing w:after="0"/>
              <w:rPr>
                <w:sz w:val="10"/>
                <w:szCs w:val="10"/>
                <w:color w:val="auto"/>
              </w:rPr>
            </w:pPr>
          </w:p>
        </w:tc>
        <w:tc>
          <w:tcPr>
            <w:tcW w:w="6460" w:type="dxa"/>
            <w:vAlign w:val="bottom"/>
            <w:gridSpan w:val="2"/>
            <w:vMerge w:val="restart"/>
          </w:tcPr>
          <w:p>
            <w:pPr>
              <w:ind w:left="400"/>
              <w:spacing w:after="0"/>
              <w:rPr>
                <w:sz w:val="20"/>
                <w:szCs w:val="20"/>
                <w:color w:val="auto"/>
              </w:rPr>
            </w:pPr>
            <w:r>
              <w:rPr>
                <w:rFonts w:ascii="Arial" w:cs="Arial" w:eastAsia="Arial" w:hAnsi="Arial"/>
                <w:sz w:val="16"/>
                <w:szCs w:val="16"/>
                <w:color w:val="auto"/>
              </w:rPr>
              <w:t>and enhances executive stock ownership.</w:t>
            </w:r>
          </w:p>
        </w:tc>
        <w:tc>
          <w:tcPr>
            <w:tcW w:w="0" w:type="dxa"/>
            <w:vAlign w:val="bottom"/>
          </w:tcPr>
          <w:p>
            <w:pPr>
              <w:spacing w:after="0"/>
              <w:rPr>
                <w:sz w:val="1"/>
                <w:szCs w:val="1"/>
                <w:color w:val="auto"/>
              </w:rPr>
            </w:pPr>
          </w:p>
        </w:tc>
      </w:tr>
      <w:tr>
        <w:trPr>
          <w:trHeight w:val="81"/>
        </w:trPr>
        <w:tc>
          <w:tcPr>
            <w:tcW w:w="1760" w:type="dxa"/>
            <w:vAlign w:val="bottom"/>
          </w:tcPr>
          <w:p>
            <w:pPr>
              <w:spacing w:after="0"/>
              <w:rPr>
                <w:sz w:val="7"/>
                <w:szCs w:val="7"/>
                <w:color w:val="auto"/>
              </w:rPr>
            </w:pPr>
          </w:p>
        </w:tc>
        <w:tc>
          <w:tcPr>
            <w:tcW w:w="2800" w:type="dxa"/>
            <w:vAlign w:val="bottom"/>
          </w:tcPr>
          <w:p>
            <w:pPr>
              <w:spacing w:after="0"/>
              <w:rPr>
                <w:sz w:val="7"/>
                <w:szCs w:val="7"/>
                <w:color w:val="auto"/>
              </w:rPr>
            </w:pPr>
          </w:p>
        </w:tc>
        <w:tc>
          <w:tcPr>
            <w:tcW w:w="646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01"/>
        </w:trPr>
        <w:tc>
          <w:tcPr>
            <w:tcW w:w="1760" w:type="dxa"/>
            <w:vAlign w:val="bottom"/>
          </w:tcPr>
          <w:p>
            <w:pPr>
              <w:spacing w:after="0"/>
              <w:rPr>
                <w:sz w:val="8"/>
                <w:szCs w:val="8"/>
                <w:color w:val="auto"/>
              </w:rPr>
            </w:pPr>
          </w:p>
        </w:tc>
        <w:tc>
          <w:tcPr>
            <w:tcW w:w="2800" w:type="dxa"/>
            <w:vAlign w:val="bottom"/>
          </w:tcPr>
          <w:p>
            <w:pPr>
              <w:spacing w:after="0"/>
              <w:rPr>
                <w:sz w:val="8"/>
                <w:szCs w:val="8"/>
                <w:color w:val="auto"/>
              </w:rPr>
            </w:pPr>
          </w:p>
        </w:tc>
        <w:tc>
          <w:tcPr>
            <w:tcW w:w="6460" w:type="dxa"/>
            <w:vAlign w:val="bottom"/>
            <w:gridSpan w:val="2"/>
          </w:tcPr>
          <w:p>
            <w:pPr>
              <w:spacing w:after="0"/>
              <w:rPr>
                <w:sz w:val="8"/>
                <w:szCs w:val="8"/>
                <w:color w:val="auto"/>
              </w:rPr>
            </w:pPr>
          </w:p>
        </w:tc>
        <w:tc>
          <w:tcPr>
            <w:tcW w:w="0" w:type="dxa"/>
            <w:vAlign w:val="bottom"/>
          </w:tcPr>
          <w:p>
            <w:pPr>
              <w:spacing w:after="0"/>
              <w:rPr>
                <w:sz w:val="1"/>
                <w:szCs w:val="1"/>
                <w:color w:val="auto"/>
              </w:rPr>
            </w:pPr>
          </w:p>
        </w:tc>
      </w:tr>
      <w:tr>
        <w:trPr>
          <w:trHeight w:val="175"/>
        </w:trPr>
        <w:tc>
          <w:tcPr>
            <w:tcW w:w="1760" w:type="dxa"/>
            <w:vAlign w:val="bottom"/>
          </w:tcPr>
          <w:p>
            <w:pPr>
              <w:spacing w:after="0"/>
              <w:rPr>
                <w:sz w:val="15"/>
                <w:szCs w:val="15"/>
                <w:color w:val="auto"/>
              </w:rPr>
            </w:pPr>
          </w:p>
        </w:tc>
        <w:tc>
          <w:tcPr>
            <w:tcW w:w="2800" w:type="dxa"/>
            <w:vAlign w:val="bottom"/>
            <w:shd w:val="clear" w:color="auto" w:fill="595959"/>
          </w:tcPr>
          <w:p>
            <w:pPr>
              <w:spacing w:after="0"/>
              <w:rPr>
                <w:sz w:val="15"/>
                <w:szCs w:val="15"/>
                <w:color w:val="auto"/>
              </w:rPr>
            </w:pPr>
          </w:p>
        </w:tc>
        <w:tc>
          <w:tcPr>
            <w:tcW w:w="820" w:type="dxa"/>
            <w:vAlign w:val="bottom"/>
            <w:shd w:val="clear" w:color="auto" w:fill="595959"/>
          </w:tcPr>
          <w:p>
            <w:pPr>
              <w:spacing w:after="0"/>
              <w:rPr>
                <w:sz w:val="15"/>
                <w:szCs w:val="15"/>
                <w:color w:val="auto"/>
              </w:rPr>
            </w:pPr>
          </w:p>
        </w:tc>
        <w:tc>
          <w:tcPr>
            <w:tcW w:w="5640" w:type="dxa"/>
            <w:vAlign w:val="bottom"/>
            <w:shd w:val="clear" w:color="auto" w:fill="595959"/>
          </w:tcPr>
          <w:p>
            <w:pPr>
              <w:spacing w:after="0"/>
              <w:rPr>
                <w:sz w:val="15"/>
                <w:szCs w:val="15"/>
                <w:color w:val="auto"/>
              </w:rPr>
            </w:pPr>
          </w:p>
        </w:tc>
        <w:tc>
          <w:tcPr>
            <w:tcW w:w="0" w:type="dxa"/>
            <w:vAlign w:val="bottom"/>
          </w:tcPr>
          <w:p>
            <w:pPr>
              <w:spacing w:after="0"/>
              <w:rPr>
                <w:sz w:val="1"/>
                <w:szCs w:val="1"/>
                <w:color w:val="auto"/>
              </w:rPr>
            </w:pPr>
          </w:p>
        </w:tc>
      </w:tr>
      <w:tr>
        <w:trPr>
          <w:trHeight w:val="233"/>
        </w:trPr>
        <w:tc>
          <w:tcPr>
            <w:tcW w:w="1760" w:type="dxa"/>
            <w:vAlign w:val="bottom"/>
          </w:tcPr>
          <w:p>
            <w:pPr>
              <w:spacing w:after="0"/>
              <w:rPr>
                <w:sz w:val="20"/>
                <w:szCs w:val="20"/>
                <w:color w:val="auto"/>
              </w:rPr>
            </w:pPr>
          </w:p>
        </w:tc>
        <w:tc>
          <w:tcPr>
            <w:tcW w:w="2800" w:type="dxa"/>
            <w:vAlign w:val="bottom"/>
          </w:tcPr>
          <w:p>
            <w:pPr>
              <w:spacing w:after="0"/>
              <w:rPr>
                <w:sz w:val="20"/>
                <w:szCs w:val="20"/>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4"/>
              </w:rPr>
              <w:t>Helps attract and retain executive talent. NEOs receive retirement benefits through several</w:t>
            </w:r>
          </w:p>
        </w:tc>
        <w:tc>
          <w:tcPr>
            <w:tcW w:w="0" w:type="dxa"/>
            <w:vAlign w:val="bottom"/>
          </w:tcPr>
          <w:p>
            <w:pPr>
              <w:spacing w:after="0"/>
              <w:rPr>
                <w:sz w:val="1"/>
                <w:szCs w:val="1"/>
                <w:color w:val="auto"/>
              </w:rPr>
            </w:pPr>
          </w:p>
        </w:tc>
      </w:tr>
      <w:tr>
        <w:trPr>
          <w:trHeight w:val="206"/>
        </w:trPr>
        <w:tc>
          <w:tcPr>
            <w:tcW w:w="1760" w:type="dxa"/>
            <w:vAlign w:val="bottom"/>
          </w:tcPr>
          <w:p>
            <w:pPr>
              <w:spacing w:after="0"/>
              <w:rPr>
                <w:sz w:val="17"/>
                <w:szCs w:val="17"/>
                <w:color w:val="auto"/>
              </w:rPr>
            </w:pPr>
          </w:p>
        </w:tc>
        <w:tc>
          <w:tcPr>
            <w:tcW w:w="2800" w:type="dxa"/>
            <w:vAlign w:val="bottom"/>
            <w:vMerge w:val="restart"/>
          </w:tcPr>
          <w:p>
            <w:pPr>
              <w:jc w:val="center"/>
              <w:ind w:left="319"/>
              <w:spacing w:after="0"/>
              <w:rPr>
                <w:sz w:val="20"/>
                <w:szCs w:val="20"/>
                <w:color w:val="auto"/>
              </w:rPr>
            </w:pPr>
            <w:r>
              <w:rPr>
                <w:rFonts w:ascii="Arial" w:cs="Arial" w:eastAsia="Arial" w:hAnsi="Arial"/>
                <w:sz w:val="16"/>
                <w:szCs w:val="16"/>
                <w:b w:val="1"/>
                <w:bCs w:val="1"/>
                <w:color w:val="auto"/>
                <w:w w:val="90"/>
              </w:rPr>
              <w:t>Retirement and savings</w:t>
            </w:r>
          </w:p>
        </w:tc>
        <w:tc>
          <w:tcPr>
            <w:tcW w:w="820" w:type="dxa"/>
            <w:vAlign w:val="bottom"/>
          </w:tcPr>
          <w:p>
            <w:pPr>
              <w:ind w:left="400"/>
              <w:spacing w:after="0"/>
              <w:rPr>
                <w:sz w:val="20"/>
                <w:szCs w:val="20"/>
                <w:color w:val="auto"/>
              </w:rPr>
            </w:pPr>
            <w:r>
              <w:rPr>
                <w:rFonts w:ascii="Arial" w:cs="Arial" w:eastAsia="Arial" w:hAnsi="Arial"/>
                <w:sz w:val="16"/>
                <w:szCs w:val="16"/>
                <w:color w:val="auto"/>
                <w:w w:val="93"/>
              </w:rPr>
              <w:t>plans:</w:t>
            </w:r>
          </w:p>
        </w:tc>
        <w:tc>
          <w:tcPr>
            <w:tcW w:w="56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1760" w:type="dxa"/>
            <w:vAlign w:val="bottom"/>
          </w:tcPr>
          <w:p>
            <w:pPr>
              <w:spacing w:after="0"/>
              <w:rPr>
                <w:sz w:val="16"/>
                <w:szCs w:val="16"/>
                <w:color w:val="auto"/>
              </w:rPr>
            </w:pPr>
          </w:p>
        </w:tc>
        <w:tc>
          <w:tcPr>
            <w:tcW w:w="2800" w:type="dxa"/>
            <w:vAlign w:val="bottom"/>
            <w:vMerge w:val="continue"/>
          </w:tcPr>
          <w:p>
            <w:pPr>
              <w:spacing w:after="0"/>
              <w:rPr>
                <w:sz w:val="16"/>
                <w:szCs w:val="16"/>
                <w:color w:val="auto"/>
              </w:rPr>
            </w:pPr>
          </w:p>
        </w:tc>
        <w:tc>
          <w:tcPr>
            <w:tcW w:w="6460" w:type="dxa"/>
            <w:vAlign w:val="bottom"/>
            <w:gridSpan w:val="2"/>
            <w:vMerge w:val="restart"/>
          </w:tcPr>
          <w:p>
            <w:pPr>
              <w:ind w:left="640"/>
              <w:spacing w:after="0"/>
              <w:rPr>
                <w:sz w:val="20"/>
                <w:szCs w:val="20"/>
                <w:color w:val="auto"/>
              </w:rPr>
            </w:pPr>
            <w:r>
              <w:rPr>
                <w:rFonts w:ascii="Arial" w:cs="Arial" w:eastAsia="Arial" w:hAnsi="Arial"/>
                <w:sz w:val="16"/>
                <w:szCs w:val="16"/>
                <w:color w:val="auto"/>
              </w:rPr>
              <w:t>•  Qualified and nonqualified defined contribution plans</w:t>
            </w:r>
          </w:p>
        </w:tc>
        <w:tc>
          <w:tcPr>
            <w:tcW w:w="0" w:type="dxa"/>
            <w:vAlign w:val="bottom"/>
          </w:tcPr>
          <w:p>
            <w:pPr>
              <w:spacing w:after="0"/>
              <w:rPr>
                <w:sz w:val="1"/>
                <w:szCs w:val="1"/>
                <w:color w:val="auto"/>
              </w:rPr>
            </w:pPr>
          </w:p>
        </w:tc>
      </w:tr>
      <w:tr>
        <w:trPr>
          <w:trHeight w:val="54"/>
        </w:trPr>
        <w:tc>
          <w:tcPr>
            <w:tcW w:w="1760" w:type="dxa"/>
            <w:vAlign w:val="bottom"/>
          </w:tcPr>
          <w:p>
            <w:pPr>
              <w:spacing w:after="0"/>
              <w:rPr>
                <w:sz w:val="4"/>
                <w:szCs w:val="4"/>
                <w:color w:val="auto"/>
              </w:rPr>
            </w:pPr>
          </w:p>
        </w:tc>
        <w:tc>
          <w:tcPr>
            <w:tcW w:w="2800" w:type="dxa"/>
            <w:vAlign w:val="bottom"/>
          </w:tcPr>
          <w:p>
            <w:pPr>
              <w:spacing w:after="0"/>
              <w:rPr>
                <w:sz w:val="4"/>
                <w:szCs w:val="4"/>
                <w:color w:val="auto"/>
              </w:rPr>
            </w:pPr>
          </w:p>
        </w:tc>
        <w:tc>
          <w:tcPr>
            <w:tcW w:w="646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83"/>
        </w:trPr>
        <w:tc>
          <w:tcPr>
            <w:tcW w:w="1760" w:type="dxa"/>
            <w:vAlign w:val="bottom"/>
          </w:tcPr>
          <w:p>
            <w:pPr>
              <w:spacing w:after="0"/>
              <w:rPr>
                <w:sz w:val="24"/>
                <w:szCs w:val="24"/>
                <w:color w:val="auto"/>
              </w:rPr>
            </w:pPr>
          </w:p>
        </w:tc>
        <w:tc>
          <w:tcPr>
            <w:tcW w:w="2800" w:type="dxa"/>
            <w:vAlign w:val="bottom"/>
          </w:tcPr>
          <w:p>
            <w:pPr>
              <w:spacing w:after="0"/>
              <w:rPr>
                <w:sz w:val="24"/>
                <w:szCs w:val="24"/>
                <w:color w:val="auto"/>
              </w:rPr>
            </w:pPr>
          </w:p>
        </w:tc>
        <w:tc>
          <w:tcPr>
            <w:tcW w:w="820" w:type="dxa"/>
            <w:vAlign w:val="bottom"/>
          </w:tcPr>
          <w:p>
            <w:pPr>
              <w:ind w:left="640"/>
              <w:spacing w:after="0"/>
              <w:rPr>
                <w:sz w:val="20"/>
                <w:szCs w:val="20"/>
                <w:color w:val="auto"/>
              </w:rPr>
            </w:pPr>
            <w:r>
              <w:rPr>
                <w:rFonts w:ascii="Arial" w:cs="Arial" w:eastAsia="Arial" w:hAnsi="Arial"/>
                <w:sz w:val="16"/>
                <w:szCs w:val="16"/>
                <w:color w:val="auto"/>
              </w:rPr>
              <w:t>•</w:t>
            </w:r>
          </w:p>
        </w:tc>
        <w:tc>
          <w:tcPr>
            <w:tcW w:w="5640" w:type="dxa"/>
            <w:vAlign w:val="bottom"/>
          </w:tcPr>
          <w:p>
            <w:pPr>
              <w:ind w:left="60"/>
              <w:spacing w:after="0"/>
              <w:rPr>
                <w:sz w:val="20"/>
                <w:szCs w:val="20"/>
                <w:color w:val="auto"/>
              </w:rPr>
            </w:pPr>
            <w:r>
              <w:rPr>
                <w:rFonts w:ascii="Arial" w:cs="Arial" w:eastAsia="Arial" w:hAnsi="Arial"/>
                <w:sz w:val="16"/>
                <w:szCs w:val="16"/>
                <w:color w:val="auto"/>
              </w:rPr>
              <w:t>Deferred compensation plan*</w:t>
            </w:r>
          </w:p>
        </w:tc>
        <w:tc>
          <w:tcPr>
            <w:tcW w:w="0" w:type="dxa"/>
            <w:vAlign w:val="bottom"/>
          </w:tcPr>
          <w:p>
            <w:pPr>
              <w:spacing w:after="0"/>
              <w:rPr>
                <w:sz w:val="1"/>
                <w:szCs w:val="1"/>
                <w:color w:val="auto"/>
              </w:rPr>
            </w:pPr>
          </w:p>
        </w:tc>
      </w:tr>
      <w:tr>
        <w:trPr>
          <w:trHeight w:val="100"/>
        </w:trPr>
        <w:tc>
          <w:tcPr>
            <w:tcW w:w="1760" w:type="dxa"/>
            <w:vAlign w:val="bottom"/>
          </w:tcPr>
          <w:p>
            <w:pPr>
              <w:spacing w:after="0"/>
              <w:rPr>
                <w:sz w:val="8"/>
                <w:szCs w:val="8"/>
                <w:color w:val="auto"/>
              </w:rPr>
            </w:pPr>
          </w:p>
        </w:tc>
        <w:tc>
          <w:tcPr>
            <w:tcW w:w="2800" w:type="dxa"/>
            <w:vAlign w:val="bottom"/>
            <w:tcBorders>
              <w:bottom w:val="single" w:sz="8" w:color="D8D8D8"/>
            </w:tcBorders>
          </w:tcPr>
          <w:p>
            <w:pPr>
              <w:spacing w:after="0"/>
              <w:rPr>
                <w:sz w:val="8"/>
                <w:szCs w:val="8"/>
                <w:color w:val="auto"/>
              </w:rPr>
            </w:pPr>
          </w:p>
        </w:tc>
        <w:tc>
          <w:tcPr>
            <w:tcW w:w="6460" w:type="dxa"/>
            <w:vAlign w:val="bottom"/>
            <w:tcBorders>
              <w:bottom w:val="single" w:sz="8" w:color="D8D8D8"/>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00"/>
        </w:trPr>
        <w:tc>
          <w:tcPr>
            <w:tcW w:w="176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6460" w:type="dxa"/>
            <w:vAlign w:val="bottom"/>
            <w:gridSpan w:val="2"/>
          </w:tcPr>
          <w:p>
            <w:pPr>
              <w:ind w:left="400"/>
              <w:spacing w:after="0"/>
              <w:rPr>
                <w:sz w:val="20"/>
                <w:szCs w:val="20"/>
                <w:color w:val="auto"/>
              </w:rPr>
            </w:pPr>
            <w:r>
              <w:rPr>
                <w:rFonts w:ascii="Arial" w:cs="Arial" w:eastAsia="Arial" w:hAnsi="Arial"/>
                <w:sz w:val="16"/>
                <w:szCs w:val="16"/>
                <w:color w:val="auto"/>
                <w:w w:val="93"/>
              </w:rPr>
              <w:t>Helps attract and retain executive talent. NEOs are eligible to participate in the benefit plans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-3884930</wp:posOffset>
            </wp:positionV>
            <wp:extent cx="1114425" cy="54952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114425" cy="5495290"/>
                    </a:xfrm>
                    <a:prstGeom prst="rect">
                      <a:avLst/>
                    </a:prstGeom>
                    <a:noFill/>
                  </pic:spPr>
                </pic:pic>
              </a:graphicData>
            </a:graphic>
          </wp:anchor>
        </w:drawing>
      </w:r>
    </w:p>
    <w:tbl>
      <w:tblPr>
        <w:tblLayout w:type="fixed"/>
        <w:tblInd w:w="1880" w:type="dxa"/>
        <w:tblCellMar>
          <w:top w:w="0" w:type="dxa"/>
          <w:left w:w="0" w:type="dxa"/>
          <w:bottom w:w="0" w:type="dxa"/>
          <w:right w:w="0" w:type="dxa"/>
        </w:tblCellMar>
      </w:tblPr>
      <w:tr>
        <w:trPr>
          <w:trHeight w:val="189"/>
        </w:trPr>
        <w:tc>
          <w:tcPr>
            <w:tcW w:w="2640" w:type="dxa"/>
            <w:vAlign w:val="bottom"/>
            <w:vMerge w:val="restart"/>
          </w:tcPr>
          <w:p>
            <w:pPr>
              <w:ind w:left="1100"/>
              <w:spacing w:after="0"/>
              <w:rPr>
                <w:sz w:val="20"/>
                <w:szCs w:val="20"/>
                <w:color w:val="auto"/>
              </w:rPr>
            </w:pPr>
            <w:r>
              <w:rPr>
                <w:rFonts w:ascii="Arial" w:cs="Arial" w:eastAsia="Arial" w:hAnsi="Arial"/>
                <w:sz w:val="16"/>
                <w:szCs w:val="16"/>
                <w:b w:val="1"/>
                <w:bCs w:val="1"/>
                <w:color w:val="auto"/>
              </w:rPr>
              <w:t>Other benefits</w:t>
            </w:r>
          </w:p>
        </w:tc>
        <w:tc>
          <w:tcPr>
            <w:tcW w:w="6620" w:type="dxa"/>
            <w:vAlign w:val="bottom"/>
          </w:tcPr>
          <w:p>
            <w:pPr>
              <w:ind w:left="560"/>
              <w:spacing w:after="0"/>
              <w:rPr>
                <w:sz w:val="20"/>
                <w:szCs w:val="20"/>
                <w:color w:val="auto"/>
              </w:rPr>
            </w:pPr>
            <w:r>
              <w:rPr>
                <w:rFonts w:ascii="Arial" w:cs="Arial" w:eastAsia="Arial" w:hAnsi="Arial"/>
                <w:sz w:val="16"/>
                <w:szCs w:val="16"/>
                <w:color w:val="auto"/>
                <w:w w:val="96"/>
              </w:rPr>
              <w:t>available to salaried employees including medical and dental benefits and life, accidental</w:t>
            </w:r>
          </w:p>
        </w:tc>
        <w:tc>
          <w:tcPr>
            <w:tcW w:w="0" w:type="dxa"/>
            <w:vAlign w:val="bottom"/>
          </w:tcPr>
          <w:p>
            <w:pPr>
              <w:spacing w:after="0"/>
              <w:rPr>
                <w:sz w:val="1"/>
                <w:szCs w:val="1"/>
                <w:color w:val="auto"/>
              </w:rPr>
            </w:pPr>
          </w:p>
        </w:tc>
      </w:tr>
      <w:tr>
        <w:trPr>
          <w:trHeight w:val="98"/>
        </w:trPr>
        <w:tc>
          <w:tcPr>
            <w:tcW w:w="2640" w:type="dxa"/>
            <w:vAlign w:val="bottom"/>
            <w:vMerge w:val="continue"/>
          </w:tcPr>
          <w:p>
            <w:pPr>
              <w:spacing w:after="0"/>
              <w:rPr>
                <w:sz w:val="8"/>
                <w:szCs w:val="8"/>
                <w:color w:val="auto"/>
              </w:rPr>
            </w:pPr>
          </w:p>
        </w:tc>
        <w:tc>
          <w:tcPr>
            <w:tcW w:w="6620" w:type="dxa"/>
            <w:vAlign w:val="bottom"/>
            <w:vMerge w:val="restart"/>
          </w:tcPr>
          <w:p>
            <w:pPr>
              <w:ind w:left="560"/>
              <w:spacing w:after="0"/>
              <w:rPr>
                <w:sz w:val="20"/>
                <w:szCs w:val="20"/>
                <w:color w:val="auto"/>
              </w:rPr>
            </w:pPr>
            <w:r>
              <w:rPr>
                <w:rFonts w:ascii="Arial" w:cs="Arial" w:eastAsia="Arial" w:hAnsi="Arial"/>
                <w:sz w:val="16"/>
                <w:szCs w:val="16"/>
                <w:color w:val="auto"/>
                <w:w w:val="93"/>
              </w:rPr>
              <w:t>death and disability insurance. Perquisites are limited in amount and are not grossed up for</w:t>
            </w:r>
          </w:p>
        </w:tc>
        <w:tc>
          <w:tcPr>
            <w:tcW w:w="0" w:type="dxa"/>
            <w:vAlign w:val="bottom"/>
          </w:tcPr>
          <w:p>
            <w:pPr>
              <w:spacing w:after="0"/>
              <w:rPr>
                <w:sz w:val="1"/>
                <w:szCs w:val="1"/>
                <w:color w:val="auto"/>
              </w:rPr>
            </w:pPr>
          </w:p>
        </w:tc>
      </w:tr>
      <w:tr>
        <w:trPr>
          <w:trHeight w:val="104"/>
        </w:trPr>
        <w:tc>
          <w:tcPr>
            <w:tcW w:w="2640" w:type="dxa"/>
            <w:vAlign w:val="bottom"/>
          </w:tcPr>
          <w:p>
            <w:pPr>
              <w:spacing w:after="0"/>
              <w:rPr>
                <w:sz w:val="9"/>
                <w:szCs w:val="9"/>
                <w:color w:val="auto"/>
              </w:rPr>
            </w:pPr>
          </w:p>
        </w:tc>
        <w:tc>
          <w:tcPr>
            <w:tcW w:w="66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9"/>
        </w:trPr>
        <w:tc>
          <w:tcPr>
            <w:tcW w:w="2640" w:type="dxa"/>
            <w:vAlign w:val="bottom"/>
            <w:tcBorders>
              <w:bottom w:val="single" w:sz="8" w:color="D8D8D8"/>
            </w:tcBorders>
          </w:tcPr>
          <w:p>
            <w:pPr>
              <w:spacing w:after="0"/>
              <w:rPr>
                <w:sz w:val="18"/>
                <w:szCs w:val="18"/>
                <w:color w:val="auto"/>
              </w:rPr>
            </w:pPr>
          </w:p>
        </w:tc>
        <w:tc>
          <w:tcPr>
            <w:tcW w:w="6620" w:type="dxa"/>
            <w:vAlign w:val="bottom"/>
            <w:tcBorders>
              <w:bottom w:val="single" w:sz="8" w:color="D8D8D8"/>
            </w:tcBorders>
          </w:tcPr>
          <w:p>
            <w:pPr>
              <w:ind w:left="560"/>
              <w:spacing w:after="0"/>
              <w:rPr>
                <w:sz w:val="20"/>
                <w:szCs w:val="20"/>
                <w:color w:val="auto"/>
              </w:rPr>
            </w:pPr>
            <w:r>
              <w:rPr>
                <w:rFonts w:ascii="Arial" w:cs="Arial" w:eastAsia="Arial" w:hAnsi="Arial"/>
                <w:sz w:val="16"/>
                <w:szCs w:val="16"/>
                <w:color w:val="auto"/>
              </w:rPr>
              <w:t>taxes, and the Compensation Committee limits eligibility and use.</w:t>
            </w:r>
          </w:p>
        </w:tc>
        <w:tc>
          <w:tcPr>
            <w:tcW w:w="0" w:type="dxa"/>
            <w:vAlign w:val="bottom"/>
          </w:tcPr>
          <w:p>
            <w:pPr>
              <w:spacing w:after="0"/>
              <w:rPr>
                <w:sz w:val="1"/>
                <w:szCs w:val="1"/>
                <w:color w:val="auto"/>
              </w:rPr>
            </w:pPr>
          </w:p>
        </w:tc>
      </w:tr>
      <w:tr>
        <w:trPr>
          <w:trHeight w:val="189"/>
        </w:trPr>
        <w:tc>
          <w:tcPr>
            <w:tcW w:w="2640" w:type="dxa"/>
            <w:vAlign w:val="bottom"/>
          </w:tcPr>
          <w:p>
            <w:pPr>
              <w:spacing w:after="0"/>
              <w:rPr>
                <w:sz w:val="16"/>
                <w:szCs w:val="16"/>
                <w:color w:val="auto"/>
              </w:rPr>
            </w:pPr>
          </w:p>
        </w:tc>
        <w:tc>
          <w:tcPr>
            <w:tcW w:w="6620" w:type="dxa"/>
            <w:vAlign w:val="bottom"/>
          </w:tcPr>
          <w:p>
            <w:pPr>
              <w:ind w:left="560"/>
              <w:spacing w:after="0"/>
              <w:rPr>
                <w:sz w:val="20"/>
                <w:szCs w:val="20"/>
                <w:color w:val="auto"/>
              </w:rPr>
            </w:pPr>
            <w:r>
              <w:rPr>
                <w:rFonts w:ascii="Arial" w:cs="Arial" w:eastAsia="Arial" w:hAnsi="Arial"/>
                <w:sz w:val="16"/>
                <w:szCs w:val="16"/>
                <w:color w:val="auto"/>
                <w:w w:val="98"/>
              </w:rPr>
              <w:t>Helps ensure NEOs remain focused on creating sustainable performance. Agreements</w:t>
            </w:r>
          </w:p>
        </w:tc>
        <w:tc>
          <w:tcPr>
            <w:tcW w:w="0" w:type="dxa"/>
            <w:vAlign w:val="bottom"/>
          </w:tcPr>
          <w:p>
            <w:pPr>
              <w:spacing w:after="0"/>
              <w:rPr>
                <w:sz w:val="1"/>
                <w:szCs w:val="1"/>
                <w:color w:val="auto"/>
              </w:rPr>
            </w:pPr>
          </w:p>
        </w:tc>
      </w:tr>
      <w:tr>
        <w:trPr>
          <w:trHeight w:val="206"/>
        </w:trPr>
        <w:tc>
          <w:tcPr>
            <w:tcW w:w="2640" w:type="dxa"/>
            <w:vAlign w:val="bottom"/>
          </w:tcPr>
          <w:p>
            <w:pPr>
              <w:spacing w:after="0"/>
              <w:rPr>
                <w:sz w:val="17"/>
                <w:szCs w:val="17"/>
                <w:color w:val="auto"/>
              </w:rPr>
            </w:pPr>
          </w:p>
        </w:tc>
        <w:tc>
          <w:tcPr>
            <w:tcW w:w="6620" w:type="dxa"/>
            <w:vAlign w:val="bottom"/>
          </w:tcPr>
          <w:p>
            <w:pPr>
              <w:ind w:left="560"/>
              <w:spacing w:after="0"/>
              <w:rPr>
                <w:sz w:val="20"/>
                <w:szCs w:val="20"/>
                <w:color w:val="auto"/>
              </w:rPr>
            </w:pPr>
            <w:r>
              <w:rPr>
                <w:rFonts w:ascii="Arial" w:cs="Arial" w:eastAsia="Arial" w:hAnsi="Arial"/>
                <w:sz w:val="16"/>
                <w:szCs w:val="16"/>
                <w:color w:val="auto"/>
              </w:rPr>
              <w:t>protect the company and the NEOs from risks by providing:</w:t>
            </w:r>
          </w:p>
        </w:tc>
        <w:tc>
          <w:tcPr>
            <w:tcW w:w="0" w:type="dxa"/>
            <w:vAlign w:val="bottom"/>
          </w:tcPr>
          <w:p>
            <w:pPr>
              <w:spacing w:after="0"/>
              <w:rPr>
                <w:sz w:val="1"/>
                <w:szCs w:val="1"/>
                <w:color w:val="auto"/>
              </w:rPr>
            </w:pPr>
          </w:p>
        </w:tc>
      </w:tr>
    </w:tbl>
    <w:p>
      <w:pPr>
        <w:spacing w:after="0" w:line="37" w:lineRule="exact"/>
        <w:rPr>
          <w:sz w:val="20"/>
          <w:szCs w:val="20"/>
          <w:color w:val="auto"/>
        </w:rPr>
      </w:pPr>
    </w:p>
    <w:p>
      <w:pPr>
        <w:sectPr>
          <w:pgSz w:w="11900" w:h="16838" w:orient="portrait"/>
          <w:cols w:equalWidth="0" w:num="1">
            <w:col w:w="11140"/>
          </w:cols>
          <w:pgMar w:left="320" w:top="459" w:right="439" w:bottom="1440" w:gutter="0" w:footer="0" w:header="0"/>
        </w:sectPr>
      </w:pPr>
    </w:p>
    <w:p>
      <w:pPr>
        <w:spacing w:after="0" w:line="63" w:lineRule="exact"/>
        <w:rPr>
          <w:sz w:val="20"/>
          <w:szCs w:val="20"/>
          <w:color w:val="auto"/>
        </w:rPr>
      </w:pPr>
    </w:p>
    <w:p>
      <w:pPr>
        <w:jc w:val="center"/>
        <w:ind w:left="2353"/>
        <w:spacing w:after="0"/>
        <w:rPr>
          <w:sz w:val="20"/>
          <w:szCs w:val="20"/>
          <w:color w:val="auto"/>
        </w:rPr>
      </w:pPr>
      <w:r>
        <w:rPr>
          <w:rFonts w:ascii="Arial" w:cs="Arial" w:eastAsia="Arial" w:hAnsi="Arial"/>
          <w:sz w:val="14"/>
          <w:szCs w:val="14"/>
          <w:b w:val="1"/>
          <w:bCs w:val="1"/>
          <w:color w:val="auto"/>
        </w:rPr>
        <w:t>Severance and change in control</w:t>
      </w:r>
    </w:p>
    <w:p>
      <w:pPr>
        <w:spacing w:after="0" w:line="49" w:lineRule="exact"/>
        <w:rPr>
          <w:sz w:val="20"/>
          <w:szCs w:val="20"/>
          <w:color w:val="auto"/>
        </w:rPr>
      </w:pPr>
    </w:p>
    <w:p>
      <w:pPr>
        <w:jc w:val="center"/>
        <w:ind w:left="2353"/>
        <w:spacing w:after="0"/>
        <w:rPr>
          <w:sz w:val="20"/>
          <w:szCs w:val="20"/>
          <w:color w:val="auto"/>
        </w:rPr>
      </w:pPr>
      <w:r>
        <w:rPr>
          <w:rFonts w:ascii="Arial" w:cs="Arial" w:eastAsia="Arial" w:hAnsi="Arial"/>
          <w:sz w:val="16"/>
          <w:szCs w:val="16"/>
          <w:b w:val="1"/>
          <w:bCs w:val="1"/>
          <w:color w:val="auto"/>
        </w:rPr>
        <w:t>agreements</w:t>
      </w:r>
    </w:p>
    <w:p>
      <w:pPr>
        <w:spacing w:after="0" w:line="20" w:lineRule="exact"/>
        <w:rPr>
          <w:sz w:val="20"/>
          <w:szCs w:val="20"/>
          <w:color w:val="auto"/>
        </w:rPr>
      </w:pPr>
      <w:r>
        <w:rPr>
          <w:sz w:val="20"/>
          <w:szCs w:val="20"/>
          <w:color w:val="auto"/>
        </w:rPr>
        <w:br w:type="column"/>
      </w:r>
    </w:p>
    <w:p>
      <w:pPr>
        <w:ind w:left="233" w:hanging="233"/>
        <w:spacing w:after="0"/>
        <w:tabs>
          <w:tab w:leader="none" w:pos="233" w:val="left"/>
        </w:tabs>
        <w:numPr>
          <w:ilvl w:val="0"/>
          <w:numId w:val="47"/>
        </w:numPr>
        <w:rPr>
          <w:rFonts w:ascii="Arial" w:cs="Arial" w:eastAsia="Arial" w:hAnsi="Arial"/>
          <w:sz w:val="16"/>
          <w:szCs w:val="16"/>
          <w:color w:val="auto"/>
        </w:rPr>
      </w:pPr>
      <w:r>
        <w:rPr>
          <w:rFonts w:ascii="Arial" w:cs="Arial" w:eastAsia="Arial" w:hAnsi="Arial"/>
          <w:sz w:val="16"/>
          <w:szCs w:val="16"/>
          <w:color w:val="auto"/>
        </w:rPr>
        <w:t>Economic stability</w:t>
      </w:r>
    </w:p>
    <w:p>
      <w:pPr>
        <w:spacing w:after="0" w:line="59" w:lineRule="exact"/>
        <w:rPr>
          <w:rFonts w:ascii="Arial" w:cs="Arial" w:eastAsia="Arial" w:hAnsi="Arial"/>
          <w:sz w:val="16"/>
          <w:szCs w:val="16"/>
          <w:color w:val="auto"/>
        </w:rPr>
      </w:pPr>
    </w:p>
    <w:p>
      <w:pPr>
        <w:ind w:left="233" w:hanging="233"/>
        <w:spacing w:after="0"/>
        <w:tabs>
          <w:tab w:leader="none" w:pos="233" w:val="left"/>
        </w:tabs>
        <w:numPr>
          <w:ilvl w:val="0"/>
          <w:numId w:val="47"/>
        </w:numPr>
        <w:rPr>
          <w:rFonts w:ascii="Arial" w:cs="Arial" w:eastAsia="Arial" w:hAnsi="Arial"/>
          <w:sz w:val="16"/>
          <w:szCs w:val="16"/>
          <w:color w:val="auto"/>
        </w:rPr>
      </w:pPr>
      <w:r>
        <w:rPr>
          <w:rFonts w:ascii="Arial" w:cs="Arial" w:eastAsia="Arial" w:hAnsi="Arial"/>
          <w:sz w:val="16"/>
          <w:szCs w:val="16"/>
          <w:color w:val="auto"/>
        </w:rPr>
        <w:t>Death or disability payments</w:t>
      </w:r>
    </w:p>
    <w:p>
      <w:pPr>
        <w:spacing w:after="0" w:line="59" w:lineRule="exact"/>
        <w:rPr>
          <w:rFonts w:ascii="Arial" w:cs="Arial" w:eastAsia="Arial" w:hAnsi="Arial"/>
          <w:sz w:val="16"/>
          <w:szCs w:val="16"/>
          <w:color w:val="auto"/>
        </w:rPr>
      </w:pPr>
    </w:p>
    <w:p>
      <w:pPr>
        <w:ind w:left="253" w:right="140" w:hanging="253"/>
        <w:spacing w:after="0" w:line="293" w:lineRule="auto"/>
        <w:tabs>
          <w:tab w:leader="none" w:pos="239" w:val="left"/>
        </w:tabs>
        <w:numPr>
          <w:ilvl w:val="0"/>
          <w:numId w:val="47"/>
        </w:numPr>
        <w:rPr>
          <w:rFonts w:ascii="Arial" w:cs="Arial" w:eastAsia="Arial" w:hAnsi="Arial"/>
          <w:sz w:val="16"/>
          <w:szCs w:val="16"/>
          <w:color w:val="auto"/>
        </w:rPr>
      </w:pPr>
      <w:r>
        <w:rPr>
          <w:rFonts w:ascii="Arial" w:cs="Arial" w:eastAsia="Arial" w:hAnsi="Arial"/>
          <w:sz w:val="16"/>
          <w:szCs w:val="16"/>
          <w:color w:val="auto"/>
        </w:rPr>
        <w:t>Double-trigger payments and benefits upon a qualifying termination of employment in the event of a change in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-2193925</wp:posOffset>
            </wp:positionH>
            <wp:positionV relativeFrom="paragraph">
              <wp:posOffset>38100</wp:posOffset>
            </wp:positionV>
            <wp:extent cx="5880735"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5880735" cy="8890"/>
                    </a:xfrm>
                    <a:prstGeom prst="rect">
                      <a:avLst/>
                    </a:prstGeom>
                    <a:noFill/>
                  </pic:spPr>
                </pic:pic>
              </a:graphicData>
            </a:graphic>
          </wp:anchor>
        </w:drawing>
      </w:r>
    </w:p>
    <w:p>
      <w:pPr>
        <w:spacing w:after="0" w:line="176" w:lineRule="exact"/>
        <w:rPr>
          <w:sz w:val="20"/>
          <w:szCs w:val="20"/>
          <w:color w:val="auto"/>
        </w:rPr>
      </w:pPr>
    </w:p>
    <w:p>
      <w:pPr>
        <w:sectPr>
          <w:pgSz w:w="11900" w:h="16838" w:orient="portrait"/>
          <w:cols w:equalWidth="0" w:num="2">
            <w:col w:w="4607" w:space="720"/>
            <w:col w:w="5813"/>
          </w:cols>
          <w:pgMar w:left="320" w:top="459" w:right="439" w:bottom="1440" w:gutter="0" w:footer="0" w:header="0"/>
          <w:type w:val="continuous"/>
        </w:sectPr>
      </w:pPr>
    </w:p>
    <w:p>
      <w:pPr>
        <w:ind w:left="2000" w:right="420" w:hanging="8"/>
        <w:spacing w:after="0" w:line="253" w:lineRule="auto"/>
        <w:tabs>
          <w:tab w:leader="none" w:pos="2108" w:val="left"/>
        </w:tabs>
        <w:numPr>
          <w:ilvl w:val="0"/>
          <w:numId w:val="48"/>
        </w:numPr>
        <w:rPr>
          <w:rFonts w:ascii="Arial" w:cs="Arial" w:eastAsia="Arial" w:hAnsi="Arial"/>
          <w:sz w:val="14"/>
          <w:szCs w:val="14"/>
          <w:color w:val="auto"/>
        </w:rPr>
      </w:pPr>
      <w:r>
        <w:rPr>
          <w:rFonts w:ascii="Arial" w:cs="Arial" w:eastAsia="Arial" w:hAnsi="Arial"/>
          <w:sz w:val="14"/>
          <w:szCs w:val="14"/>
          <w:color w:val="auto"/>
        </w:rPr>
        <w:t>Effective December 31, 2021, the deferred compensation plan for salaried employees was frozen and no deferrals will be credited under the plan with respect to any compensation earned on or after January 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1188085</wp:posOffset>
            </wp:positionH>
            <wp:positionV relativeFrom="paragraph">
              <wp:posOffset>19050</wp:posOffset>
            </wp:positionV>
            <wp:extent cx="5880735"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880735" cy="8890"/>
                    </a:xfrm>
                    <a:prstGeom prst="rect">
                      <a:avLst/>
                    </a:prstGeom>
                    <a:noFill/>
                  </pic:spPr>
                </pic:pic>
              </a:graphicData>
            </a:graphic>
          </wp:anchor>
        </w:drawing>
      </w:r>
    </w:p>
    <w:p>
      <w:pPr>
        <w:spacing w:after="0" w:line="162"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44</w:t>
      </w:r>
    </w:p>
    <w:p>
      <w:pPr>
        <w:sectPr>
          <w:pgSz w:w="11900" w:h="16838" w:orient="portrait"/>
          <w:cols w:equalWidth="0" w:num="1">
            <w:col w:w="11140"/>
          </w:cols>
          <w:pgMar w:left="320" w:top="459" w:right="439" w:bottom="1440" w:gutter="0" w:footer="0" w:header="0"/>
          <w:type w:val="continuous"/>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Analysis of 2021 compensation</w:t>
      </w:r>
    </w:p>
    <w:p>
      <w:pPr>
        <w:spacing w:after="0" w:line="234"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following factors guided compensation decisions for 2021:</w:t>
      </w:r>
    </w:p>
    <w:p>
      <w:pPr>
        <w:spacing w:after="0" w:line="90" w:lineRule="exact"/>
        <w:rPr>
          <w:sz w:val="20"/>
          <w:szCs w:val="20"/>
          <w:color w:val="auto"/>
        </w:rPr>
      </w:pPr>
    </w:p>
    <w:p>
      <w:pPr>
        <w:ind w:left="980" w:hanging="540"/>
        <w:spacing w:after="0"/>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Executive compensation program objectives and philosophy;</w:t>
      </w:r>
    </w:p>
    <w:p>
      <w:pPr>
        <w:spacing w:after="0" w:line="90" w:lineRule="exact"/>
        <w:rPr>
          <w:rFonts w:ascii="Arial" w:cs="Arial" w:eastAsia="Arial" w:hAnsi="Arial"/>
          <w:sz w:val="18"/>
          <w:szCs w:val="18"/>
          <w:color w:val="auto"/>
        </w:rPr>
      </w:pPr>
    </w:p>
    <w:p>
      <w:pPr>
        <w:ind w:left="980" w:hanging="540"/>
        <w:spacing w:after="0"/>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Expected and actual financial performance;</w:t>
      </w:r>
    </w:p>
    <w:p>
      <w:pPr>
        <w:spacing w:after="0" w:line="90" w:lineRule="exact"/>
        <w:rPr>
          <w:rFonts w:ascii="Arial" w:cs="Arial" w:eastAsia="Arial" w:hAnsi="Arial"/>
          <w:sz w:val="18"/>
          <w:szCs w:val="18"/>
          <w:color w:val="auto"/>
        </w:rPr>
      </w:pPr>
    </w:p>
    <w:p>
      <w:pPr>
        <w:ind w:left="980" w:hanging="540"/>
        <w:spacing w:after="0"/>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Recommendations of the President and CEO for the other NEOs;</w:t>
      </w:r>
    </w:p>
    <w:p>
      <w:pPr>
        <w:spacing w:after="0" w:line="90" w:lineRule="exact"/>
        <w:rPr>
          <w:rFonts w:ascii="Arial" w:cs="Arial" w:eastAsia="Arial" w:hAnsi="Arial"/>
          <w:sz w:val="18"/>
          <w:szCs w:val="18"/>
          <w:color w:val="auto"/>
        </w:rPr>
      </w:pPr>
    </w:p>
    <w:p>
      <w:pPr>
        <w:ind w:left="980" w:hanging="540"/>
        <w:spacing w:after="0"/>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Assessment of risk associated with our compensation plans, including avoiding unnecessary or excessive risk-taking;</w:t>
      </w:r>
    </w:p>
    <w:p>
      <w:pPr>
        <w:spacing w:after="0" w:line="90" w:lineRule="exact"/>
        <w:rPr>
          <w:rFonts w:ascii="Arial" w:cs="Arial" w:eastAsia="Arial" w:hAnsi="Arial"/>
          <w:sz w:val="18"/>
          <w:szCs w:val="18"/>
          <w:color w:val="auto"/>
        </w:rPr>
      </w:pPr>
    </w:p>
    <w:p>
      <w:pPr>
        <w:ind w:left="980" w:hanging="540"/>
        <w:spacing w:after="0"/>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Advice of an independent compensation consultant; and</w:t>
      </w:r>
    </w:p>
    <w:p>
      <w:pPr>
        <w:spacing w:after="0" w:line="90" w:lineRule="exact"/>
        <w:rPr>
          <w:rFonts w:ascii="Arial" w:cs="Arial" w:eastAsia="Arial" w:hAnsi="Arial"/>
          <w:sz w:val="18"/>
          <w:szCs w:val="18"/>
          <w:color w:val="auto"/>
        </w:rPr>
      </w:pPr>
    </w:p>
    <w:p>
      <w:pPr>
        <w:ind w:left="980" w:hanging="540"/>
        <w:spacing w:after="0"/>
        <w:tabs>
          <w:tab w:leader="none" w:pos="980" w:val="left"/>
        </w:tabs>
        <w:numPr>
          <w:ilvl w:val="0"/>
          <w:numId w:val="49"/>
        </w:numPr>
        <w:rPr>
          <w:rFonts w:ascii="Arial" w:cs="Arial" w:eastAsia="Arial" w:hAnsi="Arial"/>
          <w:sz w:val="17"/>
          <w:szCs w:val="17"/>
          <w:color w:val="auto"/>
        </w:rPr>
      </w:pPr>
      <w:r>
        <w:rPr>
          <w:rFonts w:ascii="Arial" w:cs="Arial" w:eastAsia="Arial" w:hAnsi="Arial"/>
          <w:sz w:val="17"/>
          <w:szCs w:val="17"/>
          <w:color w:val="auto"/>
        </w:rPr>
        <w:t>Market pay practices as reflected by a compensation peer group as well as external executive compensation data, studies and trends.</w:t>
      </w:r>
    </w:p>
    <w:p>
      <w:pPr>
        <w:spacing w:after="0" w:line="23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Compensation peer group</w:t>
      </w:r>
    </w:p>
    <w:p>
      <w:pPr>
        <w:spacing w:after="0" w:line="117" w:lineRule="exact"/>
        <w:rPr>
          <w:sz w:val="20"/>
          <w:szCs w:val="20"/>
          <w:color w:val="auto"/>
        </w:rPr>
      </w:pPr>
    </w:p>
    <w:p>
      <w:pPr>
        <w:ind w:left="120" w:right="40"/>
        <w:spacing w:after="0" w:line="296" w:lineRule="auto"/>
        <w:rPr>
          <w:sz w:val="20"/>
          <w:szCs w:val="20"/>
          <w:color w:val="auto"/>
        </w:rPr>
      </w:pPr>
      <w:r>
        <w:rPr>
          <w:rFonts w:ascii="Arial" w:cs="Arial" w:eastAsia="Arial" w:hAnsi="Arial"/>
          <w:sz w:val="16"/>
          <w:szCs w:val="16"/>
          <w:color w:val="auto"/>
        </w:rPr>
        <w:t>In 2018, the Compensation Committee approved the adoption of a compensation peer group to serve as the primary benchmark in setting target compensation for the CEO and CFO beginning in 2019. In 2021, the Compensation Committee requested that its independent compensation consultant, Meridian Compensation Partners, LLC, review the previously adopted peer group to verify whether the current peers are appropriate on a go-forward basis. Upon completion of its review, Meridian advised that the current peer group remains appropriate and recommended no changes. This peer group consists of 18 steel and related-industry companies that are generally within an appropriate revenue and market capitalization range, as follows:</w:t>
      </w:r>
    </w:p>
    <w:p>
      <w:pPr>
        <w:spacing w:after="0" w:line="176" w:lineRule="exact"/>
        <w:rPr>
          <w:sz w:val="20"/>
          <w:szCs w:val="20"/>
          <w:color w:val="auto"/>
        </w:rPr>
      </w:pPr>
    </w:p>
    <w:tbl>
      <w:tblPr>
        <w:tblLayout w:type="fixed"/>
        <w:tblInd w:w="500" w:type="dxa"/>
        <w:tblCellMar>
          <w:top w:w="0" w:type="dxa"/>
          <w:left w:w="0" w:type="dxa"/>
          <w:bottom w:w="0" w:type="dxa"/>
          <w:right w:w="0" w:type="dxa"/>
        </w:tblCellMar>
      </w:tblPr>
      <w:tr>
        <w:trPr>
          <w:trHeight w:val="243"/>
        </w:trPr>
        <w:tc>
          <w:tcPr>
            <w:tcW w:w="3440" w:type="dxa"/>
            <w:vAlign w:val="bottom"/>
            <w:shd w:val="clear" w:color="auto" w:fill="939598"/>
          </w:tcPr>
          <w:p>
            <w:pPr>
              <w:spacing w:after="0"/>
              <w:rPr>
                <w:sz w:val="21"/>
                <w:szCs w:val="21"/>
                <w:color w:val="auto"/>
              </w:rPr>
            </w:pPr>
          </w:p>
        </w:tc>
        <w:tc>
          <w:tcPr>
            <w:tcW w:w="6800" w:type="dxa"/>
            <w:vAlign w:val="bottom"/>
            <w:shd w:val="clear" w:color="auto" w:fill="939598"/>
          </w:tcPr>
          <w:p>
            <w:pPr>
              <w:ind w:left="620"/>
              <w:spacing w:after="0"/>
              <w:rPr>
                <w:sz w:val="20"/>
                <w:szCs w:val="20"/>
                <w:color w:val="auto"/>
              </w:rPr>
            </w:pPr>
            <w:r>
              <w:rPr>
                <w:rFonts w:ascii="Arial" w:cs="Arial" w:eastAsia="Arial" w:hAnsi="Arial"/>
                <w:sz w:val="18"/>
                <w:szCs w:val="18"/>
                <w:b w:val="1"/>
                <w:bCs w:val="1"/>
                <w:color w:val="FFFFFF"/>
              </w:rPr>
              <w:t>2021 Peer group companies</w:t>
            </w:r>
          </w:p>
        </w:tc>
      </w:tr>
      <w:tr>
        <w:trPr>
          <w:trHeight w:val="243"/>
        </w:trPr>
        <w:tc>
          <w:tcPr>
            <w:tcW w:w="3440" w:type="dxa"/>
            <w:vAlign w:val="bottom"/>
            <w:shd w:val="clear" w:color="auto" w:fill="595959"/>
          </w:tcPr>
          <w:p>
            <w:pPr>
              <w:spacing w:after="0"/>
              <w:rPr>
                <w:sz w:val="21"/>
                <w:szCs w:val="21"/>
                <w:color w:val="auto"/>
              </w:rPr>
            </w:pPr>
          </w:p>
        </w:tc>
        <w:tc>
          <w:tcPr>
            <w:tcW w:w="6800" w:type="dxa"/>
            <w:vAlign w:val="bottom"/>
            <w:shd w:val="clear" w:color="auto" w:fill="595959"/>
          </w:tcPr>
          <w:p>
            <w:pPr>
              <w:spacing w:after="0"/>
              <w:rPr>
                <w:sz w:val="21"/>
                <w:szCs w:val="21"/>
                <w:color w:val="auto"/>
              </w:rPr>
            </w:pPr>
          </w:p>
        </w:tc>
      </w:tr>
      <w:tr>
        <w:trPr>
          <w:trHeight w:val="230"/>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Allegheny Technologies Incorporated</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L.B. Foster Corporation</w:t>
            </w:r>
          </w:p>
        </w:tc>
      </w:tr>
      <w:tr>
        <w:trPr>
          <w:trHeight w:val="236"/>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Barnes Group</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Materion Corporation</w:t>
            </w:r>
          </w:p>
        </w:tc>
      </w:tr>
      <w:tr>
        <w:trPr>
          <w:trHeight w:val="237"/>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Carpenter Technology Corporation</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NN, Incorporated</w:t>
            </w:r>
          </w:p>
        </w:tc>
      </w:tr>
      <w:tr>
        <w:trPr>
          <w:trHeight w:val="237"/>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Century Aluminum Corporation</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Olympic Steel, Incorporated</w:t>
            </w:r>
          </w:p>
        </w:tc>
      </w:tr>
      <w:tr>
        <w:trPr>
          <w:trHeight w:val="236"/>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Columbus McKinnon Corporation</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Ryerson Holding Corporation</w:t>
            </w:r>
          </w:p>
        </w:tc>
      </w:tr>
      <w:tr>
        <w:trPr>
          <w:trHeight w:val="237"/>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Enerpac Tool Group Corp.*</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Schnitzer Steel Industries, Incorporated</w:t>
            </w:r>
          </w:p>
        </w:tc>
      </w:tr>
      <w:tr>
        <w:trPr>
          <w:trHeight w:val="237"/>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Harsco Corporation</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SunCoke Energy, Incorporated</w:t>
            </w:r>
          </w:p>
        </w:tc>
      </w:tr>
      <w:tr>
        <w:trPr>
          <w:trHeight w:val="236"/>
        </w:trPr>
        <w:tc>
          <w:tcPr>
            <w:tcW w:w="344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Haynes International Inc.</w:t>
            </w:r>
          </w:p>
        </w:tc>
        <w:tc>
          <w:tcPr>
            <w:tcW w:w="6800" w:type="dxa"/>
            <w:vAlign w:val="bottom"/>
            <w:tcBorders>
              <w:bottom w:val="single" w:sz="8" w:color="D8D8D8"/>
            </w:tcBorders>
          </w:tcPr>
          <w:p>
            <w:pPr>
              <w:ind w:left="2000"/>
              <w:spacing w:after="0"/>
              <w:rPr>
                <w:sz w:val="20"/>
                <w:szCs w:val="20"/>
                <w:color w:val="auto"/>
              </w:rPr>
            </w:pPr>
            <w:r>
              <w:rPr>
                <w:rFonts w:ascii="Arial" w:cs="Arial" w:eastAsia="Arial" w:hAnsi="Arial"/>
                <w:sz w:val="18"/>
                <w:szCs w:val="18"/>
                <w:color w:val="auto"/>
              </w:rPr>
              <w:t>TriMas Corporation</w:t>
            </w:r>
          </w:p>
        </w:tc>
      </w:tr>
      <w:tr>
        <w:trPr>
          <w:trHeight w:val="237"/>
        </w:trPr>
        <w:tc>
          <w:tcPr>
            <w:tcW w:w="3440" w:type="dxa"/>
            <w:vAlign w:val="bottom"/>
          </w:tcPr>
          <w:p>
            <w:pPr>
              <w:ind w:left="100"/>
              <w:spacing w:after="0"/>
              <w:rPr>
                <w:sz w:val="20"/>
                <w:szCs w:val="20"/>
                <w:color w:val="auto"/>
              </w:rPr>
            </w:pPr>
            <w:r>
              <w:rPr>
                <w:rFonts w:ascii="Arial" w:cs="Arial" w:eastAsia="Arial" w:hAnsi="Arial"/>
                <w:sz w:val="18"/>
                <w:szCs w:val="18"/>
                <w:color w:val="auto"/>
              </w:rPr>
              <w:t>Kaiser Aluminum Corporation</w:t>
            </w:r>
          </w:p>
        </w:tc>
        <w:tc>
          <w:tcPr>
            <w:tcW w:w="6800" w:type="dxa"/>
            <w:vAlign w:val="bottom"/>
          </w:tcPr>
          <w:p>
            <w:pPr>
              <w:ind w:left="2000"/>
              <w:spacing w:after="0"/>
              <w:rPr>
                <w:sz w:val="20"/>
                <w:szCs w:val="20"/>
                <w:color w:val="auto"/>
              </w:rPr>
            </w:pPr>
            <w:r>
              <w:rPr>
                <w:rFonts w:ascii="Arial" w:cs="Arial" w:eastAsia="Arial" w:hAnsi="Arial"/>
                <w:sz w:val="18"/>
                <w:szCs w:val="18"/>
                <w:color w:val="auto"/>
              </w:rPr>
              <w:t>Worthington Industries, Incorporated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0</wp:posOffset>
            </wp:positionV>
            <wp:extent cx="6497955"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6497955" cy="8255"/>
                    </a:xfrm>
                    <a:prstGeom prst="rect">
                      <a:avLst/>
                    </a:prstGeom>
                    <a:noFill/>
                  </pic:spPr>
                </pic:pic>
              </a:graphicData>
            </a:graphic>
          </wp:anchor>
        </w:drawing>
      </w:r>
    </w:p>
    <w:p>
      <w:pPr>
        <w:ind w:left="560"/>
        <w:spacing w:after="0"/>
        <w:rPr>
          <w:sz w:val="20"/>
          <w:szCs w:val="20"/>
          <w:color w:val="auto"/>
        </w:rPr>
      </w:pPr>
      <w:r>
        <w:rPr>
          <w:rFonts w:ascii="Arial" w:cs="Arial" w:eastAsia="Arial" w:hAnsi="Arial"/>
          <w:sz w:val="14"/>
          <w:szCs w:val="14"/>
          <w:i w:val="1"/>
          <w:iCs w:val="1"/>
          <w:color w:val="auto"/>
        </w:rPr>
        <w:t>*Previously known as Actuant Corporation.</w:t>
      </w:r>
    </w:p>
    <w:p>
      <w:pPr>
        <w:spacing w:after="0" w:line="176"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Guidelines for CEO and CFO salaries, annual incentives, long-term incentives and target total direct compensation are initially based on or near the 50</w:t>
      </w:r>
      <w:r>
        <w:rPr>
          <w:rFonts w:ascii="Arial" w:cs="Arial" w:eastAsia="Arial" w:hAnsi="Arial"/>
          <w:sz w:val="15"/>
          <w:szCs w:val="15"/>
          <w:color w:val="auto"/>
        </w:rPr>
        <w:t>th</w:t>
      </w:r>
      <w:r>
        <w:rPr>
          <w:rFonts w:ascii="Arial" w:cs="Arial" w:eastAsia="Arial" w:hAnsi="Arial"/>
          <w:sz w:val="18"/>
          <w:szCs w:val="18"/>
          <w:color w:val="auto"/>
        </w:rPr>
        <w:t xml:space="preserve"> percentile of peer group data for those roles.</w:t>
      </w:r>
    </w:p>
    <w:p>
      <w:pPr>
        <w:spacing w:after="0" w:line="130" w:lineRule="exact"/>
        <w:rPr>
          <w:sz w:val="20"/>
          <w:szCs w:val="20"/>
          <w:color w:val="auto"/>
        </w:rPr>
      </w:pPr>
    </w:p>
    <w:p>
      <w:pPr>
        <w:ind w:left="120" w:right="40"/>
        <w:spacing w:after="0" w:line="279" w:lineRule="auto"/>
        <w:rPr>
          <w:sz w:val="20"/>
          <w:szCs w:val="20"/>
          <w:color w:val="auto"/>
        </w:rPr>
      </w:pPr>
      <w:r>
        <w:rPr>
          <w:rFonts w:ascii="Arial" w:cs="Arial" w:eastAsia="Arial" w:hAnsi="Arial"/>
          <w:sz w:val="17"/>
          <w:szCs w:val="17"/>
          <w:color w:val="auto"/>
        </w:rPr>
        <w:t>With respect to the other NEOs, external general industry surveys of compensation practices for positions with similar levels of responsibilities remains the primary benchmark for setting target compensation, with guidelines for salaries, annual incentives, long-term incentives and target total direct compensation for these NEOs initially based on or near the 50</w:t>
      </w:r>
      <w:r>
        <w:rPr>
          <w:rFonts w:ascii="Arial" w:cs="Arial" w:eastAsia="Arial" w:hAnsi="Arial"/>
          <w:sz w:val="14"/>
          <w:szCs w:val="14"/>
          <w:color w:val="auto"/>
        </w:rPr>
        <w:t>th</w:t>
      </w:r>
      <w:r>
        <w:rPr>
          <w:rFonts w:ascii="Arial" w:cs="Arial" w:eastAsia="Arial" w:hAnsi="Arial"/>
          <w:sz w:val="17"/>
          <w:szCs w:val="17"/>
          <w:color w:val="auto"/>
        </w:rPr>
        <w:t xml:space="preserve"> percentile of general industry data. We did not select the companies that comprise any of these survey groups, and the component companies’ identities were not a material factor in our compensation analysis.</w:t>
      </w:r>
    </w:p>
    <w:p>
      <w:pPr>
        <w:spacing w:after="0" w:line="131" w:lineRule="exact"/>
        <w:rPr>
          <w:sz w:val="20"/>
          <w:szCs w:val="20"/>
          <w:color w:val="auto"/>
        </w:rPr>
      </w:pPr>
    </w:p>
    <w:p>
      <w:pPr>
        <w:ind w:left="120" w:right="340"/>
        <w:spacing w:after="0" w:line="277" w:lineRule="auto"/>
        <w:rPr>
          <w:sz w:val="20"/>
          <w:szCs w:val="20"/>
          <w:color w:val="auto"/>
        </w:rPr>
      </w:pPr>
      <w:r>
        <w:rPr>
          <w:rFonts w:ascii="Arial" w:cs="Arial" w:eastAsia="Arial" w:hAnsi="Arial"/>
          <w:sz w:val="18"/>
          <w:szCs w:val="18"/>
          <w:color w:val="auto"/>
        </w:rPr>
        <w:t>The company may provide target compensation above or below the 50</w:t>
      </w:r>
      <w:r>
        <w:rPr>
          <w:rFonts w:ascii="Arial" w:cs="Arial" w:eastAsia="Arial" w:hAnsi="Arial"/>
          <w:sz w:val="15"/>
          <w:szCs w:val="15"/>
          <w:color w:val="auto"/>
        </w:rPr>
        <w:t>th</w:t>
      </w:r>
      <w:r>
        <w:rPr>
          <w:rFonts w:ascii="Arial" w:cs="Arial" w:eastAsia="Arial" w:hAnsi="Arial"/>
          <w:sz w:val="18"/>
          <w:szCs w:val="18"/>
          <w:color w:val="auto"/>
        </w:rPr>
        <w:t xml:space="preserve"> percentile for a particular position, based on factors such as the executive’s operating responsibilities, experience level, retention risk, tenure, internal equity and performance in the position.</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company establishes compensation levels in this way for two reasons:</w:t>
      </w:r>
    </w:p>
    <w:p>
      <w:pPr>
        <w:spacing w:after="0" w:line="131" w:lineRule="exact"/>
        <w:rPr>
          <w:sz w:val="20"/>
          <w:szCs w:val="20"/>
          <w:color w:val="auto"/>
        </w:rPr>
      </w:pPr>
    </w:p>
    <w:p>
      <w:pPr>
        <w:ind w:left="980" w:hanging="540"/>
        <w:spacing w:after="0"/>
        <w:tabs>
          <w:tab w:leader="none" w:pos="9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first, this approach sets fair and reasonable pay levels needed to attract and retain qualified executives; and</w:t>
      </w:r>
    </w:p>
    <w:p>
      <w:pPr>
        <w:spacing w:after="0" w:line="23" w:lineRule="exact"/>
        <w:rPr>
          <w:rFonts w:ascii="Arial" w:cs="Arial" w:eastAsia="Arial" w:hAnsi="Arial"/>
          <w:sz w:val="18"/>
          <w:szCs w:val="18"/>
          <w:color w:val="auto"/>
        </w:rPr>
      </w:pPr>
    </w:p>
    <w:p>
      <w:pPr>
        <w:ind w:left="980" w:right="20" w:hanging="540"/>
        <w:spacing w:after="0" w:line="260" w:lineRule="auto"/>
        <w:tabs>
          <w:tab w:leader="none" w:pos="9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second, it requires excellent individual performance and company performance for pay that is higher than that indicated in the peer group or general industry data, as applicable, for comparable roles.</w:t>
      </w:r>
    </w:p>
    <w:p>
      <w:pPr>
        <w:spacing w:after="0" w:line="122" w:lineRule="exact"/>
        <w:rPr>
          <w:sz w:val="20"/>
          <w:szCs w:val="20"/>
          <w:color w:val="auto"/>
        </w:rPr>
      </w:pPr>
    </w:p>
    <w:p>
      <w:pPr>
        <w:jc w:val="center"/>
        <w:ind w:right="-159"/>
        <w:spacing w:after="0"/>
        <w:rPr>
          <w:sz w:val="20"/>
          <w:szCs w:val="20"/>
          <w:color w:val="auto"/>
        </w:rPr>
      </w:pPr>
      <w:r>
        <w:rPr>
          <w:rFonts w:ascii="Arial" w:cs="Arial" w:eastAsia="Arial" w:hAnsi="Arial"/>
          <w:sz w:val="16"/>
          <w:szCs w:val="16"/>
          <w:color w:val="auto"/>
        </w:rPr>
        <w:t>45</w:t>
      </w:r>
    </w:p>
    <w:p>
      <w:pPr>
        <w:sectPr>
          <w:pgSz w:w="11900" w:h="16838" w:orient="portrait"/>
          <w:cols w:equalWidth="0" w:num="1">
            <w:col w:w="11080"/>
          </w:cols>
          <w:pgMar w:left="320" w:top="459" w:right="49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CEO compensation</w:t>
      </w:r>
    </w:p>
    <w:p>
      <w:pPr>
        <w:spacing w:after="0" w:line="117"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color w:val="auto"/>
        </w:rPr>
        <w:t>As noted previously, Mr. Williams became President and CEO of the company effective January 1, 2021. The Compensation Committee approved a compensation package and structure for Mr. Williams that is competitive with the market and best practices and weighted significantly towards variable and performance-based compensation. As such, in December 2020, the Compensation Committee recommended and the Board approved the following compensation package for Mr. Williams for his service as President and CEO:</w:t>
      </w:r>
    </w:p>
    <w:p>
      <w:pPr>
        <w:spacing w:after="0" w:line="92" w:lineRule="exact"/>
        <w:rPr>
          <w:sz w:val="20"/>
          <w:szCs w:val="20"/>
          <w:color w:val="auto"/>
        </w:rPr>
      </w:pPr>
    </w:p>
    <w:p>
      <w:pPr>
        <w:ind w:left="980" w:hanging="540"/>
        <w:spacing w:after="0"/>
        <w:tabs>
          <w:tab w:leader="none" w:pos="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an initial base salary of $800,000 per year;</w:t>
      </w:r>
    </w:p>
    <w:p>
      <w:pPr>
        <w:spacing w:after="0" w:line="23" w:lineRule="exact"/>
        <w:rPr>
          <w:rFonts w:ascii="Arial" w:cs="Arial" w:eastAsia="Arial" w:hAnsi="Arial"/>
          <w:sz w:val="18"/>
          <w:szCs w:val="18"/>
          <w:color w:val="auto"/>
        </w:rPr>
      </w:pPr>
    </w:p>
    <w:p>
      <w:pPr>
        <w:ind w:left="980" w:hanging="540"/>
        <w:spacing w:after="0"/>
        <w:tabs>
          <w:tab w:leader="none" w:pos="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 target award opportunity equal to 100 percent of base salary under the company’s annual performance award plan; and</w:t>
      </w:r>
    </w:p>
    <w:p>
      <w:pPr>
        <w:spacing w:after="0" w:line="9" w:lineRule="exact"/>
        <w:rPr>
          <w:rFonts w:ascii="Arial" w:cs="Arial" w:eastAsia="Arial" w:hAnsi="Arial"/>
          <w:sz w:val="18"/>
          <w:szCs w:val="18"/>
          <w:color w:val="auto"/>
        </w:rPr>
      </w:pPr>
    </w:p>
    <w:p>
      <w:pPr>
        <w:ind w:left="980" w:right="500" w:hanging="540"/>
        <w:spacing w:after="0" w:line="323" w:lineRule="auto"/>
        <w:tabs>
          <w:tab w:leader="none" w:pos="9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beginning in 2022, eligibility for consideration of an annual grant under the company’s long-term incentive plan with a target value of $2,000,000 and comprised of at least 50 percent performance shares with the balance in time-based restricted stock units.</w:t>
      </w:r>
    </w:p>
    <w:p>
      <w:pPr>
        <w:spacing w:after="0" w:line="111" w:lineRule="exact"/>
        <w:rPr>
          <w:sz w:val="20"/>
          <w:szCs w:val="20"/>
          <w:color w:val="auto"/>
        </w:rPr>
      </w:pPr>
    </w:p>
    <w:p>
      <w:pPr>
        <w:ind w:left="120" w:right="60"/>
        <w:spacing w:after="0" w:line="257" w:lineRule="auto"/>
        <w:rPr>
          <w:sz w:val="20"/>
          <w:szCs w:val="20"/>
          <w:color w:val="auto"/>
        </w:rPr>
      </w:pPr>
      <w:r>
        <w:rPr>
          <w:rFonts w:ascii="Arial" w:cs="Arial" w:eastAsia="Arial" w:hAnsi="Arial"/>
          <w:sz w:val="18"/>
          <w:szCs w:val="18"/>
          <w:color w:val="auto"/>
        </w:rPr>
        <w:t>As an inducement to enter into employment with the company, and to encourage stock ownership by Mr. Williams, thereby further aligning his interests with those of the company’s shareholders, Mr. Williams was awarded a sign-on equity grant of 423,400 performance shares (having a target value at grant of approximately $2,000,000) and 423,400 time-based restricted stock units (also having a value at grant of approximately $2,000,000). See “Compensation discussion and analysis — Analysis of 2021 compensation — Long-term incentive award to new President and CEO” for additional information about the sign-on equity grant.</w:t>
      </w:r>
    </w:p>
    <w:p>
      <w:pPr>
        <w:spacing w:after="0" w:line="143"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2021 CEO target pay mix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2611120</wp:posOffset>
            </wp:positionH>
            <wp:positionV relativeFrom="paragraph">
              <wp:posOffset>17145</wp:posOffset>
            </wp:positionV>
            <wp:extent cx="1920240" cy="14141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920240" cy="1414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Base salary</w:t>
      </w:r>
    </w:p>
    <w:p>
      <w:pPr>
        <w:spacing w:after="0" w:line="117" w:lineRule="exact"/>
        <w:rPr>
          <w:sz w:val="20"/>
          <w:szCs w:val="20"/>
          <w:color w:val="auto"/>
        </w:rPr>
      </w:pPr>
    </w:p>
    <w:p>
      <w:pPr>
        <w:ind w:left="120" w:right="140"/>
        <w:spacing w:after="0" w:line="257" w:lineRule="auto"/>
        <w:rPr>
          <w:sz w:val="20"/>
          <w:szCs w:val="20"/>
          <w:color w:val="auto"/>
        </w:rPr>
      </w:pPr>
      <w:r>
        <w:rPr>
          <w:rFonts w:ascii="Arial" w:cs="Arial" w:eastAsia="Arial" w:hAnsi="Arial"/>
          <w:sz w:val="18"/>
          <w:szCs w:val="18"/>
          <w:color w:val="auto"/>
        </w:rPr>
        <w:t>Base salaries for the NEOs are intended to be competitive and reflect the scope of their responsibilities, the length of their experience performing those responsibilities and their performance. The Compensation Committee typically determines base salary ranges for the CEO and CFO using the compensation peer group, and external surveys of salary practices for positions with similar levels of responsibility for the remaining NEOs. The Committee also reviews the NEOs’ base salaries annually in light of each officer’s performance, experience, leadership, current salary, internal equity and position in the salary range.</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Base salary decisions</w:t>
      </w:r>
    </w:p>
    <w:p>
      <w:pPr>
        <w:spacing w:after="0" w:line="117" w:lineRule="exact"/>
        <w:rPr>
          <w:sz w:val="20"/>
          <w:szCs w:val="20"/>
          <w:color w:val="auto"/>
        </w:rPr>
      </w:pPr>
    </w:p>
    <w:p>
      <w:pPr>
        <w:ind w:left="120"/>
        <w:spacing w:after="0" w:line="270" w:lineRule="auto"/>
        <w:rPr>
          <w:sz w:val="20"/>
          <w:szCs w:val="20"/>
          <w:color w:val="auto"/>
        </w:rPr>
      </w:pPr>
      <w:r>
        <w:rPr>
          <w:rFonts w:ascii="Arial" w:cs="Arial" w:eastAsia="Arial" w:hAnsi="Arial"/>
          <w:sz w:val="17"/>
          <w:szCs w:val="17"/>
          <w:color w:val="auto"/>
        </w:rPr>
        <w:t>In December 2020, the Compensation Committee recommended and the Board approved the initial base salary that would be payable to Mr. Williams upon commencement of his service as President and CEO of the company on January 1, 2021. The Compensation Committee also approved at that time the base salary that would be payable to Ms. Syrvalin upon her promotion to the position of Executive Vice President, General Counsel and Secretary effective January 1, 2021. In May 2021, the Compensation Committee approved a base salary increase for Mr. Raketich in connection with his promotion to the position of Executive Vice President, Sales, Marketing and Business Development effective May 8, 2021. Accordingly, the 2021 base salary amounts set forth in the table below reflect the base salaries established for Messrs. Williams and Raketich and Ms. Syrvalin at the time each was appointed as an executive officer of the company and continuing for the remainder of 2021. In establishing the base salary amounts for Mr. Raketich and Ms. Syrvalin, the Compensation Committee considered their expanded responsibilities as executive officers, tenure in their new roles and market data for comparable roles.</w:t>
      </w:r>
    </w:p>
    <w:p>
      <w:pPr>
        <w:spacing w:after="0" w:line="118"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46</w:t>
      </w:r>
    </w:p>
    <w:p>
      <w:pPr>
        <w:sectPr>
          <w:pgSz w:w="11900" w:h="16838" w:orient="portrait"/>
          <w:cols w:equalWidth="0" w:num="1">
            <w:col w:w="11120"/>
          </w:cols>
          <w:pgMar w:left="320" w:top="459" w:right="45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9" w:lineRule="auto"/>
        <w:rPr>
          <w:sz w:val="20"/>
          <w:szCs w:val="20"/>
          <w:color w:val="auto"/>
        </w:rPr>
      </w:pPr>
      <w:r>
        <w:rPr>
          <w:rFonts w:ascii="Arial" w:cs="Arial" w:eastAsia="Arial" w:hAnsi="Arial"/>
          <w:sz w:val="17"/>
          <w:szCs w:val="17"/>
          <w:color w:val="auto"/>
        </w:rPr>
        <w:t>In February 2021, as part of the company’s annual compensation cycle, the Compensation Committee considered base salary increases for Messrs. Westbrooks, Bryan and Moline. Taking into account the NEO’s performance, peer group and market data for comparable roles, the scope of the NEOs’ responsibilities and retention considerations, the Compensation Committee determined to increase Mr. Westbrooks’ base salary effective March 1, 2021, while maintaining the base salaries for Messrs. Bryan and Moline at the levels in effect for 2020.</w:t>
      </w:r>
    </w:p>
    <w:p>
      <w:pPr>
        <w:spacing w:after="0" w:line="144" w:lineRule="exact"/>
        <w:rPr>
          <w:sz w:val="20"/>
          <w:szCs w:val="20"/>
          <w:color w:val="auto"/>
        </w:rPr>
      </w:pPr>
    </w:p>
    <w:p>
      <w:pPr>
        <w:ind w:left="120" w:right="1000"/>
        <w:spacing w:after="0" w:line="308" w:lineRule="auto"/>
        <w:rPr>
          <w:sz w:val="20"/>
          <w:szCs w:val="20"/>
          <w:color w:val="auto"/>
        </w:rPr>
      </w:pPr>
      <w:r>
        <w:rPr>
          <w:rFonts w:ascii="Arial" w:cs="Arial" w:eastAsia="Arial" w:hAnsi="Arial"/>
          <w:sz w:val="17"/>
          <w:szCs w:val="17"/>
          <w:color w:val="auto"/>
        </w:rPr>
        <w:t>The following table shows the base salary in effect for each of the NEOs on December 31, 2020, and the 2021 base salary approved by the Compensation Committee (and, in the case of Mr. Williams, the Board) for each such NEO, as described above.</w:t>
      </w:r>
    </w:p>
    <w:p>
      <w:pPr>
        <w:spacing w:after="0" w:line="186" w:lineRule="exact"/>
        <w:rPr>
          <w:sz w:val="20"/>
          <w:szCs w:val="20"/>
          <w:color w:val="auto"/>
        </w:rPr>
      </w:pPr>
    </w:p>
    <w:tbl>
      <w:tblPr>
        <w:tblLayout w:type="fixed"/>
        <w:tblInd w:w="1000" w:type="dxa"/>
        <w:tblCellMar>
          <w:top w:w="0" w:type="dxa"/>
          <w:left w:w="0" w:type="dxa"/>
          <w:bottom w:w="0" w:type="dxa"/>
          <w:right w:w="0" w:type="dxa"/>
        </w:tblCellMar>
      </w:tblPr>
      <w:tr>
        <w:trPr>
          <w:trHeight w:val="251"/>
        </w:trPr>
        <w:tc>
          <w:tcPr>
            <w:tcW w:w="2600" w:type="dxa"/>
            <w:vAlign w:val="bottom"/>
          </w:tcPr>
          <w:p>
            <w:pPr>
              <w:spacing w:after="0"/>
              <w:rPr>
                <w:sz w:val="21"/>
                <w:szCs w:val="21"/>
                <w:color w:val="auto"/>
              </w:rPr>
            </w:pPr>
          </w:p>
        </w:tc>
        <w:tc>
          <w:tcPr>
            <w:tcW w:w="2740" w:type="dxa"/>
            <w:vAlign w:val="bottom"/>
            <w:tcBorders>
              <w:bottom w:val="single" w:sz="8" w:color="58595B"/>
            </w:tcBorders>
            <w:shd w:val="clear" w:color="auto" w:fill="58595B"/>
          </w:tcPr>
          <w:p>
            <w:pPr>
              <w:jc w:val="center"/>
              <w:ind w:left="330"/>
              <w:spacing w:after="0"/>
              <w:rPr>
                <w:sz w:val="20"/>
                <w:szCs w:val="20"/>
                <w:color w:val="auto"/>
              </w:rPr>
            </w:pPr>
            <w:r>
              <w:rPr>
                <w:rFonts w:ascii="Arial" w:cs="Arial" w:eastAsia="Arial" w:hAnsi="Arial"/>
                <w:sz w:val="18"/>
                <w:szCs w:val="18"/>
                <w:b w:val="1"/>
                <w:bCs w:val="1"/>
                <w:color w:val="FFFFFF"/>
                <w:w w:val="89"/>
              </w:rPr>
              <w:t>2020 base salary</w:t>
            </w:r>
            <w:r>
              <w:rPr>
                <w:rFonts w:ascii="Arial" w:cs="Arial" w:eastAsia="Arial" w:hAnsi="Arial"/>
                <w:sz w:val="15"/>
                <w:szCs w:val="15"/>
                <w:b w:val="1"/>
                <w:bCs w:val="1"/>
                <w:color w:val="FFFFFF"/>
                <w:w w:val="89"/>
              </w:rPr>
              <w:t>(1)</w:t>
            </w:r>
          </w:p>
        </w:tc>
        <w:tc>
          <w:tcPr>
            <w:tcW w:w="2120" w:type="dxa"/>
            <w:vAlign w:val="bottom"/>
            <w:tcBorders>
              <w:bottom w:val="single" w:sz="8" w:color="58595B"/>
            </w:tcBorders>
            <w:shd w:val="clear" w:color="auto" w:fill="58595B"/>
          </w:tcPr>
          <w:p>
            <w:pPr>
              <w:jc w:val="center"/>
              <w:spacing w:after="0"/>
              <w:rPr>
                <w:sz w:val="20"/>
                <w:szCs w:val="20"/>
                <w:color w:val="auto"/>
              </w:rPr>
            </w:pPr>
            <w:r>
              <w:rPr>
                <w:rFonts w:ascii="Arial" w:cs="Arial" w:eastAsia="Arial" w:hAnsi="Arial"/>
                <w:sz w:val="18"/>
                <w:szCs w:val="18"/>
                <w:b w:val="1"/>
                <w:bCs w:val="1"/>
                <w:color w:val="FFFFFF"/>
                <w:w w:val="88"/>
              </w:rPr>
              <w:t>2021 base salary</w:t>
            </w:r>
          </w:p>
        </w:tc>
        <w:tc>
          <w:tcPr>
            <w:tcW w:w="1800" w:type="dxa"/>
            <w:vAlign w:val="bottom"/>
            <w:tcBorders>
              <w:bottom w:val="single" w:sz="8" w:color="58595B"/>
            </w:tcBorders>
            <w:shd w:val="clear" w:color="auto" w:fill="58595B"/>
          </w:tcPr>
          <w:p>
            <w:pPr>
              <w:ind w:left="440"/>
              <w:spacing w:after="0"/>
              <w:rPr>
                <w:sz w:val="20"/>
                <w:szCs w:val="20"/>
                <w:color w:val="auto"/>
              </w:rPr>
            </w:pPr>
            <w:r>
              <w:rPr>
                <w:rFonts w:ascii="Arial" w:cs="Arial" w:eastAsia="Arial" w:hAnsi="Arial"/>
                <w:sz w:val="18"/>
                <w:szCs w:val="18"/>
                <w:b w:val="1"/>
                <w:bCs w:val="1"/>
                <w:color w:val="FFFFFF"/>
                <w:w w:val="92"/>
              </w:rPr>
              <w:t>Percent increase</w:t>
            </w:r>
          </w:p>
        </w:tc>
      </w:tr>
      <w:tr>
        <w:trPr>
          <w:trHeight w:val="229"/>
        </w:trPr>
        <w:tc>
          <w:tcPr>
            <w:tcW w:w="2600" w:type="dxa"/>
            <w:vAlign w:val="bottom"/>
            <w:tcBorders>
              <w:bottom w:val="single" w:sz="8" w:color="BAC6C6"/>
            </w:tcBorders>
          </w:tcPr>
          <w:p>
            <w:pPr>
              <w:ind w:left="100"/>
              <w:spacing w:after="0"/>
              <w:rPr>
                <w:sz w:val="20"/>
                <w:szCs w:val="20"/>
                <w:color w:val="auto"/>
              </w:rPr>
            </w:pPr>
            <w:r>
              <w:rPr>
                <w:rFonts w:ascii="Arial" w:cs="Arial" w:eastAsia="Arial" w:hAnsi="Arial"/>
                <w:sz w:val="18"/>
                <w:szCs w:val="18"/>
                <w:color w:val="auto"/>
              </w:rPr>
              <w:t>Michael S. Williams</w:t>
            </w:r>
          </w:p>
        </w:tc>
        <w:tc>
          <w:tcPr>
            <w:tcW w:w="274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rPr>
              <w:t>N/A</w:t>
            </w:r>
          </w:p>
        </w:tc>
        <w:tc>
          <w:tcPr>
            <w:tcW w:w="2120" w:type="dxa"/>
            <w:vAlign w:val="bottom"/>
            <w:tcBorders>
              <w:bottom w:val="single" w:sz="8" w:color="BAC6C6"/>
            </w:tcBorders>
          </w:tcPr>
          <w:p>
            <w:pPr>
              <w:jc w:val="center"/>
              <w:spacing w:after="0"/>
              <w:rPr>
                <w:sz w:val="20"/>
                <w:szCs w:val="20"/>
                <w:color w:val="auto"/>
              </w:rPr>
            </w:pPr>
            <w:r>
              <w:rPr>
                <w:rFonts w:ascii="Arial" w:cs="Arial" w:eastAsia="Arial" w:hAnsi="Arial"/>
                <w:sz w:val="18"/>
                <w:szCs w:val="18"/>
                <w:color w:val="auto"/>
                <w:w w:val="90"/>
              </w:rPr>
              <w:t>$800,000</w:t>
            </w:r>
          </w:p>
        </w:tc>
        <w:tc>
          <w:tcPr>
            <w:tcW w:w="1800" w:type="dxa"/>
            <w:vAlign w:val="bottom"/>
            <w:tcBorders>
              <w:bottom w:val="single" w:sz="8" w:color="BAC6C6"/>
            </w:tcBorders>
          </w:tcPr>
          <w:p>
            <w:pPr>
              <w:ind w:left="960"/>
              <w:spacing w:after="0"/>
              <w:rPr>
                <w:sz w:val="20"/>
                <w:szCs w:val="20"/>
                <w:color w:val="auto"/>
              </w:rPr>
            </w:pPr>
            <w:r>
              <w:rPr>
                <w:rFonts w:ascii="Arial" w:cs="Arial" w:eastAsia="Arial" w:hAnsi="Arial"/>
                <w:sz w:val="18"/>
                <w:szCs w:val="18"/>
                <w:color w:val="auto"/>
              </w:rPr>
              <w:t>N/A</w:t>
            </w:r>
          </w:p>
        </w:tc>
      </w:tr>
      <w:tr>
        <w:trPr>
          <w:trHeight w:val="223"/>
        </w:trPr>
        <w:tc>
          <w:tcPr>
            <w:tcW w:w="2600" w:type="dxa"/>
            <w:vAlign w:val="bottom"/>
            <w:tcBorders>
              <w:bottom w:val="single" w:sz="8" w:color="BAC6C6"/>
            </w:tcBorders>
          </w:tcPr>
          <w:p>
            <w:pPr>
              <w:ind w:left="100"/>
              <w:spacing w:after="0"/>
              <w:rPr>
                <w:sz w:val="20"/>
                <w:szCs w:val="20"/>
                <w:color w:val="auto"/>
              </w:rPr>
            </w:pPr>
            <w:r>
              <w:rPr>
                <w:rFonts w:ascii="Arial" w:cs="Arial" w:eastAsia="Arial" w:hAnsi="Arial"/>
                <w:sz w:val="18"/>
                <w:szCs w:val="18"/>
                <w:color w:val="auto"/>
              </w:rPr>
              <w:t>Kristopher R. Westbrooks</w:t>
            </w:r>
          </w:p>
        </w:tc>
        <w:tc>
          <w:tcPr>
            <w:tcW w:w="274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w w:val="90"/>
              </w:rPr>
              <w:t>$423,987</w:t>
            </w:r>
          </w:p>
        </w:tc>
        <w:tc>
          <w:tcPr>
            <w:tcW w:w="2120" w:type="dxa"/>
            <w:vAlign w:val="bottom"/>
            <w:tcBorders>
              <w:bottom w:val="single" w:sz="8" w:color="BAC6C6"/>
            </w:tcBorders>
          </w:tcPr>
          <w:p>
            <w:pPr>
              <w:jc w:val="center"/>
              <w:spacing w:after="0"/>
              <w:rPr>
                <w:sz w:val="20"/>
                <w:szCs w:val="20"/>
                <w:color w:val="auto"/>
              </w:rPr>
            </w:pPr>
            <w:r>
              <w:rPr>
                <w:rFonts w:ascii="Arial" w:cs="Arial" w:eastAsia="Arial" w:hAnsi="Arial"/>
                <w:sz w:val="18"/>
                <w:szCs w:val="18"/>
                <w:color w:val="auto"/>
                <w:w w:val="90"/>
              </w:rPr>
              <w:t>$450,000</w:t>
            </w:r>
          </w:p>
        </w:tc>
        <w:tc>
          <w:tcPr>
            <w:tcW w:w="1800" w:type="dxa"/>
            <w:vAlign w:val="bottom"/>
            <w:tcBorders>
              <w:bottom w:val="single" w:sz="8" w:color="BAC6C6"/>
            </w:tcBorders>
          </w:tcPr>
          <w:p>
            <w:pPr>
              <w:jc w:val="center"/>
              <w:ind w:left="350"/>
              <w:spacing w:after="0"/>
              <w:rPr>
                <w:sz w:val="20"/>
                <w:szCs w:val="20"/>
                <w:color w:val="auto"/>
              </w:rPr>
            </w:pPr>
            <w:r>
              <w:rPr>
                <w:rFonts w:ascii="Arial" w:cs="Arial" w:eastAsia="Arial" w:hAnsi="Arial"/>
                <w:sz w:val="18"/>
                <w:szCs w:val="18"/>
                <w:color w:val="auto"/>
                <w:w w:val="92"/>
              </w:rPr>
              <w:t>6%</w:t>
            </w:r>
          </w:p>
        </w:tc>
      </w:tr>
      <w:tr>
        <w:trPr>
          <w:trHeight w:val="223"/>
        </w:trPr>
        <w:tc>
          <w:tcPr>
            <w:tcW w:w="2600" w:type="dxa"/>
            <w:vAlign w:val="bottom"/>
            <w:tcBorders>
              <w:bottom w:val="single" w:sz="8" w:color="BAC6C6"/>
            </w:tcBorders>
          </w:tcPr>
          <w:p>
            <w:pPr>
              <w:ind w:left="100"/>
              <w:spacing w:after="0" w:line="223" w:lineRule="exact"/>
              <w:rPr>
                <w:sz w:val="20"/>
                <w:szCs w:val="20"/>
                <w:color w:val="auto"/>
              </w:rPr>
            </w:pPr>
            <w:r>
              <w:rPr>
                <w:rFonts w:ascii="Arial" w:cs="Arial" w:eastAsia="Arial" w:hAnsi="Arial"/>
                <w:sz w:val="16"/>
                <w:szCs w:val="16"/>
                <w:color w:val="auto"/>
              </w:rPr>
              <w:t>Kristine C. Syrvalin</w:t>
            </w:r>
            <w:r>
              <w:rPr>
                <w:rFonts w:ascii="Arial" w:cs="Arial" w:eastAsia="Arial" w:hAnsi="Arial"/>
                <w:sz w:val="25"/>
                <w:szCs w:val="25"/>
                <w:color w:val="auto"/>
                <w:vertAlign w:val="superscript"/>
              </w:rPr>
              <w:t>(2)</w:t>
            </w:r>
          </w:p>
        </w:tc>
        <w:tc>
          <w:tcPr>
            <w:tcW w:w="274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w w:val="90"/>
              </w:rPr>
              <w:t>$255,124</w:t>
            </w:r>
          </w:p>
        </w:tc>
        <w:tc>
          <w:tcPr>
            <w:tcW w:w="2120" w:type="dxa"/>
            <w:vAlign w:val="bottom"/>
            <w:tcBorders>
              <w:bottom w:val="single" w:sz="8" w:color="BAC6C6"/>
            </w:tcBorders>
          </w:tcPr>
          <w:p>
            <w:pPr>
              <w:jc w:val="center"/>
              <w:spacing w:after="0"/>
              <w:rPr>
                <w:sz w:val="20"/>
                <w:szCs w:val="20"/>
                <w:color w:val="auto"/>
              </w:rPr>
            </w:pPr>
            <w:r>
              <w:rPr>
                <w:rFonts w:ascii="Arial" w:cs="Arial" w:eastAsia="Arial" w:hAnsi="Arial"/>
                <w:sz w:val="18"/>
                <w:szCs w:val="18"/>
                <w:color w:val="auto"/>
                <w:w w:val="90"/>
              </w:rPr>
              <w:t>$300,000</w:t>
            </w:r>
          </w:p>
        </w:tc>
        <w:tc>
          <w:tcPr>
            <w:tcW w:w="180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w w:val="94"/>
              </w:rPr>
              <w:t>18%</w:t>
            </w:r>
          </w:p>
        </w:tc>
      </w:tr>
      <w:tr>
        <w:trPr>
          <w:trHeight w:val="223"/>
        </w:trPr>
        <w:tc>
          <w:tcPr>
            <w:tcW w:w="2600" w:type="dxa"/>
            <w:vAlign w:val="bottom"/>
            <w:tcBorders>
              <w:bottom w:val="single" w:sz="8" w:color="BAC6C6"/>
            </w:tcBorders>
          </w:tcPr>
          <w:p>
            <w:pPr>
              <w:ind w:left="100"/>
              <w:spacing w:after="0" w:line="223" w:lineRule="exact"/>
              <w:rPr>
                <w:sz w:val="20"/>
                <w:szCs w:val="20"/>
                <w:color w:val="auto"/>
              </w:rPr>
            </w:pPr>
            <w:r>
              <w:rPr>
                <w:rFonts w:ascii="Arial" w:cs="Arial" w:eastAsia="Arial" w:hAnsi="Arial"/>
                <w:sz w:val="16"/>
                <w:szCs w:val="16"/>
                <w:color w:val="auto"/>
              </w:rPr>
              <w:t>Kevin A. Raketich</w:t>
            </w:r>
            <w:r>
              <w:rPr>
                <w:rFonts w:ascii="Arial" w:cs="Arial" w:eastAsia="Arial" w:hAnsi="Arial"/>
                <w:sz w:val="25"/>
                <w:szCs w:val="25"/>
                <w:color w:val="auto"/>
                <w:vertAlign w:val="superscript"/>
              </w:rPr>
              <w:t>(2)</w:t>
            </w:r>
          </w:p>
        </w:tc>
        <w:tc>
          <w:tcPr>
            <w:tcW w:w="274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w w:val="90"/>
              </w:rPr>
              <w:t>$276,139</w:t>
            </w:r>
          </w:p>
        </w:tc>
        <w:tc>
          <w:tcPr>
            <w:tcW w:w="2120" w:type="dxa"/>
            <w:vAlign w:val="bottom"/>
            <w:tcBorders>
              <w:bottom w:val="single" w:sz="8" w:color="BAC6C6"/>
            </w:tcBorders>
          </w:tcPr>
          <w:p>
            <w:pPr>
              <w:jc w:val="center"/>
              <w:spacing w:after="0"/>
              <w:rPr>
                <w:sz w:val="20"/>
                <w:szCs w:val="20"/>
                <w:color w:val="auto"/>
              </w:rPr>
            </w:pPr>
            <w:r>
              <w:rPr>
                <w:rFonts w:ascii="Arial" w:cs="Arial" w:eastAsia="Arial" w:hAnsi="Arial"/>
                <w:sz w:val="18"/>
                <w:szCs w:val="18"/>
                <w:color w:val="auto"/>
                <w:w w:val="90"/>
              </w:rPr>
              <w:t>$300,000</w:t>
            </w:r>
          </w:p>
        </w:tc>
        <w:tc>
          <w:tcPr>
            <w:tcW w:w="1800" w:type="dxa"/>
            <w:vAlign w:val="bottom"/>
            <w:tcBorders>
              <w:bottom w:val="single" w:sz="8" w:color="BAC6C6"/>
            </w:tcBorders>
          </w:tcPr>
          <w:p>
            <w:pPr>
              <w:jc w:val="center"/>
              <w:ind w:left="350"/>
              <w:spacing w:after="0"/>
              <w:rPr>
                <w:sz w:val="20"/>
                <w:szCs w:val="20"/>
                <w:color w:val="auto"/>
              </w:rPr>
            </w:pPr>
            <w:r>
              <w:rPr>
                <w:rFonts w:ascii="Arial" w:cs="Arial" w:eastAsia="Arial" w:hAnsi="Arial"/>
                <w:sz w:val="18"/>
                <w:szCs w:val="18"/>
                <w:color w:val="auto"/>
                <w:w w:val="92"/>
              </w:rPr>
              <w:t>9%</w:t>
            </w:r>
          </w:p>
        </w:tc>
      </w:tr>
      <w:tr>
        <w:trPr>
          <w:trHeight w:val="223"/>
        </w:trPr>
        <w:tc>
          <w:tcPr>
            <w:tcW w:w="2600" w:type="dxa"/>
            <w:vAlign w:val="bottom"/>
            <w:tcBorders>
              <w:bottom w:val="single" w:sz="8" w:color="BAC6C6"/>
            </w:tcBorders>
          </w:tcPr>
          <w:p>
            <w:pPr>
              <w:ind w:left="80"/>
              <w:spacing w:after="0"/>
              <w:rPr>
                <w:sz w:val="20"/>
                <w:szCs w:val="20"/>
                <w:color w:val="auto"/>
              </w:rPr>
            </w:pPr>
            <w:r>
              <w:rPr>
                <w:rFonts w:ascii="Arial" w:cs="Arial" w:eastAsia="Arial" w:hAnsi="Arial"/>
                <w:sz w:val="18"/>
                <w:szCs w:val="18"/>
                <w:color w:val="auto"/>
              </w:rPr>
              <w:t>William P. Bryan</w:t>
            </w:r>
          </w:p>
        </w:tc>
        <w:tc>
          <w:tcPr>
            <w:tcW w:w="2740" w:type="dxa"/>
            <w:vAlign w:val="bottom"/>
            <w:tcBorders>
              <w:bottom w:val="single" w:sz="8" w:color="BAC6C6"/>
            </w:tcBorders>
          </w:tcPr>
          <w:p>
            <w:pPr>
              <w:jc w:val="center"/>
              <w:ind w:left="330"/>
              <w:spacing w:after="0"/>
              <w:rPr>
                <w:sz w:val="20"/>
                <w:szCs w:val="20"/>
                <w:color w:val="auto"/>
              </w:rPr>
            </w:pPr>
            <w:r>
              <w:rPr>
                <w:rFonts w:ascii="Arial" w:cs="Arial" w:eastAsia="Arial" w:hAnsi="Arial"/>
                <w:sz w:val="18"/>
                <w:szCs w:val="18"/>
                <w:color w:val="auto"/>
                <w:w w:val="90"/>
              </w:rPr>
              <w:t>$313,799</w:t>
            </w:r>
          </w:p>
        </w:tc>
        <w:tc>
          <w:tcPr>
            <w:tcW w:w="2120" w:type="dxa"/>
            <w:vAlign w:val="bottom"/>
            <w:tcBorders>
              <w:bottom w:val="single" w:sz="8" w:color="BAC6C6"/>
            </w:tcBorders>
          </w:tcPr>
          <w:p>
            <w:pPr>
              <w:jc w:val="center"/>
              <w:spacing w:after="0"/>
              <w:rPr>
                <w:sz w:val="20"/>
                <w:szCs w:val="20"/>
                <w:color w:val="auto"/>
              </w:rPr>
            </w:pPr>
            <w:r>
              <w:rPr>
                <w:rFonts w:ascii="Arial" w:cs="Arial" w:eastAsia="Arial" w:hAnsi="Arial"/>
                <w:sz w:val="18"/>
                <w:szCs w:val="18"/>
                <w:color w:val="auto"/>
                <w:w w:val="90"/>
              </w:rPr>
              <w:t>$313,799</w:t>
            </w:r>
          </w:p>
        </w:tc>
        <w:tc>
          <w:tcPr>
            <w:tcW w:w="1800" w:type="dxa"/>
            <w:vAlign w:val="bottom"/>
            <w:tcBorders>
              <w:bottom w:val="single" w:sz="8" w:color="BAC6C6"/>
            </w:tcBorders>
          </w:tcPr>
          <w:p>
            <w:pPr>
              <w:jc w:val="center"/>
              <w:ind w:left="350"/>
              <w:spacing w:after="0"/>
              <w:rPr>
                <w:sz w:val="20"/>
                <w:szCs w:val="20"/>
                <w:color w:val="auto"/>
              </w:rPr>
            </w:pPr>
            <w:r>
              <w:rPr>
                <w:rFonts w:ascii="Arial" w:cs="Arial" w:eastAsia="Arial" w:hAnsi="Arial"/>
                <w:sz w:val="18"/>
                <w:szCs w:val="18"/>
                <w:color w:val="auto"/>
                <w:w w:val="92"/>
              </w:rPr>
              <w:t>0%</w:t>
            </w:r>
          </w:p>
        </w:tc>
      </w:tr>
      <w:tr>
        <w:trPr>
          <w:trHeight w:val="224"/>
        </w:trPr>
        <w:tc>
          <w:tcPr>
            <w:tcW w:w="2600" w:type="dxa"/>
            <w:vAlign w:val="bottom"/>
          </w:tcPr>
          <w:p>
            <w:pPr>
              <w:ind w:left="80"/>
              <w:spacing w:after="0"/>
              <w:rPr>
                <w:sz w:val="20"/>
                <w:szCs w:val="20"/>
                <w:color w:val="auto"/>
              </w:rPr>
            </w:pPr>
            <w:r>
              <w:rPr>
                <w:rFonts w:ascii="Arial" w:cs="Arial" w:eastAsia="Arial" w:hAnsi="Arial"/>
                <w:sz w:val="18"/>
                <w:szCs w:val="18"/>
                <w:color w:val="auto"/>
              </w:rPr>
              <w:t>Thomas D. Moline</w:t>
            </w:r>
          </w:p>
        </w:tc>
        <w:tc>
          <w:tcPr>
            <w:tcW w:w="2740" w:type="dxa"/>
            <w:vAlign w:val="bottom"/>
          </w:tcPr>
          <w:p>
            <w:pPr>
              <w:jc w:val="center"/>
              <w:ind w:left="330"/>
              <w:spacing w:after="0"/>
              <w:rPr>
                <w:sz w:val="20"/>
                <w:szCs w:val="20"/>
                <w:color w:val="auto"/>
              </w:rPr>
            </w:pPr>
            <w:r>
              <w:rPr>
                <w:rFonts w:ascii="Arial" w:cs="Arial" w:eastAsia="Arial" w:hAnsi="Arial"/>
                <w:sz w:val="18"/>
                <w:szCs w:val="18"/>
                <w:color w:val="auto"/>
                <w:w w:val="90"/>
              </w:rPr>
              <w:t>$313,799</w:t>
            </w:r>
          </w:p>
        </w:tc>
        <w:tc>
          <w:tcPr>
            <w:tcW w:w="2120" w:type="dxa"/>
            <w:vAlign w:val="bottom"/>
          </w:tcPr>
          <w:p>
            <w:pPr>
              <w:jc w:val="center"/>
              <w:spacing w:after="0"/>
              <w:rPr>
                <w:sz w:val="20"/>
                <w:szCs w:val="20"/>
                <w:color w:val="auto"/>
              </w:rPr>
            </w:pPr>
            <w:r>
              <w:rPr>
                <w:rFonts w:ascii="Arial" w:cs="Arial" w:eastAsia="Arial" w:hAnsi="Arial"/>
                <w:sz w:val="18"/>
                <w:szCs w:val="18"/>
                <w:color w:val="auto"/>
                <w:w w:val="90"/>
              </w:rPr>
              <w:t>$313,799</w:t>
            </w:r>
          </w:p>
        </w:tc>
        <w:tc>
          <w:tcPr>
            <w:tcW w:w="1800" w:type="dxa"/>
            <w:vAlign w:val="bottom"/>
          </w:tcPr>
          <w:p>
            <w:pPr>
              <w:jc w:val="center"/>
              <w:ind w:left="350"/>
              <w:spacing w:after="0"/>
              <w:rPr>
                <w:sz w:val="20"/>
                <w:szCs w:val="20"/>
                <w:color w:val="auto"/>
              </w:rPr>
            </w:pPr>
            <w:r>
              <w:rPr>
                <w:rFonts w:ascii="Arial" w:cs="Arial" w:eastAsia="Arial" w:hAnsi="Arial"/>
                <w:sz w:val="18"/>
                <w:szCs w:val="18"/>
                <w:color w:val="auto"/>
                <w:w w:val="92"/>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0</wp:posOffset>
            </wp:positionV>
            <wp:extent cx="5871845"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5871845" cy="8255"/>
                    </a:xfrm>
                    <a:prstGeom prst="rect">
                      <a:avLst/>
                    </a:prstGeom>
                    <a:noFill/>
                  </pic:spPr>
                </pic:pic>
              </a:graphicData>
            </a:graphic>
          </wp:anchor>
        </w:drawing>
      </w:r>
    </w:p>
    <w:p>
      <w:pPr>
        <w:ind w:left="1000"/>
        <w:spacing w:after="0" w:line="230" w:lineRule="auto"/>
        <w:tabs>
          <w:tab w:leader="none" w:pos="1300" w:val="left"/>
        </w:tabs>
        <w:rPr>
          <w:sz w:val="20"/>
          <w:szCs w:val="20"/>
          <w:color w:val="auto"/>
        </w:rPr>
      </w:pPr>
      <w:r>
        <w:rPr>
          <w:rFonts w:ascii="Arial" w:cs="Arial" w:eastAsia="Arial" w:hAnsi="Arial"/>
          <w:sz w:val="12"/>
          <w:szCs w:val="12"/>
          <w:color w:val="auto"/>
        </w:rPr>
        <w:t>(1)</w:t>
      </w:r>
      <w:r>
        <w:rPr>
          <w:sz w:val="20"/>
          <w:szCs w:val="20"/>
          <w:color w:val="auto"/>
        </w:rPr>
        <w:tab/>
      </w:r>
      <w:r>
        <w:rPr>
          <w:rFonts w:ascii="Arial" w:cs="Arial" w:eastAsia="Arial" w:hAnsi="Arial"/>
          <w:sz w:val="14"/>
          <w:szCs w:val="14"/>
          <w:color w:val="auto"/>
        </w:rPr>
        <w:t>2020 base salary reflects base salary in effect on December 31, 2020, and not base salary actually paid during calendar year 2020.</w:t>
      </w:r>
    </w:p>
    <w:p>
      <w:pPr>
        <w:ind w:left="1280" w:right="1140" w:hanging="287"/>
        <w:spacing w:after="0" w:line="237" w:lineRule="auto"/>
        <w:tabs>
          <w:tab w:leader="none" w:pos="1260" w:val="left"/>
        </w:tabs>
        <w:rPr>
          <w:sz w:val="20"/>
          <w:szCs w:val="20"/>
          <w:color w:val="auto"/>
        </w:rPr>
      </w:pPr>
      <w:r>
        <w:rPr>
          <w:rFonts w:ascii="Arial" w:cs="Arial" w:eastAsia="Arial" w:hAnsi="Arial"/>
          <w:sz w:val="12"/>
          <w:szCs w:val="12"/>
          <w:color w:val="auto"/>
        </w:rPr>
        <w:t>(2)</w:t>
      </w:r>
      <w:r>
        <w:rPr>
          <w:sz w:val="20"/>
          <w:szCs w:val="20"/>
          <w:color w:val="auto"/>
        </w:rPr>
        <w:tab/>
      </w:r>
      <w:r>
        <w:rPr>
          <w:rFonts w:ascii="Arial" w:cs="Arial" w:eastAsia="Arial" w:hAnsi="Arial"/>
          <w:sz w:val="14"/>
          <w:szCs w:val="14"/>
          <w:color w:val="auto"/>
        </w:rPr>
        <w:t>For Ms. Syrvalin and Mr. Raketich, the base salary increases from 2020 to 2021 reflect their promotions and appointments as executive officers of the company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25400</wp:posOffset>
            </wp:positionV>
            <wp:extent cx="5871845"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5871845" cy="8890"/>
                    </a:xfrm>
                    <a:prstGeom prst="rect">
                      <a:avLst/>
                    </a:prstGeom>
                    <a:noFill/>
                  </pic:spPr>
                </pic:pic>
              </a:graphicData>
            </a:graphic>
          </wp:anchor>
        </w:drawing>
      </w:r>
    </w:p>
    <w:p>
      <w:pPr>
        <w:spacing w:after="0" w:line="12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Annual incentive</w:t>
      </w:r>
    </w:p>
    <w:p>
      <w:pPr>
        <w:spacing w:after="0" w:line="117" w:lineRule="exact"/>
        <w:rPr>
          <w:sz w:val="20"/>
          <w:szCs w:val="20"/>
          <w:color w:val="auto"/>
        </w:rPr>
      </w:pPr>
    </w:p>
    <w:p>
      <w:pPr>
        <w:ind w:left="120" w:right="100"/>
        <w:spacing w:after="0" w:line="263" w:lineRule="auto"/>
        <w:rPr>
          <w:sz w:val="20"/>
          <w:szCs w:val="20"/>
          <w:color w:val="auto"/>
        </w:rPr>
      </w:pPr>
      <w:r>
        <w:rPr>
          <w:rFonts w:ascii="Arial" w:cs="Arial" w:eastAsia="Arial" w:hAnsi="Arial"/>
          <w:sz w:val="18"/>
          <w:szCs w:val="18"/>
          <w:color w:val="auto"/>
        </w:rPr>
        <w:t>The company’s annual incentive provides the NEOs the opportunity to earn rewards based on achieving corporate performance goals established in advance by the Compensation Committee. It is intended to focus the NEOs on specific performance goals in the current year. For the NEOs, the annual incentive is delivered through the APA plan.</w:t>
      </w:r>
    </w:p>
    <w:p>
      <w:pPr>
        <w:sectPr>
          <w:pgSz w:w="11900" w:h="16838" w:orient="portrait"/>
          <w:cols w:equalWidth="0" w:num="1">
            <w:col w:w="11100"/>
          </w:cols>
          <w:pgMar w:left="320" w:top="459" w:right="479" w:bottom="1440" w:gutter="0" w:footer="0" w:header="0"/>
        </w:sectPr>
      </w:pPr>
    </w:p>
    <w:p>
      <w:pPr>
        <w:spacing w:after="0" w:line="265" w:lineRule="exact"/>
        <w:rPr>
          <w:sz w:val="20"/>
          <w:szCs w:val="20"/>
          <w:color w:val="auto"/>
        </w:rPr>
      </w:pPr>
    </w:p>
    <w:p>
      <w:pPr>
        <w:ind w:left="120"/>
        <w:spacing w:after="0" w:line="273" w:lineRule="auto"/>
        <w:rPr>
          <w:sz w:val="20"/>
          <w:szCs w:val="20"/>
          <w:color w:val="auto"/>
        </w:rPr>
      </w:pPr>
      <w:r>
        <w:rPr>
          <w:rFonts w:ascii="Arial" w:cs="Arial" w:eastAsia="Arial" w:hAnsi="Arial"/>
          <w:sz w:val="17"/>
          <w:szCs w:val="17"/>
          <w:color w:val="auto"/>
        </w:rPr>
        <w:t>The Compensation Committee generally determines target award opportunity levels for the NEOs based on our compensation peer group for the CEO and CFO and external surveys for positions with similar levels of responsibility for the remaining NEOs. The actual awards could be higher or lower than the target opportunity based on the results for each performance measure, application of the safety modifier and the individual performance multiplier and the extent to which the Committee may use discretion to adjust the awards.</w:t>
      </w:r>
    </w:p>
    <w:p>
      <w:pPr>
        <w:spacing w:after="0" w:line="178" w:lineRule="exact"/>
        <w:rPr>
          <w:sz w:val="20"/>
          <w:szCs w:val="20"/>
          <w:color w:val="auto"/>
        </w:rPr>
      </w:pPr>
    </w:p>
    <w:p>
      <w:pPr>
        <w:ind w:left="120"/>
        <w:spacing w:after="0" w:line="268" w:lineRule="auto"/>
        <w:rPr>
          <w:sz w:val="20"/>
          <w:szCs w:val="20"/>
          <w:color w:val="auto"/>
        </w:rPr>
      </w:pPr>
      <w:r>
        <w:rPr>
          <w:rFonts w:ascii="Arial" w:cs="Arial" w:eastAsia="Arial" w:hAnsi="Arial"/>
          <w:sz w:val="17"/>
          <w:szCs w:val="17"/>
          <w:color w:val="auto"/>
        </w:rPr>
        <w:t>Performance measures factor the award between zero and 200 percent. A safety modifier is then applied to the total calculated payout, resulting in a five percent increase or decrease against the payout calculation depending on whether the safety metric is achieved (i.e., total weighted payout achieved on performance measures multiplied by 105 percent or 95 percent, as applicable). Finally, individual performance, as measured by the final performance rating assigned to an employee through the company’s performance management system, results in the application of an individual performance multiplier which is applied to the total calculated payout as adjusted for the safety modifier to determine the final APA payout awarded to an individual employee (i.e., total calculated payout as adjusted for the safety modifier multiplied by individual performance multiplier). For 2021, the individual performance multiplier was set at zero for employees receiving a performance rating of “not achieving,” 90% for employees receiving a performance rating of “partially achieving,” 100% for employees receiving a performance rating of “successfully achieving” and 110% for employees receiving a performance rating of “exceptionally achieving.” Taking into account the safety modifier and the individual performance multiplier, there was an absolute range from zero to 231 percent of the target award under the annual incentive plan for 2021.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Linking pay to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wp:posOffset>
            </wp:positionH>
            <wp:positionV relativeFrom="paragraph">
              <wp:posOffset>-1133475</wp:posOffset>
            </wp:positionV>
            <wp:extent cx="2305685" cy="32143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2305685" cy="3214370"/>
                    </a:xfrm>
                    <a:prstGeom prst="rect">
                      <a:avLst/>
                    </a:prstGeom>
                    <a:noFill/>
                  </pic:spPr>
                </pic:pic>
              </a:graphicData>
            </a:graphic>
          </wp:anchor>
        </w:drawing>
      </w:r>
    </w:p>
    <w:p>
      <w:pPr>
        <w:spacing w:after="0" w:line="138" w:lineRule="exact"/>
        <w:rPr>
          <w:sz w:val="20"/>
          <w:szCs w:val="20"/>
          <w:color w:val="auto"/>
        </w:rPr>
      </w:pPr>
    </w:p>
    <w:p>
      <w:pPr>
        <w:ind w:right="140"/>
        <w:spacing w:after="0" w:line="287" w:lineRule="auto"/>
        <w:rPr>
          <w:sz w:val="20"/>
          <w:szCs w:val="20"/>
          <w:color w:val="auto"/>
        </w:rPr>
      </w:pPr>
      <w:r>
        <w:rPr>
          <w:rFonts w:ascii="Arial" w:cs="Arial" w:eastAsia="Arial" w:hAnsi="Arial"/>
          <w:sz w:val="16"/>
          <w:szCs w:val="16"/>
          <w:i w:val="1"/>
          <w:iCs w:val="1"/>
          <w:color w:val="auto"/>
        </w:rPr>
        <w:t>The Compensation Committee established adjusted EBITDA as the primary performance measure under the annual incentive plan because it believes this measure is closely correlated with the creation of shareholder value. Adjusted operating cash flow was established as a secondary performance measure to encourage a focus on working capital discipline and cash generation to drive profitable growth, and a safety modifier reinforces our commitment to the health and safety of our people.</w:t>
      </w:r>
    </w:p>
    <w:p>
      <w:pPr>
        <w:spacing w:after="0" w:line="606" w:lineRule="exact"/>
        <w:rPr>
          <w:sz w:val="20"/>
          <w:szCs w:val="20"/>
          <w:color w:val="auto"/>
        </w:rPr>
      </w:pPr>
    </w:p>
    <w:p>
      <w:pPr>
        <w:sectPr>
          <w:pgSz w:w="11900" w:h="16838" w:orient="portrait"/>
          <w:cols w:equalWidth="0" w:num="2">
            <w:col w:w="7160" w:space="440"/>
            <w:col w:w="3500"/>
          </w:cols>
          <w:pgMar w:left="320" w:top="459" w:right="479" w:bottom="1440" w:gutter="0" w:footer="0" w:header="0"/>
          <w:type w:val="continuous"/>
        </w:sectPr>
      </w:pPr>
    </w:p>
    <w:p>
      <w:pPr>
        <w:spacing w:after="0" w:line="11"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47</w:t>
      </w:r>
    </w:p>
    <w:p>
      <w:pPr>
        <w:sectPr>
          <w:pgSz w:w="11900" w:h="16838" w:orient="portrait"/>
          <w:cols w:equalWidth="0" w:num="1">
            <w:col w:w="11100"/>
          </w:cols>
          <w:pgMar w:left="320" w:top="459" w:right="479" w:bottom="1440" w:gutter="0" w:footer="0" w:header="0"/>
          <w:type w:val="continuous"/>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24" w:lineRule="exact"/>
        <w:rPr>
          <w:sz w:val="20"/>
          <w:szCs w:val="20"/>
          <w:color w:val="auto"/>
        </w:rPr>
      </w:pPr>
    </w:p>
    <w:tbl>
      <w:tblPr>
        <w:tblLayout w:type="fixed"/>
        <w:tblInd w:w="2320" w:type="dxa"/>
        <w:tblCellMar>
          <w:top w:w="0" w:type="dxa"/>
          <w:left w:w="0" w:type="dxa"/>
          <w:bottom w:w="0" w:type="dxa"/>
          <w:right w:w="0" w:type="dxa"/>
        </w:tblCellMar>
      </w:tblPr>
      <w:tr>
        <w:trPr>
          <w:trHeight w:val="277"/>
        </w:trPr>
        <w:tc>
          <w:tcPr>
            <w:tcW w:w="4300" w:type="dxa"/>
            <w:vAlign w:val="bottom"/>
          </w:tcPr>
          <w:p>
            <w:pPr>
              <w:spacing w:after="0"/>
              <w:rPr>
                <w:sz w:val="24"/>
                <w:szCs w:val="24"/>
                <w:color w:val="auto"/>
              </w:rPr>
            </w:pPr>
          </w:p>
        </w:tc>
        <w:tc>
          <w:tcPr>
            <w:tcW w:w="2320" w:type="dxa"/>
            <w:vAlign w:val="bottom"/>
            <w:tcBorders>
              <w:bottom w:val="single" w:sz="8" w:color="939598"/>
            </w:tcBorders>
            <w:shd w:val="clear" w:color="auto" w:fill="939598"/>
          </w:tcPr>
          <w:p>
            <w:pPr>
              <w:jc w:val="center"/>
              <w:spacing w:after="0"/>
              <w:rPr>
                <w:sz w:val="20"/>
                <w:szCs w:val="20"/>
                <w:color w:val="auto"/>
              </w:rPr>
            </w:pPr>
            <w:r>
              <w:rPr>
                <w:rFonts w:ascii="Arial" w:cs="Arial" w:eastAsia="Arial" w:hAnsi="Arial"/>
                <w:sz w:val="18"/>
                <w:szCs w:val="18"/>
                <w:b w:val="1"/>
                <w:bCs w:val="1"/>
                <w:color w:val="FFFFFF"/>
                <w:w w:val="90"/>
              </w:rPr>
              <w:t>Annual incentive</w:t>
            </w:r>
          </w:p>
        </w:tc>
      </w:tr>
      <w:tr>
        <w:trPr>
          <w:trHeight w:val="198"/>
        </w:trPr>
        <w:tc>
          <w:tcPr>
            <w:tcW w:w="4300" w:type="dxa"/>
            <w:vAlign w:val="bottom"/>
          </w:tcPr>
          <w:p>
            <w:pPr>
              <w:spacing w:after="0"/>
              <w:rPr>
                <w:sz w:val="17"/>
                <w:szCs w:val="17"/>
                <w:color w:val="auto"/>
              </w:rPr>
            </w:pPr>
          </w:p>
        </w:tc>
        <w:tc>
          <w:tcPr>
            <w:tcW w:w="2320" w:type="dxa"/>
            <w:vAlign w:val="bottom"/>
            <w:shd w:val="clear" w:color="auto" w:fill="58595B"/>
          </w:tcPr>
          <w:p>
            <w:pPr>
              <w:jc w:val="center"/>
              <w:spacing w:after="0" w:line="198" w:lineRule="exact"/>
              <w:rPr>
                <w:sz w:val="20"/>
                <w:szCs w:val="20"/>
                <w:color w:val="auto"/>
              </w:rPr>
            </w:pPr>
            <w:r>
              <w:rPr>
                <w:rFonts w:ascii="Arial" w:cs="Arial" w:eastAsia="Arial" w:hAnsi="Arial"/>
                <w:sz w:val="18"/>
                <w:szCs w:val="18"/>
                <w:b w:val="1"/>
                <w:bCs w:val="1"/>
                <w:color w:val="FFFFFF"/>
                <w:w w:val="89"/>
              </w:rPr>
              <w:t>Target opportunity as a</w:t>
            </w:r>
          </w:p>
        </w:tc>
      </w:tr>
      <w:tr>
        <w:trPr>
          <w:trHeight w:val="234"/>
        </w:trPr>
        <w:tc>
          <w:tcPr>
            <w:tcW w:w="4300" w:type="dxa"/>
            <w:vAlign w:val="bottom"/>
          </w:tcPr>
          <w:p>
            <w:pPr>
              <w:spacing w:after="0"/>
              <w:rPr>
                <w:sz w:val="20"/>
                <w:szCs w:val="20"/>
                <w:color w:val="auto"/>
              </w:rPr>
            </w:pPr>
          </w:p>
        </w:tc>
        <w:tc>
          <w:tcPr>
            <w:tcW w:w="2320" w:type="dxa"/>
            <w:vAlign w:val="bottom"/>
            <w:shd w:val="clear" w:color="auto" w:fill="58595B"/>
          </w:tcPr>
          <w:p>
            <w:pPr>
              <w:jc w:val="center"/>
              <w:spacing w:after="0"/>
              <w:rPr>
                <w:sz w:val="20"/>
                <w:szCs w:val="20"/>
                <w:color w:val="auto"/>
              </w:rPr>
            </w:pPr>
            <w:r>
              <w:rPr>
                <w:rFonts w:ascii="Arial" w:cs="Arial" w:eastAsia="Arial" w:hAnsi="Arial"/>
                <w:sz w:val="18"/>
                <w:szCs w:val="18"/>
                <w:b w:val="1"/>
                <w:bCs w:val="1"/>
                <w:color w:val="FFFFFF"/>
                <w:w w:val="88"/>
              </w:rPr>
              <w:t>percent of base salary</w:t>
            </w:r>
          </w:p>
        </w:tc>
      </w:tr>
      <w:tr>
        <w:trPr>
          <w:trHeight w:val="81"/>
        </w:trPr>
        <w:tc>
          <w:tcPr>
            <w:tcW w:w="4300" w:type="dxa"/>
            <w:vAlign w:val="bottom"/>
            <w:tcBorders>
              <w:bottom w:val="single" w:sz="8" w:color="D8D8D8"/>
            </w:tcBorders>
          </w:tcPr>
          <w:p>
            <w:pPr>
              <w:spacing w:after="0"/>
              <w:rPr>
                <w:sz w:val="7"/>
                <w:szCs w:val="7"/>
                <w:color w:val="auto"/>
              </w:rPr>
            </w:pPr>
          </w:p>
        </w:tc>
        <w:tc>
          <w:tcPr>
            <w:tcW w:w="2320" w:type="dxa"/>
            <w:vAlign w:val="bottom"/>
            <w:tcBorders>
              <w:bottom w:val="single" w:sz="8" w:color="D8D8D8"/>
            </w:tcBorders>
            <w:shd w:val="clear" w:color="auto" w:fill="58595B"/>
          </w:tcPr>
          <w:p>
            <w:pPr>
              <w:spacing w:after="0"/>
              <w:rPr>
                <w:sz w:val="7"/>
                <w:szCs w:val="7"/>
                <w:color w:val="auto"/>
              </w:rPr>
            </w:pPr>
          </w:p>
        </w:tc>
      </w:tr>
      <w:tr>
        <w:trPr>
          <w:trHeight w:val="230"/>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Michael S. Williams</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91"/>
              </w:rPr>
              <w:t>100%</w:t>
            </w:r>
          </w:p>
        </w:tc>
      </w:tr>
      <w:tr>
        <w:trPr>
          <w:trHeight w:val="237"/>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Kristopher R. Westbrooks</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88"/>
              </w:rPr>
              <w:t>70%</w:t>
            </w:r>
          </w:p>
        </w:tc>
      </w:tr>
      <w:tr>
        <w:trPr>
          <w:trHeight w:val="236"/>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Kristine C. Syrvalin</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88"/>
              </w:rPr>
              <w:t>50%</w:t>
            </w:r>
          </w:p>
        </w:tc>
      </w:tr>
      <w:tr>
        <w:trPr>
          <w:trHeight w:val="236"/>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Kevin A. Raketich</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88"/>
              </w:rPr>
              <w:t>50%</w:t>
            </w:r>
          </w:p>
        </w:tc>
      </w:tr>
      <w:tr>
        <w:trPr>
          <w:trHeight w:val="237"/>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William P. Bryan</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88"/>
              </w:rPr>
              <w:t>50%</w:t>
            </w:r>
          </w:p>
        </w:tc>
      </w:tr>
      <w:tr>
        <w:trPr>
          <w:trHeight w:val="237"/>
        </w:trPr>
        <w:tc>
          <w:tcPr>
            <w:tcW w:w="4300" w:type="dxa"/>
            <w:vAlign w:val="bottom"/>
            <w:tcBorders>
              <w:bottom w:val="single" w:sz="8" w:color="D8D8D8"/>
            </w:tcBorders>
          </w:tcPr>
          <w:p>
            <w:pPr>
              <w:ind w:left="100"/>
              <w:spacing w:after="0"/>
              <w:rPr>
                <w:sz w:val="20"/>
                <w:szCs w:val="20"/>
                <w:color w:val="auto"/>
              </w:rPr>
            </w:pPr>
            <w:r>
              <w:rPr>
                <w:rFonts w:ascii="Arial" w:cs="Arial" w:eastAsia="Arial" w:hAnsi="Arial"/>
                <w:sz w:val="18"/>
                <w:szCs w:val="18"/>
                <w:color w:val="auto"/>
              </w:rPr>
              <w:t>Thomas D. Moline</w:t>
            </w:r>
          </w:p>
        </w:tc>
        <w:tc>
          <w:tcPr>
            <w:tcW w:w="2320" w:type="dxa"/>
            <w:vAlign w:val="bottom"/>
            <w:tcBorders>
              <w:bottom w:val="single" w:sz="8" w:color="D8D8D8"/>
            </w:tcBorders>
          </w:tcPr>
          <w:p>
            <w:pPr>
              <w:jc w:val="center"/>
              <w:spacing w:after="0"/>
              <w:rPr>
                <w:sz w:val="20"/>
                <w:szCs w:val="20"/>
                <w:color w:val="auto"/>
              </w:rPr>
            </w:pPr>
            <w:r>
              <w:rPr>
                <w:rFonts w:ascii="Arial" w:cs="Arial" w:eastAsia="Arial" w:hAnsi="Arial"/>
                <w:sz w:val="18"/>
                <w:szCs w:val="18"/>
                <w:color w:val="auto"/>
                <w:w w:val="88"/>
              </w:rPr>
              <w:t>50%</w:t>
            </w:r>
          </w:p>
        </w:tc>
      </w:tr>
    </w:tbl>
    <w:p>
      <w:pPr>
        <w:spacing w:after="0" w:line="20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Annual performance award decisions</w:t>
      </w:r>
    </w:p>
    <w:p>
      <w:pPr>
        <w:spacing w:after="0" w:line="11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Payouts under the APA plan are determined by the following factors:</w:t>
      </w:r>
    </w:p>
    <w:p>
      <w:pPr>
        <w:spacing w:after="0" w:line="90" w:lineRule="exact"/>
        <w:rPr>
          <w:sz w:val="20"/>
          <w:szCs w:val="20"/>
          <w:color w:val="auto"/>
        </w:rPr>
      </w:pPr>
    </w:p>
    <w:p>
      <w:pPr>
        <w:ind w:left="560"/>
        <w:spacing w:after="0"/>
        <w:rPr>
          <w:sz w:val="20"/>
          <w:szCs w:val="20"/>
          <w:color w:val="auto"/>
        </w:rPr>
      </w:pPr>
      <w:r>
        <w:rPr>
          <w:rFonts w:ascii="Arial" w:cs="Arial" w:eastAsia="Arial" w:hAnsi="Arial"/>
          <w:sz w:val="18"/>
          <w:szCs w:val="18"/>
          <w:color w:val="auto"/>
        </w:rPr>
        <w:t>• earnings measured by adjusted EBITDA;</w:t>
      </w:r>
    </w:p>
    <w:p>
      <w:pPr>
        <w:spacing w:after="0" w:line="77" w:lineRule="exact"/>
        <w:rPr>
          <w:sz w:val="20"/>
          <w:szCs w:val="20"/>
          <w:color w:val="auto"/>
        </w:rPr>
      </w:pPr>
    </w:p>
    <w:p>
      <w:pPr>
        <w:ind w:left="560"/>
        <w:spacing w:after="0"/>
        <w:rPr>
          <w:sz w:val="20"/>
          <w:szCs w:val="20"/>
          <w:color w:val="auto"/>
        </w:rPr>
      </w:pPr>
      <w:r>
        <w:rPr>
          <w:rFonts w:ascii="Arial" w:cs="Arial" w:eastAsia="Arial" w:hAnsi="Arial"/>
          <w:sz w:val="18"/>
          <w:szCs w:val="18"/>
          <w:color w:val="auto"/>
        </w:rPr>
        <w:t>• adjusted operating cash flow;</w:t>
      </w:r>
    </w:p>
    <w:p>
      <w:pPr>
        <w:spacing w:after="0" w:line="77" w:lineRule="exact"/>
        <w:rPr>
          <w:sz w:val="20"/>
          <w:szCs w:val="20"/>
          <w:color w:val="auto"/>
        </w:rPr>
      </w:pPr>
    </w:p>
    <w:p>
      <w:pPr>
        <w:ind w:left="560"/>
        <w:spacing w:after="0"/>
        <w:rPr>
          <w:sz w:val="20"/>
          <w:szCs w:val="20"/>
          <w:color w:val="auto"/>
        </w:rPr>
      </w:pPr>
      <w:r>
        <w:rPr>
          <w:rFonts w:ascii="Arial" w:cs="Arial" w:eastAsia="Arial" w:hAnsi="Arial"/>
          <w:sz w:val="18"/>
          <w:szCs w:val="18"/>
          <w:color w:val="auto"/>
        </w:rPr>
        <w:t>• safety; and</w:t>
      </w:r>
    </w:p>
    <w:p>
      <w:pPr>
        <w:spacing w:after="0" w:line="90" w:lineRule="exact"/>
        <w:rPr>
          <w:sz w:val="20"/>
          <w:szCs w:val="20"/>
          <w:color w:val="auto"/>
        </w:rPr>
      </w:pPr>
    </w:p>
    <w:p>
      <w:pPr>
        <w:ind w:left="560"/>
        <w:spacing w:after="0"/>
        <w:rPr>
          <w:sz w:val="20"/>
          <w:szCs w:val="20"/>
          <w:color w:val="auto"/>
        </w:rPr>
      </w:pPr>
      <w:r>
        <w:rPr>
          <w:rFonts w:ascii="Arial" w:cs="Arial" w:eastAsia="Arial" w:hAnsi="Arial"/>
          <w:sz w:val="18"/>
          <w:szCs w:val="18"/>
          <w:color w:val="auto"/>
        </w:rPr>
        <w:t>• individual performance.</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17"/>
          <w:szCs w:val="17"/>
          <w:color w:val="auto"/>
        </w:rPr>
        <w:t>The following charts show performance targets and actual performance levels for each of the two financial metrics in the 2021 APA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1839595</wp:posOffset>
            </wp:positionH>
            <wp:positionV relativeFrom="paragraph">
              <wp:posOffset>159385</wp:posOffset>
            </wp:positionV>
            <wp:extent cx="3471545" cy="35147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3471545" cy="3514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980"/>
        <w:spacing w:after="0"/>
        <w:rPr>
          <w:sz w:val="20"/>
          <w:szCs w:val="20"/>
          <w:color w:val="auto"/>
        </w:rPr>
      </w:pPr>
      <w:r>
        <w:rPr>
          <w:rFonts w:ascii="Arial" w:cs="Arial" w:eastAsia="Arial" w:hAnsi="Arial"/>
          <w:sz w:val="14"/>
          <w:szCs w:val="14"/>
          <w:color w:val="auto"/>
        </w:rPr>
        <w:t>Dollars in millions. Payout percentage is expressed as the percent of target opportunity on a weighted basis.</w:t>
      </w:r>
    </w:p>
    <w:p>
      <w:pPr>
        <w:spacing w:after="0" w:line="167"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The target performance objective for adjusted EBITDA was set significantly above 2020 results while the target performance objective for adjusted operating cash flow was set below 2020 results. The target performance objectives</w:t>
      </w:r>
    </w:p>
    <w:p>
      <w:pPr>
        <w:spacing w:after="0" w:line="107" w:lineRule="exact"/>
        <w:rPr>
          <w:sz w:val="20"/>
          <w:szCs w:val="20"/>
          <w:color w:val="auto"/>
        </w:rPr>
      </w:pPr>
    </w:p>
    <w:p>
      <w:pPr>
        <w:jc w:val="center"/>
        <w:ind w:right="-519"/>
        <w:spacing w:after="0"/>
        <w:rPr>
          <w:sz w:val="20"/>
          <w:szCs w:val="20"/>
          <w:color w:val="auto"/>
        </w:rPr>
      </w:pPr>
      <w:r>
        <w:rPr>
          <w:rFonts w:ascii="Arial" w:cs="Arial" w:eastAsia="Arial" w:hAnsi="Arial"/>
          <w:sz w:val="16"/>
          <w:szCs w:val="16"/>
          <w:color w:val="auto"/>
        </w:rPr>
        <w:t>48</w:t>
      </w:r>
    </w:p>
    <w:p>
      <w:pPr>
        <w:sectPr>
          <w:pgSz w:w="11900" w:h="16838" w:orient="portrait"/>
          <w:cols w:equalWidth="0" w:num="1">
            <w:col w:w="10740"/>
          </w:cols>
          <w:pgMar w:left="320" w:top="459" w:right="83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spacing w:after="0" w:line="259" w:lineRule="auto"/>
        <w:rPr>
          <w:sz w:val="20"/>
          <w:szCs w:val="20"/>
          <w:color w:val="auto"/>
        </w:rPr>
      </w:pPr>
      <w:r>
        <w:rPr>
          <w:rFonts w:ascii="Arial" w:cs="Arial" w:eastAsia="Arial" w:hAnsi="Arial"/>
          <w:sz w:val="18"/>
          <w:szCs w:val="18"/>
          <w:color w:val="auto"/>
        </w:rPr>
        <w:t>reflected expectations at the time these objectives were established in early 2021 for a modest improvement in volumes, given limited demand visibility, but with lower expected base sale prices, accompanied by continued market uncertainty driven by the ongoing COVID-19 pandemic. In light of these expectations, the Compensation Committee felt that the target performance objectives established for both adjusted EBITDA and adjusted operating cash flow would be challenging, but attainable.</w:t>
      </w:r>
    </w:p>
    <w:p>
      <w:pPr>
        <w:spacing w:after="0" w:line="160" w:lineRule="exact"/>
        <w:rPr>
          <w:sz w:val="20"/>
          <w:szCs w:val="20"/>
          <w:color w:val="auto"/>
        </w:rPr>
      </w:pPr>
    </w:p>
    <w:p>
      <w:pPr>
        <w:ind w:left="120" w:right="80"/>
        <w:spacing w:after="0" w:line="269" w:lineRule="auto"/>
        <w:rPr>
          <w:sz w:val="20"/>
          <w:szCs w:val="20"/>
          <w:color w:val="auto"/>
        </w:rPr>
      </w:pPr>
      <w:r>
        <w:rPr>
          <w:rFonts w:ascii="Arial" w:cs="Arial" w:eastAsia="Arial" w:hAnsi="Arial"/>
          <w:sz w:val="17"/>
          <w:szCs w:val="17"/>
          <w:color w:val="auto"/>
        </w:rPr>
        <w:t>As a result of a dramatic economic recovery in the U.S., significantly improved demand environment for our products, higher melt utilization due to the consolidation of our melt shop capacity, and a continued focus on controlling costs with further streamlining of our organizational structure and administrative processes, profitability and operating cash flow significantly exceeded expectations in 2021. Actual performance on the adjusted EBITDA metric of $247.3 million was above the maximum performance objective, resulting in a payout calculation of 200 percent of target on an unweighted basis. With respect to the adjusted operating cash flow metric, a target was established for the first half and the second half of the year in order to drive cash flow management throughout the year, with the final payout calculated as the average of the calculated payout for the two six-month periods. Actual adjusted operating cash flow of $49.0 million in the first six-month period and $166.1 million in the second six-month period exceeded the maximum performance objectives established for these periods. The adjusted operating cash flow performance was driven by higher than planned profitability combined with continued working capital discipline. This resulted in a final payout calculation on the adjusted operating cash flow metric of 200 percent of target on an unweighted basis.</w:t>
      </w:r>
    </w:p>
    <w:p>
      <w:pPr>
        <w:spacing w:after="0" w:line="145" w:lineRule="exact"/>
        <w:rPr>
          <w:sz w:val="20"/>
          <w:szCs w:val="20"/>
          <w:color w:val="auto"/>
        </w:rPr>
      </w:pPr>
    </w:p>
    <w:p>
      <w:pPr>
        <w:ind w:left="120" w:right="20"/>
        <w:spacing w:after="0" w:line="273" w:lineRule="auto"/>
        <w:rPr>
          <w:sz w:val="20"/>
          <w:szCs w:val="20"/>
          <w:color w:val="auto"/>
        </w:rPr>
      </w:pPr>
      <w:r>
        <w:rPr>
          <w:rFonts w:ascii="Arial" w:cs="Arial" w:eastAsia="Arial" w:hAnsi="Arial"/>
          <w:sz w:val="17"/>
          <w:szCs w:val="17"/>
          <w:color w:val="auto"/>
        </w:rPr>
        <w:t>With respect to the safety metric, the company ended the year with an OSHA recordable rate of 1.85 and a lost time incident rate of 0.32, meeting the objective of an OSHA recordable rate of less than 1.90 and a lost-time incident rate of less than 0.35. However, because the company failed to meet the threshold requirement for the safety modifier of zero fatalities in 2021, the safety modifier component of the APA plan was not achieved, resulting in the application of a 5 percent decrease against the total payout calculation. Accordingly, the 200 percent of target payout percentage achieved (on a weighted basis) based on performance on the adjusted EBITDA and adjusted operating cash flow metrics was multiplied by 95 percent (reflecting the 5 percent decrease) to arrive at a total calculated payout for the 2021 APA plan of 190 percent of target.</w:t>
      </w:r>
    </w:p>
    <w:p>
      <w:pPr>
        <w:spacing w:after="0" w:line="137" w:lineRule="exact"/>
        <w:rPr>
          <w:sz w:val="20"/>
          <w:szCs w:val="20"/>
          <w:color w:val="auto"/>
        </w:rPr>
      </w:pPr>
    </w:p>
    <w:p>
      <w:pPr>
        <w:ind w:left="120" w:right="20"/>
        <w:spacing w:after="0" w:line="286" w:lineRule="auto"/>
        <w:rPr>
          <w:sz w:val="20"/>
          <w:szCs w:val="20"/>
          <w:color w:val="auto"/>
        </w:rPr>
      </w:pPr>
      <w:r>
        <w:rPr>
          <w:rFonts w:ascii="Arial" w:cs="Arial" w:eastAsia="Arial" w:hAnsi="Arial"/>
          <w:sz w:val="16"/>
          <w:szCs w:val="16"/>
          <w:color w:val="auto"/>
        </w:rPr>
        <w:t>For the 2021 APA plan, the adjusted EBITDA metric was defined as EBITDA excluding mark-to-market remeasurement gains or losses; the effect of changes in tax law, accounting principles or other laws or provisions affecting reported results; and the effects of any recapitalization, restructuring, reorganization, merger, acquisition, divestiture, consolidation, spinoff, split-up, combination, liquidation, facility shutdown, dissolution, sale of assets, stock or debt refinancing, impairment, goodwill or other similar transaction. With respect to the adjusted operating cash flow metric, as noted previously, a target was established for the first half and the second half of the year, with the final payout calculated as the average of the calculated payouts for these two six-month periods. The adjusted operating cash flow metric was defined as net cash provided or used by operating activities (or operating cash flow) excluding changes in other current assets and other current liabilities, cash provided or used by financing activity, taxes, interest and capital expenditures; changes in applicable accounting principles, tax laws or regulations; and the effects of any recapitalization, restructuring, reorganization, merger, acquisition, divestiture, consolidation, spinoff, split-up, combination, liquidation, facility shutdown, dissolution, sale of assets, stock or debt refinancing, impairment, goodwill or other similar transaction. As noted above, the safety metric was defined as an OSHA recordable rate less than 1.90, a lost time incident rate less than 0.35, and zero fatalities. Achievement of the safety metric would result in the application of a five percent increase against the total payout calculation (i.e., weighted payout achieved multiplied by 105 percent), while failure to achieve the safety metric would result in the application of a five percent decrease against the total payout calculation (i.e., weighted payout achieved multiplied by 95 percent).</w:t>
      </w:r>
    </w:p>
    <w:p>
      <w:pPr>
        <w:spacing w:after="0" w:line="188"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6380" w:type="dxa"/>
            <w:vAlign w:val="bottom"/>
          </w:tcPr>
          <w:p>
            <w:pPr>
              <w:spacing w:after="0"/>
              <w:rPr>
                <w:sz w:val="21"/>
                <w:szCs w:val="21"/>
                <w:color w:val="auto"/>
              </w:rPr>
            </w:pPr>
          </w:p>
        </w:tc>
        <w:tc>
          <w:tcPr>
            <w:tcW w:w="4640" w:type="dxa"/>
            <w:vAlign w:val="bottom"/>
            <w:gridSpan w:val="2"/>
            <w:shd w:val="clear" w:color="auto" w:fill="939598"/>
          </w:tcPr>
          <w:p>
            <w:pPr>
              <w:ind w:left="1420"/>
              <w:spacing w:after="0"/>
              <w:rPr>
                <w:sz w:val="20"/>
                <w:szCs w:val="20"/>
                <w:color w:val="auto"/>
              </w:rPr>
            </w:pPr>
            <w:r>
              <w:rPr>
                <w:rFonts w:ascii="Arial" w:cs="Arial" w:eastAsia="Arial" w:hAnsi="Arial"/>
                <w:sz w:val="18"/>
                <w:szCs w:val="18"/>
                <w:b w:val="1"/>
                <w:bCs w:val="1"/>
                <w:color w:val="FFFFFF"/>
              </w:rPr>
              <w:t>2021 Annual incentive payouts</w:t>
            </w:r>
          </w:p>
        </w:tc>
      </w:tr>
      <w:tr>
        <w:trPr>
          <w:trHeight w:val="238"/>
        </w:trPr>
        <w:tc>
          <w:tcPr>
            <w:tcW w:w="6380" w:type="dxa"/>
            <w:vAlign w:val="bottom"/>
          </w:tcPr>
          <w:p>
            <w:pPr>
              <w:spacing w:after="0"/>
              <w:rPr>
                <w:sz w:val="20"/>
                <w:szCs w:val="20"/>
                <w:color w:val="auto"/>
              </w:rPr>
            </w:pPr>
          </w:p>
        </w:tc>
        <w:tc>
          <w:tcPr>
            <w:tcW w:w="2960" w:type="dxa"/>
            <w:vAlign w:val="bottom"/>
            <w:shd w:val="clear" w:color="auto" w:fill="58595B"/>
          </w:tcPr>
          <w:p>
            <w:pPr>
              <w:jc w:val="center"/>
              <w:ind w:left="370"/>
              <w:spacing w:after="0"/>
              <w:rPr>
                <w:sz w:val="20"/>
                <w:szCs w:val="20"/>
                <w:color w:val="auto"/>
              </w:rPr>
            </w:pPr>
            <w:r>
              <w:rPr>
                <w:rFonts w:ascii="Arial" w:cs="Arial" w:eastAsia="Arial" w:hAnsi="Arial"/>
                <w:sz w:val="18"/>
                <w:szCs w:val="18"/>
                <w:b w:val="1"/>
                <w:bCs w:val="1"/>
                <w:color w:val="FFFFFF"/>
                <w:w w:val="91"/>
              </w:rPr>
              <w:t>Target opportunity</w:t>
            </w:r>
          </w:p>
        </w:tc>
        <w:tc>
          <w:tcPr>
            <w:tcW w:w="1680" w:type="dxa"/>
            <w:vAlign w:val="bottom"/>
            <w:shd w:val="clear" w:color="auto" w:fill="58595B"/>
          </w:tcPr>
          <w:p>
            <w:pPr>
              <w:spacing w:after="0"/>
              <w:rPr>
                <w:sz w:val="20"/>
                <w:szCs w:val="20"/>
                <w:color w:val="auto"/>
              </w:rPr>
            </w:pPr>
          </w:p>
        </w:tc>
      </w:tr>
      <w:tr>
        <w:trPr>
          <w:trHeight w:val="216"/>
        </w:trPr>
        <w:tc>
          <w:tcPr>
            <w:tcW w:w="6380" w:type="dxa"/>
            <w:vAlign w:val="bottom"/>
          </w:tcPr>
          <w:p>
            <w:pPr>
              <w:spacing w:after="0"/>
              <w:rPr>
                <w:sz w:val="18"/>
                <w:szCs w:val="18"/>
                <w:color w:val="auto"/>
              </w:rPr>
            </w:pPr>
          </w:p>
        </w:tc>
        <w:tc>
          <w:tcPr>
            <w:tcW w:w="2960" w:type="dxa"/>
            <w:vAlign w:val="bottom"/>
            <w:shd w:val="clear" w:color="auto" w:fill="58595B"/>
          </w:tcPr>
          <w:p>
            <w:pPr>
              <w:jc w:val="center"/>
              <w:ind w:left="370"/>
              <w:spacing w:after="0"/>
              <w:rPr>
                <w:sz w:val="20"/>
                <w:szCs w:val="20"/>
                <w:color w:val="auto"/>
              </w:rPr>
            </w:pPr>
            <w:r>
              <w:rPr>
                <w:rFonts w:ascii="Arial" w:cs="Arial" w:eastAsia="Arial" w:hAnsi="Arial"/>
                <w:sz w:val="18"/>
                <w:szCs w:val="18"/>
                <w:b w:val="1"/>
                <w:bCs w:val="1"/>
                <w:color w:val="FFFFFF"/>
                <w:w w:val="86"/>
              </w:rPr>
              <w:t>as a percent of</w:t>
            </w:r>
          </w:p>
        </w:tc>
        <w:tc>
          <w:tcPr>
            <w:tcW w:w="1680" w:type="dxa"/>
            <w:vAlign w:val="bottom"/>
            <w:shd w:val="clear" w:color="auto" w:fill="58595B"/>
          </w:tcPr>
          <w:p>
            <w:pPr>
              <w:spacing w:after="0"/>
              <w:rPr>
                <w:sz w:val="18"/>
                <w:szCs w:val="18"/>
                <w:color w:val="auto"/>
              </w:rPr>
            </w:pPr>
          </w:p>
        </w:tc>
      </w:tr>
      <w:tr>
        <w:trPr>
          <w:trHeight w:val="261"/>
        </w:trPr>
        <w:tc>
          <w:tcPr>
            <w:tcW w:w="6380" w:type="dxa"/>
            <w:vAlign w:val="bottom"/>
          </w:tcPr>
          <w:p>
            <w:pPr>
              <w:spacing w:after="0"/>
              <w:rPr>
                <w:sz w:val="22"/>
                <w:szCs w:val="22"/>
                <w:color w:val="auto"/>
              </w:rPr>
            </w:pPr>
          </w:p>
        </w:tc>
        <w:tc>
          <w:tcPr>
            <w:tcW w:w="2960" w:type="dxa"/>
            <w:vAlign w:val="bottom"/>
            <w:tcBorders>
              <w:bottom w:val="single" w:sz="8" w:color="58595B"/>
            </w:tcBorders>
            <w:shd w:val="clear" w:color="auto" w:fill="58595B"/>
          </w:tcPr>
          <w:p>
            <w:pPr>
              <w:jc w:val="center"/>
              <w:ind w:left="370"/>
              <w:spacing w:after="0"/>
              <w:rPr>
                <w:sz w:val="20"/>
                <w:szCs w:val="20"/>
                <w:color w:val="auto"/>
              </w:rPr>
            </w:pPr>
            <w:r>
              <w:rPr>
                <w:rFonts w:ascii="Arial" w:cs="Arial" w:eastAsia="Arial" w:hAnsi="Arial"/>
                <w:sz w:val="18"/>
                <w:szCs w:val="18"/>
                <w:b w:val="1"/>
                <w:bCs w:val="1"/>
                <w:color w:val="FFFFFF"/>
                <w:w w:val="87"/>
              </w:rPr>
              <w:t>base salary</w:t>
            </w:r>
          </w:p>
        </w:tc>
        <w:tc>
          <w:tcPr>
            <w:tcW w:w="1680" w:type="dxa"/>
            <w:vAlign w:val="bottom"/>
            <w:tcBorders>
              <w:bottom w:val="single" w:sz="8" w:color="58595B"/>
            </w:tcBorders>
            <w:shd w:val="clear" w:color="auto" w:fill="58595B"/>
          </w:tcPr>
          <w:p>
            <w:pPr>
              <w:ind w:left="520"/>
              <w:spacing w:after="0"/>
              <w:rPr>
                <w:sz w:val="20"/>
                <w:szCs w:val="20"/>
                <w:color w:val="auto"/>
              </w:rPr>
            </w:pPr>
            <w:r>
              <w:rPr>
                <w:rFonts w:ascii="Arial" w:cs="Arial" w:eastAsia="Arial" w:hAnsi="Arial"/>
                <w:sz w:val="18"/>
                <w:szCs w:val="18"/>
                <w:b w:val="1"/>
                <w:bCs w:val="1"/>
                <w:color w:val="FFFFFF"/>
              </w:rPr>
              <w:t>2021 Award</w:t>
            </w:r>
          </w:p>
        </w:tc>
      </w:tr>
      <w:tr>
        <w:trPr>
          <w:trHeight w:val="223"/>
        </w:trPr>
        <w:tc>
          <w:tcPr>
            <w:tcW w:w="6380" w:type="dxa"/>
            <w:vAlign w:val="bottom"/>
            <w:tcBorders>
              <w:top w:val="single" w:sz="8" w:color="D8D8D8"/>
              <w:bottom w:val="single" w:sz="8" w:color="D8D8D8"/>
            </w:tcBorders>
          </w:tcPr>
          <w:p>
            <w:pPr>
              <w:spacing w:after="0"/>
              <w:rPr>
                <w:sz w:val="20"/>
                <w:szCs w:val="20"/>
                <w:color w:val="auto"/>
              </w:rPr>
            </w:pPr>
            <w:r>
              <w:rPr>
                <w:rFonts w:ascii="Arial" w:cs="Arial" w:eastAsia="Arial" w:hAnsi="Arial"/>
                <w:sz w:val="18"/>
                <w:szCs w:val="18"/>
                <w:color w:val="auto"/>
              </w:rPr>
              <w:t>Michael S. Williams</w:t>
            </w:r>
          </w:p>
        </w:tc>
        <w:tc>
          <w:tcPr>
            <w:tcW w:w="2960" w:type="dxa"/>
            <w:vAlign w:val="bottom"/>
            <w:tcBorders>
              <w:top w:val="single" w:sz="8" w:color="D8D8D8"/>
              <w:bottom w:val="single" w:sz="8" w:color="D8D8D8"/>
            </w:tcBorders>
          </w:tcPr>
          <w:p>
            <w:pPr>
              <w:jc w:val="center"/>
              <w:ind w:left="370"/>
              <w:spacing w:after="0"/>
              <w:rPr>
                <w:sz w:val="20"/>
                <w:szCs w:val="20"/>
                <w:color w:val="auto"/>
              </w:rPr>
            </w:pPr>
            <w:r>
              <w:rPr>
                <w:rFonts w:ascii="Arial" w:cs="Arial" w:eastAsia="Arial" w:hAnsi="Arial"/>
                <w:sz w:val="18"/>
                <w:szCs w:val="18"/>
                <w:color w:val="auto"/>
                <w:w w:val="91"/>
              </w:rPr>
              <w:t>100%</w:t>
            </w:r>
          </w:p>
        </w:tc>
        <w:tc>
          <w:tcPr>
            <w:tcW w:w="1680" w:type="dxa"/>
            <w:vAlign w:val="bottom"/>
            <w:tcBorders>
              <w:top w:val="single" w:sz="8" w:color="D8D8D8"/>
              <w:bottom w:val="single" w:sz="8" w:color="D8D8D8"/>
            </w:tcBorders>
          </w:tcPr>
          <w:p>
            <w:pPr>
              <w:jc w:val="center"/>
              <w:ind w:left="190"/>
              <w:spacing w:after="0"/>
              <w:rPr>
                <w:sz w:val="20"/>
                <w:szCs w:val="20"/>
                <w:color w:val="auto"/>
              </w:rPr>
            </w:pPr>
            <w:r>
              <w:rPr>
                <w:rFonts w:ascii="Arial" w:cs="Arial" w:eastAsia="Arial" w:hAnsi="Arial"/>
                <w:sz w:val="18"/>
                <w:szCs w:val="18"/>
                <w:color w:val="auto"/>
                <w:w w:val="88"/>
              </w:rPr>
              <w:t>$1,672,000</w:t>
            </w:r>
          </w:p>
        </w:tc>
      </w:tr>
      <w:tr>
        <w:trPr>
          <w:trHeight w:val="223"/>
        </w:trPr>
        <w:tc>
          <w:tcPr>
            <w:tcW w:w="6380" w:type="dxa"/>
            <w:vAlign w:val="bottom"/>
            <w:tcBorders>
              <w:bottom w:val="single" w:sz="8" w:color="D8D8D8"/>
            </w:tcBorders>
          </w:tcPr>
          <w:p>
            <w:pPr>
              <w:spacing w:after="0"/>
              <w:rPr>
                <w:sz w:val="20"/>
                <w:szCs w:val="20"/>
                <w:color w:val="auto"/>
              </w:rPr>
            </w:pPr>
            <w:r>
              <w:rPr>
                <w:rFonts w:ascii="Arial" w:cs="Arial" w:eastAsia="Arial" w:hAnsi="Arial"/>
                <w:sz w:val="18"/>
                <w:szCs w:val="18"/>
                <w:color w:val="auto"/>
              </w:rPr>
              <w:t>Kristopher R. Westbrooks</w:t>
            </w:r>
          </w:p>
        </w:tc>
        <w:tc>
          <w:tcPr>
            <w:tcW w:w="2960" w:type="dxa"/>
            <w:vAlign w:val="bottom"/>
            <w:tcBorders>
              <w:bottom w:val="single" w:sz="8" w:color="D8D8D8"/>
            </w:tcBorders>
          </w:tcPr>
          <w:p>
            <w:pPr>
              <w:jc w:val="center"/>
              <w:ind w:left="370"/>
              <w:spacing w:after="0"/>
              <w:rPr>
                <w:sz w:val="20"/>
                <w:szCs w:val="20"/>
                <w:color w:val="auto"/>
              </w:rPr>
            </w:pPr>
            <w:r>
              <w:rPr>
                <w:rFonts w:ascii="Arial" w:cs="Arial" w:eastAsia="Arial" w:hAnsi="Arial"/>
                <w:sz w:val="18"/>
                <w:szCs w:val="18"/>
                <w:color w:val="auto"/>
                <w:w w:val="94"/>
              </w:rPr>
              <w:t>70%</w:t>
            </w:r>
          </w:p>
        </w:tc>
        <w:tc>
          <w:tcPr>
            <w:tcW w:w="1680" w:type="dxa"/>
            <w:vAlign w:val="bottom"/>
            <w:tcBorders>
              <w:bottom w:val="single" w:sz="8" w:color="D8D8D8"/>
            </w:tcBorders>
          </w:tcPr>
          <w:p>
            <w:pPr>
              <w:jc w:val="center"/>
              <w:ind w:left="190"/>
              <w:spacing w:after="0"/>
              <w:rPr>
                <w:sz w:val="20"/>
                <w:szCs w:val="20"/>
                <w:color w:val="auto"/>
              </w:rPr>
            </w:pPr>
            <w:r>
              <w:rPr>
                <w:rFonts w:ascii="Arial" w:cs="Arial" w:eastAsia="Arial" w:hAnsi="Arial"/>
                <w:sz w:val="18"/>
                <w:szCs w:val="18"/>
                <w:color w:val="auto"/>
                <w:w w:val="90"/>
              </w:rPr>
              <w:t>$652,008</w:t>
            </w:r>
          </w:p>
        </w:tc>
      </w:tr>
      <w:tr>
        <w:trPr>
          <w:trHeight w:val="223"/>
        </w:trPr>
        <w:tc>
          <w:tcPr>
            <w:tcW w:w="6380" w:type="dxa"/>
            <w:vAlign w:val="bottom"/>
            <w:tcBorders>
              <w:bottom w:val="single" w:sz="8" w:color="D8D8D8"/>
            </w:tcBorders>
          </w:tcPr>
          <w:p>
            <w:pPr>
              <w:spacing w:after="0"/>
              <w:rPr>
                <w:sz w:val="20"/>
                <w:szCs w:val="20"/>
                <w:color w:val="auto"/>
              </w:rPr>
            </w:pPr>
            <w:r>
              <w:rPr>
                <w:rFonts w:ascii="Arial" w:cs="Arial" w:eastAsia="Arial" w:hAnsi="Arial"/>
                <w:sz w:val="18"/>
                <w:szCs w:val="18"/>
                <w:color w:val="auto"/>
              </w:rPr>
              <w:t>Kristine C. Syrvalin</w:t>
            </w:r>
          </w:p>
        </w:tc>
        <w:tc>
          <w:tcPr>
            <w:tcW w:w="2960" w:type="dxa"/>
            <w:vAlign w:val="bottom"/>
            <w:tcBorders>
              <w:bottom w:val="single" w:sz="8" w:color="D8D8D8"/>
            </w:tcBorders>
          </w:tcPr>
          <w:p>
            <w:pPr>
              <w:jc w:val="center"/>
              <w:ind w:left="370"/>
              <w:spacing w:after="0"/>
              <w:rPr>
                <w:sz w:val="20"/>
                <w:szCs w:val="20"/>
                <w:color w:val="auto"/>
              </w:rPr>
            </w:pPr>
            <w:r>
              <w:rPr>
                <w:rFonts w:ascii="Arial" w:cs="Arial" w:eastAsia="Arial" w:hAnsi="Arial"/>
                <w:sz w:val="18"/>
                <w:szCs w:val="18"/>
                <w:color w:val="auto"/>
                <w:w w:val="94"/>
              </w:rPr>
              <w:t>50%</w:t>
            </w:r>
          </w:p>
        </w:tc>
        <w:tc>
          <w:tcPr>
            <w:tcW w:w="1680" w:type="dxa"/>
            <w:vAlign w:val="bottom"/>
            <w:tcBorders>
              <w:bottom w:val="single" w:sz="8" w:color="D8D8D8"/>
            </w:tcBorders>
          </w:tcPr>
          <w:p>
            <w:pPr>
              <w:jc w:val="center"/>
              <w:ind w:left="190"/>
              <w:spacing w:after="0"/>
              <w:rPr>
                <w:sz w:val="20"/>
                <w:szCs w:val="20"/>
                <w:color w:val="auto"/>
              </w:rPr>
            </w:pPr>
            <w:r>
              <w:rPr>
                <w:rFonts w:ascii="Arial" w:cs="Arial" w:eastAsia="Arial" w:hAnsi="Arial"/>
                <w:sz w:val="18"/>
                <w:szCs w:val="18"/>
                <w:color w:val="auto"/>
                <w:w w:val="90"/>
              </w:rPr>
              <w:t>$285,000</w:t>
            </w:r>
          </w:p>
        </w:tc>
      </w:tr>
      <w:tr>
        <w:trPr>
          <w:trHeight w:val="223"/>
        </w:trPr>
        <w:tc>
          <w:tcPr>
            <w:tcW w:w="6380" w:type="dxa"/>
            <w:vAlign w:val="bottom"/>
            <w:tcBorders>
              <w:bottom w:val="single" w:sz="8" w:color="D8D8D8"/>
            </w:tcBorders>
          </w:tcPr>
          <w:p>
            <w:pPr>
              <w:spacing w:after="0"/>
              <w:rPr>
                <w:sz w:val="20"/>
                <w:szCs w:val="20"/>
                <w:color w:val="auto"/>
              </w:rPr>
            </w:pPr>
            <w:r>
              <w:rPr>
                <w:rFonts w:ascii="Arial" w:cs="Arial" w:eastAsia="Arial" w:hAnsi="Arial"/>
                <w:sz w:val="18"/>
                <w:szCs w:val="18"/>
                <w:color w:val="auto"/>
              </w:rPr>
              <w:t>Kevin A. Raketich</w:t>
            </w:r>
          </w:p>
        </w:tc>
        <w:tc>
          <w:tcPr>
            <w:tcW w:w="2960" w:type="dxa"/>
            <w:vAlign w:val="bottom"/>
            <w:tcBorders>
              <w:bottom w:val="single" w:sz="8" w:color="D8D8D8"/>
            </w:tcBorders>
          </w:tcPr>
          <w:p>
            <w:pPr>
              <w:jc w:val="center"/>
              <w:ind w:left="370"/>
              <w:spacing w:after="0"/>
              <w:rPr>
                <w:sz w:val="20"/>
                <w:szCs w:val="20"/>
                <w:color w:val="auto"/>
              </w:rPr>
            </w:pPr>
            <w:r>
              <w:rPr>
                <w:rFonts w:ascii="Arial" w:cs="Arial" w:eastAsia="Arial" w:hAnsi="Arial"/>
                <w:sz w:val="18"/>
                <w:szCs w:val="18"/>
                <w:color w:val="auto"/>
                <w:w w:val="94"/>
              </w:rPr>
              <w:t>50%</w:t>
            </w:r>
          </w:p>
        </w:tc>
        <w:tc>
          <w:tcPr>
            <w:tcW w:w="1680" w:type="dxa"/>
            <w:vAlign w:val="bottom"/>
            <w:tcBorders>
              <w:bottom w:val="single" w:sz="8" w:color="D8D8D8"/>
            </w:tcBorders>
          </w:tcPr>
          <w:p>
            <w:pPr>
              <w:jc w:val="center"/>
              <w:ind w:left="190"/>
              <w:spacing w:after="0"/>
              <w:rPr>
                <w:sz w:val="20"/>
                <w:szCs w:val="20"/>
                <w:color w:val="auto"/>
              </w:rPr>
            </w:pPr>
            <w:r>
              <w:rPr>
                <w:rFonts w:ascii="Arial" w:cs="Arial" w:eastAsia="Arial" w:hAnsi="Arial"/>
                <w:sz w:val="18"/>
                <w:szCs w:val="18"/>
                <w:color w:val="auto"/>
                <w:w w:val="90"/>
              </w:rPr>
              <w:t>$269,124</w:t>
            </w:r>
          </w:p>
        </w:tc>
      </w:tr>
      <w:tr>
        <w:trPr>
          <w:trHeight w:val="223"/>
        </w:trPr>
        <w:tc>
          <w:tcPr>
            <w:tcW w:w="6380" w:type="dxa"/>
            <w:vAlign w:val="bottom"/>
            <w:tcBorders>
              <w:bottom w:val="single" w:sz="8" w:color="D8D8D8"/>
            </w:tcBorders>
          </w:tcPr>
          <w:p>
            <w:pPr>
              <w:spacing w:after="0"/>
              <w:rPr>
                <w:sz w:val="20"/>
                <w:szCs w:val="20"/>
                <w:color w:val="auto"/>
              </w:rPr>
            </w:pPr>
            <w:r>
              <w:rPr>
                <w:rFonts w:ascii="Arial" w:cs="Arial" w:eastAsia="Arial" w:hAnsi="Arial"/>
                <w:sz w:val="18"/>
                <w:szCs w:val="18"/>
                <w:color w:val="auto"/>
              </w:rPr>
              <w:t>William P. Bryan</w:t>
            </w:r>
          </w:p>
        </w:tc>
        <w:tc>
          <w:tcPr>
            <w:tcW w:w="2960" w:type="dxa"/>
            <w:vAlign w:val="bottom"/>
            <w:tcBorders>
              <w:bottom w:val="single" w:sz="8" w:color="D8D8D8"/>
            </w:tcBorders>
          </w:tcPr>
          <w:p>
            <w:pPr>
              <w:jc w:val="center"/>
              <w:ind w:left="370"/>
              <w:spacing w:after="0"/>
              <w:rPr>
                <w:sz w:val="20"/>
                <w:szCs w:val="20"/>
                <w:color w:val="auto"/>
              </w:rPr>
            </w:pPr>
            <w:r>
              <w:rPr>
                <w:rFonts w:ascii="Arial" w:cs="Arial" w:eastAsia="Arial" w:hAnsi="Arial"/>
                <w:sz w:val="18"/>
                <w:szCs w:val="18"/>
                <w:color w:val="auto"/>
                <w:w w:val="94"/>
              </w:rPr>
              <w:t>50%</w:t>
            </w:r>
          </w:p>
        </w:tc>
        <w:tc>
          <w:tcPr>
            <w:tcW w:w="1680" w:type="dxa"/>
            <w:vAlign w:val="bottom"/>
            <w:tcBorders>
              <w:bottom w:val="single" w:sz="8" w:color="D8D8D8"/>
            </w:tcBorders>
          </w:tcPr>
          <w:p>
            <w:pPr>
              <w:jc w:val="center"/>
              <w:ind w:left="190"/>
              <w:spacing w:after="0"/>
              <w:rPr>
                <w:sz w:val="20"/>
                <w:szCs w:val="20"/>
                <w:color w:val="auto"/>
              </w:rPr>
            </w:pPr>
            <w:r>
              <w:rPr>
                <w:rFonts w:ascii="Arial" w:cs="Arial" w:eastAsia="Arial" w:hAnsi="Arial"/>
                <w:sz w:val="18"/>
                <w:szCs w:val="18"/>
                <w:color w:val="auto"/>
                <w:w w:val="90"/>
              </w:rPr>
              <w:t>$105,580</w:t>
            </w:r>
          </w:p>
        </w:tc>
      </w:tr>
      <w:tr>
        <w:trPr>
          <w:trHeight w:val="224"/>
        </w:trPr>
        <w:tc>
          <w:tcPr>
            <w:tcW w:w="6380" w:type="dxa"/>
            <w:vAlign w:val="bottom"/>
          </w:tcPr>
          <w:p>
            <w:pPr>
              <w:spacing w:after="0"/>
              <w:rPr>
                <w:sz w:val="20"/>
                <w:szCs w:val="20"/>
                <w:color w:val="auto"/>
              </w:rPr>
            </w:pPr>
            <w:r>
              <w:rPr>
                <w:rFonts w:ascii="Arial" w:cs="Arial" w:eastAsia="Arial" w:hAnsi="Arial"/>
                <w:sz w:val="18"/>
                <w:szCs w:val="18"/>
                <w:color w:val="auto"/>
              </w:rPr>
              <w:t>Thomas D. Moline</w:t>
            </w:r>
          </w:p>
        </w:tc>
        <w:tc>
          <w:tcPr>
            <w:tcW w:w="2960" w:type="dxa"/>
            <w:vAlign w:val="bottom"/>
          </w:tcPr>
          <w:p>
            <w:pPr>
              <w:jc w:val="center"/>
              <w:ind w:left="370"/>
              <w:spacing w:after="0"/>
              <w:rPr>
                <w:sz w:val="20"/>
                <w:szCs w:val="20"/>
                <w:color w:val="auto"/>
              </w:rPr>
            </w:pPr>
            <w:r>
              <w:rPr>
                <w:rFonts w:ascii="Arial" w:cs="Arial" w:eastAsia="Arial" w:hAnsi="Arial"/>
                <w:sz w:val="18"/>
                <w:szCs w:val="18"/>
                <w:color w:val="auto"/>
                <w:w w:val="94"/>
              </w:rPr>
              <w:t>50%</w:t>
            </w:r>
          </w:p>
        </w:tc>
        <w:tc>
          <w:tcPr>
            <w:tcW w:w="1680" w:type="dxa"/>
            <w:vAlign w:val="bottom"/>
          </w:tcPr>
          <w:p>
            <w:pPr>
              <w:jc w:val="center"/>
              <w:ind w:left="190"/>
              <w:spacing w:after="0"/>
              <w:rPr>
                <w:sz w:val="20"/>
                <w:szCs w:val="20"/>
                <w:color w:val="auto"/>
              </w:rPr>
            </w:pPr>
            <w:r>
              <w:rPr>
                <w:rFonts w:ascii="Arial" w:cs="Arial" w:eastAsia="Arial" w:hAnsi="Arial"/>
                <w:sz w:val="18"/>
                <w:szCs w:val="18"/>
                <w:color w:val="auto"/>
                <w:w w:val="90"/>
              </w:rPr>
              <w:t>$105,580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ind w:left="280" w:right="1480" w:hanging="164"/>
        <w:spacing w:after="0" w:line="293" w:lineRule="auto"/>
        <w:tabs>
          <w:tab w:leader="none" w:pos="239" w:val="left"/>
        </w:tabs>
        <w:numPr>
          <w:ilvl w:val="0"/>
          <w:numId w:val="52"/>
        </w:numPr>
        <w:rPr>
          <w:rFonts w:ascii="Arial" w:cs="Arial" w:eastAsia="Arial" w:hAnsi="Arial"/>
          <w:sz w:val="16"/>
          <w:szCs w:val="16"/>
          <w:i w:val="1"/>
          <w:iCs w:val="1"/>
          <w:color w:val="auto"/>
        </w:rPr>
      </w:pPr>
      <w:r>
        <w:rPr>
          <w:rFonts w:ascii="Arial" w:cs="Arial" w:eastAsia="Arial" w:hAnsi="Arial"/>
          <w:sz w:val="16"/>
          <w:szCs w:val="16"/>
          <w:i w:val="1"/>
          <w:iCs w:val="1"/>
          <w:color w:val="auto"/>
        </w:rPr>
        <w:t>The payouts to Messrs. Bryan and Moline were calculated based on salary paid through May 7, 2021, the date on which each of them terminated employment with the company.</w:t>
      </w:r>
    </w:p>
    <w:p>
      <w:pPr>
        <w:spacing w:after="0" w:line="104"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49</w:t>
      </w:r>
    </w:p>
    <w:p>
      <w:pPr>
        <w:sectPr>
          <w:pgSz w:w="11900" w:h="16838" w:orient="portrait"/>
          <w:cols w:equalWidth="0" w:num="1">
            <w:col w:w="11140"/>
          </w:cols>
          <w:pgMar w:left="320" w:top="459" w:right="4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91" w:lineRule="auto"/>
        <w:rPr>
          <w:sz w:val="20"/>
          <w:szCs w:val="20"/>
          <w:color w:val="auto"/>
        </w:rPr>
      </w:pPr>
      <w:r>
        <w:rPr>
          <w:rFonts w:ascii="Arial" w:cs="Arial" w:eastAsia="Arial" w:hAnsi="Arial"/>
          <w:sz w:val="16"/>
          <w:szCs w:val="16"/>
          <w:color w:val="auto"/>
        </w:rPr>
        <w:t>The payout awarded to each of the eligible NEOs under the APA plan for 2021 was calculated as ((x) times (y)) times (z), where (x) is equal to the target opportunity percentage for such NEO (as set forth in the table above) multiplied by the salary paid to such NEO during 2021, (y) is equal to 190 percent, the payout earned on performance against the metrics established for the 2021 APA plan and (z) is equal to the individual performance multiplier for the NEO determined by reference to the final performance rating of “not achieving,” “partially achieving,” “successfully achieving” or “exceptionally achieving” assigned to the NEO for 2021. Messrs. Raketich, Bryan and Moline and Ms. Syrvalin were each assigned a final performance rating of “successfully achieving” for 2021, resulting in an individual performance multiplier of 100 percent, while Messrs. Williams and Westbrooks were each assigned a final performance rating of “exceptionally achieving” for 2021, resulting in an individual performance multiplier of 110 percent.</w:t>
      </w:r>
    </w:p>
    <w:p>
      <w:pPr>
        <w:spacing w:after="0" w:line="166" w:lineRule="exact"/>
        <w:rPr>
          <w:sz w:val="20"/>
          <w:szCs w:val="20"/>
          <w:color w:val="auto"/>
        </w:rPr>
      </w:pPr>
    </w:p>
    <w:p>
      <w:pPr>
        <w:ind w:left="120" w:right="120"/>
        <w:spacing w:after="0" w:line="290" w:lineRule="auto"/>
        <w:rPr>
          <w:sz w:val="20"/>
          <w:szCs w:val="20"/>
          <w:color w:val="auto"/>
        </w:rPr>
      </w:pPr>
      <w:r>
        <w:rPr>
          <w:rFonts w:ascii="Arial" w:cs="Arial" w:eastAsia="Arial" w:hAnsi="Arial"/>
          <w:sz w:val="16"/>
          <w:szCs w:val="16"/>
          <w:color w:val="auto"/>
        </w:rPr>
        <w:t>With respect to Mr. Williams, the Compensation Committee recommended, and the Board approved, a final performance rating of “exceptionally achieving.” In arriving at this performance rating, the Compensation Committee and the Board considered, among other things, Mr. Williams’ performance in establishing a new leadership team and developing and driving the execution of the company’s strategy to improve cash flow and profitability, delivering adjusted EBITDA and operating cash flow results that far exceeded expectations, with record operating cash flow and the highest adjusted EBITDA since 2014. With respect to Mr. Westbrooks, Mr. Williams recommended, and the Compensation Committee approved, an APA payout reflecting a final performance rating of “exceptionally achieving” for Mr. Westbrooks for 2021. In arriving at this performance rating, Mr. Williams noted, among other things, Mr. Westbrooks’ outstanding performance in developing the capital allocation strategy, as well as driving working capital discipline, which was a significant contributor to the record operating cash flow results achieved in 2021.</w:t>
      </w:r>
    </w:p>
    <w:p>
      <w:pPr>
        <w:spacing w:after="0" w:line="165"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color w:val="auto"/>
        </w:rPr>
        <w:t>The Compensation Committee did not make any discretionary adjustments to the APA plan awards that were earned based on the achievement of the financial metrics and the application of the safety modifier and individual performance modifier described above.</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7"/>
          <w:szCs w:val="17"/>
          <w:color w:val="auto"/>
        </w:rPr>
        <w:t>For information about annual incentive opportunities awarded to each of the NEOs in 2021, see the “2021 Grants of plan-based awards table.”</w:t>
      </w:r>
    </w:p>
    <w:p>
      <w:pPr>
        <w:spacing w:after="0" w:line="23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Long-term incentives</w:t>
      </w:r>
    </w:p>
    <w:p>
      <w:pPr>
        <w:spacing w:after="0" w:line="117" w:lineRule="exact"/>
        <w:rPr>
          <w:sz w:val="20"/>
          <w:szCs w:val="20"/>
          <w:color w:val="auto"/>
        </w:rPr>
      </w:pPr>
    </w:p>
    <w:p>
      <w:pPr>
        <w:ind w:left="120" w:right="320"/>
        <w:spacing w:after="0" w:line="263" w:lineRule="auto"/>
        <w:rPr>
          <w:sz w:val="20"/>
          <w:szCs w:val="20"/>
          <w:color w:val="auto"/>
        </w:rPr>
      </w:pPr>
      <w:r>
        <w:rPr>
          <w:rFonts w:ascii="Arial" w:cs="Arial" w:eastAsia="Arial" w:hAnsi="Arial"/>
          <w:sz w:val="18"/>
          <w:szCs w:val="18"/>
          <w:color w:val="auto"/>
        </w:rPr>
        <w:t>Beginning in 2021, the Compensation Committee determined to eliminate stock options from the long-term incentive grant portfolio to align with market practice, award more performance-based compensation and eliminate unfavorable share utilization. Accordingly, two different types of long-term incentive grants were awarded to the NEOs in 2021:</w:t>
      </w:r>
    </w:p>
    <w:p>
      <w:pPr>
        <w:spacing w:after="0" w:line="89" w:lineRule="exact"/>
        <w:rPr>
          <w:sz w:val="20"/>
          <w:szCs w:val="20"/>
          <w:color w:val="auto"/>
        </w:rPr>
      </w:pPr>
    </w:p>
    <w:p>
      <w:pPr>
        <w:ind w:left="980" w:right="160" w:hanging="432"/>
        <w:spacing w:after="0" w:line="275" w:lineRule="auto"/>
        <w:tabs>
          <w:tab w:leader="none" w:pos="980" w:val="left"/>
        </w:tabs>
        <w:numPr>
          <w:ilvl w:val="0"/>
          <w:numId w:val="53"/>
        </w:numPr>
        <w:rPr>
          <w:rFonts w:ascii="Arial" w:cs="Arial" w:eastAsia="Arial" w:hAnsi="Arial"/>
          <w:sz w:val="17"/>
          <w:szCs w:val="17"/>
          <w:color w:val="auto"/>
        </w:rPr>
      </w:pPr>
      <w:r>
        <w:rPr>
          <w:rFonts w:ascii="Arial" w:cs="Arial" w:eastAsia="Arial" w:hAnsi="Arial"/>
          <w:sz w:val="17"/>
          <w:szCs w:val="17"/>
          <w:color w:val="auto"/>
        </w:rPr>
        <w:t>Performance shares, which are performance-based restricted stock units generally earned based on average payout (determined under a Compensation Committee-approved matrix) for the company’s relative total shareholder return, as compared to an identified peer group of steel companies, for the one-, two- and three-year periods beginning January 1, 2021 and ending December 31, 2021, 2022 and 2023, respectively, with any earned units payable in shares at the conclusion of the three-year performance period. This design is intended to encourage and reward NEOs for rapid and sustained shareholder value creation.</w:t>
      </w:r>
    </w:p>
    <w:p>
      <w:pPr>
        <w:spacing w:after="0" w:line="81" w:lineRule="exact"/>
        <w:rPr>
          <w:rFonts w:ascii="Arial" w:cs="Arial" w:eastAsia="Arial" w:hAnsi="Arial"/>
          <w:sz w:val="17"/>
          <w:szCs w:val="17"/>
          <w:color w:val="auto"/>
        </w:rPr>
      </w:pPr>
    </w:p>
    <w:p>
      <w:pPr>
        <w:ind w:left="980" w:right="220" w:hanging="432"/>
        <w:spacing w:after="0" w:line="277" w:lineRule="auto"/>
        <w:tabs>
          <w:tab w:leader="none" w:pos="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Restricted stock units, which generally “cliff” vest at the end of a three-year period and have a value that changes based on changes in the company’s stock price.</w:t>
      </w:r>
    </w:p>
    <w:p>
      <w:pPr>
        <w:spacing w:after="0" w:line="170"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For the participating NEOs, the Compensation Committee approved a 50/50 mix of performance shares and restricted stock units to focus the NEOs on creation of long-term shareholder value, while addressing retention considerations.</w:t>
      </w:r>
    </w:p>
    <w:p>
      <w:pPr>
        <w:spacing w:after="0" w:line="20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FFFFFF"/>
        </w:rPr>
        <w:t>Long-term incentive mix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2353945</wp:posOffset>
            </wp:positionH>
            <wp:positionV relativeFrom="paragraph">
              <wp:posOffset>-119380</wp:posOffset>
            </wp:positionV>
            <wp:extent cx="2442845" cy="13716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2442845" cy="137160"/>
                    </a:xfrm>
                    <a:prstGeom prst="rect">
                      <a:avLst/>
                    </a:prstGeom>
                    <a:noFill/>
                  </pic:spPr>
                </pic:pic>
              </a:graphicData>
            </a:graphic>
          </wp:anchor>
        </w:drawing>
      </w:r>
    </w:p>
    <w:p>
      <w:pPr>
        <w:spacing w:after="0" w:line="16" w:lineRule="exact"/>
        <w:rPr>
          <w:sz w:val="20"/>
          <w:szCs w:val="20"/>
          <w:color w:val="auto"/>
        </w:rPr>
      </w:pPr>
    </w:p>
    <w:tbl>
      <w:tblPr>
        <w:tblLayout w:type="fixed"/>
        <w:tblInd w:w="3700" w:type="dxa"/>
        <w:tblCellMar>
          <w:top w:w="0" w:type="dxa"/>
          <w:left w:w="0" w:type="dxa"/>
          <w:bottom w:w="0" w:type="dxa"/>
          <w:right w:w="0" w:type="dxa"/>
        </w:tblCellMar>
      </w:tblPr>
      <w:tr>
        <w:trPr>
          <w:trHeight w:val="207"/>
        </w:trPr>
        <w:tc>
          <w:tcPr>
            <w:tcW w:w="1800" w:type="dxa"/>
            <w:vAlign w:val="bottom"/>
            <w:shd w:val="clear" w:color="auto" w:fill="9A9B9C"/>
          </w:tcPr>
          <w:p>
            <w:pPr>
              <w:jc w:val="center"/>
              <w:ind w:left="90"/>
              <w:spacing w:after="0"/>
              <w:rPr>
                <w:sz w:val="20"/>
                <w:szCs w:val="20"/>
                <w:color w:val="auto"/>
              </w:rPr>
            </w:pPr>
            <w:r>
              <w:rPr>
                <w:rFonts w:ascii="Arial" w:cs="Arial" w:eastAsia="Arial" w:hAnsi="Arial"/>
                <w:sz w:val="18"/>
                <w:szCs w:val="18"/>
                <w:b w:val="1"/>
                <w:bCs w:val="1"/>
                <w:color w:val="FFFFFF"/>
                <w:w w:val="89"/>
              </w:rPr>
              <w:t>Performance-based</w:t>
            </w:r>
          </w:p>
        </w:tc>
        <w:tc>
          <w:tcPr>
            <w:tcW w:w="2060" w:type="dxa"/>
            <w:vAlign w:val="bottom"/>
            <w:shd w:val="clear" w:color="auto" w:fill="9A9B9C"/>
          </w:tcPr>
          <w:p>
            <w:pPr>
              <w:jc w:val="center"/>
              <w:ind w:left="152"/>
              <w:spacing w:after="0"/>
              <w:rPr>
                <w:sz w:val="20"/>
                <w:szCs w:val="20"/>
                <w:color w:val="auto"/>
              </w:rPr>
            </w:pPr>
            <w:r>
              <w:rPr>
                <w:rFonts w:ascii="Arial" w:cs="Arial" w:eastAsia="Arial" w:hAnsi="Arial"/>
                <w:sz w:val="18"/>
                <w:szCs w:val="18"/>
                <w:b w:val="1"/>
                <w:bCs w:val="1"/>
                <w:color w:val="FFFFFF"/>
                <w:w w:val="89"/>
              </w:rPr>
              <w:t>Time-based</w:t>
            </w:r>
          </w:p>
        </w:tc>
      </w:tr>
      <w:tr>
        <w:trPr>
          <w:trHeight w:val="216"/>
        </w:trPr>
        <w:tc>
          <w:tcPr>
            <w:tcW w:w="1800" w:type="dxa"/>
            <w:vAlign w:val="bottom"/>
            <w:shd w:val="clear" w:color="auto" w:fill="58595B"/>
          </w:tcPr>
          <w:p>
            <w:pPr>
              <w:jc w:val="center"/>
              <w:ind w:left="90"/>
              <w:spacing w:after="0"/>
              <w:rPr>
                <w:sz w:val="20"/>
                <w:szCs w:val="20"/>
                <w:color w:val="auto"/>
              </w:rPr>
            </w:pPr>
            <w:r>
              <w:rPr>
                <w:rFonts w:ascii="Arial" w:cs="Arial" w:eastAsia="Arial" w:hAnsi="Arial"/>
                <w:sz w:val="18"/>
                <w:szCs w:val="18"/>
                <w:b w:val="1"/>
                <w:bCs w:val="1"/>
                <w:color w:val="FFFFFF"/>
                <w:w w:val="88"/>
              </w:rPr>
              <w:t>Performance shares</w:t>
            </w:r>
          </w:p>
        </w:tc>
        <w:tc>
          <w:tcPr>
            <w:tcW w:w="2060" w:type="dxa"/>
            <w:vAlign w:val="bottom"/>
            <w:shd w:val="clear" w:color="auto" w:fill="58595B"/>
          </w:tcPr>
          <w:p>
            <w:pPr>
              <w:jc w:val="center"/>
              <w:ind w:left="152"/>
              <w:spacing w:after="0"/>
              <w:rPr>
                <w:sz w:val="20"/>
                <w:szCs w:val="20"/>
                <w:color w:val="auto"/>
              </w:rPr>
            </w:pPr>
            <w:r>
              <w:rPr>
                <w:rFonts w:ascii="Arial" w:cs="Arial" w:eastAsia="Arial" w:hAnsi="Arial"/>
                <w:sz w:val="18"/>
                <w:szCs w:val="18"/>
                <w:b w:val="1"/>
                <w:bCs w:val="1"/>
                <w:color w:val="FFFFFF"/>
                <w:w w:val="88"/>
              </w:rPr>
              <w:t>Restricted stock units</w:t>
            </w:r>
          </w:p>
        </w:tc>
      </w:tr>
      <w:tr>
        <w:trPr>
          <w:trHeight w:val="216"/>
        </w:trPr>
        <w:tc>
          <w:tcPr>
            <w:tcW w:w="1800" w:type="dxa"/>
            <w:vAlign w:val="bottom"/>
            <w:tcBorders>
              <w:bottom w:val="single" w:sz="8" w:color="D8D8D8"/>
            </w:tcBorders>
          </w:tcPr>
          <w:p>
            <w:pPr>
              <w:jc w:val="center"/>
              <w:ind w:left="90"/>
              <w:spacing w:after="0"/>
              <w:rPr>
                <w:sz w:val="20"/>
                <w:szCs w:val="20"/>
                <w:color w:val="auto"/>
              </w:rPr>
            </w:pPr>
            <w:r>
              <w:rPr>
                <w:rFonts w:ascii="Arial" w:cs="Arial" w:eastAsia="Arial" w:hAnsi="Arial"/>
                <w:sz w:val="18"/>
                <w:szCs w:val="18"/>
                <w:color w:val="auto"/>
                <w:w w:val="94"/>
              </w:rPr>
              <w:t>50%</w:t>
            </w:r>
          </w:p>
        </w:tc>
        <w:tc>
          <w:tcPr>
            <w:tcW w:w="2060" w:type="dxa"/>
            <w:vAlign w:val="bottom"/>
            <w:tcBorders>
              <w:bottom w:val="single" w:sz="8" w:color="D8D8D8"/>
            </w:tcBorders>
          </w:tcPr>
          <w:p>
            <w:pPr>
              <w:jc w:val="center"/>
              <w:ind w:left="132"/>
              <w:spacing w:after="0"/>
              <w:rPr>
                <w:sz w:val="20"/>
                <w:szCs w:val="20"/>
                <w:color w:val="auto"/>
              </w:rPr>
            </w:pPr>
            <w:r>
              <w:rPr>
                <w:rFonts w:ascii="Arial" w:cs="Arial" w:eastAsia="Arial" w:hAnsi="Arial"/>
                <w:sz w:val="18"/>
                <w:szCs w:val="18"/>
                <w:color w:val="auto"/>
                <w:w w:val="88"/>
              </w:rPr>
              <w:t>50%</w:t>
            </w:r>
          </w:p>
        </w:tc>
      </w:tr>
      <w:tr>
        <w:trPr>
          <w:trHeight w:val="338"/>
        </w:trPr>
        <w:tc>
          <w:tcPr>
            <w:tcW w:w="1800" w:type="dxa"/>
            <w:vAlign w:val="bottom"/>
          </w:tcPr>
          <w:p>
            <w:pPr>
              <w:spacing w:after="0"/>
              <w:rPr>
                <w:sz w:val="24"/>
                <w:szCs w:val="24"/>
                <w:color w:val="auto"/>
              </w:rPr>
            </w:pPr>
          </w:p>
        </w:tc>
        <w:tc>
          <w:tcPr>
            <w:tcW w:w="2060" w:type="dxa"/>
            <w:vAlign w:val="bottom"/>
          </w:tcPr>
          <w:p>
            <w:pPr>
              <w:jc w:val="right"/>
              <w:ind w:right="1772"/>
              <w:spacing w:after="0"/>
              <w:rPr>
                <w:sz w:val="20"/>
                <w:szCs w:val="20"/>
                <w:color w:val="auto"/>
              </w:rPr>
            </w:pPr>
            <w:r>
              <w:rPr>
                <w:rFonts w:ascii="Arial" w:cs="Arial" w:eastAsia="Arial" w:hAnsi="Arial"/>
                <w:sz w:val="16"/>
                <w:szCs w:val="16"/>
                <w:color w:val="auto"/>
              </w:rPr>
              <w:t>50</w:t>
            </w:r>
          </w:p>
        </w:tc>
      </w:tr>
    </w:tbl>
    <w:p>
      <w:pPr>
        <w:sectPr>
          <w:pgSz w:w="11900" w:h="16838" w:orient="portrait"/>
          <w:cols w:equalWidth="0" w:num="1">
            <w:col w:w="11120"/>
          </w:cols>
          <w:pgMar w:left="320" w:top="459" w:right="45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40"/>
        <w:spacing w:after="0" w:line="263" w:lineRule="auto"/>
        <w:rPr>
          <w:sz w:val="20"/>
          <w:szCs w:val="20"/>
          <w:color w:val="auto"/>
        </w:rPr>
      </w:pPr>
      <w:r>
        <w:rPr>
          <w:rFonts w:ascii="Arial" w:cs="Arial" w:eastAsia="Arial" w:hAnsi="Arial"/>
          <w:sz w:val="18"/>
          <w:szCs w:val="18"/>
          <w:color w:val="auto"/>
        </w:rPr>
        <w:t>Mr. Williams was not eligible for long-term incentive grants in 2021, and instead, upon commencement of his service as President and CEO in January 2021, he was awarded an inducement equity grant that was allocated 50 percent to performance shares and 50 percent to time-based restricted stock units. Mr. Williams became eligible for long-term incentive grants beginning in 2022.</w:t>
      </w:r>
    </w:p>
    <w:p>
      <w:pPr>
        <w:spacing w:after="0" w:line="184" w:lineRule="exact"/>
        <w:rPr>
          <w:sz w:val="20"/>
          <w:szCs w:val="20"/>
          <w:color w:val="auto"/>
        </w:rPr>
      </w:pPr>
    </w:p>
    <w:p>
      <w:pPr>
        <w:ind w:left="120" w:right="440"/>
        <w:spacing w:after="0" w:line="286" w:lineRule="auto"/>
        <w:rPr>
          <w:sz w:val="20"/>
          <w:szCs w:val="20"/>
          <w:color w:val="auto"/>
        </w:rPr>
      </w:pPr>
      <w:r>
        <w:rPr>
          <w:rFonts w:ascii="Arial" w:cs="Arial" w:eastAsia="Arial" w:hAnsi="Arial"/>
          <w:sz w:val="17"/>
          <w:szCs w:val="17"/>
          <w:color w:val="auto"/>
        </w:rPr>
        <w:t>The Compensation Committee believes these grants, in total, provide a balanced emphasis on shareholder value creation and retention of executive management over the course of a full business cycle. These grants also serve to balance the short-term operating focus of the company and align executive management’s long-term financial interests with those of the company’s shareholders.</w:t>
      </w:r>
    </w:p>
    <w:p>
      <w:pPr>
        <w:spacing w:after="0" w:line="165" w:lineRule="exact"/>
        <w:rPr>
          <w:sz w:val="20"/>
          <w:szCs w:val="20"/>
          <w:color w:val="auto"/>
        </w:rPr>
      </w:pPr>
    </w:p>
    <w:p>
      <w:pPr>
        <w:ind w:left="120" w:right="240"/>
        <w:spacing w:after="0" w:line="296" w:lineRule="auto"/>
        <w:rPr>
          <w:sz w:val="20"/>
          <w:szCs w:val="20"/>
          <w:color w:val="auto"/>
        </w:rPr>
      </w:pPr>
      <w:r>
        <w:rPr>
          <w:rFonts w:ascii="Arial" w:cs="Arial" w:eastAsia="Arial" w:hAnsi="Arial"/>
          <w:sz w:val="16"/>
          <w:szCs w:val="16"/>
          <w:color w:val="auto"/>
        </w:rPr>
        <w:t>The value of the entire long-term incentive grant is at risk and linked directly to the price of the company’s common stock. For restricted stock units, value rises or falls depending on stock price performance. For performance shares, average payout (determined under a Compensation Committee-approved matrix) for the company’s relative total shareholder return as compared to an identified peer group of steel companies for the one-, two- and three-year periods beginning January 1, 2021 and ending December 31, 2021, 2022 and 2023, respectively, is used to determine whether (and how many) performance shares are earned, with any earned awards payable in shares at the conclusion of the three-year performance period.</w:t>
      </w:r>
    </w:p>
    <w:p>
      <w:pPr>
        <w:spacing w:after="0" w:line="161" w:lineRule="exact"/>
        <w:rPr>
          <w:sz w:val="20"/>
          <w:szCs w:val="20"/>
          <w:color w:val="auto"/>
        </w:rPr>
      </w:pPr>
    </w:p>
    <w:p>
      <w:pPr>
        <w:ind w:left="120" w:right="340"/>
        <w:spacing w:after="0" w:line="308" w:lineRule="auto"/>
        <w:rPr>
          <w:sz w:val="20"/>
          <w:szCs w:val="20"/>
          <w:color w:val="auto"/>
        </w:rPr>
      </w:pPr>
      <w:r>
        <w:rPr>
          <w:rFonts w:ascii="Arial" w:cs="Arial" w:eastAsia="Arial" w:hAnsi="Arial"/>
          <w:sz w:val="17"/>
          <w:szCs w:val="17"/>
          <w:color w:val="auto"/>
        </w:rPr>
        <w:t>The size of the long-term incentive grants and the allocation of grant value among the long-term incentive grant types are based on a combination of market practice, internal equity considerations and the relative importance of the objectives underlying each of the grant types.</w:t>
      </w:r>
    </w:p>
    <w:p>
      <w:pPr>
        <w:spacing w:after="0" w:line="14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Long-term incentive decisions</w:t>
      </w:r>
    </w:p>
    <w:p>
      <w:pPr>
        <w:spacing w:after="0" w:line="220" w:lineRule="exact"/>
        <w:rPr>
          <w:sz w:val="20"/>
          <w:szCs w:val="20"/>
          <w:color w:val="auto"/>
        </w:rPr>
      </w:pPr>
    </w:p>
    <w:tbl>
      <w:tblPr>
        <w:tblLayout w:type="fixed"/>
        <w:tblInd w:w="120" w:type="dxa"/>
        <w:tblCellMar>
          <w:top w:w="0" w:type="dxa"/>
          <w:left w:w="0" w:type="dxa"/>
          <w:bottom w:w="0" w:type="dxa"/>
          <w:right w:w="0" w:type="dxa"/>
        </w:tblCellMar>
      </w:tblPr>
      <w:tr>
        <w:trPr>
          <w:trHeight w:val="276"/>
        </w:trPr>
        <w:tc>
          <w:tcPr>
            <w:tcW w:w="2500" w:type="dxa"/>
            <w:vAlign w:val="bottom"/>
          </w:tcPr>
          <w:p>
            <w:pPr>
              <w:spacing w:after="0"/>
              <w:rPr>
                <w:sz w:val="23"/>
                <w:szCs w:val="23"/>
                <w:color w:val="auto"/>
              </w:rPr>
            </w:pPr>
          </w:p>
        </w:tc>
        <w:tc>
          <w:tcPr>
            <w:tcW w:w="1380" w:type="dxa"/>
            <w:vAlign w:val="bottom"/>
            <w:shd w:val="clear" w:color="auto" w:fill="939598"/>
          </w:tcPr>
          <w:p>
            <w:pPr>
              <w:spacing w:after="0"/>
              <w:rPr>
                <w:sz w:val="23"/>
                <w:szCs w:val="23"/>
                <w:color w:val="auto"/>
              </w:rPr>
            </w:pPr>
          </w:p>
        </w:tc>
        <w:tc>
          <w:tcPr>
            <w:tcW w:w="1300" w:type="dxa"/>
            <w:vAlign w:val="bottom"/>
            <w:shd w:val="clear" w:color="auto" w:fill="939598"/>
          </w:tcPr>
          <w:p>
            <w:pPr>
              <w:spacing w:after="0"/>
              <w:rPr>
                <w:sz w:val="23"/>
                <w:szCs w:val="23"/>
                <w:color w:val="auto"/>
              </w:rPr>
            </w:pPr>
          </w:p>
        </w:tc>
        <w:tc>
          <w:tcPr>
            <w:tcW w:w="2520" w:type="dxa"/>
            <w:vAlign w:val="bottom"/>
            <w:gridSpan w:val="2"/>
            <w:shd w:val="clear" w:color="auto" w:fill="939598"/>
          </w:tcPr>
          <w:p>
            <w:pPr>
              <w:jc w:val="right"/>
              <w:spacing w:after="0"/>
              <w:rPr>
                <w:sz w:val="20"/>
                <w:szCs w:val="20"/>
                <w:color w:val="auto"/>
              </w:rPr>
            </w:pPr>
            <w:r>
              <w:rPr>
                <w:rFonts w:ascii="Arial" w:cs="Arial" w:eastAsia="Arial" w:hAnsi="Arial"/>
                <w:sz w:val="14"/>
                <w:szCs w:val="14"/>
                <w:b w:val="1"/>
                <w:bCs w:val="1"/>
                <w:color w:val="FFFFFF"/>
              </w:rPr>
              <w:t>Long-term incentives</w:t>
            </w:r>
            <w:r>
              <w:rPr>
                <w:rFonts w:ascii="Arial" w:cs="Arial" w:eastAsia="Arial" w:hAnsi="Arial"/>
                <w:sz w:val="24"/>
                <w:szCs w:val="24"/>
                <w:b w:val="1"/>
                <w:bCs w:val="1"/>
                <w:color w:val="FFFFFF"/>
                <w:vertAlign w:val="superscript"/>
              </w:rPr>
              <w:t>(2)</w:t>
            </w:r>
          </w:p>
        </w:tc>
        <w:tc>
          <w:tcPr>
            <w:tcW w:w="1560" w:type="dxa"/>
            <w:vAlign w:val="bottom"/>
            <w:shd w:val="clear" w:color="auto" w:fill="939598"/>
          </w:tcPr>
          <w:p>
            <w:pPr>
              <w:spacing w:after="0"/>
              <w:rPr>
                <w:sz w:val="23"/>
                <w:szCs w:val="23"/>
                <w:color w:val="auto"/>
              </w:rPr>
            </w:pPr>
          </w:p>
        </w:tc>
        <w:tc>
          <w:tcPr>
            <w:tcW w:w="1760" w:type="dxa"/>
            <w:vAlign w:val="bottom"/>
            <w:shd w:val="clear" w:color="auto" w:fill="939598"/>
          </w:tcPr>
          <w:p>
            <w:pPr>
              <w:spacing w:after="0"/>
              <w:rPr>
                <w:sz w:val="23"/>
                <w:szCs w:val="23"/>
                <w:color w:val="auto"/>
              </w:rPr>
            </w:pPr>
          </w:p>
        </w:tc>
        <w:tc>
          <w:tcPr>
            <w:tcW w:w="0" w:type="dxa"/>
            <w:vAlign w:val="bottom"/>
          </w:tcPr>
          <w:p>
            <w:pPr>
              <w:spacing w:after="0"/>
              <w:rPr>
                <w:sz w:val="1"/>
                <w:szCs w:val="1"/>
                <w:color w:val="auto"/>
              </w:rPr>
            </w:pPr>
          </w:p>
        </w:tc>
      </w:tr>
      <w:tr>
        <w:trPr>
          <w:trHeight w:val="166"/>
        </w:trPr>
        <w:tc>
          <w:tcPr>
            <w:tcW w:w="2500" w:type="dxa"/>
            <w:vAlign w:val="bottom"/>
          </w:tcPr>
          <w:p>
            <w:pPr>
              <w:spacing w:after="0"/>
              <w:rPr>
                <w:sz w:val="14"/>
                <w:szCs w:val="14"/>
                <w:color w:val="auto"/>
              </w:rPr>
            </w:pPr>
          </w:p>
        </w:tc>
        <w:tc>
          <w:tcPr>
            <w:tcW w:w="1380" w:type="dxa"/>
            <w:vAlign w:val="bottom"/>
            <w:vMerge w:val="restart"/>
            <w:shd w:val="clear" w:color="auto" w:fill="58595B"/>
          </w:tcPr>
          <w:p>
            <w:pPr>
              <w:jc w:val="right"/>
              <w:ind w:right="148"/>
              <w:spacing w:after="0"/>
              <w:rPr>
                <w:sz w:val="20"/>
                <w:szCs w:val="20"/>
                <w:color w:val="auto"/>
              </w:rPr>
            </w:pPr>
            <w:r>
              <w:rPr>
                <w:rFonts w:ascii="Arial" w:cs="Arial" w:eastAsia="Arial" w:hAnsi="Arial"/>
                <w:sz w:val="14"/>
                <w:szCs w:val="14"/>
                <w:b w:val="1"/>
                <w:bCs w:val="1"/>
                <w:color w:val="FFFFFF"/>
              </w:rPr>
              <w:t>Target grant</w:t>
            </w:r>
          </w:p>
        </w:tc>
        <w:tc>
          <w:tcPr>
            <w:tcW w:w="1300" w:type="dxa"/>
            <w:vAlign w:val="bottom"/>
            <w:shd w:val="clear" w:color="auto" w:fill="58595B"/>
          </w:tcPr>
          <w:p>
            <w:pPr>
              <w:jc w:val="center"/>
              <w:spacing w:after="0"/>
              <w:rPr>
                <w:sz w:val="20"/>
                <w:szCs w:val="20"/>
                <w:color w:val="auto"/>
              </w:rPr>
            </w:pPr>
            <w:r>
              <w:rPr>
                <w:rFonts w:ascii="Arial" w:cs="Arial" w:eastAsia="Arial" w:hAnsi="Arial"/>
                <w:sz w:val="14"/>
                <w:szCs w:val="14"/>
                <w:b w:val="1"/>
                <w:bCs w:val="1"/>
                <w:color w:val="FFFFFF"/>
                <w:w w:val="94"/>
              </w:rPr>
              <w:t>Number of</w:t>
            </w:r>
          </w:p>
        </w:tc>
        <w:tc>
          <w:tcPr>
            <w:tcW w:w="1280" w:type="dxa"/>
            <w:vAlign w:val="bottom"/>
            <w:shd w:val="clear" w:color="auto" w:fill="58595B"/>
          </w:tcPr>
          <w:p>
            <w:pPr>
              <w:jc w:val="center"/>
              <w:spacing w:after="0"/>
              <w:rPr>
                <w:sz w:val="20"/>
                <w:szCs w:val="20"/>
                <w:color w:val="auto"/>
              </w:rPr>
            </w:pPr>
            <w:r>
              <w:rPr>
                <w:rFonts w:ascii="Arial" w:cs="Arial" w:eastAsia="Arial" w:hAnsi="Arial"/>
                <w:sz w:val="14"/>
                <w:szCs w:val="14"/>
                <w:b w:val="1"/>
                <w:bCs w:val="1"/>
                <w:color w:val="FFFFFF"/>
                <w:w w:val="91"/>
              </w:rPr>
              <w:t>Value of</w:t>
            </w:r>
          </w:p>
        </w:tc>
        <w:tc>
          <w:tcPr>
            <w:tcW w:w="1240" w:type="dxa"/>
            <w:vAlign w:val="bottom"/>
            <w:shd w:val="clear" w:color="auto" w:fill="58595B"/>
          </w:tcPr>
          <w:p>
            <w:pPr>
              <w:jc w:val="center"/>
              <w:ind w:right="48"/>
              <w:spacing w:after="0"/>
              <w:rPr>
                <w:sz w:val="20"/>
                <w:szCs w:val="20"/>
                <w:color w:val="auto"/>
              </w:rPr>
            </w:pPr>
            <w:r>
              <w:rPr>
                <w:rFonts w:ascii="Arial" w:cs="Arial" w:eastAsia="Arial" w:hAnsi="Arial"/>
                <w:sz w:val="14"/>
                <w:szCs w:val="14"/>
                <w:b w:val="1"/>
                <w:bCs w:val="1"/>
                <w:color w:val="FFFFFF"/>
                <w:w w:val="97"/>
              </w:rPr>
              <w:t>Number of</w:t>
            </w:r>
          </w:p>
        </w:tc>
        <w:tc>
          <w:tcPr>
            <w:tcW w:w="1560" w:type="dxa"/>
            <w:vAlign w:val="bottom"/>
            <w:shd w:val="clear" w:color="auto" w:fill="58595B"/>
          </w:tcPr>
          <w:p>
            <w:pPr>
              <w:jc w:val="center"/>
              <w:ind w:right="148"/>
              <w:spacing w:after="0"/>
              <w:rPr>
                <w:sz w:val="20"/>
                <w:szCs w:val="20"/>
                <w:color w:val="auto"/>
              </w:rPr>
            </w:pPr>
            <w:r>
              <w:rPr>
                <w:rFonts w:ascii="Arial" w:cs="Arial" w:eastAsia="Arial" w:hAnsi="Arial"/>
                <w:sz w:val="14"/>
                <w:szCs w:val="14"/>
                <w:b w:val="1"/>
                <w:bCs w:val="1"/>
                <w:color w:val="FFFFFF"/>
                <w:w w:val="91"/>
              </w:rPr>
              <w:t>Value of</w:t>
            </w:r>
          </w:p>
        </w:tc>
        <w:tc>
          <w:tcPr>
            <w:tcW w:w="1760" w:type="dxa"/>
            <w:vAlign w:val="bottom"/>
            <w:shd w:val="clear" w:color="auto" w:fill="58595B"/>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500" w:type="dxa"/>
            <w:vAlign w:val="bottom"/>
          </w:tcPr>
          <w:p>
            <w:pPr>
              <w:spacing w:after="0"/>
              <w:rPr>
                <w:sz w:val="12"/>
                <w:szCs w:val="12"/>
                <w:color w:val="auto"/>
              </w:rPr>
            </w:pPr>
          </w:p>
        </w:tc>
        <w:tc>
          <w:tcPr>
            <w:tcW w:w="1380" w:type="dxa"/>
            <w:vAlign w:val="bottom"/>
            <w:vMerge w:val="continue"/>
            <w:shd w:val="clear" w:color="auto" w:fill="58595B"/>
          </w:tcPr>
          <w:p>
            <w:pPr>
              <w:spacing w:after="0"/>
              <w:rPr>
                <w:sz w:val="12"/>
                <w:szCs w:val="12"/>
                <w:color w:val="auto"/>
              </w:rPr>
            </w:pPr>
          </w:p>
        </w:tc>
        <w:tc>
          <w:tcPr>
            <w:tcW w:w="1300" w:type="dxa"/>
            <w:vAlign w:val="bottom"/>
            <w:shd w:val="clear" w:color="auto" w:fill="58595B"/>
          </w:tcPr>
          <w:p>
            <w:pPr>
              <w:jc w:val="center"/>
              <w:spacing w:after="0" w:line="149" w:lineRule="exact"/>
              <w:rPr>
                <w:sz w:val="20"/>
                <w:szCs w:val="20"/>
                <w:color w:val="auto"/>
              </w:rPr>
            </w:pPr>
            <w:r>
              <w:rPr>
                <w:rFonts w:ascii="Arial" w:cs="Arial" w:eastAsia="Arial" w:hAnsi="Arial"/>
                <w:sz w:val="14"/>
                <w:szCs w:val="14"/>
                <w:b w:val="1"/>
                <w:bCs w:val="1"/>
                <w:color w:val="FFFFFF"/>
                <w:w w:val="90"/>
              </w:rPr>
              <w:t>restricted stock</w:t>
            </w:r>
          </w:p>
        </w:tc>
        <w:tc>
          <w:tcPr>
            <w:tcW w:w="1280" w:type="dxa"/>
            <w:vAlign w:val="bottom"/>
            <w:shd w:val="clear" w:color="auto" w:fill="58595B"/>
          </w:tcPr>
          <w:p>
            <w:pPr>
              <w:jc w:val="center"/>
              <w:spacing w:after="0" w:line="149" w:lineRule="exact"/>
              <w:rPr>
                <w:sz w:val="20"/>
                <w:szCs w:val="20"/>
                <w:color w:val="auto"/>
              </w:rPr>
            </w:pPr>
            <w:r>
              <w:rPr>
                <w:rFonts w:ascii="Arial" w:cs="Arial" w:eastAsia="Arial" w:hAnsi="Arial"/>
                <w:sz w:val="14"/>
                <w:szCs w:val="14"/>
                <w:b w:val="1"/>
                <w:bCs w:val="1"/>
                <w:color w:val="FFFFFF"/>
                <w:w w:val="90"/>
              </w:rPr>
              <w:t>restricted stock</w:t>
            </w:r>
          </w:p>
        </w:tc>
        <w:tc>
          <w:tcPr>
            <w:tcW w:w="1240" w:type="dxa"/>
            <w:vAlign w:val="bottom"/>
            <w:shd w:val="clear" w:color="auto" w:fill="58595B"/>
          </w:tcPr>
          <w:p>
            <w:pPr>
              <w:jc w:val="center"/>
              <w:ind w:right="48"/>
              <w:spacing w:after="0" w:line="149" w:lineRule="exact"/>
              <w:rPr>
                <w:sz w:val="20"/>
                <w:szCs w:val="20"/>
                <w:color w:val="auto"/>
              </w:rPr>
            </w:pPr>
            <w:r>
              <w:rPr>
                <w:rFonts w:ascii="Arial" w:cs="Arial" w:eastAsia="Arial" w:hAnsi="Arial"/>
                <w:sz w:val="14"/>
                <w:szCs w:val="14"/>
                <w:b w:val="1"/>
                <w:bCs w:val="1"/>
                <w:color w:val="FFFFFF"/>
                <w:w w:val="94"/>
              </w:rPr>
              <w:t>performance</w:t>
            </w:r>
          </w:p>
        </w:tc>
        <w:tc>
          <w:tcPr>
            <w:tcW w:w="1560" w:type="dxa"/>
            <w:vAlign w:val="bottom"/>
            <w:shd w:val="clear" w:color="auto" w:fill="58595B"/>
          </w:tcPr>
          <w:p>
            <w:pPr>
              <w:jc w:val="center"/>
              <w:ind w:right="148"/>
              <w:spacing w:after="0" w:line="149" w:lineRule="exact"/>
              <w:rPr>
                <w:sz w:val="20"/>
                <w:szCs w:val="20"/>
                <w:color w:val="auto"/>
              </w:rPr>
            </w:pPr>
            <w:r>
              <w:rPr>
                <w:rFonts w:ascii="Arial" w:cs="Arial" w:eastAsia="Arial" w:hAnsi="Arial"/>
                <w:sz w:val="14"/>
                <w:szCs w:val="14"/>
                <w:b w:val="1"/>
                <w:bCs w:val="1"/>
                <w:color w:val="FFFFFF"/>
                <w:w w:val="91"/>
              </w:rPr>
              <w:t>performance shares</w:t>
            </w:r>
          </w:p>
        </w:tc>
        <w:tc>
          <w:tcPr>
            <w:tcW w:w="1760" w:type="dxa"/>
            <w:vAlign w:val="bottom"/>
            <w:vMerge w:val="restart"/>
            <w:shd w:val="clear" w:color="auto" w:fill="58595B"/>
          </w:tcPr>
          <w:p>
            <w:pPr>
              <w:jc w:val="center"/>
              <w:spacing w:after="0"/>
              <w:rPr>
                <w:sz w:val="20"/>
                <w:szCs w:val="20"/>
                <w:color w:val="auto"/>
              </w:rPr>
            </w:pPr>
            <w:r>
              <w:rPr>
                <w:rFonts w:ascii="Arial" w:cs="Arial" w:eastAsia="Arial" w:hAnsi="Arial"/>
                <w:sz w:val="14"/>
                <w:szCs w:val="14"/>
                <w:b w:val="1"/>
                <w:bCs w:val="1"/>
                <w:color w:val="FFFFFF"/>
                <w:w w:val="93"/>
              </w:rPr>
              <w:t>Total value of award</w:t>
            </w:r>
          </w:p>
        </w:tc>
        <w:tc>
          <w:tcPr>
            <w:tcW w:w="0" w:type="dxa"/>
            <w:vAlign w:val="bottom"/>
          </w:tcPr>
          <w:p>
            <w:pPr>
              <w:spacing w:after="0"/>
              <w:rPr>
                <w:sz w:val="1"/>
                <w:szCs w:val="1"/>
                <w:color w:val="auto"/>
              </w:rPr>
            </w:pPr>
          </w:p>
        </w:tc>
      </w:tr>
      <w:tr>
        <w:trPr>
          <w:trHeight w:val="225"/>
        </w:trPr>
        <w:tc>
          <w:tcPr>
            <w:tcW w:w="2500" w:type="dxa"/>
            <w:vAlign w:val="bottom"/>
          </w:tcPr>
          <w:p>
            <w:pPr>
              <w:spacing w:after="0"/>
              <w:rPr>
                <w:sz w:val="19"/>
                <w:szCs w:val="19"/>
                <w:color w:val="auto"/>
              </w:rPr>
            </w:pPr>
          </w:p>
        </w:tc>
        <w:tc>
          <w:tcPr>
            <w:tcW w:w="1380" w:type="dxa"/>
            <w:vAlign w:val="bottom"/>
            <w:tcBorders>
              <w:bottom w:val="single" w:sz="8" w:color="58595B"/>
            </w:tcBorders>
            <w:shd w:val="clear" w:color="auto" w:fill="58595B"/>
          </w:tcPr>
          <w:p>
            <w:pPr>
              <w:jc w:val="right"/>
              <w:ind w:right="88"/>
              <w:spacing w:after="0"/>
              <w:rPr>
                <w:sz w:val="20"/>
                <w:szCs w:val="20"/>
                <w:color w:val="auto"/>
              </w:rPr>
            </w:pPr>
            <w:r>
              <w:rPr>
                <w:rFonts w:ascii="Arial" w:cs="Arial" w:eastAsia="Arial" w:hAnsi="Arial"/>
                <w:sz w:val="14"/>
                <w:szCs w:val="14"/>
                <w:b w:val="1"/>
                <w:bCs w:val="1"/>
                <w:color w:val="FFFFFF"/>
              </w:rPr>
              <w:t>opportunity</w:t>
            </w:r>
            <w:r>
              <w:rPr>
                <w:rFonts w:ascii="Arial" w:cs="Arial" w:eastAsia="Arial" w:hAnsi="Arial"/>
                <w:sz w:val="12"/>
                <w:szCs w:val="12"/>
                <w:b w:val="1"/>
                <w:bCs w:val="1"/>
                <w:color w:val="FFFFFF"/>
              </w:rPr>
              <w:t>(1)</w:t>
            </w:r>
          </w:p>
        </w:tc>
        <w:tc>
          <w:tcPr>
            <w:tcW w:w="1300" w:type="dxa"/>
            <w:vAlign w:val="bottom"/>
            <w:tcBorders>
              <w:bottom w:val="single" w:sz="8" w:color="58595B"/>
            </w:tcBorders>
            <w:shd w:val="clear" w:color="auto" w:fill="58595B"/>
          </w:tcPr>
          <w:p>
            <w:pPr>
              <w:jc w:val="center"/>
              <w:spacing w:after="0"/>
              <w:rPr>
                <w:sz w:val="20"/>
                <w:szCs w:val="20"/>
                <w:color w:val="auto"/>
              </w:rPr>
            </w:pPr>
            <w:r>
              <w:rPr>
                <w:rFonts w:ascii="Arial" w:cs="Arial" w:eastAsia="Arial" w:hAnsi="Arial"/>
                <w:sz w:val="14"/>
                <w:szCs w:val="14"/>
                <w:b w:val="1"/>
                <w:bCs w:val="1"/>
                <w:color w:val="FFFFFF"/>
                <w:w w:val="89"/>
              </w:rPr>
              <w:t>units</w:t>
            </w:r>
          </w:p>
        </w:tc>
        <w:tc>
          <w:tcPr>
            <w:tcW w:w="1280" w:type="dxa"/>
            <w:vAlign w:val="bottom"/>
            <w:tcBorders>
              <w:bottom w:val="single" w:sz="8" w:color="58595B"/>
            </w:tcBorders>
            <w:shd w:val="clear" w:color="auto" w:fill="58595B"/>
          </w:tcPr>
          <w:p>
            <w:pPr>
              <w:jc w:val="center"/>
              <w:spacing w:after="0"/>
              <w:rPr>
                <w:sz w:val="20"/>
                <w:szCs w:val="20"/>
                <w:color w:val="auto"/>
              </w:rPr>
            </w:pPr>
            <w:r>
              <w:rPr>
                <w:rFonts w:ascii="Arial" w:cs="Arial" w:eastAsia="Arial" w:hAnsi="Arial"/>
                <w:sz w:val="14"/>
                <w:szCs w:val="14"/>
                <w:b w:val="1"/>
                <w:bCs w:val="1"/>
                <w:color w:val="FFFFFF"/>
                <w:w w:val="91"/>
              </w:rPr>
              <w:t>units</w:t>
            </w:r>
            <w:r>
              <w:rPr>
                <w:rFonts w:ascii="Arial" w:cs="Arial" w:eastAsia="Arial" w:hAnsi="Arial"/>
                <w:sz w:val="12"/>
                <w:szCs w:val="12"/>
                <w:b w:val="1"/>
                <w:bCs w:val="1"/>
                <w:color w:val="FFFFFF"/>
                <w:w w:val="91"/>
              </w:rPr>
              <w:t>(3)</w:t>
            </w:r>
          </w:p>
        </w:tc>
        <w:tc>
          <w:tcPr>
            <w:tcW w:w="1240" w:type="dxa"/>
            <w:vAlign w:val="bottom"/>
            <w:tcBorders>
              <w:bottom w:val="single" w:sz="8" w:color="58595B"/>
            </w:tcBorders>
            <w:shd w:val="clear" w:color="auto" w:fill="58595B"/>
          </w:tcPr>
          <w:p>
            <w:pPr>
              <w:jc w:val="center"/>
              <w:ind w:right="48"/>
              <w:spacing w:after="0"/>
              <w:rPr>
                <w:sz w:val="20"/>
                <w:szCs w:val="20"/>
                <w:color w:val="auto"/>
              </w:rPr>
            </w:pPr>
            <w:r>
              <w:rPr>
                <w:rFonts w:ascii="Arial" w:cs="Arial" w:eastAsia="Arial" w:hAnsi="Arial"/>
                <w:sz w:val="14"/>
                <w:szCs w:val="14"/>
                <w:b w:val="1"/>
                <w:bCs w:val="1"/>
                <w:color w:val="FFFFFF"/>
                <w:w w:val="88"/>
              </w:rPr>
              <w:t>shares</w:t>
            </w:r>
          </w:p>
        </w:tc>
        <w:tc>
          <w:tcPr>
            <w:tcW w:w="1560" w:type="dxa"/>
            <w:vAlign w:val="bottom"/>
            <w:tcBorders>
              <w:bottom w:val="single" w:sz="8" w:color="58595B"/>
            </w:tcBorders>
            <w:shd w:val="clear" w:color="auto" w:fill="58595B"/>
          </w:tcPr>
          <w:p>
            <w:pPr>
              <w:jc w:val="center"/>
              <w:ind w:right="128"/>
              <w:spacing w:after="0"/>
              <w:rPr>
                <w:sz w:val="20"/>
                <w:szCs w:val="20"/>
                <w:color w:val="auto"/>
              </w:rPr>
            </w:pPr>
            <w:r>
              <w:rPr>
                <w:rFonts w:ascii="Arial" w:cs="Arial" w:eastAsia="Arial" w:hAnsi="Arial"/>
                <w:sz w:val="14"/>
                <w:szCs w:val="14"/>
                <w:b w:val="1"/>
                <w:bCs w:val="1"/>
                <w:color w:val="FFFFFF"/>
                <w:w w:val="95"/>
              </w:rPr>
              <w:t>(at target)</w:t>
            </w:r>
            <w:r>
              <w:rPr>
                <w:rFonts w:ascii="Arial" w:cs="Arial" w:eastAsia="Arial" w:hAnsi="Arial"/>
                <w:sz w:val="12"/>
                <w:szCs w:val="12"/>
                <w:b w:val="1"/>
                <w:bCs w:val="1"/>
                <w:color w:val="FFFFFF"/>
                <w:w w:val="95"/>
              </w:rPr>
              <w:t>(3)</w:t>
            </w:r>
          </w:p>
        </w:tc>
        <w:tc>
          <w:tcPr>
            <w:tcW w:w="1760" w:type="dxa"/>
            <w:vAlign w:val="bottom"/>
            <w:tcBorders>
              <w:bottom w:val="single" w:sz="8" w:color="58595B"/>
            </w:tcBorders>
            <w:vMerge w:val="continue"/>
            <w:shd w:val="clear" w:color="auto" w:fill="58595B"/>
          </w:tcPr>
          <w:p>
            <w:pPr>
              <w:spacing w:after="0"/>
              <w:rPr>
                <w:sz w:val="19"/>
                <w:szCs w:val="19"/>
                <w:color w:val="auto"/>
              </w:rPr>
            </w:pPr>
          </w:p>
        </w:tc>
        <w:tc>
          <w:tcPr>
            <w:tcW w:w="0" w:type="dxa"/>
            <w:vAlign w:val="bottom"/>
          </w:tcPr>
          <w:p>
            <w:pPr>
              <w:spacing w:after="0"/>
              <w:rPr>
                <w:sz w:val="1"/>
                <w:szCs w:val="1"/>
                <w:color w:val="auto"/>
              </w:rPr>
            </w:pPr>
          </w:p>
        </w:tc>
      </w:tr>
      <w:tr>
        <w:trPr>
          <w:trHeight w:val="196"/>
        </w:trPr>
        <w:tc>
          <w:tcPr>
            <w:tcW w:w="2500" w:type="dxa"/>
            <w:vAlign w:val="bottom"/>
            <w:tcBorders>
              <w:top w:val="single" w:sz="8" w:color="D8D8D8"/>
              <w:bottom w:val="single" w:sz="8" w:color="D8D8D8"/>
            </w:tcBorders>
          </w:tcPr>
          <w:p>
            <w:pPr>
              <w:spacing w:after="0"/>
              <w:rPr>
                <w:sz w:val="20"/>
                <w:szCs w:val="20"/>
                <w:color w:val="auto"/>
              </w:rPr>
            </w:pPr>
            <w:r>
              <w:rPr>
                <w:rFonts w:ascii="Arial" w:cs="Arial" w:eastAsia="Arial" w:hAnsi="Arial"/>
                <w:sz w:val="14"/>
                <w:szCs w:val="14"/>
                <w:color w:val="auto"/>
              </w:rPr>
              <w:t>Kristopher R. Westbrooks</w:t>
            </w:r>
          </w:p>
        </w:tc>
        <w:tc>
          <w:tcPr>
            <w:tcW w:w="1380" w:type="dxa"/>
            <w:vAlign w:val="bottom"/>
            <w:tcBorders>
              <w:top w:val="single" w:sz="8" w:color="D8D8D8"/>
              <w:bottom w:val="single" w:sz="8" w:color="D8D8D8"/>
            </w:tcBorders>
          </w:tcPr>
          <w:p>
            <w:pPr>
              <w:jc w:val="right"/>
              <w:ind w:right="228"/>
              <w:spacing w:after="0"/>
              <w:rPr>
                <w:sz w:val="20"/>
                <w:szCs w:val="20"/>
                <w:color w:val="auto"/>
              </w:rPr>
            </w:pPr>
            <w:r>
              <w:rPr>
                <w:rFonts w:ascii="Arial" w:cs="Arial" w:eastAsia="Arial" w:hAnsi="Arial"/>
                <w:sz w:val="14"/>
                <w:szCs w:val="14"/>
                <w:color w:val="auto"/>
              </w:rPr>
              <w:t>135%</w:t>
            </w:r>
          </w:p>
        </w:tc>
        <w:tc>
          <w:tcPr>
            <w:tcW w:w="1300" w:type="dxa"/>
            <w:vAlign w:val="bottom"/>
            <w:tcBorders>
              <w:top w:val="single" w:sz="8" w:color="D8D8D8"/>
              <w:bottom w:val="single" w:sz="8" w:color="D8D8D8"/>
            </w:tcBorders>
          </w:tcPr>
          <w:p>
            <w:pPr>
              <w:jc w:val="right"/>
              <w:ind w:right="208"/>
              <w:spacing w:after="0"/>
              <w:rPr>
                <w:sz w:val="20"/>
                <w:szCs w:val="20"/>
                <w:color w:val="auto"/>
              </w:rPr>
            </w:pPr>
            <w:r>
              <w:rPr>
                <w:rFonts w:ascii="Arial" w:cs="Arial" w:eastAsia="Arial" w:hAnsi="Arial"/>
                <w:sz w:val="14"/>
                <w:szCs w:val="14"/>
                <w:color w:val="auto"/>
              </w:rPr>
              <w:t>40,400</w:t>
            </w:r>
          </w:p>
        </w:tc>
        <w:tc>
          <w:tcPr>
            <w:tcW w:w="1280" w:type="dxa"/>
            <w:vAlign w:val="bottom"/>
            <w:tcBorders>
              <w:top w:val="single" w:sz="8" w:color="D8D8D8"/>
              <w:bottom w:val="single" w:sz="8" w:color="D8D8D8"/>
            </w:tcBorders>
          </w:tcPr>
          <w:p>
            <w:pPr>
              <w:jc w:val="right"/>
              <w:ind w:right="108"/>
              <w:spacing w:after="0"/>
              <w:rPr>
                <w:sz w:val="20"/>
                <w:szCs w:val="20"/>
                <w:color w:val="auto"/>
              </w:rPr>
            </w:pPr>
            <w:r>
              <w:rPr>
                <w:rFonts w:ascii="Arial" w:cs="Arial" w:eastAsia="Arial" w:hAnsi="Arial"/>
                <w:sz w:val="14"/>
                <w:szCs w:val="14"/>
                <w:color w:val="auto"/>
              </w:rPr>
              <w:t>$348,248</w:t>
            </w:r>
          </w:p>
        </w:tc>
        <w:tc>
          <w:tcPr>
            <w:tcW w:w="1240" w:type="dxa"/>
            <w:vAlign w:val="bottom"/>
            <w:tcBorders>
              <w:top w:val="single" w:sz="8" w:color="D8D8D8"/>
              <w:bottom w:val="single" w:sz="8" w:color="D8D8D8"/>
            </w:tcBorders>
          </w:tcPr>
          <w:p>
            <w:pPr>
              <w:jc w:val="right"/>
              <w:ind w:right="228"/>
              <w:spacing w:after="0"/>
              <w:rPr>
                <w:sz w:val="20"/>
                <w:szCs w:val="20"/>
                <w:color w:val="auto"/>
              </w:rPr>
            </w:pPr>
            <w:r>
              <w:rPr>
                <w:rFonts w:ascii="Arial" w:cs="Arial" w:eastAsia="Arial" w:hAnsi="Arial"/>
                <w:sz w:val="14"/>
                <w:szCs w:val="14"/>
                <w:color w:val="auto"/>
              </w:rPr>
              <w:t>40,400</w:t>
            </w:r>
          </w:p>
        </w:tc>
        <w:tc>
          <w:tcPr>
            <w:tcW w:w="1560" w:type="dxa"/>
            <w:vAlign w:val="bottom"/>
            <w:tcBorders>
              <w:top w:val="single" w:sz="8" w:color="D8D8D8"/>
              <w:bottom w:val="single" w:sz="8" w:color="D8D8D8"/>
            </w:tcBorders>
          </w:tcPr>
          <w:p>
            <w:pPr>
              <w:jc w:val="right"/>
              <w:ind w:right="388"/>
              <w:spacing w:after="0"/>
              <w:rPr>
                <w:sz w:val="20"/>
                <w:szCs w:val="20"/>
                <w:color w:val="auto"/>
              </w:rPr>
            </w:pPr>
            <w:r>
              <w:rPr>
                <w:rFonts w:ascii="Arial" w:cs="Arial" w:eastAsia="Arial" w:hAnsi="Arial"/>
                <w:sz w:val="14"/>
                <w:szCs w:val="14"/>
                <w:color w:val="auto"/>
              </w:rPr>
              <w:t>$447,228</w:t>
            </w:r>
          </w:p>
        </w:tc>
        <w:tc>
          <w:tcPr>
            <w:tcW w:w="1760" w:type="dxa"/>
            <w:vAlign w:val="bottom"/>
            <w:tcBorders>
              <w:top w:val="single" w:sz="8" w:color="D8D8D8"/>
              <w:bottom w:val="single" w:sz="8" w:color="D8D8D8"/>
            </w:tcBorders>
          </w:tcPr>
          <w:p>
            <w:pPr>
              <w:jc w:val="center"/>
              <w:spacing w:after="0"/>
              <w:rPr>
                <w:sz w:val="20"/>
                <w:szCs w:val="20"/>
                <w:color w:val="auto"/>
              </w:rPr>
            </w:pPr>
            <w:r>
              <w:rPr>
                <w:rFonts w:ascii="Arial" w:cs="Arial" w:eastAsia="Arial" w:hAnsi="Arial"/>
                <w:sz w:val="14"/>
                <w:szCs w:val="14"/>
                <w:color w:val="auto"/>
                <w:w w:val="92"/>
              </w:rPr>
              <w:t>$795,476</w:t>
            </w:r>
          </w:p>
        </w:tc>
        <w:tc>
          <w:tcPr>
            <w:tcW w:w="0" w:type="dxa"/>
            <w:vAlign w:val="bottom"/>
          </w:tcPr>
          <w:p>
            <w:pPr>
              <w:spacing w:after="0"/>
              <w:rPr>
                <w:sz w:val="1"/>
                <w:szCs w:val="1"/>
                <w:color w:val="auto"/>
              </w:rPr>
            </w:pPr>
          </w:p>
        </w:tc>
      </w:tr>
      <w:tr>
        <w:trPr>
          <w:trHeight w:val="196"/>
        </w:trPr>
        <w:tc>
          <w:tcPr>
            <w:tcW w:w="2500" w:type="dxa"/>
            <w:vAlign w:val="bottom"/>
            <w:tcBorders>
              <w:bottom w:val="single" w:sz="8" w:color="D8D8D8"/>
            </w:tcBorders>
          </w:tcPr>
          <w:p>
            <w:pPr>
              <w:spacing w:after="0"/>
              <w:rPr>
                <w:sz w:val="20"/>
                <w:szCs w:val="20"/>
                <w:color w:val="auto"/>
              </w:rPr>
            </w:pPr>
            <w:r>
              <w:rPr>
                <w:rFonts w:ascii="Arial" w:cs="Arial" w:eastAsia="Arial" w:hAnsi="Arial"/>
                <w:sz w:val="14"/>
                <w:szCs w:val="14"/>
                <w:color w:val="auto"/>
              </w:rPr>
              <w:t>Kristine C. Syrvalin</w:t>
            </w:r>
          </w:p>
        </w:tc>
        <w:tc>
          <w:tcPr>
            <w:tcW w:w="1380" w:type="dxa"/>
            <w:vAlign w:val="bottom"/>
            <w:tcBorders>
              <w:bottom w:val="single" w:sz="8" w:color="D8D8D8"/>
            </w:tcBorders>
          </w:tcPr>
          <w:p>
            <w:pPr>
              <w:jc w:val="right"/>
              <w:ind w:right="228"/>
              <w:spacing w:after="0"/>
              <w:rPr>
                <w:sz w:val="20"/>
                <w:szCs w:val="20"/>
                <w:color w:val="auto"/>
              </w:rPr>
            </w:pPr>
            <w:r>
              <w:rPr>
                <w:rFonts w:ascii="Arial" w:cs="Arial" w:eastAsia="Arial" w:hAnsi="Arial"/>
                <w:sz w:val="14"/>
                <w:szCs w:val="14"/>
                <w:color w:val="auto"/>
              </w:rPr>
              <w:t>85%</w:t>
            </w:r>
          </w:p>
        </w:tc>
        <w:tc>
          <w:tcPr>
            <w:tcW w:w="1300" w:type="dxa"/>
            <w:vAlign w:val="bottom"/>
            <w:tcBorders>
              <w:bottom w:val="single" w:sz="8" w:color="D8D8D8"/>
            </w:tcBorders>
          </w:tcPr>
          <w:p>
            <w:pPr>
              <w:jc w:val="right"/>
              <w:ind w:right="208"/>
              <w:spacing w:after="0"/>
              <w:rPr>
                <w:sz w:val="20"/>
                <w:szCs w:val="20"/>
                <w:color w:val="auto"/>
              </w:rPr>
            </w:pPr>
            <w:r>
              <w:rPr>
                <w:rFonts w:ascii="Arial" w:cs="Arial" w:eastAsia="Arial" w:hAnsi="Arial"/>
                <w:sz w:val="14"/>
                <w:szCs w:val="14"/>
                <w:color w:val="auto"/>
              </w:rPr>
              <w:t>22,400</w:t>
            </w:r>
          </w:p>
        </w:tc>
        <w:tc>
          <w:tcPr>
            <w:tcW w:w="1280" w:type="dxa"/>
            <w:vAlign w:val="bottom"/>
            <w:tcBorders>
              <w:bottom w:val="single" w:sz="8" w:color="D8D8D8"/>
            </w:tcBorders>
          </w:tcPr>
          <w:p>
            <w:pPr>
              <w:jc w:val="right"/>
              <w:ind w:right="108"/>
              <w:spacing w:after="0"/>
              <w:rPr>
                <w:sz w:val="20"/>
                <w:szCs w:val="20"/>
                <w:color w:val="auto"/>
              </w:rPr>
            </w:pPr>
            <w:r>
              <w:rPr>
                <w:rFonts w:ascii="Arial" w:cs="Arial" w:eastAsia="Arial" w:hAnsi="Arial"/>
                <w:sz w:val="14"/>
                <w:szCs w:val="14"/>
                <w:color w:val="auto"/>
              </w:rPr>
              <w:t>$193,088</w:t>
            </w:r>
          </w:p>
        </w:tc>
        <w:tc>
          <w:tcPr>
            <w:tcW w:w="1240" w:type="dxa"/>
            <w:vAlign w:val="bottom"/>
            <w:tcBorders>
              <w:bottom w:val="single" w:sz="8" w:color="D8D8D8"/>
            </w:tcBorders>
          </w:tcPr>
          <w:p>
            <w:pPr>
              <w:jc w:val="right"/>
              <w:ind w:right="228"/>
              <w:spacing w:after="0"/>
              <w:rPr>
                <w:sz w:val="20"/>
                <w:szCs w:val="20"/>
                <w:color w:val="auto"/>
              </w:rPr>
            </w:pPr>
            <w:r>
              <w:rPr>
                <w:rFonts w:ascii="Arial" w:cs="Arial" w:eastAsia="Arial" w:hAnsi="Arial"/>
                <w:sz w:val="14"/>
                <w:szCs w:val="14"/>
                <w:color w:val="auto"/>
              </w:rPr>
              <w:t>22,400</w:t>
            </w:r>
          </w:p>
        </w:tc>
        <w:tc>
          <w:tcPr>
            <w:tcW w:w="1560" w:type="dxa"/>
            <w:vAlign w:val="bottom"/>
            <w:tcBorders>
              <w:bottom w:val="single" w:sz="8" w:color="D8D8D8"/>
            </w:tcBorders>
          </w:tcPr>
          <w:p>
            <w:pPr>
              <w:jc w:val="right"/>
              <w:ind w:right="388"/>
              <w:spacing w:after="0"/>
              <w:rPr>
                <w:sz w:val="20"/>
                <w:szCs w:val="20"/>
                <w:color w:val="auto"/>
              </w:rPr>
            </w:pPr>
            <w:r>
              <w:rPr>
                <w:rFonts w:ascii="Arial" w:cs="Arial" w:eastAsia="Arial" w:hAnsi="Arial"/>
                <w:sz w:val="14"/>
                <w:szCs w:val="14"/>
                <w:color w:val="auto"/>
              </w:rPr>
              <w:t>$247,968</w:t>
            </w:r>
          </w:p>
        </w:tc>
        <w:tc>
          <w:tcPr>
            <w:tcW w:w="1760" w:type="dxa"/>
            <w:vAlign w:val="bottom"/>
            <w:tcBorders>
              <w:bottom w:val="single" w:sz="8" w:color="D8D8D8"/>
            </w:tcBorders>
          </w:tcPr>
          <w:p>
            <w:pPr>
              <w:jc w:val="center"/>
              <w:spacing w:after="0"/>
              <w:rPr>
                <w:sz w:val="20"/>
                <w:szCs w:val="20"/>
                <w:color w:val="auto"/>
              </w:rPr>
            </w:pPr>
            <w:r>
              <w:rPr>
                <w:rFonts w:ascii="Arial" w:cs="Arial" w:eastAsia="Arial" w:hAnsi="Arial"/>
                <w:sz w:val="14"/>
                <w:szCs w:val="14"/>
                <w:color w:val="auto"/>
                <w:w w:val="92"/>
              </w:rPr>
              <w:t>$441,056</w:t>
            </w:r>
          </w:p>
        </w:tc>
        <w:tc>
          <w:tcPr>
            <w:tcW w:w="0" w:type="dxa"/>
            <w:vAlign w:val="bottom"/>
          </w:tcPr>
          <w:p>
            <w:pPr>
              <w:spacing w:after="0"/>
              <w:rPr>
                <w:sz w:val="1"/>
                <w:szCs w:val="1"/>
                <w:color w:val="auto"/>
              </w:rPr>
            </w:pPr>
          </w:p>
        </w:tc>
      </w:tr>
      <w:tr>
        <w:trPr>
          <w:trHeight w:val="196"/>
        </w:trPr>
        <w:tc>
          <w:tcPr>
            <w:tcW w:w="2500" w:type="dxa"/>
            <w:vAlign w:val="bottom"/>
            <w:tcBorders>
              <w:bottom w:val="single" w:sz="8" w:color="D8D8D8"/>
            </w:tcBorders>
          </w:tcPr>
          <w:p>
            <w:pPr>
              <w:spacing w:after="0"/>
              <w:rPr>
                <w:sz w:val="20"/>
                <w:szCs w:val="20"/>
                <w:color w:val="auto"/>
              </w:rPr>
            </w:pPr>
            <w:r>
              <w:rPr>
                <w:rFonts w:ascii="Arial" w:cs="Arial" w:eastAsia="Arial" w:hAnsi="Arial"/>
                <w:sz w:val="14"/>
                <w:szCs w:val="14"/>
                <w:color w:val="auto"/>
              </w:rPr>
              <w:t>William P. Bryan</w:t>
            </w:r>
          </w:p>
        </w:tc>
        <w:tc>
          <w:tcPr>
            <w:tcW w:w="1380" w:type="dxa"/>
            <w:vAlign w:val="bottom"/>
            <w:tcBorders>
              <w:bottom w:val="single" w:sz="8" w:color="D8D8D8"/>
            </w:tcBorders>
          </w:tcPr>
          <w:p>
            <w:pPr>
              <w:jc w:val="right"/>
              <w:ind w:right="228"/>
              <w:spacing w:after="0"/>
              <w:rPr>
                <w:sz w:val="20"/>
                <w:szCs w:val="20"/>
                <w:color w:val="auto"/>
              </w:rPr>
            </w:pPr>
            <w:r>
              <w:rPr>
                <w:rFonts w:ascii="Arial" w:cs="Arial" w:eastAsia="Arial" w:hAnsi="Arial"/>
                <w:sz w:val="14"/>
                <w:szCs w:val="14"/>
                <w:color w:val="auto"/>
              </w:rPr>
              <w:t>85%</w:t>
            </w:r>
          </w:p>
        </w:tc>
        <w:tc>
          <w:tcPr>
            <w:tcW w:w="1300" w:type="dxa"/>
            <w:vAlign w:val="bottom"/>
            <w:tcBorders>
              <w:bottom w:val="single" w:sz="8" w:color="D8D8D8"/>
            </w:tcBorders>
          </w:tcPr>
          <w:p>
            <w:pPr>
              <w:jc w:val="right"/>
              <w:ind w:right="208"/>
              <w:spacing w:after="0"/>
              <w:rPr>
                <w:sz w:val="20"/>
                <w:szCs w:val="20"/>
                <w:color w:val="auto"/>
              </w:rPr>
            </w:pPr>
            <w:r>
              <w:rPr>
                <w:rFonts w:ascii="Arial" w:cs="Arial" w:eastAsia="Arial" w:hAnsi="Arial"/>
                <w:sz w:val="14"/>
                <w:szCs w:val="14"/>
                <w:color w:val="auto"/>
              </w:rPr>
              <w:t>17,100</w:t>
            </w:r>
          </w:p>
        </w:tc>
        <w:tc>
          <w:tcPr>
            <w:tcW w:w="1280" w:type="dxa"/>
            <w:vAlign w:val="bottom"/>
            <w:tcBorders>
              <w:bottom w:val="single" w:sz="8" w:color="D8D8D8"/>
            </w:tcBorders>
          </w:tcPr>
          <w:p>
            <w:pPr>
              <w:jc w:val="right"/>
              <w:ind w:right="108"/>
              <w:spacing w:after="0"/>
              <w:rPr>
                <w:sz w:val="20"/>
                <w:szCs w:val="20"/>
                <w:color w:val="auto"/>
              </w:rPr>
            </w:pPr>
            <w:r>
              <w:rPr>
                <w:rFonts w:ascii="Arial" w:cs="Arial" w:eastAsia="Arial" w:hAnsi="Arial"/>
                <w:sz w:val="14"/>
                <w:szCs w:val="14"/>
                <w:color w:val="auto"/>
              </w:rPr>
              <w:t>$147,402</w:t>
            </w:r>
          </w:p>
        </w:tc>
        <w:tc>
          <w:tcPr>
            <w:tcW w:w="1240" w:type="dxa"/>
            <w:vAlign w:val="bottom"/>
            <w:tcBorders>
              <w:bottom w:val="single" w:sz="8" w:color="D8D8D8"/>
            </w:tcBorders>
          </w:tcPr>
          <w:p>
            <w:pPr>
              <w:jc w:val="right"/>
              <w:ind w:right="228"/>
              <w:spacing w:after="0"/>
              <w:rPr>
                <w:sz w:val="20"/>
                <w:szCs w:val="20"/>
                <w:color w:val="auto"/>
              </w:rPr>
            </w:pPr>
            <w:r>
              <w:rPr>
                <w:rFonts w:ascii="Arial" w:cs="Arial" w:eastAsia="Arial" w:hAnsi="Arial"/>
                <w:sz w:val="14"/>
                <w:szCs w:val="14"/>
                <w:color w:val="auto"/>
              </w:rPr>
              <w:t>17,100</w:t>
            </w:r>
          </w:p>
        </w:tc>
        <w:tc>
          <w:tcPr>
            <w:tcW w:w="1560" w:type="dxa"/>
            <w:vAlign w:val="bottom"/>
            <w:tcBorders>
              <w:bottom w:val="single" w:sz="8" w:color="D8D8D8"/>
            </w:tcBorders>
          </w:tcPr>
          <w:p>
            <w:pPr>
              <w:jc w:val="right"/>
              <w:ind w:right="388"/>
              <w:spacing w:after="0"/>
              <w:rPr>
                <w:sz w:val="20"/>
                <w:szCs w:val="20"/>
                <w:color w:val="auto"/>
              </w:rPr>
            </w:pPr>
            <w:r>
              <w:rPr>
                <w:rFonts w:ascii="Arial" w:cs="Arial" w:eastAsia="Arial" w:hAnsi="Arial"/>
                <w:sz w:val="14"/>
                <w:szCs w:val="14"/>
                <w:color w:val="auto"/>
              </w:rPr>
              <w:t>$189,297</w:t>
            </w:r>
          </w:p>
        </w:tc>
        <w:tc>
          <w:tcPr>
            <w:tcW w:w="1760" w:type="dxa"/>
            <w:vAlign w:val="bottom"/>
            <w:tcBorders>
              <w:bottom w:val="single" w:sz="8" w:color="D8D8D8"/>
            </w:tcBorders>
          </w:tcPr>
          <w:p>
            <w:pPr>
              <w:jc w:val="center"/>
              <w:spacing w:after="0"/>
              <w:rPr>
                <w:sz w:val="20"/>
                <w:szCs w:val="20"/>
                <w:color w:val="auto"/>
              </w:rPr>
            </w:pPr>
            <w:r>
              <w:rPr>
                <w:rFonts w:ascii="Arial" w:cs="Arial" w:eastAsia="Arial" w:hAnsi="Arial"/>
                <w:sz w:val="14"/>
                <w:szCs w:val="14"/>
                <w:color w:val="auto"/>
                <w:w w:val="92"/>
              </w:rPr>
              <w:t>$336,699</w:t>
            </w:r>
          </w:p>
        </w:tc>
        <w:tc>
          <w:tcPr>
            <w:tcW w:w="0" w:type="dxa"/>
            <w:vAlign w:val="bottom"/>
          </w:tcPr>
          <w:p>
            <w:pPr>
              <w:spacing w:after="0"/>
              <w:rPr>
                <w:sz w:val="1"/>
                <w:szCs w:val="1"/>
                <w:color w:val="auto"/>
              </w:rPr>
            </w:pPr>
          </w:p>
        </w:tc>
      </w:tr>
      <w:tr>
        <w:trPr>
          <w:trHeight w:val="203"/>
        </w:trPr>
        <w:tc>
          <w:tcPr>
            <w:tcW w:w="2500" w:type="dxa"/>
            <w:vAlign w:val="bottom"/>
          </w:tcPr>
          <w:p>
            <w:pPr>
              <w:spacing w:after="0"/>
              <w:rPr>
                <w:sz w:val="20"/>
                <w:szCs w:val="20"/>
                <w:color w:val="auto"/>
              </w:rPr>
            </w:pPr>
            <w:r>
              <w:rPr>
                <w:rFonts w:ascii="Arial" w:cs="Arial" w:eastAsia="Arial" w:hAnsi="Arial"/>
                <w:sz w:val="14"/>
                <w:szCs w:val="14"/>
                <w:color w:val="auto"/>
              </w:rPr>
              <w:t>Thomas D. Moline</w:t>
            </w:r>
          </w:p>
        </w:tc>
        <w:tc>
          <w:tcPr>
            <w:tcW w:w="1380" w:type="dxa"/>
            <w:vAlign w:val="bottom"/>
          </w:tcPr>
          <w:p>
            <w:pPr>
              <w:jc w:val="right"/>
              <w:ind w:right="228"/>
              <w:spacing w:after="0"/>
              <w:rPr>
                <w:sz w:val="20"/>
                <w:szCs w:val="20"/>
                <w:color w:val="auto"/>
              </w:rPr>
            </w:pPr>
            <w:r>
              <w:rPr>
                <w:rFonts w:ascii="Arial" w:cs="Arial" w:eastAsia="Arial" w:hAnsi="Arial"/>
                <w:sz w:val="14"/>
                <w:szCs w:val="14"/>
                <w:color w:val="auto"/>
              </w:rPr>
              <w:t>85%</w:t>
            </w:r>
          </w:p>
        </w:tc>
        <w:tc>
          <w:tcPr>
            <w:tcW w:w="1300" w:type="dxa"/>
            <w:vAlign w:val="bottom"/>
          </w:tcPr>
          <w:p>
            <w:pPr>
              <w:jc w:val="right"/>
              <w:ind w:right="208"/>
              <w:spacing w:after="0"/>
              <w:rPr>
                <w:sz w:val="20"/>
                <w:szCs w:val="20"/>
                <w:color w:val="auto"/>
              </w:rPr>
            </w:pPr>
            <w:r>
              <w:rPr>
                <w:rFonts w:ascii="Arial" w:cs="Arial" w:eastAsia="Arial" w:hAnsi="Arial"/>
                <w:sz w:val="14"/>
                <w:szCs w:val="14"/>
                <w:color w:val="auto"/>
              </w:rPr>
              <w:t>17,100</w:t>
            </w:r>
          </w:p>
        </w:tc>
        <w:tc>
          <w:tcPr>
            <w:tcW w:w="1280" w:type="dxa"/>
            <w:vAlign w:val="bottom"/>
          </w:tcPr>
          <w:p>
            <w:pPr>
              <w:jc w:val="right"/>
              <w:ind w:right="108"/>
              <w:spacing w:after="0"/>
              <w:rPr>
                <w:sz w:val="20"/>
                <w:szCs w:val="20"/>
                <w:color w:val="auto"/>
              </w:rPr>
            </w:pPr>
            <w:r>
              <w:rPr>
                <w:rFonts w:ascii="Arial" w:cs="Arial" w:eastAsia="Arial" w:hAnsi="Arial"/>
                <w:sz w:val="14"/>
                <w:szCs w:val="14"/>
                <w:color w:val="auto"/>
              </w:rPr>
              <w:t>$147,402</w:t>
            </w:r>
          </w:p>
        </w:tc>
        <w:tc>
          <w:tcPr>
            <w:tcW w:w="1240" w:type="dxa"/>
            <w:vAlign w:val="bottom"/>
          </w:tcPr>
          <w:p>
            <w:pPr>
              <w:jc w:val="right"/>
              <w:ind w:right="228"/>
              <w:spacing w:after="0"/>
              <w:rPr>
                <w:sz w:val="20"/>
                <w:szCs w:val="20"/>
                <w:color w:val="auto"/>
              </w:rPr>
            </w:pPr>
            <w:r>
              <w:rPr>
                <w:rFonts w:ascii="Arial" w:cs="Arial" w:eastAsia="Arial" w:hAnsi="Arial"/>
                <w:sz w:val="14"/>
                <w:szCs w:val="14"/>
                <w:color w:val="auto"/>
              </w:rPr>
              <w:t>17,100</w:t>
            </w:r>
          </w:p>
        </w:tc>
        <w:tc>
          <w:tcPr>
            <w:tcW w:w="1560" w:type="dxa"/>
            <w:vAlign w:val="bottom"/>
          </w:tcPr>
          <w:p>
            <w:pPr>
              <w:jc w:val="right"/>
              <w:ind w:right="388"/>
              <w:spacing w:after="0"/>
              <w:rPr>
                <w:sz w:val="20"/>
                <w:szCs w:val="20"/>
                <w:color w:val="auto"/>
              </w:rPr>
            </w:pPr>
            <w:r>
              <w:rPr>
                <w:rFonts w:ascii="Arial" w:cs="Arial" w:eastAsia="Arial" w:hAnsi="Arial"/>
                <w:sz w:val="14"/>
                <w:szCs w:val="14"/>
                <w:color w:val="auto"/>
              </w:rPr>
              <w:t>$189,297</w:t>
            </w:r>
          </w:p>
        </w:tc>
        <w:tc>
          <w:tcPr>
            <w:tcW w:w="1760" w:type="dxa"/>
            <w:vAlign w:val="bottom"/>
          </w:tcPr>
          <w:p>
            <w:pPr>
              <w:jc w:val="center"/>
              <w:spacing w:after="0"/>
              <w:rPr>
                <w:sz w:val="20"/>
                <w:szCs w:val="20"/>
                <w:color w:val="auto"/>
              </w:rPr>
            </w:pPr>
            <w:r>
              <w:rPr>
                <w:rFonts w:ascii="Arial" w:cs="Arial" w:eastAsia="Arial" w:hAnsi="Arial"/>
                <w:sz w:val="14"/>
                <w:szCs w:val="14"/>
                <w:color w:val="auto"/>
                <w:w w:val="92"/>
              </w:rPr>
              <w:t>$336,699</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-3810</wp:posOffset>
            </wp:positionV>
            <wp:extent cx="699516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ind w:left="440" w:hanging="324"/>
        <w:spacing w:after="0" w:line="221" w:lineRule="auto"/>
        <w:tabs>
          <w:tab w:leader="none" w:pos="440" w:val="left"/>
        </w:tabs>
        <w:numPr>
          <w:ilvl w:val="0"/>
          <w:numId w:val="54"/>
        </w:numPr>
        <w:rPr>
          <w:rFonts w:ascii="Arial" w:cs="Arial" w:eastAsia="Arial" w:hAnsi="Arial"/>
          <w:sz w:val="14"/>
          <w:szCs w:val="14"/>
          <w:color w:val="auto"/>
        </w:rPr>
      </w:pPr>
      <w:r>
        <w:rPr>
          <w:rFonts w:ascii="Arial" w:cs="Arial" w:eastAsia="Arial" w:hAnsi="Arial"/>
          <w:sz w:val="14"/>
          <w:szCs w:val="14"/>
          <w:color w:val="auto"/>
        </w:rPr>
        <w:t>As a percentage of base salary midpoint, as reflected in the compensation peer group data or external surveys of general industry data, whichever is applicable.</w:t>
      </w:r>
    </w:p>
    <w:p>
      <w:pPr>
        <w:ind w:left="440" w:right="80" w:hanging="324"/>
        <w:spacing w:after="0" w:line="221" w:lineRule="auto"/>
        <w:tabs>
          <w:tab w:leader="none" w:pos="440" w:val="left"/>
        </w:tabs>
        <w:numPr>
          <w:ilvl w:val="0"/>
          <w:numId w:val="54"/>
        </w:numPr>
        <w:rPr>
          <w:rFonts w:ascii="Arial" w:cs="Arial" w:eastAsia="Arial" w:hAnsi="Arial"/>
          <w:sz w:val="14"/>
          <w:szCs w:val="14"/>
          <w:color w:val="auto"/>
        </w:rPr>
      </w:pPr>
      <w:r>
        <w:rPr>
          <w:rFonts w:ascii="Arial" w:cs="Arial" w:eastAsia="Arial" w:hAnsi="Arial"/>
          <w:sz w:val="14"/>
          <w:szCs w:val="14"/>
          <w:color w:val="auto"/>
        </w:rPr>
        <w:t>Mr. Williams is not included in this table as the long-term incentives awarded to him are discussed below. Mr. Raketich is also not included in this table as no long-term incentive grants were awarded to him in connection with or following his appointment as an executive officer of the company in May 2021.</w:t>
      </w:r>
    </w:p>
    <w:p>
      <w:pPr>
        <w:ind w:left="440" w:right="20" w:hanging="324"/>
        <w:spacing w:after="0" w:line="232" w:lineRule="auto"/>
        <w:tabs>
          <w:tab w:leader="none" w:pos="440" w:val="left"/>
        </w:tabs>
        <w:numPr>
          <w:ilvl w:val="0"/>
          <w:numId w:val="54"/>
        </w:numPr>
        <w:rPr>
          <w:rFonts w:ascii="Arial" w:cs="Arial" w:eastAsia="Arial" w:hAnsi="Arial"/>
          <w:sz w:val="14"/>
          <w:szCs w:val="14"/>
          <w:color w:val="auto"/>
        </w:rPr>
      </w:pPr>
      <w:r>
        <w:rPr>
          <w:rFonts w:ascii="Arial" w:cs="Arial" w:eastAsia="Arial" w:hAnsi="Arial"/>
          <w:sz w:val="14"/>
          <w:szCs w:val="14"/>
          <w:color w:val="auto"/>
        </w:rPr>
        <w:t>The value of restricted stock units is equal to the closing price of TimkenSteel common shares on the date of grant multiplied by the number of restricted stock units granted. The value of performance shares is determined using a lattice valuation model, the Monte Carlo Simulation, multiplied by the target number of performance shares granted, which was the probable outcome on the grant date.</w:t>
      </w:r>
    </w:p>
    <w:p>
      <w:pPr>
        <w:spacing w:after="0" w:line="187" w:lineRule="exact"/>
        <w:rPr>
          <w:sz w:val="20"/>
          <w:szCs w:val="20"/>
          <w:color w:val="auto"/>
        </w:rPr>
      </w:pPr>
    </w:p>
    <w:p>
      <w:pPr>
        <w:jc w:val="both"/>
        <w:ind w:left="120" w:right="80"/>
        <w:spacing w:after="0" w:line="263" w:lineRule="auto"/>
        <w:rPr>
          <w:sz w:val="20"/>
          <w:szCs w:val="20"/>
          <w:color w:val="auto"/>
        </w:rPr>
      </w:pPr>
      <w:r>
        <w:rPr>
          <w:rFonts w:ascii="Arial" w:cs="Arial" w:eastAsia="Arial" w:hAnsi="Arial"/>
          <w:sz w:val="18"/>
          <w:szCs w:val="18"/>
          <w:color w:val="auto"/>
        </w:rPr>
        <w:t>The target value for each grant is converted to a number of shares based on a calculated average stock price over a defined period prior to the grant. The Compensation Committee used the average closing price over the five trading days immediately preceding the March 1, 2021 grant date in determining the number of shares to be granted in 2021.</w:t>
      </w:r>
    </w:p>
    <w:p>
      <w:pPr>
        <w:spacing w:after="0" w:line="184" w:lineRule="exact"/>
        <w:rPr>
          <w:sz w:val="20"/>
          <w:szCs w:val="20"/>
          <w:color w:val="auto"/>
        </w:rPr>
      </w:pPr>
    </w:p>
    <w:p>
      <w:pPr>
        <w:ind w:left="120" w:right="380"/>
        <w:spacing w:after="0" w:line="342" w:lineRule="auto"/>
        <w:rPr>
          <w:sz w:val="20"/>
          <w:szCs w:val="20"/>
          <w:color w:val="auto"/>
        </w:rPr>
      </w:pPr>
      <w:r>
        <w:rPr>
          <w:rFonts w:ascii="Arial" w:cs="Arial" w:eastAsia="Arial" w:hAnsi="Arial"/>
          <w:sz w:val="16"/>
          <w:szCs w:val="16"/>
          <w:color w:val="auto"/>
        </w:rPr>
        <w:t>The Compensation Committee typically makes long-term incentive grants at its first regularly scheduled meeting of each year, when the Committee determines all elements of the NEOs’ compensation for the year. Board and committee meetings are generally scheduled at least a year in advance.</w:t>
      </w:r>
    </w:p>
    <w:p>
      <w:pPr>
        <w:spacing w:after="0" w:line="12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Long-term incentive award to new President and CEO</w:t>
      </w:r>
    </w:p>
    <w:p>
      <w:pPr>
        <w:spacing w:after="0" w:line="117" w:lineRule="exact"/>
        <w:rPr>
          <w:sz w:val="20"/>
          <w:szCs w:val="20"/>
          <w:color w:val="auto"/>
        </w:rPr>
      </w:pPr>
    </w:p>
    <w:p>
      <w:pPr>
        <w:jc w:val="both"/>
        <w:ind w:left="120" w:right="40"/>
        <w:spacing w:after="0" w:line="301" w:lineRule="auto"/>
        <w:rPr>
          <w:sz w:val="20"/>
          <w:szCs w:val="20"/>
          <w:color w:val="auto"/>
        </w:rPr>
      </w:pPr>
      <w:r>
        <w:rPr>
          <w:rFonts w:ascii="Arial" w:cs="Arial" w:eastAsia="Arial" w:hAnsi="Arial"/>
          <w:sz w:val="16"/>
          <w:szCs w:val="16"/>
          <w:color w:val="auto"/>
        </w:rPr>
        <w:t>As an inducement to enter into employment with the company, and to encourage stock ownership by Mr. Williams, thereby further aligning his interests with those of the company’s shareholders, Mr. Williams was awarded a sign-on equity grant of performance shares with a target value of $2,000,000 and time-based restricted stock units with a value of $2,000,000. These equity awards were granted on January 5, 2021 and consisted of 423,400 time-based restricted stock units which generally will vest in full on January 5, 2024 (a three-year “cliff” vesting period), and 423,400</w:t>
      </w:r>
    </w:p>
    <w:p>
      <w:pPr>
        <w:spacing w:after="0" w:line="94"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51</w:t>
      </w:r>
    </w:p>
    <w:p>
      <w:pPr>
        <w:sectPr>
          <w:pgSz w:w="11900" w:h="16838" w:orient="portrait"/>
          <w:cols w:equalWidth="0" w:num="1">
            <w:col w:w="11140"/>
          </w:cols>
          <w:pgMar w:left="320" w:top="459" w:right="43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0"/>
        <w:spacing w:after="0" w:line="286" w:lineRule="auto"/>
        <w:rPr>
          <w:sz w:val="20"/>
          <w:szCs w:val="20"/>
          <w:color w:val="auto"/>
        </w:rPr>
      </w:pPr>
      <w:r>
        <w:rPr>
          <w:rFonts w:ascii="Arial" w:cs="Arial" w:eastAsia="Arial" w:hAnsi="Arial"/>
          <w:sz w:val="16"/>
          <w:szCs w:val="16"/>
          <w:color w:val="auto"/>
        </w:rPr>
        <w:t>performance shares which will vest based on average payout (determined under a Compensation Committee-approved matrix) for the company’s relative total shareholder return for the one-, two- and three-year periods beginning January 1, 2021 and ending December 31, 2021, 2022 and 2023, respectively. Payouts for each of the three “nested” performance periods for the performance shares will range from 0 percent payout for achievement below the 25</w:t>
      </w:r>
      <w:r>
        <w:rPr>
          <w:rFonts w:ascii="Arial" w:cs="Arial" w:eastAsia="Arial" w:hAnsi="Arial"/>
          <w:sz w:val="13"/>
          <w:szCs w:val="13"/>
          <w:color w:val="auto"/>
        </w:rPr>
        <w:t>th</w:t>
      </w:r>
      <w:r>
        <w:rPr>
          <w:rFonts w:ascii="Arial" w:cs="Arial" w:eastAsia="Arial" w:hAnsi="Arial"/>
          <w:sz w:val="16"/>
          <w:szCs w:val="16"/>
          <w:color w:val="auto"/>
        </w:rPr>
        <w:t xml:space="preserve"> percentile, 50 percent payout for achievement at the 25</w:t>
      </w:r>
      <w:r>
        <w:rPr>
          <w:rFonts w:ascii="Arial" w:cs="Arial" w:eastAsia="Arial" w:hAnsi="Arial"/>
          <w:sz w:val="13"/>
          <w:szCs w:val="13"/>
          <w:color w:val="auto"/>
        </w:rPr>
        <w:t>th</w:t>
      </w:r>
      <w:r>
        <w:rPr>
          <w:rFonts w:ascii="Arial" w:cs="Arial" w:eastAsia="Arial" w:hAnsi="Arial"/>
          <w:sz w:val="16"/>
          <w:szCs w:val="16"/>
          <w:color w:val="auto"/>
        </w:rPr>
        <w:t xml:space="preserve"> percentile, 100 percent payout for achievement at the 50</w:t>
      </w:r>
      <w:r>
        <w:rPr>
          <w:rFonts w:ascii="Arial" w:cs="Arial" w:eastAsia="Arial" w:hAnsi="Arial"/>
          <w:sz w:val="13"/>
          <w:szCs w:val="13"/>
          <w:color w:val="auto"/>
        </w:rPr>
        <w:t>th</w:t>
      </w:r>
      <w:r>
        <w:rPr>
          <w:rFonts w:ascii="Arial" w:cs="Arial" w:eastAsia="Arial" w:hAnsi="Arial"/>
          <w:sz w:val="16"/>
          <w:szCs w:val="16"/>
          <w:color w:val="auto"/>
        </w:rPr>
        <w:t xml:space="preserve"> percentile,</w:t>
      </w:r>
    </w:p>
    <w:p>
      <w:pPr>
        <w:ind w:left="120" w:right="340"/>
        <w:spacing w:after="0" w:line="256" w:lineRule="auto"/>
        <w:rPr>
          <w:sz w:val="20"/>
          <w:szCs w:val="20"/>
          <w:color w:val="auto"/>
        </w:rPr>
      </w:pPr>
      <w:r>
        <w:rPr>
          <w:rFonts w:ascii="Arial" w:cs="Arial" w:eastAsia="Arial" w:hAnsi="Arial"/>
          <w:sz w:val="18"/>
          <w:szCs w:val="18"/>
          <w:color w:val="auto"/>
        </w:rPr>
        <w:t>150 percent payout for achievement at or above the 75</w:t>
      </w:r>
      <w:r>
        <w:rPr>
          <w:rFonts w:ascii="Arial" w:cs="Arial" w:eastAsia="Arial" w:hAnsi="Arial"/>
          <w:sz w:val="15"/>
          <w:szCs w:val="15"/>
          <w:color w:val="auto"/>
        </w:rPr>
        <w:t>th</w:t>
      </w:r>
      <w:r>
        <w:rPr>
          <w:rFonts w:ascii="Arial" w:cs="Arial" w:eastAsia="Arial" w:hAnsi="Arial"/>
          <w:sz w:val="18"/>
          <w:szCs w:val="18"/>
          <w:color w:val="auto"/>
        </w:rPr>
        <w:t xml:space="preserve"> percentile, and payout based on interpolation between levels above the threshold level. The average of the payouts calculated for each of the three “nested” performance periods will determine the number of performance shares earned and payable in shares at the conclusion of the three-year performance period.</w:t>
      </w:r>
    </w:p>
    <w:p>
      <w:pPr>
        <w:spacing w:after="0" w:line="18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Restricted stock units</w:t>
      </w:r>
    </w:p>
    <w:p>
      <w:pPr>
        <w:spacing w:after="0" w:line="117" w:lineRule="exact"/>
        <w:rPr>
          <w:sz w:val="20"/>
          <w:szCs w:val="20"/>
          <w:color w:val="auto"/>
        </w:rPr>
      </w:pPr>
    </w:p>
    <w:p>
      <w:pPr>
        <w:jc w:val="both"/>
        <w:ind w:left="120"/>
        <w:spacing w:after="0" w:line="340" w:lineRule="auto"/>
        <w:rPr>
          <w:sz w:val="20"/>
          <w:szCs w:val="20"/>
          <w:color w:val="auto"/>
        </w:rPr>
      </w:pPr>
      <w:r>
        <w:rPr>
          <w:rFonts w:ascii="Arial" w:cs="Arial" w:eastAsia="Arial" w:hAnsi="Arial"/>
          <w:sz w:val="15"/>
          <w:szCs w:val="15"/>
          <w:color w:val="auto"/>
        </w:rPr>
        <w:t>Restricted stock units represent an interest in TimkenSteel stock and are issued as shares pursuant to a three-year vesting schedule. Restricted stock units serve to both reward and retain executives, as the value of the shares is linked to the stock price when the shares vest, generally on the third anniversary of the grant. For information about time-based restricted stock units awarded to the NEOs in 2021, see the “2021 Grants of plan-based awards table.”</w:t>
      </w:r>
    </w:p>
    <w:p>
      <w:pPr>
        <w:spacing w:after="0" w:line="13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Performance shares</w:t>
      </w:r>
    </w:p>
    <w:p>
      <w:pPr>
        <w:spacing w:after="0" w:line="117" w:lineRule="exact"/>
        <w:rPr>
          <w:sz w:val="20"/>
          <w:szCs w:val="20"/>
          <w:color w:val="auto"/>
        </w:rPr>
      </w:pPr>
    </w:p>
    <w:p>
      <w:pPr>
        <w:ind w:left="120" w:right="40"/>
        <w:spacing w:after="0" w:line="291" w:lineRule="auto"/>
        <w:rPr>
          <w:sz w:val="20"/>
          <w:szCs w:val="20"/>
          <w:color w:val="auto"/>
        </w:rPr>
      </w:pPr>
      <w:r>
        <w:rPr>
          <w:rFonts w:ascii="Arial" w:cs="Arial" w:eastAsia="Arial" w:hAnsi="Arial"/>
          <w:sz w:val="16"/>
          <w:szCs w:val="16"/>
          <w:color w:val="auto"/>
        </w:rPr>
        <w:t>Performance shares are performance-based restricted stock units earned based on average payout (determined under a Compensation Committee-approved matrix) for the company’s relative total shareholder return as compared to an identified peer group of steel companies. The overall vesting period is generally three years from January 1 of the first year in the performance cycle to December 31 in the third year of the performance cycle, with relative total shareholder return measured for the one-, two- and three-year periods beginning January 1 of the first year in the performance cycle and ending December 31 of the first, second and third years in the performance cycle, respectively, creating effectively a “nested” 1-year, 2-year, and 3-year plan to support rapid and sustained shareholder value creation. Relative total shareholder return is calculated for each nested performance period by taking the beginning and ending price points based off of a 20-trading day average closing stock price as of December 31.</w:t>
      </w:r>
    </w:p>
    <w:p>
      <w:pPr>
        <w:spacing w:after="0" w:line="166" w:lineRule="exact"/>
        <w:rPr>
          <w:sz w:val="20"/>
          <w:szCs w:val="20"/>
          <w:color w:val="auto"/>
        </w:rPr>
      </w:pPr>
    </w:p>
    <w:p>
      <w:pPr>
        <w:ind w:left="120" w:right="120"/>
        <w:spacing w:after="0" w:line="279" w:lineRule="auto"/>
        <w:rPr>
          <w:sz w:val="20"/>
          <w:szCs w:val="20"/>
          <w:color w:val="auto"/>
        </w:rPr>
      </w:pPr>
      <w:r>
        <w:rPr>
          <w:rFonts w:ascii="Arial" w:cs="Arial" w:eastAsia="Arial" w:hAnsi="Arial"/>
          <w:sz w:val="17"/>
          <w:szCs w:val="17"/>
          <w:color w:val="auto"/>
        </w:rPr>
        <w:t>A payout will be calculated based on performance for each of the three nested performance periods. For any payout to be earned for a nested performance period, relative total shareholder return must be achieved at least at the 25</w:t>
      </w:r>
      <w:r>
        <w:rPr>
          <w:rFonts w:ascii="Arial" w:cs="Arial" w:eastAsia="Arial" w:hAnsi="Arial"/>
          <w:sz w:val="14"/>
          <w:szCs w:val="14"/>
          <w:color w:val="auto"/>
        </w:rPr>
        <w:t>th</w:t>
      </w:r>
      <w:r>
        <w:rPr>
          <w:rFonts w:ascii="Arial" w:cs="Arial" w:eastAsia="Arial" w:hAnsi="Arial"/>
          <w:sz w:val="17"/>
          <w:szCs w:val="17"/>
          <w:color w:val="auto"/>
        </w:rPr>
        <w:t xml:space="preserve"> percentile of the identified peer group. If the 25</w:t>
      </w:r>
      <w:r>
        <w:rPr>
          <w:rFonts w:ascii="Arial" w:cs="Arial" w:eastAsia="Arial" w:hAnsi="Arial"/>
          <w:sz w:val="14"/>
          <w:szCs w:val="14"/>
          <w:color w:val="auto"/>
        </w:rPr>
        <w:t>th</w:t>
      </w:r>
      <w:r>
        <w:rPr>
          <w:rFonts w:ascii="Arial" w:cs="Arial" w:eastAsia="Arial" w:hAnsi="Arial"/>
          <w:sz w:val="17"/>
          <w:szCs w:val="17"/>
          <w:color w:val="auto"/>
        </w:rPr>
        <w:t xml:space="preserve"> percentile performance level is not attained, then no payout will be earned. The payout earned could range from 50 percent to 150 percent of the target number of performance shares awarded, based upon actual performance for the performance period, as follows:</w:t>
      </w:r>
    </w:p>
    <w:p>
      <w:pPr>
        <w:spacing w:after="0" w:line="203" w:lineRule="exact"/>
        <w:rPr>
          <w:sz w:val="20"/>
          <w:szCs w:val="20"/>
          <w:color w:val="auto"/>
        </w:rPr>
      </w:pPr>
    </w:p>
    <w:tbl>
      <w:tblPr>
        <w:tblLayout w:type="fixed"/>
        <w:tblInd w:w="2320" w:type="dxa"/>
        <w:tblCellMar>
          <w:top w:w="0" w:type="dxa"/>
          <w:left w:w="0" w:type="dxa"/>
          <w:bottom w:w="0" w:type="dxa"/>
          <w:right w:w="0" w:type="dxa"/>
        </w:tblCellMar>
      </w:tblPr>
      <w:tr>
        <w:trPr>
          <w:trHeight w:val="207"/>
        </w:trPr>
        <w:tc>
          <w:tcPr>
            <w:tcW w:w="2420" w:type="dxa"/>
            <w:vAlign w:val="bottom"/>
            <w:shd w:val="clear" w:color="auto" w:fill="58595B"/>
          </w:tcPr>
          <w:p>
            <w:pPr>
              <w:spacing w:after="0"/>
              <w:rPr>
                <w:sz w:val="18"/>
                <w:szCs w:val="18"/>
                <w:color w:val="auto"/>
              </w:rPr>
            </w:pPr>
          </w:p>
        </w:tc>
        <w:tc>
          <w:tcPr>
            <w:tcW w:w="2240" w:type="dxa"/>
            <w:vAlign w:val="bottom"/>
            <w:shd w:val="clear" w:color="auto" w:fill="58595B"/>
          </w:tcPr>
          <w:p>
            <w:pPr>
              <w:jc w:val="center"/>
              <w:ind w:left="330"/>
              <w:spacing w:after="0"/>
              <w:rPr>
                <w:sz w:val="20"/>
                <w:szCs w:val="20"/>
                <w:color w:val="auto"/>
              </w:rPr>
            </w:pPr>
            <w:r>
              <w:rPr>
                <w:rFonts w:ascii="Arial" w:cs="Arial" w:eastAsia="Arial" w:hAnsi="Arial"/>
                <w:sz w:val="18"/>
                <w:szCs w:val="18"/>
                <w:b w:val="1"/>
                <w:bCs w:val="1"/>
                <w:color w:val="FFFFFF"/>
                <w:w w:val="89"/>
              </w:rPr>
              <w:t>Performance</w:t>
            </w:r>
          </w:p>
        </w:tc>
        <w:tc>
          <w:tcPr>
            <w:tcW w:w="1960" w:type="dxa"/>
            <w:vAlign w:val="bottom"/>
            <w:shd w:val="clear" w:color="auto" w:fill="58595B"/>
          </w:tcPr>
          <w:p>
            <w:pPr>
              <w:ind w:left="900"/>
              <w:spacing w:after="0"/>
              <w:rPr>
                <w:sz w:val="20"/>
                <w:szCs w:val="20"/>
                <w:color w:val="auto"/>
              </w:rPr>
            </w:pPr>
            <w:r>
              <w:rPr>
                <w:rFonts w:ascii="Arial" w:cs="Arial" w:eastAsia="Arial" w:hAnsi="Arial"/>
                <w:sz w:val="18"/>
                <w:szCs w:val="18"/>
                <w:b w:val="1"/>
                <w:bCs w:val="1"/>
                <w:color w:val="FFFFFF"/>
              </w:rPr>
              <w:t>Payout</w:t>
            </w:r>
          </w:p>
        </w:tc>
      </w:tr>
      <w:tr>
        <w:trPr>
          <w:trHeight w:val="255"/>
        </w:trPr>
        <w:tc>
          <w:tcPr>
            <w:tcW w:w="2420" w:type="dxa"/>
            <w:vAlign w:val="bottom"/>
            <w:tcBorders>
              <w:bottom w:val="single" w:sz="8" w:color="58595B"/>
            </w:tcBorders>
            <w:shd w:val="clear" w:color="auto" w:fill="58595B"/>
          </w:tcPr>
          <w:p>
            <w:pPr>
              <w:jc w:val="center"/>
              <w:spacing w:after="0"/>
              <w:rPr>
                <w:sz w:val="20"/>
                <w:szCs w:val="20"/>
                <w:color w:val="auto"/>
              </w:rPr>
            </w:pPr>
            <w:r>
              <w:rPr>
                <w:rFonts w:ascii="Arial" w:cs="Arial" w:eastAsia="Arial" w:hAnsi="Arial"/>
                <w:sz w:val="18"/>
                <w:szCs w:val="18"/>
                <w:b w:val="1"/>
                <w:bCs w:val="1"/>
                <w:color w:val="FFFFFF"/>
                <w:w w:val="91"/>
              </w:rPr>
              <w:t>Level</w:t>
            </w:r>
          </w:p>
        </w:tc>
        <w:tc>
          <w:tcPr>
            <w:tcW w:w="2240" w:type="dxa"/>
            <w:vAlign w:val="bottom"/>
            <w:tcBorders>
              <w:bottom w:val="single" w:sz="8" w:color="58595B"/>
            </w:tcBorders>
            <w:shd w:val="clear" w:color="auto" w:fill="58595B"/>
          </w:tcPr>
          <w:p>
            <w:pPr>
              <w:jc w:val="center"/>
              <w:ind w:left="330"/>
              <w:spacing w:after="0"/>
              <w:rPr>
                <w:sz w:val="20"/>
                <w:szCs w:val="20"/>
                <w:color w:val="auto"/>
              </w:rPr>
            </w:pPr>
            <w:r>
              <w:rPr>
                <w:rFonts w:ascii="Arial" w:cs="Arial" w:eastAsia="Arial" w:hAnsi="Arial"/>
                <w:sz w:val="18"/>
                <w:szCs w:val="18"/>
                <w:b w:val="1"/>
                <w:bCs w:val="1"/>
                <w:color w:val="FFFFFF"/>
                <w:w w:val="91"/>
              </w:rPr>
              <w:t>(Percentile)</w:t>
            </w:r>
          </w:p>
        </w:tc>
        <w:tc>
          <w:tcPr>
            <w:tcW w:w="1960" w:type="dxa"/>
            <w:vAlign w:val="bottom"/>
            <w:tcBorders>
              <w:bottom w:val="single" w:sz="8" w:color="58595B"/>
            </w:tcBorders>
            <w:shd w:val="clear" w:color="auto" w:fill="58595B"/>
          </w:tcPr>
          <w:p>
            <w:pPr>
              <w:ind w:left="400"/>
              <w:spacing w:after="0"/>
              <w:rPr>
                <w:sz w:val="20"/>
                <w:szCs w:val="20"/>
                <w:color w:val="auto"/>
              </w:rPr>
            </w:pPr>
            <w:r>
              <w:rPr>
                <w:rFonts w:ascii="Arial" w:cs="Arial" w:eastAsia="Arial" w:hAnsi="Arial"/>
                <w:sz w:val="18"/>
                <w:szCs w:val="18"/>
                <w:b w:val="1"/>
                <w:bCs w:val="1"/>
                <w:color w:val="FFFFFF"/>
                <w:w w:val="96"/>
              </w:rPr>
              <w:t>(Percent of Target)</w:t>
            </w:r>
          </w:p>
        </w:tc>
      </w:tr>
      <w:tr>
        <w:trPr>
          <w:trHeight w:val="230"/>
        </w:trPr>
        <w:tc>
          <w:tcPr>
            <w:tcW w:w="2420" w:type="dxa"/>
            <w:vAlign w:val="bottom"/>
          </w:tcPr>
          <w:p>
            <w:pPr>
              <w:jc w:val="center"/>
              <w:spacing w:after="0"/>
              <w:rPr>
                <w:sz w:val="20"/>
                <w:szCs w:val="20"/>
                <w:color w:val="auto"/>
              </w:rPr>
            </w:pPr>
            <w:r>
              <w:rPr>
                <w:rFonts w:ascii="Arial" w:cs="Arial" w:eastAsia="Arial" w:hAnsi="Arial"/>
                <w:sz w:val="18"/>
                <w:szCs w:val="18"/>
                <w:color w:val="auto"/>
                <w:w w:val="89"/>
              </w:rPr>
              <w:t>Threshold</w:t>
            </w:r>
          </w:p>
        </w:tc>
        <w:tc>
          <w:tcPr>
            <w:tcW w:w="2240" w:type="dxa"/>
            <w:vAlign w:val="bottom"/>
          </w:tcPr>
          <w:p>
            <w:pPr>
              <w:jc w:val="center"/>
              <w:ind w:left="330"/>
              <w:spacing w:after="0"/>
              <w:rPr>
                <w:sz w:val="20"/>
                <w:szCs w:val="20"/>
                <w:color w:val="auto"/>
              </w:rPr>
            </w:pPr>
            <w:r>
              <w:rPr>
                <w:rFonts w:ascii="Arial" w:cs="Arial" w:eastAsia="Arial" w:hAnsi="Arial"/>
                <w:sz w:val="18"/>
                <w:szCs w:val="18"/>
                <w:color w:val="auto"/>
                <w:w w:val="92"/>
              </w:rPr>
              <w:t>25</w:t>
            </w:r>
            <w:r>
              <w:rPr>
                <w:rFonts w:ascii="Arial" w:cs="Arial" w:eastAsia="Arial" w:hAnsi="Arial"/>
                <w:sz w:val="15"/>
                <w:szCs w:val="15"/>
                <w:color w:val="auto"/>
                <w:w w:val="92"/>
              </w:rPr>
              <w:t>th</w:t>
            </w:r>
          </w:p>
        </w:tc>
        <w:tc>
          <w:tcPr>
            <w:tcW w:w="1960" w:type="dxa"/>
            <w:vAlign w:val="bottom"/>
          </w:tcPr>
          <w:p>
            <w:pPr>
              <w:jc w:val="center"/>
              <w:ind w:left="310"/>
              <w:spacing w:after="0"/>
              <w:rPr>
                <w:sz w:val="20"/>
                <w:szCs w:val="20"/>
                <w:color w:val="auto"/>
              </w:rPr>
            </w:pPr>
            <w:r>
              <w:rPr>
                <w:rFonts w:ascii="Arial" w:cs="Arial" w:eastAsia="Arial" w:hAnsi="Arial"/>
                <w:sz w:val="18"/>
                <w:szCs w:val="18"/>
                <w:color w:val="auto"/>
                <w:w w:val="88"/>
              </w:rPr>
              <w:t>50%</w:t>
            </w:r>
          </w:p>
        </w:tc>
      </w:tr>
      <w:tr>
        <w:trPr>
          <w:trHeight w:val="40"/>
        </w:trPr>
        <w:tc>
          <w:tcPr>
            <w:tcW w:w="2420" w:type="dxa"/>
            <w:vAlign w:val="bottom"/>
            <w:tcBorders>
              <w:bottom w:val="single" w:sz="8" w:color="D8D8D8"/>
            </w:tcBorders>
          </w:tcPr>
          <w:p>
            <w:pPr>
              <w:spacing w:after="0"/>
              <w:rPr>
                <w:sz w:val="3"/>
                <w:szCs w:val="3"/>
                <w:color w:val="auto"/>
              </w:rPr>
            </w:pPr>
          </w:p>
        </w:tc>
        <w:tc>
          <w:tcPr>
            <w:tcW w:w="2240" w:type="dxa"/>
            <w:vAlign w:val="bottom"/>
            <w:tcBorders>
              <w:bottom w:val="single" w:sz="8" w:color="D8D8D8"/>
            </w:tcBorders>
          </w:tcPr>
          <w:p>
            <w:pPr>
              <w:spacing w:after="0"/>
              <w:rPr>
                <w:sz w:val="3"/>
                <w:szCs w:val="3"/>
                <w:color w:val="auto"/>
              </w:rPr>
            </w:pPr>
          </w:p>
        </w:tc>
        <w:tc>
          <w:tcPr>
            <w:tcW w:w="1960" w:type="dxa"/>
            <w:vAlign w:val="bottom"/>
            <w:tcBorders>
              <w:bottom w:val="single" w:sz="8" w:color="D8D8D8"/>
            </w:tcBorders>
          </w:tcPr>
          <w:p>
            <w:pPr>
              <w:spacing w:after="0"/>
              <w:rPr>
                <w:sz w:val="3"/>
                <w:szCs w:val="3"/>
                <w:color w:val="auto"/>
              </w:rPr>
            </w:pPr>
          </w:p>
        </w:tc>
      </w:tr>
      <w:tr>
        <w:trPr>
          <w:trHeight w:val="224"/>
        </w:trPr>
        <w:tc>
          <w:tcPr>
            <w:tcW w:w="2420" w:type="dxa"/>
            <w:vAlign w:val="bottom"/>
          </w:tcPr>
          <w:p>
            <w:pPr>
              <w:jc w:val="center"/>
              <w:spacing w:after="0"/>
              <w:rPr>
                <w:sz w:val="20"/>
                <w:szCs w:val="20"/>
                <w:color w:val="auto"/>
              </w:rPr>
            </w:pPr>
            <w:r>
              <w:rPr>
                <w:rFonts w:ascii="Arial" w:cs="Arial" w:eastAsia="Arial" w:hAnsi="Arial"/>
                <w:sz w:val="18"/>
                <w:szCs w:val="18"/>
                <w:color w:val="auto"/>
                <w:w w:val="84"/>
              </w:rPr>
              <w:t>Target</w:t>
            </w:r>
          </w:p>
        </w:tc>
        <w:tc>
          <w:tcPr>
            <w:tcW w:w="2240" w:type="dxa"/>
            <w:vAlign w:val="bottom"/>
          </w:tcPr>
          <w:p>
            <w:pPr>
              <w:jc w:val="center"/>
              <w:ind w:left="330"/>
              <w:spacing w:after="0"/>
              <w:rPr>
                <w:sz w:val="20"/>
                <w:szCs w:val="20"/>
                <w:color w:val="auto"/>
              </w:rPr>
            </w:pPr>
            <w:r>
              <w:rPr>
                <w:rFonts w:ascii="Arial" w:cs="Arial" w:eastAsia="Arial" w:hAnsi="Arial"/>
                <w:sz w:val="18"/>
                <w:szCs w:val="18"/>
                <w:color w:val="auto"/>
                <w:w w:val="92"/>
              </w:rPr>
              <w:t>50</w:t>
            </w:r>
            <w:r>
              <w:rPr>
                <w:rFonts w:ascii="Arial" w:cs="Arial" w:eastAsia="Arial" w:hAnsi="Arial"/>
                <w:sz w:val="15"/>
                <w:szCs w:val="15"/>
                <w:color w:val="auto"/>
                <w:w w:val="92"/>
              </w:rPr>
              <w:t>th</w:t>
            </w:r>
          </w:p>
        </w:tc>
        <w:tc>
          <w:tcPr>
            <w:tcW w:w="1960" w:type="dxa"/>
            <w:vAlign w:val="bottom"/>
          </w:tcPr>
          <w:p>
            <w:pPr>
              <w:jc w:val="center"/>
              <w:ind w:left="290"/>
              <w:spacing w:after="0"/>
              <w:rPr>
                <w:sz w:val="20"/>
                <w:szCs w:val="20"/>
                <w:color w:val="auto"/>
              </w:rPr>
            </w:pPr>
            <w:r>
              <w:rPr>
                <w:rFonts w:ascii="Arial" w:cs="Arial" w:eastAsia="Arial" w:hAnsi="Arial"/>
                <w:sz w:val="18"/>
                <w:szCs w:val="18"/>
                <w:color w:val="auto"/>
                <w:w w:val="91"/>
              </w:rPr>
              <w:t>100%</w:t>
            </w:r>
          </w:p>
        </w:tc>
      </w:tr>
      <w:tr>
        <w:trPr>
          <w:trHeight w:val="40"/>
        </w:trPr>
        <w:tc>
          <w:tcPr>
            <w:tcW w:w="2420" w:type="dxa"/>
            <w:vAlign w:val="bottom"/>
            <w:tcBorders>
              <w:bottom w:val="single" w:sz="8" w:color="D8D8D8"/>
            </w:tcBorders>
          </w:tcPr>
          <w:p>
            <w:pPr>
              <w:spacing w:after="0"/>
              <w:rPr>
                <w:sz w:val="3"/>
                <w:szCs w:val="3"/>
                <w:color w:val="auto"/>
              </w:rPr>
            </w:pPr>
          </w:p>
        </w:tc>
        <w:tc>
          <w:tcPr>
            <w:tcW w:w="2240" w:type="dxa"/>
            <w:vAlign w:val="bottom"/>
            <w:tcBorders>
              <w:bottom w:val="single" w:sz="8" w:color="D8D8D8"/>
            </w:tcBorders>
          </w:tcPr>
          <w:p>
            <w:pPr>
              <w:spacing w:after="0"/>
              <w:rPr>
                <w:sz w:val="3"/>
                <w:szCs w:val="3"/>
                <w:color w:val="auto"/>
              </w:rPr>
            </w:pPr>
          </w:p>
        </w:tc>
        <w:tc>
          <w:tcPr>
            <w:tcW w:w="1960" w:type="dxa"/>
            <w:vAlign w:val="bottom"/>
            <w:tcBorders>
              <w:bottom w:val="single" w:sz="8" w:color="D8D8D8"/>
            </w:tcBorders>
          </w:tcPr>
          <w:p>
            <w:pPr>
              <w:spacing w:after="0"/>
              <w:rPr>
                <w:sz w:val="3"/>
                <w:szCs w:val="3"/>
                <w:color w:val="auto"/>
              </w:rPr>
            </w:pPr>
          </w:p>
        </w:tc>
      </w:tr>
      <w:tr>
        <w:trPr>
          <w:trHeight w:val="224"/>
        </w:trPr>
        <w:tc>
          <w:tcPr>
            <w:tcW w:w="2420" w:type="dxa"/>
            <w:vAlign w:val="bottom"/>
          </w:tcPr>
          <w:p>
            <w:pPr>
              <w:jc w:val="center"/>
              <w:spacing w:after="0"/>
              <w:rPr>
                <w:sz w:val="20"/>
                <w:szCs w:val="20"/>
                <w:color w:val="auto"/>
              </w:rPr>
            </w:pPr>
            <w:r>
              <w:rPr>
                <w:rFonts w:ascii="Arial" w:cs="Arial" w:eastAsia="Arial" w:hAnsi="Arial"/>
                <w:sz w:val="18"/>
                <w:szCs w:val="18"/>
                <w:color w:val="auto"/>
                <w:w w:val="97"/>
              </w:rPr>
              <w:t>Maximum</w:t>
            </w:r>
          </w:p>
        </w:tc>
        <w:tc>
          <w:tcPr>
            <w:tcW w:w="2240" w:type="dxa"/>
            <w:vAlign w:val="bottom"/>
          </w:tcPr>
          <w:p>
            <w:pPr>
              <w:jc w:val="center"/>
              <w:ind w:left="330"/>
              <w:spacing w:after="0"/>
              <w:rPr>
                <w:sz w:val="20"/>
                <w:szCs w:val="20"/>
                <w:color w:val="auto"/>
              </w:rPr>
            </w:pPr>
            <w:r>
              <w:rPr>
                <w:rFonts w:ascii="Arial" w:cs="Arial" w:eastAsia="Arial" w:hAnsi="Arial"/>
                <w:sz w:val="18"/>
                <w:szCs w:val="18"/>
                <w:color w:val="auto"/>
                <w:w w:val="92"/>
              </w:rPr>
              <w:t>75</w:t>
            </w:r>
            <w:r>
              <w:rPr>
                <w:rFonts w:ascii="Arial" w:cs="Arial" w:eastAsia="Arial" w:hAnsi="Arial"/>
                <w:sz w:val="15"/>
                <w:szCs w:val="15"/>
                <w:color w:val="auto"/>
                <w:w w:val="92"/>
              </w:rPr>
              <w:t>th</w:t>
            </w:r>
          </w:p>
        </w:tc>
        <w:tc>
          <w:tcPr>
            <w:tcW w:w="1960" w:type="dxa"/>
            <w:vAlign w:val="bottom"/>
          </w:tcPr>
          <w:p>
            <w:pPr>
              <w:jc w:val="center"/>
              <w:ind w:left="290"/>
              <w:spacing w:after="0"/>
              <w:rPr>
                <w:sz w:val="20"/>
                <w:szCs w:val="20"/>
                <w:color w:val="auto"/>
              </w:rPr>
            </w:pPr>
            <w:r>
              <w:rPr>
                <w:rFonts w:ascii="Arial" w:cs="Arial" w:eastAsia="Arial" w:hAnsi="Arial"/>
                <w:sz w:val="18"/>
                <w:szCs w:val="18"/>
                <w:color w:val="auto"/>
                <w:w w:val="91"/>
              </w:rPr>
              <w:t>150%</w:t>
            </w:r>
          </w:p>
        </w:tc>
      </w:tr>
      <w:tr>
        <w:trPr>
          <w:trHeight w:val="40"/>
        </w:trPr>
        <w:tc>
          <w:tcPr>
            <w:tcW w:w="2420" w:type="dxa"/>
            <w:vAlign w:val="bottom"/>
            <w:tcBorders>
              <w:bottom w:val="single" w:sz="8" w:color="D8D8D8"/>
            </w:tcBorders>
          </w:tcPr>
          <w:p>
            <w:pPr>
              <w:spacing w:after="0"/>
              <w:rPr>
                <w:sz w:val="3"/>
                <w:szCs w:val="3"/>
                <w:color w:val="auto"/>
              </w:rPr>
            </w:pPr>
          </w:p>
        </w:tc>
        <w:tc>
          <w:tcPr>
            <w:tcW w:w="2240" w:type="dxa"/>
            <w:vAlign w:val="bottom"/>
            <w:tcBorders>
              <w:bottom w:val="single" w:sz="8" w:color="D8D8D8"/>
            </w:tcBorders>
          </w:tcPr>
          <w:p>
            <w:pPr>
              <w:spacing w:after="0"/>
              <w:rPr>
                <w:sz w:val="3"/>
                <w:szCs w:val="3"/>
                <w:color w:val="auto"/>
              </w:rPr>
            </w:pPr>
          </w:p>
        </w:tc>
        <w:tc>
          <w:tcPr>
            <w:tcW w:w="1960" w:type="dxa"/>
            <w:vAlign w:val="bottom"/>
            <w:tcBorders>
              <w:bottom w:val="single" w:sz="8" w:color="D8D8D8"/>
            </w:tcBorders>
          </w:tcPr>
          <w:p>
            <w:pPr>
              <w:spacing w:after="0"/>
              <w:rPr>
                <w:sz w:val="3"/>
                <w:szCs w:val="3"/>
                <w:color w:val="auto"/>
              </w:rPr>
            </w:pPr>
          </w:p>
        </w:tc>
      </w:tr>
    </w:tbl>
    <w:p>
      <w:pPr>
        <w:spacing w:after="0" w:line="202"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color w:val="auto"/>
        </w:rPr>
        <w:t>The average of the payouts calculated for each of the three “nested” performance periods will determine the number of performance shares earned and payable in shares at the conclusion of the three-year performance period.</w:t>
      </w:r>
    </w:p>
    <w:p>
      <w:pPr>
        <w:spacing w:after="0" w:line="170"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i w:val="1"/>
          <w:iCs w:val="1"/>
          <w:u w:val="single" w:color="auto"/>
          <w:color w:val="auto"/>
        </w:rPr>
        <w:t>2021-2023 performance cycle.</w:t>
      </w:r>
      <w:r>
        <w:rPr>
          <w:rFonts w:ascii="Arial" w:cs="Arial" w:eastAsia="Arial" w:hAnsi="Arial"/>
          <w:sz w:val="18"/>
          <w:szCs w:val="18"/>
          <w:i w:val="1"/>
          <w:iCs w:val="1"/>
          <w:color w:val="auto"/>
        </w:rPr>
        <w:t xml:space="preserve"> </w:t>
      </w:r>
      <w:r>
        <w:rPr>
          <w:rFonts w:ascii="Arial" w:cs="Arial" w:eastAsia="Arial" w:hAnsi="Arial"/>
          <w:sz w:val="18"/>
          <w:szCs w:val="18"/>
          <w:color w:val="auto"/>
        </w:rPr>
        <w:t>For the first performance period ended December 31, 2021, relative total shareholder return was achieved at the 100</w:t>
      </w:r>
      <w:r>
        <w:rPr>
          <w:rFonts w:ascii="Arial" w:cs="Arial" w:eastAsia="Arial" w:hAnsi="Arial"/>
          <w:sz w:val="15"/>
          <w:szCs w:val="15"/>
          <w:color w:val="auto"/>
        </w:rPr>
        <w:t>th</w:t>
      </w:r>
      <w:r>
        <w:rPr>
          <w:rFonts w:ascii="Arial" w:cs="Arial" w:eastAsia="Arial" w:hAnsi="Arial"/>
          <w:sz w:val="18"/>
          <w:szCs w:val="18"/>
          <w:i w:val="1"/>
          <w:iCs w:val="1"/>
          <w:color w:val="auto"/>
        </w:rPr>
        <w:t xml:space="preserve"> </w:t>
      </w:r>
      <w:r>
        <w:rPr>
          <w:rFonts w:ascii="Arial" w:cs="Arial" w:eastAsia="Arial" w:hAnsi="Arial"/>
          <w:sz w:val="18"/>
          <w:szCs w:val="18"/>
          <w:color w:val="auto"/>
        </w:rPr>
        <w:t>percentile of the identified peer group, resulting in a preliminary payout calculation of 150 percent of target for the first “nested” performance period in the 2021-2023 performance cycle. Any payout remains subject to vesting and certification by the Committee following the conclusion of the three-year performance period.</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For information about performance shares awarded to the NEOs in 2021, see the “2021 Grants of plan-based awards table.”</w:t>
      </w:r>
    </w:p>
    <w:p>
      <w:pPr>
        <w:spacing w:after="0" w:line="162"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52</w:t>
      </w:r>
    </w:p>
    <w:p>
      <w:pPr>
        <w:sectPr>
          <w:pgSz w:w="11900" w:h="16838" w:orient="portrait"/>
          <w:cols w:equalWidth="0" w:num="1">
            <w:col w:w="11100"/>
          </w:cols>
          <w:pgMar w:left="320" w:top="459" w:right="47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0"/>
        <w:spacing w:after="0" w:line="255" w:lineRule="auto"/>
        <w:rPr>
          <w:sz w:val="20"/>
          <w:szCs w:val="20"/>
          <w:color w:val="auto"/>
        </w:rPr>
      </w:pPr>
      <w:r>
        <w:rPr>
          <w:rFonts w:ascii="Arial" w:cs="Arial" w:eastAsia="Arial" w:hAnsi="Arial"/>
          <w:sz w:val="18"/>
          <w:szCs w:val="18"/>
          <w:i w:val="1"/>
          <w:iCs w:val="1"/>
          <w:u w:val="single" w:color="auto"/>
          <w:color w:val="auto"/>
        </w:rPr>
        <w:t>2020-2022 performance cycle.</w:t>
      </w:r>
      <w:r>
        <w:rPr>
          <w:rFonts w:ascii="Arial" w:cs="Arial" w:eastAsia="Arial" w:hAnsi="Arial"/>
          <w:sz w:val="18"/>
          <w:szCs w:val="18"/>
          <w:i w:val="1"/>
          <w:iCs w:val="1"/>
          <w:color w:val="auto"/>
        </w:rPr>
        <w:t xml:space="preserve"> </w:t>
      </w:r>
      <w:r>
        <w:rPr>
          <w:rFonts w:ascii="Arial" w:cs="Arial" w:eastAsia="Arial" w:hAnsi="Arial"/>
          <w:sz w:val="18"/>
          <w:szCs w:val="18"/>
          <w:color w:val="auto"/>
        </w:rPr>
        <w:t>For the first performance period ended December 31, 2020, relative total shareholder return was achieved at the 25</w:t>
      </w:r>
      <w:r>
        <w:rPr>
          <w:rFonts w:ascii="Arial" w:cs="Arial" w:eastAsia="Arial" w:hAnsi="Arial"/>
          <w:sz w:val="15"/>
          <w:szCs w:val="15"/>
          <w:color w:val="auto"/>
        </w:rPr>
        <w:t>th</w:t>
      </w:r>
      <w:r>
        <w:rPr>
          <w:rFonts w:ascii="Arial" w:cs="Arial" w:eastAsia="Arial" w:hAnsi="Arial"/>
          <w:sz w:val="18"/>
          <w:szCs w:val="18"/>
          <w:i w:val="1"/>
          <w:iCs w:val="1"/>
          <w:color w:val="auto"/>
        </w:rPr>
        <w:t xml:space="preserve"> </w:t>
      </w:r>
      <w:r>
        <w:rPr>
          <w:rFonts w:ascii="Arial" w:cs="Arial" w:eastAsia="Arial" w:hAnsi="Arial"/>
          <w:sz w:val="18"/>
          <w:szCs w:val="18"/>
          <w:color w:val="auto"/>
        </w:rPr>
        <w:t>percentile of the identified peer group, resulting in a preliminary payout calculation of 50 percent of target for the first “nested” performance period in the 2020-2022 performance cycle. For the second performance period ended December 31, 2021, relative total shareholder return was achieved at the 81</w:t>
      </w:r>
      <w:r>
        <w:rPr>
          <w:rFonts w:ascii="Arial" w:cs="Arial" w:eastAsia="Arial" w:hAnsi="Arial"/>
          <w:sz w:val="15"/>
          <w:szCs w:val="15"/>
          <w:color w:val="auto"/>
        </w:rPr>
        <w:t>st</w:t>
      </w:r>
      <w:r>
        <w:rPr>
          <w:rFonts w:ascii="Arial" w:cs="Arial" w:eastAsia="Arial" w:hAnsi="Arial"/>
          <w:sz w:val="18"/>
          <w:szCs w:val="18"/>
          <w:color w:val="auto"/>
        </w:rPr>
        <w:t xml:space="preserve"> percentile of the identified peer group, resulting in a preliminary payout calculation of 150 percent of target for the second “nested” performance period in the 2020-2022 performance cycle. Any payout remains subject to vesting and certification by the Committee following the conclusion of the three-year performance period.</w:t>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Retirement and other benefits</w:t>
      </w:r>
    </w:p>
    <w:p>
      <w:pPr>
        <w:sectPr>
          <w:pgSz w:w="11900" w:h="16838" w:orient="portrait"/>
          <w:cols w:equalWidth="0" w:num="1">
            <w:col w:w="11120"/>
          </w:cols>
          <w:pgMar w:left="320" w:top="459" w:right="459" w:bottom="1440" w:gutter="0" w:footer="0" w:header="0"/>
        </w:sectPr>
      </w:pPr>
    </w:p>
    <w:p>
      <w:pPr>
        <w:spacing w:after="0" w:line="26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Retirement income programs</w:t>
      </w:r>
    </w:p>
    <w:p>
      <w:pPr>
        <w:spacing w:after="0" w:line="104" w:lineRule="exact"/>
        <w:rPr>
          <w:sz w:val="20"/>
          <w:szCs w:val="20"/>
          <w:color w:val="auto"/>
        </w:rPr>
      </w:pPr>
    </w:p>
    <w:p>
      <w:pPr>
        <w:ind w:left="120"/>
        <w:spacing w:after="0" w:line="293" w:lineRule="auto"/>
        <w:rPr>
          <w:sz w:val="20"/>
          <w:szCs w:val="20"/>
          <w:color w:val="auto"/>
        </w:rPr>
      </w:pPr>
      <w:r>
        <w:rPr>
          <w:rFonts w:ascii="Arial" w:cs="Arial" w:eastAsia="Arial" w:hAnsi="Arial"/>
          <w:sz w:val="16"/>
          <w:szCs w:val="16"/>
          <w:color w:val="auto"/>
        </w:rPr>
        <w:t>The company maintains both qualified and nonqualified retirement income programs as a retention tool. The NEOs participate in qualified plans on the same terms and conditions as all other salaried employees, and they may also participate in the company’s nonqualified retirement income programs, where applicable. The company currently provides retirement income through several types of plans: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i w:val="1"/>
          <w:iCs w:val="1"/>
          <w:color w:val="auto"/>
        </w:rPr>
        <w:t>The company’s retirement and other benefit programs support the objective of our executive compensation program to attract and retain executive talent.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-67310</wp:posOffset>
            </wp:positionH>
            <wp:positionV relativeFrom="paragraph">
              <wp:posOffset>-628015</wp:posOffset>
            </wp:positionV>
            <wp:extent cx="3351530" cy="82296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3351530" cy="822960"/>
                    </a:xfrm>
                    <a:prstGeom prst="rect">
                      <a:avLst/>
                    </a:prstGeom>
                    <a:noFill/>
                  </pic:spPr>
                </pic:pic>
              </a:graphicData>
            </a:graphic>
          </wp:anchor>
        </w:drawing>
      </w:r>
    </w:p>
    <w:p>
      <w:pPr>
        <w:spacing w:after="0" w:line="413" w:lineRule="exact"/>
        <w:rPr>
          <w:sz w:val="20"/>
          <w:szCs w:val="20"/>
          <w:color w:val="auto"/>
        </w:rPr>
      </w:pPr>
    </w:p>
    <w:p>
      <w:pPr>
        <w:sectPr>
          <w:pgSz w:w="11900" w:h="16838" w:orient="portrait"/>
          <w:cols w:equalWidth="0" w:num="2">
            <w:col w:w="5520" w:space="440"/>
            <w:col w:w="5160"/>
          </w:cols>
          <w:pgMar w:left="320" w:top="459" w:right="459" w:bottom="1440" w:gutter="0" w:footer="0" w:header="0"/>
          <w:type w:val="continuous"/>
        </w:sectPr>
      </w:pPr>
    </w:p>
    <w:p>
      <w:pPr>
        <w:ind w:left="980" w:right="60" w:hanging="432"/>
        <w:spacing w:after="0" w:line="259" w:lineRule="auto"/>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Qualified and nonqualified defined contribution plans provide for savings based on each executive’s contributions and company matching contributions. The nonqualified defined contribution arrangement in which the NEOs participate is the post-tax savings benefit. This benefit is primarily intended to restore benefits that would be provided under the qualified retirement plans were it not for limits on benefits and compensation imposed by the Internal Revenue Code.</w:t>
      </w:r>
    </w:p>
    <w:p>
      <w:pPr>
        <w:spacing w:after="0" w:line="92" w:lineRule="exact"/>
        <w:rPr>
          <w:rFonts w:ascii="Arial" w:cs="Arial" w:eastAsia="Arial" w:hAnsi="Arial"/>
          <w:sz w:val="18"/>
          <w:szCs w:val="18"/>
          <w:color w:val="auto"/>
        </w:rPr>
      </w:pPr>
    </w:p>
    <w:p>
      <w:pPr>
        <w:ind w:left="980" w:right="60" w:hanging="432"/>
        <w:spacing w:after="0" w:line="272" w:lineRule="auto"/>
        <w:tabs>
          <w:tab w:leader="none" w:pos="980" w:val="left"/>
        </w:tabs>
        <w:numPr>
          <w:ilvl w:val="0"/>
          <w:numId w:val="55"/>
        </w:numPr>
        <w:rPr>
          <w:rFonts w:ascii="Arial" w:cs="Arial" w:eastAsia="Arial" w:hAnsi="Arial"/>
          <w:sz w:val="17"/>
          <w:szCs w:val="17"/>
          <w:color w:val="auto"/>
        </w:rPr>
      </w:pPr>
      <w:r>
        <w:rPr>
          <w:rFonts w:ascii="Arial" w:cs="Arial" w:eastAsia="Arial" w:hAnsi="Arial"/>
          <w:sz w:val="17"/>
          <w:szCs w:val="17"/>
          <w:color w:val="auto"/>
        </w:rPr>
        <w:t>The company maintains frozen qualified and nonqualified defined benefit plans that provide for a targeted percentage of salary and annual incentive income that will continue through retirement. The nonqualified defined benefit plan in which Messrs. Bryan, Moline and Raketich participate is the supplemental executive retirement program for executive officers (“SERP”). The SERP provides for a benefit based on final average earnings with offsets for benefits provided under the company’s other retirement programs. In November 2019, the qualified and nonqualified defined benefit plans were amended to provide that no additional benefits would accrue for any remaining active participants after December 31, 2020. Messrs. Williams and Westbrooks and Ms. Syrvalin are not eligible to participate in the defined benefit plans. Their retirement savings are provided solely through the defined contribution plans.</w:t>
      </w:r>
    </w:p>
    <w:p>
      <w:pPr>
        <w:spacing w:after="0" w:line="177" w:lineRule="exact"/>
        <w:rPr>
          <w:sz w:val="20"/>
          <w:szCs w:val="20"/>
          <w:color w:val="auto"/>
        </w:rPr>
      </w:pPr>
    </w:p>
    <w:p>
      <w:pPr>
        <w:ind w:left="120"/>
        <w:spacing w:after="0" w:line="259" w:lineRule="auto"/>
        <w:rPr>
          <w:sz w:val="20"/>
          <w:szCs w:val="20"/>
          <w:color w:val="auto"/>
        </w:rPr>
      </w:pPr>
      <w:r>
        <w:rPr>
          <w:rFonts w:ascii="Arial" w:cs="Arial" w:eastAsia="Arial" w:hAnsi="Arial"/>
          <w:sz w:val="18"/>
          <w:szCs w:val="18"/>
          <w:color w:val="auto"/>
        </w:rPr>
        <w:t>Although the policies and procedures underlying the company’s retirement income programs are the same for all participants, the age and length of service (including service as an officer of the company) of each participant can have a significant effect on an individual’s benefit calculation because the programs have changed over time. Pension values also are influenced by external factors and actuarial assumptions. See “Compensation of executive officers — Pension benefits” for additional information.</w:t>
      </w:r>
    </w:p>
    <w:p>
      <w:pPr>
        <w:spacing w:after="0" w:line="187" w:lineRule="exact"/>
        <w:rPr>
          <w:sz w:val="20"/>
          <w:szCs w:val="20"/>
          <w:color w:val="auto"/>
        </w:rPr>
      </w:pPr>
    </w:p>
    <w:p>
      <w:pPr>
        <w:ind w:left="120" w:right="460"/>
        <w:spacing w:after="0" w:line="263" w:lineRule="auto"/>
        <w:rPr>
          <w:sz w:val="20"/>
          <w:szCs w:val="20"/>
          <w:color w:val="auto"/>
        </w:rPr>
      </w:pPr>
      <w:r>
        <w:rPr>
          <w:rFonts w:ascii="Arial" w:cs="Arial" w:eastAsia="Arial" w:hAnsi="Arial"/>
          <w:sz w:val="18"/>
          <w:szCs w:val="18"/>
          <w:color w:val="auto"/>
        </w:rPr>
        <w:t>The value of the nonqualified retirement income programs is quantified each year and these programs are periodically reviewed for their competitiveness. The value of these programs has not had a significant impact on decisions regarding salary, annual incentive awards or long-term incentive grants.</w:t>
      </w:r>
    </w:p>
    <w:p>
      <w:pPr>
        <w:spacing w:after="0" w:line="22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Deferred compensation</w:t>
      </w:r>
    </w:p>
    <w:p>
      <w:pPr>
        <w:spacing w:after="0" w:line="117" w:lineRule="exact"/>
        <w:rPr>
          <w:sz w:val="20"/>
          <w:szCs w:val="20"/>
          <w:color w:val="auto"/>
        </w:rPr>
      </w:pPr>
    </w:p>
    <w:p>
      <w:pPr>
        <w:ind w:left="120" w:right="140"/>
        <w:spacing w:after="0" w:line="301" w:lineRule="auto"/>
        <w:rPr>
          <w:sz w:val="20"/>
          <w:szCs w:val="20"/>
          <w:color w:val="auto"/>
        </w:rPr>
      </w:pPr>
      <w:r>
        <w:rPr>
          <w:rFonts w:ascii="Arial" w:cs="Arial" w:eastAsia="Arial" w:hAnsi="Arial"/>
          <w:sz w:val="16"/>
          <w:szCs w:val="16"/>
          <w:color w:val="auto"/>
        </w:rPr>
        <w:t>Through December 31, 2021, the company maintained a deferred compensation plan that allowed certain employees, including the NEOs, to defer receipt of all or a portion of their salary, employee contributions and company matching contributions that would otherwise be paid out post-tax, and incentive compensation payable in cash, until a specified point in the future. Cash deferrals earn interest quarterly at a rate based on the prime rate plus one percent. In 2021, none of the NEOs earned “above-market” interest as defined by the Securities and Exchange Commission.</w:t>
      </w:r>
    </w:p>
    <w:p>
      <w:pPr>
        <w:spacing w:after="0" w:line="94"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53</w:t>
      </w:r>
    </w:p>
    <w:p>
      <w:pPr>
        <w:sectPr>
          <w:pgSz w:w="11900" w:h="16838" w:orient="portrait"/>
          <w:cols w:equalWidth="0" w:num="1">
            <w:col w:w="11120"/>
          </w:cols>
          <w:pgMar w:left="320" w:top="459" w:right="459" w:bottom="1440" w:gutter="0" w:footer="0" w:header="0"/>
          <w:type w:val="continuous"/>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5" w:lineRule="auto"/>
        <w:rPr>
          <w:sz w:val="20"/>
          <w:szCs w:val="20"/>
          <w:color w:val="auto"/>
        </w:rPr>
      </w:pPr>
      <w:r>
        <w:rPr>
          <w:rFonts w:ascii="Arial" w:cs="Arial" w:eastAsia="Arial" w:hAnsi="Arial"/>
          <w:sz w:val="17"/>
          <w:szCs w:val="17"/>
          <w:color w:val="auto"/>
        </w:rPr>
        <w:t>The deferred compensation plan is not funded by the company, and participants have an unsecured contractual commitment by the company to pay the amounts due under the plan. When such payments are due, they will be distributed from the company’s general assets. In the event of a change in control of the company, as defined in the plan, participants are entitled to receive deferred amounts immediately. The value of the deferred compensation program is quantified each year and the program is reviewed periodically for its competitiveness. The value of deferred compensation has not had a significant impact on decisions regarding salary, annual incentive awards or long-term incentive grants for our NEOs.</w:t>
      </w:r>
    </w:p>
    <w:p>
      <w:pPr>
        <w:spacing w:after="0" w:line="176" w:lineRule="exact"/>
        <w:rPr>
          <w:sz w:val="20"/>
          <w:szCs w:val="20"/>
          <w:color w:val="auto"/>
        </w:rPr>
      </w:pPr>
    </w:p>
    <w:p>
      <w:pPr>
        <w:ind w:left="120" w:right="220"/>
        <w:spacing w:after="0" w:line="277" w:lineRule="auto"/>
        <w:rPr>
          <w:sz w:val="20"/>
          <w:szCs w:val="20"/>
          <w:color w:val="auto"/>
        </w:rPr>
      </w:pPr>
      <w:r>
        <w:rPr>
          <w:rFonts w:ascii="Arial" w:cs="Arial" w:eastAsia="Arial" w:hAnsi="Arial"/>
          <w:sz w:val="18"/>
          <w:szCs w:val="18"/>
          <w:color w:val="auto"/>
        </w:rPr>
        <w:t>Effective December 31, 2021, the deferred compensation plan for salaried employees was frozen and no deferrals will be credited under the plan with respect to any compensation earned on or after January 1, 2022.</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Other benefits</w:t>
      </w:r>
    </w:p>
    <w:p>
      <w:pPr>
        <w:spacing w:after="0" w:line="117" w:lineRule="exact"/>
        <w:rPr>
          <w:sz w:val="20"/>
          <w:szCs w:val="20"/>
          <w:color w:val="auto"/>
        </w:rPr>
      </w:pPr>
    </w:p>
    <w:p>
      <w:pPr>
        <w:ind w:left="120" w:right="620"/>
        <w:spacing w:after="0" w:line="277" w:lineRule="auto"/>
        <w:rPr>
          <w:sz w:val="20"/>
          <w:szCs w:val="20"/>
          <w:color w:val="auto"/>
        </w:rPr>
      </w:pPr>
      <w:r>
        <w:rPr>
          <w:rFonts w:ascii="Arial" w:cs="Arial" w:eastAsia="Arial" w:hAnsi="Arial"/>
          <w:sz w:val="18"/>
          <w:szCs w:val="18"/>
          <w:color w:val="auto"/>
        </w:rPr>
        <w:t>The company’s executive officers, including the NEOs, are eligible to participate in a number of broad-based benefit programs including health, disability and life insurance programs.</w:t>
      </w:r>
    </w:p>
    <w:p>
      <w:pPr>
        <w:spacing w:after="0" w:line="170" w:lineRule="exact"/>
        <w:rPr>
          <w:sz w:val="20"/>
          <w:szCs w:val="20"/>
          <w:color w:val="auto"/>
        </w:rPr>
      </w:pPr>
    </w:p>
    <w:p>
      <w:pPr>
        <w:ind w:left="120" w:right="240"/>
        <w:spacing w:after="0" w:line="286" w:lineRule="auto"/>
        <w:rPr>
          <w:sz w:val="20"/>
          <w:szCs w:val="20"/>
          <w:color w:val="auto"/>
        </w:rPr>
      </w:pPr>
      <w:r>
        <w:rPr>
          <w:rFonts w:ascii="Arial" w:cs="Arial" w:eastAsia="Arial" w:hAnsi="Arial"/>
          <w:sz w:val="17"/>
          <w:szCs w:val="17"/>
          <w:color w:val="auto"/>
        </w:rPr>
        <w:t>Historically, the company’s executive officers received certain perquisites including financial counseling and tax preparation assistance, executive physicals and spousal travel benefits. The financial counseling and tax preparation assistance and spousal travel benefits were discontinued at various dates on or before April 30, 2020, and the executive physicals were discontinued effective January 1, 2021.</w:t>
      </w:r>
    </w:p>
    <w:p>
      <w:pPr>
        <w:spacing w:after="0" w:line="165"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color w:val="auto"/>
        </w:rPr>
        <w:t>The company does not provide tax gross-ups for benefits to executives. The value of these benefits, if any, is reflected in the “All other compensation” column in the “2021 Summary compensation table.”</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Severance agreements</w:t>
      </w:r>
    </w:p>
    <w:p>
      <w:pPr>
        <w:spacing w:after="0" w:line="117" w:lineRule="exact"/>
        <w:rPr>
          <w:sz w:val="20"/>
          <w:szCs w:val="20"/>
          <w:color w:val="auto"/>
        </w:rPr>
      </w:pPr>
    </w:p>
    <w:p>
      <w:pPr>
        <w:ind w:left="120" w:right="40"/>
        <w:spacing w:after="0" w:line="257" w:lineRule="auto"/>
        <w:rPr>
          <w:sz w:val="20"/>
          <w:szCs w:val="20"/>
          <w:color w:val="auto"/>
        </w:rPr>
      </w:pPr>
      <w:r>
        <w:rPr>
          <w:rFonts w:ascii="Arial" w:cs="Arial" w:eastAsia="Arial" w:hAnsi="Arial"/>
          <w:sz w:val="18"/>
          <w:szCs w:val="18"/>
          <w:color w:val="auto"/>
        </w:rPr>
        <w:t>In addition to retirement income programs described above, the company may provide termination-related payments to individual executives through severance agreements, in the event of involuntary termination without cause, whether before or after a change in control. Severance agreements are provided based on competitive market practice and the company’s desire to ensure some level of income continuity should an executive’s employment be terminated without cause. The company believes providing for such income continuity results in greater management stability and less unwanted and disruptive management turnover.</w:t>
      </w:r>
    </w:p>
    <w:p>
      <w:pPr>
        <w:spacing w:after="0" w:line="188" w:lineRule="exact"/>
        <w:rPr>
          <w:sz w:val="20"/>
          <w:szCs w:val="20"/>
          <w:color w:val="auto"/>
        </w:rPr>
      </w:pPr>
    </w:p>
    <w:p>
      <w:pPr>
        <w:ind w:left="120"/>
        <w:spacing w:after="0" w:line="311" w:lineRule="auto"/>
        <w:rPr>
          <w:sz w:val="20"/>
          <w:szCs w:val="20"/>
          <w:color w:val="auto"/>
        </w:rPr>
      </w:pPr>
      <w:r>
        <w:rPr>
          <w:rFonts w:ascii="Arial" w:cs="Arial" w:eastAsia="Arial" w:hAnsi="Arial"/>
          <w:sz w:val="16"/>
          <w:szCs w:val="16"/>
          <w:color w:val="auto"/>
        </w:rPr>
        <w:t>The level of severance benefits reflects the company’s perception of competitive market practice for the NEOs’ positions, based on assessments conducted by the Compensation Committee’s consultant. Severance pay was established as a multiple of base salary and annual incentive compensation. The Committee did not target specific dollar values. The amounts of potential payouts are outlined in the “Termination scenarios for NEOs” table below.</w:t>
      </w:r>
    </w:p>
    <w:p>
      <w:pPr>
        <w:spacing w:after="0" w:line="149" w:lineRule="exact"/>
        <w:rPr>
          <w:sz w:val="20"/>
          <w:szCs w:val="20"/>
          <w:color w:val="auto"/>
        </w:rPr>
      </w:pPr>
    </w:p>
    <w:p>
      <w:pPr>
        <w:ind w:left="120" w:right="40"/>
        <w:spacing w:after="0" w:line="255" w:lineRule="auto"/>
        <w:rPr>
          <w:sz w:val="20"/>
          <w:szCs w:val="20"/>
          <w:color w:val="auto"/>
        </w:rPr>
      </w:pPr>
      <w:r>
        <w:rPr>
          <w:rFonts w:ascii="Arial" w:cs="Arial" w:eastAsia="Arial" w:hAnsi="Arial"/>
          <w:sz w:val="18"/>
          <w:szCs w:val="18"/>
          <w:color w:val="auto"/>
        </w:rPr>
        <w:t>On May 5, 2021, the Board approved the separation from employment for William P. Bryan, Executive Vice President, Manufacturing and Supply Chain, and Thomas D. Moline, Executive Vice President, Commercial Operations, in each case effective May 7, 2021. In connection with their separations from the company, Messrs. Bryan and Moline were each entitled to receive the compensation and benefits for a “termination without cause” under the terms of a severance agreement previously entered into with the company. For additional information about compensation paid to and benefits available to Messrs. Bryan and Moline as a result of the termination of their employment, see “Potential payments upon termination or change in control” and the “Termination scenarios for NEOs” table below.</w:t>
      </w:r>
    </w:p>
    <w:p>
      <w:pPr>
        <w:spacing w:after="0" w:line="129"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54</w:t>
      </w:r>
    </w:p>
    <w:p>
      <w:pPr>
        <w:sectPr>
          <w:pgSz w:w="11900" w:h="16838" w:orient="portrait"/>
          <w:cols w:equalWidth="0" w:num="1">
            <w:col w:w="11120"/>
          </w:cols>
          <w:pgMar w:left="320" w:top="459" w:right="45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Other compensation program features</w:t>
      </w:r>
    </w:p>
    <w:p>
      <w:pPr>
        <w:spacing w:after="0" w:line="26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 ownership guidelines</w:t>
      </w:r>
    </w:p>
    <w:p>
      <w:pPr>
        <w:spacing w:after="0" w:line="131" w:lineRule="exact"/>
        <w:rPr>
          <w:sz w:val="20"/>
          <w:szCs w:val="20"/>
          <w:color w:val="auto"/>
        </w:rPr>
      </w:pPr>
    </w:p>
    <w:p>
      <w:pPr>
        <w:ind w:left="120"/>
        <w:spacing w:after="0" w:line="296" w:lineRule="auto"/>
        <w:rPr>
          <w:sz w:val="20"/>
          <w:szCs w:val="20"/>
          <w:color w:val="auto"/>
        </w:rPr>
      </w:pPr>
      <w:r>
        <w:rPr>
          <w:rFonts w:ascii="Arial" w:cs="Arial" w:eastAsia="Arial" w:hAnsi="Arial"/>
          <w:sz w:val="16"/>
          <w:szCs w:val="16"/>
          <w:color w:val="auto"/>
        </w:rPr>
        <w:t>Stock ownership guidelines have been established for all senior executives and are intended to align the interests of executive management with those of our shareholders. The Compensation Committee has established guidelines of six-times base salary for the company’s CEO, three-times base salary for the CFO and two-times base salary for the other NEOs.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Linking compensation to stock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-67310</wp:posOffset>
            </wp:positionH>
            <wp:positionV relativeFrom="paragraph">
              <wp:posOffset>-121920</wp:posOffset>
            </wp:positionV>
            <wp:extent cx="3351530" cy="9086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3351530" cy="908685"/>
                    </a:xfrm>
                    <a:prstGeom prst="rect">
                      <a:avLst/>
                    </a:prstGeom>
                    <a:noFill/>
                  </pic:spPr>
                </pic:pic>
              </a:graphicData>
            </a:graphic>
          </wp:anchor>
        </w:drawing>
      </w:r>
    </w:p>
    <w:p>
      <w:pPr>
        <w:spacing w:after="0" w:line="111" w:lineRule="exact"/>
        <w:rPr>
          <w:sz w:val="20"/>
          <w:szCs w:val="20"/>
          <w:color w:val="auto"/>
        </w:rPr>
      </w:pPr>
    </w:p>
    <w:p>
      <w:pPr>
        <w:ind w:right="80"/>
        <w:spacing w:after="0" w:line="286" w:lineRule="auto"/>
        <w:rPr>
          <w:sz w:val="20"/>
          <w:szCs w:val="20"/>
          <w:color w:val="auto"/>
        </w:rPr>
      </w:pPr>
      <w:r>
        <w:rPr>
          <w:rFonts w:ascii="Arial" w:cs="Arial" w:eastAsia="Arial" w:hAnsi="Arial"/>
          <w:sz w:val="17"/>
          <w:szCs w:val="17"/>
          <w:i w:val="1"/>
          <w:iCs w:val="1"/>
          <w:color w:val="auto"/>
        </w:rPr>
        <w:t>Robust stock ownership guidelines align the interests of the NEOs with those of our shareholders, given that the increase or decrease in our stock price impacts the value of the NEOs’ personal holdings.</w:t>
      </w:r>
    </w:p>
    <w:p>
      <w:pPr>
        <w:spacing w:after="0" w:line="610" w:lineRule="exact"/>
        <w:rPr>
          <w:sz w:val="20"/>
          <w:szCs w:val="20"/>
          <w:color w:val="auto"/>
        </w:rPr>
      </w:pPr>
    </w:p>
    <w:p>
      <w:pPr>
        <w:sectPr>
          <w:pgSz w:w="11900" w:h="16838" w:orient="portrait"/>
          <w:cols w:equalWidth="0" w:num="2">
            <w:col w:w="5480" w:space="480"/>
            <w:col w:w="5180"/>
          </w:cols>
          <w:pgMar w:left="320" w:top="459" w:right="439" w:bottom="1440" w:gutter="0" w:footer="0" w:header="0"/>
        </w:sectPr>
      </w:pPr>
    </w:p>
    <w:p>
      <w:pPr>
        <w:ind w:left="120" w:right="20"/>
        <w:spacing w:after="0" w:line="279" w:lineRule="auto"/>
        <w:rPr>
          <w:sz w:val="20"/>
          <w:szCs w:val="20"/>
          <w:color w:val="auto"/>
        </w:rPr>
      </w:pPr>
      <w:r>
        <w:rPr>
          <w:rFonts w:ascii="Arial" w:cs="Arial" w:eastAsia="Arial" w:hAnsi="Arial"/>
          <w:sz w:val="17"/>
          <w:szCs w:val="17"/>
          <w:color w:val="auto"/>
        </w:rPr>
        <w:t>In determining whether an executive has met the applicable ownership targets, the company considers all shares owned by the executive plus deferred shares and restricted stock units still subject to forfeiture, but not shares that are subject to unexercised options or performance shares still subject to forfeiture. As of March 1, 2022, each of the NEOs had achieved the established guideline. Each NEO is required to retain shares (net of tax withholding) earned under the company’s long-term incentive plan until the ownership target is achieved.</w:t>
      </w:r>
    </w:p>
    <w:p>
      <w:pPr>
        <w:spacing w:after="0" w:line="27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Anti-pledging and anti-hedging policy</w:t>
      </w:r>
    </w:p>
    <w:p>
      <w:pPr>
        <w:spacing w:after="0" w:line="117" w:lineRule="exact"/>
        <w:rPr>
          <w:sz w:val="20"/>
          <w:szCs w:val="20"/>
          <w:color w:val="auto"/>
        </w:rPr>
      </w:pPr>
    </w:p>
    <w:p>
      <w:pPr>
        <w:ind w:left="120" w:right="420"/>
        <w:spacing w:after="0" w:line="277" w:lineRule="auto"/>
        <w:rPr>
          <w:sz w:val="20"/>
          <w:szCs w:val="20"/>
          <w:color w:val="auto"/>
        </w:rPr>
      </w:pPr>
      <w:r>
        <w:rPr>
          <w:rFonts w:ascii="Arial" w:cs="Arial" w:eastAsia="Arial" w:hAnsi="Arial"/>
          <w:sz w:val="18"/>
          <w:szCs w:val="18"/>
          <w:color w:val="auto"/>
        </w:rPr>
        <w:t>The company prohibits pledging company stock or hedging the economic risk related to such stock ownership. Please see “Corporate governance – Anti-hedging policy” for additional information.</w:t>
      </w:r>
    </w:p>
    <w:p>
      <w:pPr>
        <w:spacing w:after="0" w:line="27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Clawback provisions</w:t>
      </w:r>
    </w:p>
    <w:p>
      <w:pPr>
        <w:spacing w:after="0" w:line="117" w:lineRule="exact"/>
        <w:rPr>
          <w:sz w:val="20"/>
          <w:szCs w:val="20"/>
          <w:color w:val="auto"/>
        </w:rPr>
      </w:pPr>
    </w:p>
    <w:p>
      <w:pPr>
        <w:ind w:left="120" w:right="40"/>
        <w:spacing w:after="0" w:line="296" w:lineRule="auto"/>
        <w:rPr>
          <w:sz w:val="20"/>
          <w:szCs w:val="20"/>
          <w:color w:val="auto"/>
        </w:rPr>
      </w:pPr>
      <w:r>
        <w:rPr>
          <w:rFonts w:ascii="Arial" w:cs="Arial" w:eastAsia="Arial" w:hAnsi="Arial"/>
          <w:sz w:val="16"/>
          <w:szCs w:val="16"/>
          <w:color w:val="auto"/>
        </w:rPr>
        <w:t>The company maintains specific policies regarding the recovery (“clawback”) of awards to deter certain types of conduct, including conduct that could affect the accuracy of the company’s financial statements. These provisions apply to both short- and long-term incentive programs whereby, if personal misconduct or any fraudulent activity on the part of the executive leads to the restatement of company financial results, the company can clawback all or part of an award. In such cases, the Compensation Committee has discretion, based on applicable facts and circumstances, to cause the company to recover all or any portion of the incentive paid or payable to the executive for some or all of the years covered by the restatement.</w:t>
      </w:r>
    </w:p>
    <w:p>
      <w:pPr>
        <w:spacing w:after="0" w:line="26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Tax accounting rules and regulations</w:t>
      </w:r>
    </w:p>
    <w:p>
      <w:pPr>
        <w:spacing w:after="0" w:line="117" w:lineRule="exact"/>
        <w:rPr>
          <w:sz w:val="20"/>
          <w:szCs w:val="20"/>
          <w:color w:val="auto"/>
        </w:rPr>
      </w:pPr>
    </w:p>
    <w:p>
      <w:pPr>
        <w:ind w:left="120" w:right="80"/>
        <w:spacing w:after="0" w:line="275" w:lineRule="auto"/>
        <w:rPr>
          <w:sz w:val="20"/>
          <w:szCs w:val="20"/>
          <w:color w:val="auto"/>
        </w:rPr>
      </w:pPr>
      <w:r>
        <w:rPr>
          <w:rFonts w:ascii="Arial" w:cs="Arial" w:eastAsia="Arial" w:hAnsi="Arial"/>
          <w:sz w:val="17"/>
          <w:szCs w:val="17"/>
          <w:color w:val="auto"/>
        </w:rPr>
        <w:t>Section 162(m) of the Internal Revenue Code generally disallows a federal income tax deduction to publicly traded companies for compensation paid to certain executives (and, beginning in 2018, certain former executive officers) to the extent such compensation exceeds $1 million per executive in any fiscal year. Effective for tax years beginning after December 31, 2017, the exemption for performance-based compensation from the deduction limitation of Section 162(m) was repealed, unless certain transition relief for certain compensation arrangements in place as of November 2, 2017 is available. As such, certain compensation paid to covered individuals in excess of $1 million may not be deductible.</w:t>
      </w:r>
    </w:p>
    <w:p>
      <w:pPr>
        <w:spacing w:after="0" w:line="176"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The Compensation Committee retains the flexibility to award compensation that is consistent with the company’s objectives and philosophy even if it does not qualify for a tax deduction. The Compensation Committee believes the tax deduction limitation should not be permitted to compromise the company’s ability to design and maintain executive compensation arrangements that will attract and retain the executive talent we need to compete successfully. Accordingly, achieving the desired flexibility in the design and delivery of compensation may result in compensation that in certain cases is not deductible for federal income tax purposes.</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55</w:t>
      </w:r>
    </w:p>
    <w:p>
      <w:pPr>
        <w:sectPr>
          <w:pgSz w:w="11900" w:h="16838" w:orient="portrait"/>
          <w:cols w:equalWidth="0" w:num="1">
            <w:col w:w="11140"/>
          </w:cols>
          <w:pgMar w:left="320" w:top="459" w:right="439" w:bottom="1440" w:gutter="0" w:footer="0" w:header="0"/>
          <w:type w:val="continuous"/>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Compensation of named executive officers</w:t>
      </w:r>
    </w:p>
    <w:p>
      <w:pPr>
        <w:spacing w:after="0" w:line="33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Summary compensation table</w:t>
      </w:r>
    </w:p>
    <w:p>
      <w:pPr>
        <w:spacing w:after="0" w:line="234" w:lineRule="exact"/>
        <w:rPr>
          <w:sz w:val="20"/>
          <w:szCs w:val="20"/>
          <w:color w:val="auto"/>
        </w:rPr>
      </w:pPr>
    </w:p>
    <w:p>
      <w:pPr>
        <w:ind w:left="120" w:right="320"/>
        <w:spacing w:after="0" w:line="277" w:lineRule="auto"/>
        <w:rPr>
          <w:sz w:val="20"/>
          <w:szCs w:val="20"/>
          <w:color w:val="auto"/>
        </w:rPr>
      </w:pPr>
      <w:r>
        <w:rPr>
          <w:rFonts w:ascii="Arial" w:cs="Arial" w:eastAsia="Arial" w:hAnsi="Arial"/>
          <w:sz w:val="18"/>
          <w:szCs w:val="18"/>
          <w:color w:val="auto"/>
        </w:rPr>
        <w:t>The following table sets forth information concerning compensation for our NEOs for the fiscal years ending December 31, 2021, 2020 and 2019, as applicable: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6562725</wp:posOffset>
            </wp:positionH>
            <wp:positionV relativeFrom="paragraph">
              <wp:posOffset>134620</wp:posOffset>
            </wp:positionV>
            <wp:extent cx="8255" cy="62547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5868670</wp:posOffset>
            </wp:positionH>
            <wp:positionV relativeFrom="paragraph">
              <wp:posOffset>134620</wp:posOffset>
            </wp:positionV>
            <wp:extent cx="8255" cy="6254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134620</wp:posOffset>
            </wp:positionV>
            <wp:extent cx="8255" cy="62547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134620</wp:posOffset>
            </wp:positionV>
            <wp:extent cx="8255" cy="6254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134620</wp:posOffset>
            </wp:positionV>
            <wp:extent cx="8255" cy="6254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134620</wp:posOffset>
            </wp:positionV>
            <wp:extent cx="8255" cy="6254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8255" cy="62547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134620</wp:posOffset>
            </wp:positionV>
            <wp:extent cx="8890" cy="6254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8890" cy="625475"/>
                    </a:xfrm>
                    <a:prstGeom prst="rect">
                      <a:avLst/>
                    </a:prstGeom>
                    <a:noFill/>
                  </pic:spPr>
                </pic:pic>
              </a:graphicData>
            </a:graphic>
          </wp:anchor>
        </w:drawing>
      </w:r>
    </w:p>
    <w:p>
      <w:pPr>
        <w:spacing w:after="0" w:line="186" w:lineRule="exact"/>
        <w:rPr>
          <w:sz w:val="20"/>
          <w:szCs w:val="20"/>
          <w:color w:val="auto"/>
        </w:rPr>
      </w:pPr>
    </w:p>
    <w:tbl>
      <w:tblPr>
        <w:tblLayout w:type="fixed"/>
        <w:tblInd w:w="120" w:type="dxa"/>
        <w:tblCellMar>
          <w:top w:w="0" w:type="dxa"/>
          <w:left w:w="0" w:type="dxa"/>
          <w:bottom w:w="0" w:type="dxa"/>
          <w:right w:w="0" w:type="dxa"/>
        </w:tblCellMar>
      </w:tblPr>
      <w:tr>
        <w:trPr>
          <w:trHeight w:val="149"/>
        </w:trPr>
        <w:tc>
          <w:tcPr>
            <w:tcW w:w="4320" w:type="dxa"/>
            <w:vAlign w:val="bottom"/>
            <w:shd w:val="clear" w:color="auto" w:fill="333333"/>
          </w:tcPr>
          <w:p>
            <w:pPr>
              <w:spacing w:after="0"/>
              <w:rPr>
                <w:sz w:val="13"/>
                <w:szCs w:val="13"/>
                <w:color w:val="auto"/>
              </w:rPr>
            </w:pPr>
          </w:p>
        </w:tc>
        <w:tc>
          <w:tcPr>
            <w:tcW w:w="500" w:type="dxa"/>
            <w:vAlign w:val="bottom"/>
            <w:shd w:val="clear" w:color="auto" w:fill="333333"/>
          </w:tcPr>
          <w:p>
            <w:pPr>
              <w:spacing w:after="0"/>
              <w:rPr>
                <w:sz w:val="13"/>
                <w:szCs w:val="13"/>
                <w:color w:val="auto"/>
              </w:rPr>
            </w:pPr>
          </w:p>
        </w:tc>
        <w:tc>
          <w:tcPr>
            <w:tcW w:w="740" w:type="dxa"/>
            <w:vAlign w:val="bottom"/>
            <w:tcBorders>
              <w:right w:val="single" w:sz="8" w:color="auto"/>
            </w:tcBorders>
            <w:shd w:val="clear" w:color="auto" w:fill="333333"/>
          </w:tcPr>
          <w:p>
            <w:pPr>
              <w:spacing w:after="0"/>
              <w:rPr>
                <w:sz w:val="13"/>
                <w:szCs w:val="13"/>
                <w:color w:val="auto"/>
              </w:rPr>
            </w:pPr>
          </w:p>
        </w:tc>
        <w:tc>
          <w:tcPr>
            <w:tcW w:w="140" w:type="dxa"/>
            <w:vAlign w:val="bottom"/>
            <w:shd w:val="clear" w:color="auto" w:fill="333333"/>
          </w:tcPr>
          <w:p>
            <w:pPr>
              <w:spacing w:after="0"/>
              <w:rPr>
                <w:sz w:val="13"/>
                <w:szCs w:val="13"/>
                <w:color w:val="auto"/>
              </w:rPr>
            </w:pPr>
          </w:p>
        </w:tc>
        <w:tc>
          <w:tcPr>
            <w:tcW w:w="620" w:type="dxa"/>
            <w:vAlign w:val="bottom"/>
            <w:shd w:val="clear" w:color="auto" w:fill="333333"/>
          </w:tcPr>
          <w:p>
            <w:pPr>
              <w:spacing w:after="0"/>
              <w:rPr>
                <w:sz w:val="13"/>
                <w:szCs w:val="13"/>
                <w:color w:val="auto"/>
              </w:rPr>
            </w:pPr>
          </w:p>
        </w:tc>
        <w:tc>
          <w:tcPr>
            <w:tcW w:w="180" w:type="dxa"/>
            <w:vAlign w:val="bottom"/>
            <w:shd w:val="clear" w:color="auto" w:fill="333333"/>
          </w:tcPr>
          <w:p>
            <w:pPr>
              <w:spacing w:after="0"/>
              <w:rPr>
                <w:sz w:val="13"/>
                <w:szCs w:val="13"/>
                <w:color w:val="auto"/>
              </w:rPr>
            </w:pPr>
          </w:p>
        </w:tc>
        <w:tc>
          <w:tcPr>
            <w:tcW w:w="580" w:type="dxa"/>
            <w:vAlign w:val="bottom"/>
            <w:shd w:val="clear" w:color="auto" w:fill="333333"/>
          </w:tcPr>
          <w:p>
            <w:pPr>
              <w:spacing w:after="0"/>
              <w:rPr>
                <w:sz w:val="13"/>
                <w:szCs w:val="13"/>
                <w:color w:val="auto"/>
              </w:rPr>
            </w:pPr>
          </w:p>
        </w:tc>
        <w:tc>
          <w:tcPr>
            <w:tcW w:w="160" w:type="dxa"/>
            <w:vAlign w:val="bottom"/>
            <w:shd w:val="clear" w:color="auto" w:fill="333333"/>
          </w:tcPr>
          <w:p>
            <w:pPr>
              <w:spacing w:after="0"/>
              <w:rPr>
                <w:sz w:val="13"/>
                <w:szCs w:val="13"/>
                <w:color w:val="auto"/>
              </w:rPr>
            </w:pPr>
          </w:p>
        </w:tc>
        <w:tc>
          <w:tcPr>
            <w:tcW w:w="920" w:type="dxa"/>
            <w:vAlign w:val="bottom"/>
            <w:shd w:val="clear" w:color="auto" w:fill="333333"/>
          </w:tcPr>
          <w:p>
            <w:pPr>
              <w:spacing w:after="0"/>
              <w:rPr>
                <w:sz w:val="13"/>
                <w:szCs w:val="13"/>
                <w:color w:val="auto"/>
              </w:rPr>
            </w:pPr>
          </w:p>
        </w:tc>
        <w:tc>
          <w:tcPr>
            <w:tcW w:w="180" w:type="dxa"/>
            <w:vAlign w:val="bottom"/>
            <w:shd w:val="clear" w:color="auto" w:fill="333333"/>
          </w:tcPr>
          <w:p>
            <w:pPr>
              <w:spacing w:after="0"/>
              <w:rPr>
                <w:sz w:val="13"/>
                <w:szCs w:val="13"/>
                <w:color w:val="auto"/>
              </w:rPr>
            </w:pPr>
          </w:p>
        </w:tc>
        <w:tc>
          <w:tcPr>
            <w:tcW w:w="780" w:type="dxa"/>
            <w:vAlign w:val="bottom"/>
            <w:shd w:val="clear" w:color="auto" w:fill="333333"/>
          </w:tcPr>
          <w:p>
            <w:pPr>
              <w:jc w:val="center"/>
              <w:ind w:right="117"/>
              <w:spacing w:after="0"/>
              <w:rPr>
                <w:sz w:val="20"/>
                <w:szCs w:val="20"/>
                <w:color w:val="auto"/>
              </w:rPr>
            </w:pPr>
            <w:r>
              <w:rPr>
                <w:rFonts w:ascii="Arial" w:cs="Arial" w:eastAsia="Arial" w:hAnsi="Arial"/>
                <w:sz w:val="13"/>
                <w:szCs w:val="13"/>
                <w:b w:val="1"/>
                <w:bCs w:val="1"/>
                <w:color w:val="FFFFFF"/>
                <w:w w:val="89"/>
              </w:rPr>
              <w:t>Change in</w:t>
            </w:r>
          </w:p>
        </w:tc>
        <w:tc>
          <w:tcPr>
            <w:tcW w:w="240" w:type="dxa"/>
            <w:vAlign w:val="bottom"/>
            <w:shd w:val="clear" w:color="auto" w:fill="333333"/>
          </w:tcPr>
          <w:p>
            <w:pPr>
              <w:spacing w:after="0"/>
              <w:rPr>
                <w:sz w:val="13"/>
                <w:szCs w:val="13"/>
                <w:color w:val="auto"/>
              </w:rPr>
            </w:pPr>
          </w:p>
        </w:tc>
        <w:tc>
          <w:tcPr>
            <w:tcW w:w="860" w:type="dxa"/>
            <w:vAlign w:val="bottom"/>
            <w:shd w:val="clear" w:color="auto" w:fill="333333"/>
          </w:tcPr>
          <w:p>
            <w:pPr>
              <w:spacing w:after="0"/>
              <w:rPr>
                <w:sz w:val="13"/>
                <w:szCs w:val="13"/>
                <w:color w:val="auto"/>
              </w:rPr>
            </w:pPr>
          </w:p>
        </w:tc>
        <w:tc>
          <w:tcPr>
            <w:tcW w:w="180" w:type="dxa"/>
            <w:vAlign w:val="bottom"/>
            <w:shd w:val="clear" w:color="auto" w:fill="333333"/>
          </w:tcPr>
          <w:p>
            <w:pPr>
              <w:spacing w:after="0"/>
              <w:rPr>
                <w:sz w:val="13"/>
                <w:szCs w:val="13"/>
                <w:color w:val="auto"/>
              </w:rPr>
            </w:pPr>
          </w:p>
        </w:tc>
        <w:tc>
          <w:tcPr>
            <w:tcW w:w="620" w:type="dxa"/>
            <w:vAlign w:val="bottom"/>
            <w:shd w:val="clear" w:color="auto" w:fill="333333"/>
          </w:tcPr>
          <w:p>
            <w:pPr>
              <w:spacing w:after="0"/>
              <w:rPr>
                <w:sz w:val="13"/>
                <w:szCs w:val="13"/>
                <w:color w:val="auto"/>
              </w:rPr>
            </w:pPr>
          </w:p>
        </w:tc>
      </w:tr>
      <w:tr>
        <w:trPr>
          <w:trHeight w:val="135"/>
        </w:trPr>
        <w:tc>
          <w:tcPr>
            <w:tcW w:w="4320" w:type="dxa"/>
            <w:vAlign w:val="bottom"/>
            <w:shd w:val="clear" w:color="auto" w:fill="333333"/>
          </w:tcPr>
          <w:p>
            <w:pPr>
              <w:spacing w:after="0"/>
              <w:rPr>
                <w:sz w:val="11"/>
                <w:szCs w:val="11"/>
                <w:color w:val="auto"/>
              </w:rPr>
            </w:pPr>
          </w:p>
        </w:tc>
        <w:tc>
          <w:tcPr>
            <w:tcW w:w="500" w:type="dxa"/>
            <w:vAlign w:val="bottom"/>
            <w:shd w:val="clear" w:color="auto" w:fill="333333"/>
          </w:tcPr>
          <w:p>
            <w:pPr>
              <w:spacing w:after="0"/>
              <w:rPr>
                <w:sz w:val="11"/>
                <w:szCs w:val="11"/>
                <w:color w:val="auto"/>
              </w:rPr>
            </w:pPr>
          </w:p>
        </w:tc>
        <w:tc>
          <w:tcPr>
            <w:tcW w:w="740" w:type="dxa"/>
            <w:vAlign w:val="bottom"/>
            <w:tcBorders>
              <w:right w:val="single" w:sz="8" w:color="auto"/>
            </w:tcBorders>
            <w:shd w:val="clear" w:color="auto" w:fill="333333"/>
          </w:tcPr>
          <w:p>
            <w:pPr>
              <w:spacing w:after="0"/>
              <w:rPr>
                <w:sz w:val="11"/>
                <w:szCs w:val="11"/>
                <w:color w:val="auto"/>
              </w:rPr>
            </w:pPr>
          </w:p>
        </w:tc>
        <w:tc>
          <w:tcPr>
            <w:tcW w:w="14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580" w:type="dxa"/>
            <w:vAlign w:val="bottom"/>
            <w:shd w:val="clear" w:color="auto" w:fill="333333"/>
          </w:tcPr>
          <w:p>
            <w:pPr>
              <w:spacing w:after="0"/>
              <w:rPr>
                <w:sz w:val="11"/>
                <w:szCs w:val="11"/>
                <w:color w:val="auto"/>
              </w:rPr>
            </w:pPr>
          </w:p>
        </w:tc>
        <w:tc>
          <w:tcPr>
            <w:tcW w:w="160" w:type="dxa"/>
            <w:vAlign w:val="bottom"/>
            <w:shd w:val="clear" w:color="auto" w:fill="333333"/>
          </w:tcPr>
          <w:p>
            <w:pPr>
              <w:spacing w:after="0"/>
              <w:rPr>
                <w:sz w:val="11"/>
                <w:szCs w:val="11"/>
                <w:color w:val="auto"/>
              </w:rPr>
            </w:pPr>
          </w:p>
        </w:tc>
        <w:tc>
          <w:tcPr>
            <w:tcW w:w="920" w:type="dxa"/>
            <w:vAlign w:val="bottom"/>
            <w:shd w:val="clear" w:color="auto" w:fill="333333"/>
          </w:tcPr>
          <w:p>
            <w:pPr>
              <w:spacing w:after="0"/>
              <w:rPr>
                <w:sz w:val="11"/>
                <w:szCs w:val="11"/>
                <w:color w:val="auto"/>
              </w:rPr>
            </w:pPr>
          </w:p>
        </w:tc>
        <w:tc>
          <w:tcPr>
            <w:tcW w:w="960" w:type="dxa"/>
            <w:vAlign w:val="bottom"/>
            <w:gridSpan w:val="2"/>
            <w:shd w:val="clear" w:color="auto" w:fill="333333"/>
          </w:tcPr>
          <w:p>
            <w:pPr>
              <w:ind w:left="120"/>
              <w:spacing w:after="0" w:line="135" w:lineRule="exact"/>
              <w:rPr>
                <w:sz w:val="20"/>
                <w:szCs w:val="20"/>
                <w:color w:val="auto"/>
              </w:rPr>
            </w:pPr>
            <w:r>
              <w:rPr>
                <w:rFonts w:ascii="Arial" w:cs="Arial" w:eastAsia="Arial" w:hAnsi="Arial"/>
                <w:sz w:val="13"/>
                <w:szCs w:val="13"/>
                <w:b w:val="1"/>
                <w:bCs w:val="1"/>
                <w:color w:val="FFFFFF"/>
                <w:w w:val="94"/>
              </w:rPr>
              <w:t>pension value</w:t>
            </w:r>
          </w:p>
        </w:tc>
        <w:tc>
          <w:tcPr>
            <w:tcW w:w="240" w:type="dxa"/>
            <w:vAlign w:val="bottom"/>
            <w:shd w:val="clear" w:color="auto" w:fill="333333"/>
          </w:tcPr>
          <w:p>
            <w:pPr>
              <w:spacing w:after="0"/>
              <w:rPr>
                <w:sz w:val="11"/>
                <w:szCs w:val="11"/>
                <w:color w:val="auto"/>
              </w:rPr>
            </w:pPr>
          </w:p>
        </w:tc>
        <w:tc>
          <w:tcPr>
            <w:tcW w:w="86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r>
      <w:tr>
        <w:trPr>
          <w:trHeight w:val="135"/>
        </w:trPr>
        <w:tc>
          <w:tcPr>
            <w:tcW w:w="4320" w:type="dxa"/>
            <w:vAlign w:val="bottom"/>
            <w:shd w:val="clear" w:color="auto" w:fill="333333"/>
          </w:tcPr>
          <w:p>
            <w:pPr>
              <w:spacing w:after="0"/>
              <w:rPr>
                <w:sz w:val="11"/>
                <w:szCs w:val="11"/>
                <w:color w:val="auto"/>
              </w:rPr>
            </w:pPr>
          </w:p>
        </w:tc>
        <w:tc>
          <w:tcPr>
            <w:tcW w:w="500" w:type="dxa"/>
            <w:vAlign w:val="bottom"/>
            <w:shd w:val="clear" w:color="auto" w:fill="333333"/>
          </w:tcPr>
          <w:p>
            <w:pPr>
              <w:spacing w:after="0"/>
              <w:rPr>
                <w:sz w:val="11"/>
                <w:szCs w:val="11"/>
                <w:color w:val="auto"/>
              </w:rPr>
            </w:pPr>
          </w:p>
        </w:tc>
        <w:tc>
          <w:tcPr>
            <w:tcW w:w="740" w:type="dxa"/>
            <w:vAlign w:val="bottom"/>
            <w:tcBorders>
              <w:right w:val="single" w:sz="8" w:color="auto"/>
            </w:tcBorders>
            <w:shd w:val="clear" w:color="auto" w:fill="333333"/>
          </w:tcPr>
          <w:p>
            <w:pPr>
              <w:spacing w:after="0"/>
              <w:rPr>
                <w:sz w:val="11"/>
                <w:szCs w:val="11"/>
                <w:color w:val="auto"/>
              </w:rPr>
            </w:pPr>
          </w:p>
        </w:tc>
        <w:tc>
          <w:tcPr>
            <w:tcW w:w="14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580" w:type="dxa"/>
            <w:vAlign w:val="bottom"/>
            <w:shd w:val="clear" w:color="auto" w:fill="333333"/>
          </w:tcPr>
          <w:p>
            <w:pPr>
              <w:spacing w:after="0"/>
              <w:rPr>
                <w:sz w:val="11"/>
                <w:szCs w:val="11"/>
                <w:color w:val="auto"/>
              </w:rPr>
            </w:pPr>
          </w:p>
        </w:tc>
        <w:tc>
          <w:tcPr>
            <w:tcW w:w="160" w:type="dxa"/>
            <w:vAlign w:val="bottom"/>
            <w:shd w:val="clear" w:color="auto" w:fill="333333"/>
          </w:tcPr>
          <w:p>
            <w:pPr>
              <w:spacing w:after="0"/>
              <w:rPr>
                <w:sz w:val="11"/>
                <w:szCs w:val="11"/>
                <w:color w:val="auto"/>
              </w:rPr>
            </w:pPr>
          </w:p>
        </w:tc>
        <w:tc>
          <w:tcPr>
            <w:tcW w:w="92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780" w:type="dxa"/>
            <w:vAlign w:val="bottom"/>
            <w:shd w:val="clear" w:color="auto" w:fill="333333"/>
          </w:tcPr>
          <w:p>
            <w:pPr>
              <w:jc w:val="center"/>
              <w:ind w:right="117"/>
              <w:spacing w:after="0" w:line="135" w:lineRule="exact"/>
              <w:rPr>
                <w:sz w:val="20"/>
                <w:szCs w:val="20"/>
                <w:color w:val="auto"/>
              </w:rPr>
            </w:pPr>
            <w:r>
              <w:rPr>
                <w:rFonts w:ascii="Arial" w:cs="Arial" w:eastAsia="Arial" w:hAnsi="Arial"/>
                <w:sz w:val="13"/>
                <w:szCs w:val="13"/>
                <w:b w:val="1"/>
                <w:bCs w:val="1"/>
                <w:color w:val="FFFFFF"/>
                <w:w w:val="86"/>
              </w:rPr>
              <w:t>and</w:t>
            </w:r>
          </w:p>
        </w:tc>
        <w:tc>
          <w:tcPr>
            <w:tcW w:w="240" w:type="dxa"/>
            <w:vAlign w:val="bottom"/>
            <w:shd w:val="clear" w:color="auto" w:fill="333333"/>
          </w:tcPr>
          <w:p>
            <w:pPr>
              <w:spacing w:after="0"/>
              <w:rPr>
                <w:sz w:val="11"/>
                <w:szCs w:val="11"/>
                <w:color w:val="auto"/>
              </w:rPr>
            </w:pPr>
          </w:p>
        </w:tc>
        <w:tc>
          <w:tcPr>
            <w:tcW w:w="86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r>
      <w:tr>
        <w:trPr>
          <w:trHeight w:val="135"/>
        </w:trPr>
        <w:tc>
          <w:tcPr>
            <w:tcW w:w="4320" w:type="dxa"/>
            <w:vAlign w:val="bottom"/>
            <w:shd w:val="clear" w:color="auto" w:fill="333333"/>
          </w:tcPr>
          <w:p>
            <w:pPr>
              <w:spacing w:after="0"/>
              <w:rPr>
                <w:sz w:val="11"/>
                <w:szCs w:val="11"/>
                <w:color w:val="auto"/>
              </w:rPr>
            </w:pPr>
          </w:p>
        </w:tc>
        <w:tc>
          <w:tcPr>
            <w:tcW w:w="500" w:type="dxa"/>
            <w:vAlign w:val="bottom"/>
            <w:shd w:val="clear" w:color="auto" w:fill="333333"/>
          </w:tcPr>
          <w:p>
            <w:pPr>
              <w:spacing w:after="0"/>
              <w:rPr>
                <w:sz w:val="11"/>
                <w:szCs w:val="11"/>
                <w:color w:val="auto"/>
              </w:rPr>
            </w:pPr>
          </w:p>
        </w:tc>
        <w:tc>
          <w:tcPr>
            <w:tcW w:w="740" w:type="dxa"/>
            <w:vAlign w:val="bottom"/>
            <w:tcBorders>
              <w:right w:val="single" w:sz="8" w:color="auto"/>
            </w:tcBorders>
            <w:shd w:val="clear" w:color="auto" w:fill="333333"/>
          </w:tcPr>
          <w:p>
            <w:pPr>
              <w:spacing w:after="0"/>
              <w:rPr>
                <w:sz w:val="11"/>
                <w:szCs w:val="11"/>
                <w:color w:val="auto"/>
              </w:rPr>
            </w:pPr>
          </w:p>
        </w:tc>
        <w:tc>
          <w:tcPr>
            <w:tcW w:w="14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580" w:type="dxa"/>
            <w:vAlign w:val="bottom"/>
            <w:shd w:val="clear" w:color="auto" w:fill="333333"/>
          </w:tcPr>
          <w:p>
            <w:pPr>
              <w:spacing w:after="0"/>
              <w:rPr>
                <w:sz w:val="11"/>
                <w:szCs w:val="11"/>
                <w:color w:val="auto"/>
              </w:rPr>
            </w:pPr>
          </w:p>
        </w:tc>
        <w:tc>
          <w:tcPr>
            <w:tcW w:w="160" w:type="dxa"/>
            <w:vAlign w:val="bottom"/>
            <w:shd w:val="clear" w:color="auto" w:fill="333333"/>
          </w:tcPr>
          <w:p>
            <w:pPr>
              <w:spacing w:after="0"/>
              <w:rPr>
                <w:sz w:val="11"/>
                <w:szCs w:val="11"/>
                <w:color w:val="auto"/>
              </w:rPr>
            </w:pPr>
          </w:p>
        </w:tc>
        <w:tc>
          <w:tcPr>
            <w:tcW w:w="920" w:type="dxa"/>
            <w:vAlign w:val="bottom"/>
            <w:shd w:val="clear" w:color="auto" w:fill="333333"/>
          </w:tcPr>
          <w:p>
            <w:pPr>
              <w:spacing w:after="0"/>
              <w:rPr>
                <w:sz w:val="11"/>
                <w:szCs w:val="11"/>
                <w:color w:val="auto"/>
              </w:rPr>
            </w:pPr>
          </w:p>
        </w:tc>
        <w:tc>
          <w:tcPr>
            <w:tcW w:w="960" w:type="dxa"/>
            <w:vAlign w:val="bottom"/>
            <w:gridSpan w:val="2"/>
            <w:shd w:val="clear" w:color="auto" w:fill="333333"/>
          </w:tcPr>
          <w:p>
            <w:pPr>
              <w:jc w:val="center"/>
              <w:spacing w:after="0" w:line="135" w:lineRule="exact"/>
              <w:rPr>
                <w:sz w:val="20"/>
                <w:szCs w:val="20"/>
                <w:color w:val="auto"/>
              </w:rPr>
            </w:pPr>
            <w:r>
              <w:rPr>
                <w:rFonts w:ascii="Arial" w:cs="Arial" w:eastAsia="Arial" w:hAnsi="Arial"/>
                <w:sz w:val="13"/>
                <w:szCs w:val="13"/>
                <w:b w:val="1"/>
                <w:bCs w:val="1"/>
                <w:color w:val="FFFFFF"/>
                <w:w w:val="87"/>
              </w:rPr>
              <w:t>nonqualified</w:t>
            </w:r>
          </w:p>
        </w:tc>
        <w:tc>
          <w:tcPr>
            <w:tcW w:w="240" w:type="dxa"/>
            <w:vAlign w:val="bottom"/>
            <w:shd w:val="clear" w:color="auto" w:fill="333333"/>
          </w:tcPr>
          <w:p>
            <w:pPr>
              <w:spacing w:after="0"/>
              <w:rPr>
                <w:sz w:val="11"/>
                <w:szCs w:val="11"/>
                <w:color w:val="auto"/>
              </w:rPr>
            </w:pPr>
          </w:p>
        </w:tc>
        <w:tc>
          <w:tcPr>
            <w:tcW w:w="86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r>
      <w:tr>
        <w:trPr>
          <w:trHeight w:val="135"/>
        </w:trPr>
        <w:tc>
          <w:tcPr>
            <w:tcW w:w="4320" w:type="dxa"/>
            <w:vAlign w:val="bottom"/>
            <w:shd w:val="clear" w:color="auto" w:fill="333333"/>
          </w:tcPr>
          <w:p>
            <w:pPr>
              <w:spacing w:after="0"/>
              <w:rPr>
                <w:sz w:val="11"/>
                <w:szCs w:val="11"/>
                <w:color w:val="auto"/>
              </w:rPr>
            </w:pPr>
          </w:p>
        </w:tc>
        <w:tc>
          <w:tcPr>
            <w:tcW w:w="500" w:type="dxa"/>
            <w:vAlign w:val="bottom"/>
            <w:shd w:val="clear" w:color="auto" w:fill="333333"/>
          </w:tcPr>
          <w:p>
            <w:pPr>
              <w:spacing w:after="0"/>
              <w:rPr>
                <w:sz w:val="11"/>
                <w:szCs w:val="11"/>
                <w:color w:val="auto"/>
              </w:rPr>
            </w:pPr>
          </w:p>
        </w:tc>
        <w:tc>
          <w:tcPr>
            <w:tcW w:w="740" w:type="dxa"/>
            <w:vAlign w:val="bottom"/>
            <w:tcBorders>
              <w:right w:val="single" w:sz="8" w:color="auto"/>
            </w:tcBorders>
            <w:shd w:val="clear" w:color="auto" w:fill="333333"/>
          </w:tcPr>
          <w:p>
            <w:pPr>
              <w:spacing w:after="0"/>
              <w:rPr>
                <w:sz w:val="11"/>
                <w:szCs w:val="11"/>
                <w:color w:val="auto"/>
              </w:rPr>
            </w:pPr>
          </w:p>
        </w:tc>
        <w:tc>
          <w:tcPr>
            <w:tcW w:w="14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580" w:type="dxa"/>
            <w:vAlign w:val="bottom"/>
            <w:shd w:val="clear" w:color="auto" w:fill="333333"/>
          </w:tcPr>
          <w:p>
            <w:pPr>
              <w:spacing w:after="0"/>
              <w:rPr>
                <w:sz w:val="11"/>
                <w:szCs w:val="11"/>
                <w:color w:val="auto"/>
              </w:rPr>
            </w:pPr>
          </w:p>
        </w:tc>
        <w:tc>
          <w:tcPr>
            <w:tcW w:w="160" w:type="dxa"/>
            <w:vAlign w:val="bottom"/>
            <w:shd w:val="clear" w:color="auto" w:fill="333333"/>
          </w:tcPr>
          <w:p>
            <w:pPr>
              <w:spacing w:after="0"/>
              <w:rPr>
                <w:sz w:val="11"/>
                <w:szCs w:val="11"/>
                <w:color w:val="auto"/>
              </w:rPr>
            </w:pPr>
          </w:p>
        </w:tc>
        <w:tc>
          <w:tcPr>
            <w:tcW w:w="920" w:type="dxa"/>
            <w:vAlign w:val="bottom"/>
            <w:shd w:val="clear" w:color="auto" w:fill="333333"/>
          </w:tcPr>
          <w:p>
            <w:pPr>
              <w:jc w:val="right"/>
              <w:ind w:right="177"/>
              <w:spacing w:after="0" w:line="135" w:lineRule="exact"/>
              <w:rPr>
                <w:sz w:val="20"/>
                <w:szCs w:val="20"/>
                <w:color w:val="auto"/>
              </w:rPr>
            </w:pPr>
            <w:r>
              <w:rPr>
                <w:rFonts w:ascii="Arial" w:cs="Arial" w:eastAsia="Arial" w:hAnsi="Arial"/>
                <w:sz w:val="13"/>
                <w:szCs w:val="13"/>
                <w:b w:val="1"/>
                <w:bCs w:val="1"/>
                <w:color w:val="FFFFFF"/>
                <w:w w:val="97"/>
              </w:rPr>
              <w:t>Non-equity</w:t>
            </w:r>
          </w:p>
        </w:tc>
        <w:tc>
          <w:tcPr>
            <w:tcW w:w="180" w:type="dxa"/>
            <w:vAlign w:val="bottom"/>
            <w:shd w:val="clear" w:color="auto" w:fill="333333"/>
          </w:tcPr>
          <w:p>
            <w:pPr>
              <w:spacing w:after="0"/>
              <w:rPr>
                <w:sz w:val="11"/>
                <w:szCs w:val="11"/>
                <w:color w:val="auto"/>
              </w:rPr>
            </w:pPr>
          </w:p>
        </w:tc>
        <w:tc>
          <w:tcPr>
            <w:tcW w:w="780" w:type="dxa"/>
            <w:vAlign w:val="bottom"/>
            <w:shd w:val="clear" w:color="auto" w:fill="333333"/>
          </w:tcPr>
          <w:p>
            <w:pPr>
              <w:jc w:val="center"/>
              <w:ind w:right="97"/>
              <w:spacing w:after="0" w:line="135" w:lineRule="exact"/>
              <w:rPr>
                <w:sz w:val="20"/>
                <w:szCs w:val="20"/>
                <w:color w:val="auto"/>
              </w:rPr>
            </w:pPr>
            <w:r>
              <w:rPr>
                <w:rFonts w:ascii="Arial" w:cs="Arial" w:eastAsia="Arial" w:hAnsi="Arial"/>
                <w:sz w:val="13"/>
                <w:szCs w:val="13"/>
                <w:b w:val="1"/>
                <w:bCs w:val="1"/>
                <w:color w:val="FFFFFF"/>
                <w:w w:val="88"/>
              </w:rPr>
              <w:t>deferred</w:t>
            </w:r>
          </w:p>
        </w:tc>
        <w:tc>
          <w:tcPr>
            <w:tcW w:w="240" w:type="dxa"/>
            <w:vAlign w:val="bottom"/>
            <w:shd w:val="clear" w:color="auto" w:fill="333333"/>
          </w:tcPr>
          <w:p>
            <w:pPr>
              <w:spacing w:after="0"/>
              <w:rPr>
                <w:sz w:val="11"/>
                <w:szCs w:val="11"/>
                <w:color w:val="auto"/>
              </w:rPr>
            </w:pPr>
          </w:p>
        </w:tc>
        <w:tc>
          <w:tcPr>
            <w:tcW w:w="860" w:type="dxa"/>
            <w:vAlign w:val="bottom"/>
            <w:shd w:val="clear" w:color="auto" w:fill="333333"/>
          </w:tcPr>
          <w:p>
            <w:pPr>
              <w:spacing w:after="0"/>
              <w:rPr>
                <w:sz w:val="11"/>
                <w:szCs w:val="11"/>
                <w:color w:val="auto"/>
              </w:rPr>
            </w:pPr>
          </w:p>
        </w:tc>
        <w:tc>
          <w:tcPr>
            <w:tcW w:w="180" w:type="dxa"/>
            <w:vAlign w:val="bottom"/>
            <w:shd w:val="clear" w:color="auto" w:fill="333333"/>
          </w:tcPr>
          <w:p>
            <w:pPr>
              <w:spacing w:after="0"/>
              <w:rPr>
                <w:sz w:val="11"/>
                <w:szCs w:val="11"/>
                <w:color w:val="auto"/>
              </w:rPr>
            </w:pPr>
          </w:p>
        </w:tc>
        <w:tc>
          <w:tcPr>
            <w:tcW w:w="620" w:type="dxa"/>
            <w:vAlign w:val="bottom"/>
            <w:shd w:val="clear" w:color="auto" w:fill="333333"/>
          </w:tcPr>
          <w:p>
            <w:pPr>
              <w:spacing w:after="0"/>
              <w:rPr>
                <w:sz w:val="11"/>
                <w:szCs w:val="11"/>
                <w:color w:val="auto"/>
              </w:rPr>
            </w:pPr>
          </w:p>
        </w:tc>
      </w:tr>
      <w:tr>
        <w:trPr>
          <w:trHeight w:val="140"/>
        </w:trPr>
        <w:tc>
          <w:tcPr>
            <w:tcW w:w="4320" w:type="dxa"/>
            <w:vAlign w:val="bottom"/>
            <w:shd w:val="clear" w:color="auto" w:fill="333333"/>
          </w:tcPr>
          <w:p>
            <w:pPr>
              <w:ind w:left="200"/>
              <w:spacing w:after="0" w:line="140" w:lineRule="exact"/>
              <w:rPr>
                <w:sz w:val="20"/>
                <w:szCs w:val="20"/>
                <w:color w:val="auto"/>
              </w:rPr>
            </w:pPr>
            <w:r>
              <w:rPr>
                <w:rFonts w:ascii="Arial" w:cs="Arial" w:eastAsia="Arial" w:hAnsi="Arial"/>
                <w:sz w:val="13"/>
                <w:szCs w:val="13"/>
                <w:b w:val="1"/>
                <w:bCs w:val="1"/>
                <w:color w:val="FFFFFF"/>
              </w:rPr>
              <w:t>Name and principal</w:t>
            </w:r>
          </w:p>
        </w:tc>
        <w:tc>
          <w:tcPr>
            <w:tcW w:w="500" w:type="dxa"/>
            <w:vAlign w:val="bottom"/>
            <w:shd w:val="clear" w:color="auto" w:fill="333333"/>
          </w:tcPr>
          <w:p>
            <w:pPr>
              <w:spacing w:after="0"/>
              <w:rPr>
                <w:sz w:val="12"/>
                <w:szCs w:val="12"/>
                <w:color w:val="auto"/>
              </w:rPr>
            </w:pPr>
          </w:p>
        </w:tc>
        <w:tc>
          <w:tcPr>
            <w:tcW w:w="740" w:type="dxa"/>
            <w:vAlign w:val="bottom"/>
            <w:tcBorders>
              <w:right w:val="single" w:sz="8" w:color="auto"/>
            </w:tcBorders>
            <w:shd w:val="clear" w:color="auto" w:fill="333333"/>
          </w:tcPr>
          <w:p>
            <w:pPr>
              <w:spacing w:after="0"/>
              <w:rPr>
                <w:sz w:val="12"/>
                <w:szCs w:val="12"/>
                <w:color w:val="auto"/>
              </w:rPr>
            </w:pPr>
          </w:p>
        </w:tc>
        <w:tc>
          <w:tcPr>
            <w:tcW w:w="140" w:type="dxa"/>
            <w:vAlign w:val="bottom"/>
            <w:shd w:val="clear" w:color="auto" w:fill="333333"/>
          </w:tcPr>
          <w:p>
            <w:pPr>
              <w:spacing w:after="0"/>
              <w:rPr>
                <w:sz w:val="12"/>
                <w:szCs w:val="12"/>
                <w:color w:val="auto"/>
              </w:rPr>
            </w:pPr>
          </w:p>
        </w:tc>
        <w:tc>
          <w:tcPr>
            <w:tcW w:w="620" w:type="dxa"/>
            <w:vAlign w:val="bottom"/>
            <w:shd w:val="clear" w:color="auto" w:fill="333333"/>
          </w:tcPr>
          <w:p>
            <w:pPr>
              <w:jc w:val="right"/>
              <w:ind w:right="177"/>
              <w:spacing w:after="0" w:line="140" w:lineRule="exact"/>
              <w:rPr>
                <w:sz w:val="20"/>
                <w:szCs w:val="20"/>
                <w:color w:val="auto"/>
              </w:rPr>
            </w:pPr>
            <w:r>
              <w:rPr>
                <w:rFonts w:ascii="Arial" w:cs="Arial" w:eastAsia="Arial" w:hAnsi="Arial"/>
                <w:sz w:val="13"/>
                <w:szCs w:val="13"/>
                <w:b w:val="1"/>
                <w:bCs w:val="1"/>
                <w:color w:val="FFFFFF"/>
              </w:rPr>
              <w:t>Stock</w:t>
            </w:r>
          </w:p>
        </w:tc>
        <w:tc>
          <w:tcPr>
            <w:tcW w:w="180" w:type="dxa"/>
            <w:vAlign w:val="bottom"/>
            <w:shd w:val="clear" w:color="auto" w:fill="333333"/>
          </w:tcPr>
          <w:p>
            <w:pPr>
              <w:spacing w:after="0"/>
              <w:rPr>
                <w:sz w:val="12"/>
                <w:szCs w:val="12"/>
                <w:color w:val="auto"/>
              </w:rPr>
            </w:pPr>
          </w:p>
        </w:tc>
        <w:tc>
          <w:tcPr>
            <w:tcW w:w="580" w:type="dxa"/>
            <w:vAlign w:val="bottom"/>
            <w:shd w:val="clear" w:color="auto" w:fill="333333"/>
          </w:tcPr>
          <w:p>
            <w:pPr>
              <w:jc w:val="right"/>
              <w:ind w:right="137"/>
              <w:spacing w:after="0" w:line="140" w:lineRule="exact"/>
              <w:rPr>
                <w:sz w:val="20"/>
                <w:szCs w:val="20"/>
                <w:color w:val="auto"/>
              </w:rPr>
            </w:pPr>
            <w:r>
              <w:rPr>
                <w:rFonts w:ascii="Arial" w:cs="Arial" w:eastAsia="Arial" w:hAnsi="Arial"/>
                <w:sz w:val="13"/>
                <w:szCs w:val="13"/>
                <w:b w:val="1"/>
                <w:bCs w:val="1"/>
                <w:color w:val="FFFFFF"/>
                <w:w w:val="85"/>
              </w:rPr>
              <w:t>Option</w:t>
            </w:r>
          </w:p>
        </w:tc>
        <w:tc>
          <w:tcPr>
            <w:tcW w:w="160" w:type="dxa"/>
            <w:vAlign w:val="bottom"/>
            <w:shd w:val="clear" w:color="auto" w:fill="333333"/>
          </w:tcPr>
          <w:p>
            <w:pPr>
              <w:spacing w:after="0"/>
              <w:rPr>
                <w:sz w:val="12"/>
                <w:szCs w:val="12"/>
                <w:color w:val="auto"/>
              </w:rPr>
            </w:pPr>
          </w:p>
        </w:tc>
        <w:tc>
          <w:tcPr>
            <w:tcW w:w="920" w:type="dxa"/>
            <w:vAlign w:val="bottom"/>
            <w:shd w:val="clear" w:color="auto" w:fill="333333"/>
          </w:tcPr>
          <w:p>
            <w:pPr>
              <w:jc w:val="right"/>
              <w:ind w:right="97"/>
              <w:spacing w:after="0" w:line="140" w:lineRule="exact"/>
              <w:rPr>
                <w:sz w:val="20"/>
                <w:szCs w:val="20"/>
                <w:color w:val="auto"/>
              </w:rPr>
            </w:pPr>
            <w:r>
              <w:rPr>
                <w:rFonts w:ascii="Arial" w:cs="Arial" w:eastAsia="Arial" w:hAnsi="Arial"/>
                <w:sz w:val="13"/>
                <w:szCs w:val="13"/>
                <w:b w:val="1"/>
                <w:bCs w:val="1"/>
                <w:color w:val="FFFFFF"/>
                <w:w w:val="85"/>
              </w:rPr>
              <w:t>incentive plan</w:t>
            </w:r>
          </w:p>
        </w:tc>
        <w:tc>
          <w:tcPr>
            <w:tcW w:w="960" w:type="dxa"/>
            <w:vAlign w:val="bottom"/>
            <w:gridSpan w:val="2"/>
            <w:shd w:val="clear" w:color="auto" w:fill="333333"/>
          </w:tcPr>
          <w:p>
            <w:pPr>
              <w:ind w:left="120"/>
              <w:spacing w:after="0" w:line="140" w:lineRule="exact"/>
              <w:rPr>
                <w:sz w:val="20"/>
                <w:szCs w:val="20"/>
                <w:color w:val="auto"/>
              </w:rPr>
            </w:pPr>
            <w:r>
              <w:rPr>
                <w:rFonts w:ascii="Arial" w:cs="Arial" w:eastAsia="Arial" w:hAnsi="Arial"/>
                <w:sz w:val="13"/>
                <w:szCs w:val="13"/>
                <w:b w:val="1"/>
                <w:bCs w:val="1"/>
                <w:color w:val="FFFFFF"/>
                <w:w w:val="92"/>
              </w:rPr>
              <w:t>compensation</w:t>
            </w:r>
          </w:p>
        </w:tc>
        <w:tc>
          <w:tcPr>
            <w:tcW w:w="240" w:type="dxa"/>
            <w:vAlign w:val="bottom"/>
            <w:shd w:val="clear" w:color="auto" w:fill="333333"/>
          </w:tcPr>
          <w:p>
            <w:pPr>
              <w:spacing w:after="0"/>
              <w:rPr>
                <w:sz w:val="12"/>
                <w:szCs w:val="12"/>
                <w:color w:val="auto"/>
              </w:rPr>
            </w:pPr>
          </w:p>
        </w:tc>
        <w:tc>
          <w:tcPr>
            <w:tcW w:w="860" w:type="dxa"/>
            <w:vAlign w:val="bottom"/>
            <w:shd w:val="clear" w:color="auto" w:fill="333333"/>
          </w:tcPr>
          <w:p>
            <w:pPr>
              <w:jc w:val="right"/>
              <w:ind w:right="257"/>
              <w:spacing w:after="0" w:line="140" w:lineRule="exact"/>
              <w:rPr>
                <w:sz w:val="20"/>
                <w:szCs w:val="20"/>
                <w:color w:val="auto"/>
              </w:rPr>
            </w:pPr>
            <w:r>
              <w:rPr>
                <w:rFonts w:ascii="Arial" w:cs="Arial" w:eastAsia="Arial" w:hAnsi="Arial"/>
                <w:sz w:val="13"/>
                <w:szCs w:val="13"/>
                <w:b w:val="1"/>
                <w:bCs w:val="1"/>
                <w:color w:val="FFFFFF"/>
                <w:w w:val="98"/>
              </w:rPr>
              <w:t>All other</w:t>
            </w:r>
          </w:p>
        </w:tc>
        <w:tc>
          <w:tcPr>
            <w:tcW w:w="180" w:type="dxa"/>
            <w:vAlign w:val="bottom"/>
            <w:shd w:val="clear" w:color="auto" w:fill="333333"/>
          </w:tcPr>
          <w:p>
            <w:pPr>
              <w:spacing w:after="0"/>
              <w:rPr>
                <w:sz w:val="12"/>
                <w:szCs w:val="12"/>
                <w:color w:val="auto"/>
              </w:rPr>
            </w:pPr>
          </w:p>
        </w:tc>
        <w:tc>
          <w:tcPr>
            <w:tcW w:w="620" w:type="dxa"/>
            <w:vAlign w:val="bottom"/>
            <w:shd w:val="clear" w:color="auto" w:fill="333333"/>
          </w:tcPr>
          <w:p>
            <w:pPr>
              <w:spacing w:after="0"/>
              <w:rPr>
                <w:sz w:val="12"/>
                <w:szCs w:val="12"/>
                <w:color w:val="auto"/>
              </w:rPr>
            </w:pPr>
          </w:p>
        </w:tc>
      </w:tr>
      <w:tr>
        <w:trPr>
          <w:trHeight w:val="162"/>
        </w:trPr>
        <w:tc>
          <w:tcPr>
            <w:tcW w:w="4320" w:type="dxa"/>
            <w:vAlign w:val="bottom"/>
            <w:shd w:val="clear" w:color="auto" w:fill="333333"/>
          </w:tcPr>
          <w:p>
            <w:pPr>
              <w:ind w:left="240"/>
              <w:spacing w:after="0"/>
              <w:rPr>
                <w:sz w:val="20"/>
                <w:szCs w:val="20"/>
                <w:color w:val="auto"/>
              </w:rPr>
            </w:pPr>
            <w:r>
              <w:rPr>
                <w:rFonts w:ascii="Arial" w:cs="Arial" w:eastAsia="Arial" w:hAnsi="Arial"/>
                <w:sz w:val="13"/>
                <w:szCs w:val="13"/>
                <w:b w:val="1"/>
                <w:bCs w:val="1"/>
                <w:color w:val="FFFFFF"/>
              </w:rPr>
              <w:t>position</w:t>
            </w:r>
          </w:p>
        </w:tc>
        <w:tc>
          <w:tcPr>
            <w:tcW w:w="500" w:type="dxa"/>
            <w:vAlign w:val="bottom"/>
            <w:shd w:val="clear" w:color="auto" w:fill="333333"/>
          </w:tcPr>
          <w:p>
            <w:pPr>
              <w:jc w:val="right"/>
              <w:ind w:right="57"/>
              <w:spacing w:after="0"/>
              <w:rPr>
                <w:sz w:val="20"/>
                <w:szCs w:val="20"/>
                <w:color w:val="auto"/>
              </w:rPr>
            </w:pPr>
            <w:r>
              <w:rPr>
                <w:rFonts w:ascii="Arial" w:cs="Arial" w:eastAsia="Arial" w:hAnsi="Arial"/>
                <w:sz w:val="13"/>
                <w:szCs w:val="13"/>
                <w:b w:val="1"/>
                <w:bCs w:val="1"/>
                <w:color w:val="FFFFFF"/>
              </w:rPr>
              <w:t>Year</w:t>
            </w:r>
          </w:p>
        </w:tc>
        <w:tc>
          <w:tcPr>
            <w:tcW w:w="740" w:type="dxa"/>
            <w:vAlign w:val="bottom"/>
            <w:tcBorders>
              <w:right w:val="single" w:sz="8" w:color="auto"/>
            </w:tcBorders>
            <w:shd w:val="clear" w:color="auto" w:fill="333333"/>
          </w:tcPr>
          <w:p>
            <w:pPr>
              <w:jc w:val="center"/>
              <w:spacing w:after="0"/>
              <w:rPr>
                <w:sz w:val="20"/>
                <w:szCs w:val="20"/>
                <w:color w:val="auto"/>
              </w:rPr>
            </w:pPr>
            <w:r>
              <w:rPr>
                <w:rFonts w:ascii="Arial" w:cs="Arial" w:eastAsia="Arial" w:hAnsi="Arial"/>
                <w:sz w:val="13"/>
                <w:szCs w:val="13"/>
                <w:b w:val="1"/>
                <w:bCs w:val="1"/>
                <w:color w:val="FFFFFF"/>
                <w:w w:val="92"/>
              </w:rPr>
              <w:t>Salary</w:t>
            </w:r>
          </w:p>
        </w:tc>
        <w:tc>
          <w:tcPr>
            <w:tcW w:w="760" w:type="dxa"/>
            <w:vAlign w:val="bottom"/>
            <w:gridSpan w:val="2"/>
            <w:shd w:val="clear" w:color="auto" w:fill="333333"/>
          </w:tcPr>
          <w:p>
            <w:pPr>
              <w:jc w:val="right"/>
              <w:ind w:right="77"/>
              <w:spacing w:after="0"/>
              <w:rPr>
                <w:sz w:val="20"/>
                <w:szCs w:val="20"/>
                <w:color w:val="auto"/>
              </w:rPr>
            </w:pPr>
            <w:r>
              <w:rPr>
                <w:rFonts w:ascii="Arial" w:cs="Arial" w:eastAsia="Arial" w:hAnsi="Arial"/>
                <w:sz w:val="13"/>
                <w:szCs w:val="13"/>
                <w:b w:val="1"/>
                <w:bCs w:val="1"/>
                <w:color w:val="FFFFFF"/>
              </w:rPr>
              <w:t>awards</w:t>
            </w:r>
            <w:r>
              <w:rPr>
                <w:rFonts w:ascii="Arial" w:cs="Arial" w:eastAsia="Arial" w:hAnsi="Arial"/>
                <w:sz w:val="10"/>
                <w:szCs w:val="10"/>
                <w:b w:val="1"/>
                <w:bCs w:val="1"/>
                <w:color w:val="FFFFFF"/>
              </w:rPr>
              <w:t>(1)</w:t>
            </w:r>
          </w:p>
        </w:tc>
        <w:tc>
          <w:tcPr>
            <w:tcW w:w="760" w:type="dxa"/>
            <w:vAlign w:val="bottom"/>
            <w:gridSpan w:val="2"/>
            <w:shd w:val="clear" w:color="auto" w:fill="333333"/>
          </w:tcPr>
          <w:p>
            <w:pPr>
              <w:ind w:left="120"/>
              <w:spacing w:after="0"/>
              <w:rPr>
                <w:sz w:val="20"/>
                <w:szCs w:val="20"/>
                <w:color w:val="auto"/>
              </w:rPr>
            </w:pPr>
            <w:r>
              <w:rPr>
                <w:rFonts w:ascii="Arial" w:cs="Arial" w:eastAsia="Arial" w:hAnsi="Arial"/>
                <w:sz w:val="13"/>
                <w:szCs w:val="13"/>
                <w:b w:val="1"/>
                <w:bCs w:val="1"/>
                <w:color w:val="FFFFFF"/>
              </w:rPr>
              <w:t>awards</w:t>
            </w:r>
            <w:r>
              <w:rPr>
                <w:rFonts w:ascii="Arial" w:cs="Arial" w:eastAsia="Arial" w:hAnsi="Arial"/>
                <w:sz w:val="10"/>
                <w:szCs w:val="10"/>
                <w:b w:val="1"/>
                <w:bCs w:val="1"/>
                <w:color w:val="FFFFFF"/>
              </w:rPr>
              <w:t>(2)</w:t>
            </w:r>
          </w:p>
        </w:tc>
        <w:tc>
          <w:tcPr>
            <w:tcW w:w="1080" w:type="dxa"/>
            <w:vAlign w:val="bottom"/>
            <w:gridSpan w:val="2"/>
            <w:shd w:val="clear" w:color="auto" w:fill="333333"/>
          </w:tcPr>
          <w:p>
            <w:pPr>
              <w:ind w:left="100"/>
              <w:spacing w:after="0"/>
              <w:rPr>
                <w:sz w:val="20"/>
                <w:szCs w:val="20"/>
                <w:color w:val="auto"/>
              </w:rPr>
            </w:pPr>
            <w:r>
              <w:rPr>
                <w:rFonts w:ascii="Arial" w:cs="Arial" w:eastAsia="Arial" w:hAnsi="Arial"/>
                <w:sz w:val="13"/>
                <w:szCs w:val="13"/>
                <w:b w:val="1"/>
                <w:bCs w:val="1"/>
                <w:color w:val="FFFFFF"/>
                <w:w w:val="95"/>
              </w:rPr>
              <w:t>compensation</w:t>
            </w:r>
            <w:r>
              <w:rPr>
                <w:rFonts w:ascii="Arial" w:cs="Arial" w:eastAsia="Arial" w:hAnsi="Arial"/>
                <w:sz w:val="10"/>
                <w:szCs w:val="10"/>
                <w:b w:val="1"/>
                <w:bCs w:val="1"/>
                <w:color w:val="FFFFFF"/>
                <w:w w:val="95"/>
              </w:rPr>
              <w:t>(3)</w:t>
            </w:r>
          </w:p>
        </w:tc>
        <w:tc>
          <w:tcPr>
            <w:tcW w:w="180" w:type="dxa"/>
            <w:vAlign w:val="bottom"/>
            <w:shd w:val="clear" w:color="auto" w:fill="333333"/>
          </w:tcPr>
          <w:p>
            <w:pPr>
              <w:spacing w:after="0"/>
              <w:rPr>
                <w:sz w:val="14"/>
                <w:szCs w:val="14"/>
                <w:color w:val="auto"/>
              </w:rPr>
            </w:pPr>
          </w:p>
        </w:tc>
        <w:tc>
          <w:tcPr>
            <w:tcW w:w="780" w:type="dxa"/>
            <w:vAlign w:val="bottom"/>
            <w:shd w:val="clear" w:color="auto" w:fill="333333"/>
          </w:tcPr>
          <w:p>
            <w:pPr>
              <w:jc w:val="center"/>
              <w:ind w:right="117"/>
              <w:spacing w:after="0"/>
              <w:rPr>
                <w:sz w:val="20"/>
                <w:szCs w:val="20"/>
                <w:color w:val="auto"/>
              </w:rPr>
            </w:pPr>
            <w:r>
              <w:rPr>
                <w:rFonts w:ascii="Arial" w:cs="Arial" w:eastAsia="Arial" w:hAnsi="Arial"/>
                <w:sz w:val="13"/>
                <w:szCs w:val="13"/>
                <w:b w:val="1"/>
                <w:bCs w:val="1"/>
                <w:color w:val="FFFFFF"/>
                <w:w w:val="90"/>
              </w:rPr>
              <w:t>earnings</w:t>
            </w:r>
            <w:r>
              <w:rPr>
                <w:rFonts w:ascii="Arial" w:cs="Arial" w:eastAsia="Arial" w:hAnsi="Arial"/>
                <w:sz w:val="10"/>
                <w:szCs w:val="10"/>
                <w:b w:val="1"/>
                <w:bCs w:val="1"/>
                <w:color w:val="FFFFFF"/>
                <w:w w:val="90"/>
              </w:rPr>
              <w:t>(4)</w:t>
            </w:r>
          </w:p>
        </w:tc>
        <w:tc>
          <w:tcPr>
            <w:tcW w:w="1100" w:type="dxa"/>
            <w:vAlign w:val="bottom"/>
            <w:gridSpan w:val="2"/>
            <w:shd w:val="clear" w:color="auto" w:fill="333333"/>
          </w:tcPr>
          <w:p>
            <w:pPr>
              <w:ind w:left="120"/>
              <w:spacing w:after="0"/>
              <w:rPr>
                <w:sz w:val="20"/>
                <w:szCs w:val="20"/>
                <w:color w:val="auto"/>
              </w:rPr>
            </w:pPr>
            <w:r>
              <w:rPr>
                <w:rFonts w:ascii="Arial" w:cs="Arial" w:eastAsia="Arial" w:hAnsi="Arial"/>
                <w:sz w:val="13"/>
                <w:szCs w:val="13"/>
                <w:b w:val="1"/>
                <w:bCs w:val="1"/>
                <w:color w:val="FFFFFF"/>
                <w:w w:val="95"/>
              </w:rPr>
              <w:t>compensation</w:t>
            </w:r>
            <w:r>
              <w:rPr>
                <w:rFonts w:ascii="Arial" w:cs="Arial" w:eastAsia="Arial" w:hAnsi="Arial"/>
                <w:sz w:val="10"/>
                <w:szCs w:val="10"/>
                <w:b w:val="1"/>
                <w:bCs w:val="1"/>
                <w:color w:val="FFFFFF"/>
                <w:w w:val="95"/>
              </w:rPr>
              <w:t>(5)</w:t>
            </w:r>
          </w:p>
        </w:tc>
        <w:tc>
          <w:tcPr>
            <w:tcW w:w="180" w:type="dxa"/>
            <w:vAlign w:val="bottom"/>
            <w:shd w:val="clear" w:color="auto" w:fill="333333"/>
          </w:tcPr>
          <w:p>
            <w:pPr>
              <w:spacing w:after="0"/>
              <w:rPr>
                <w:sz w:val="14"/>
                <w:szCs w:val="14"/>
                <w:color w:val="auto"/>
              </w:rPr>
            </w:pPr>
          </w:p>
        </w:tc>
        <w:tc>
          <w:tcPr>
            <w:tcW w:w="620" w:type="dxa"/>
            <w:vAlign w:val="bottom"/>
            <w:shd w:val="clear" w:color="auto" w:fill="333333"/>
          </w:tcPr>
          <w:p>
            <w:pPr>
              <w:jc w:val="right"/>
              <w:ind w:right="197"/>
              <w:spacing w:after="0"/>
              <w:rPr>
                <w:sz w:val="20"/>
                <w:szCs w:val="20"/>
                <w:color w:val="auto"/>
              </w:rPr>
            </w:pPr>
            <w:r>
              <w:rPr>
                <w:rFonts w:ascii="Arial" w:cs="Arial" w:eastAsia="Arial" w:hAnsi="Arial"/>
                <w:sz w:val="13"/>
                <w:szCs w:val="13"/>
                <w:b w:val="1"/>
                <w:bCs w:val="1"/>
                <w:color w:val="FFFFFF"/>
              </w:rPr>
              <w:t>Total</w:t>
            </w:r>
          </w:p>
        </w:tc>
      </w:tr>
      <w:tr>
        <w:trPr>
          <w:trHeight w:val="216"/>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Michael S. Williams</w:t>
            </w:r>
          </w:p>
        </w:tc>
        <w:tc>
          <w:tcPr>
            <w:tcW w:w="50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Borders>
              <w:right w:val="single" w:sz="8" w:color="D8D8D8"/>
            </w:tcBorders>
            <w:shd w:val="clear" w:color="auto" w:fill="D8D8D8"/>
          </w:tcPr>
          <w:p>
            <w:pPr>
              <w:jc w:val="center"/>
              <w:spacing w:after="0"/>
              <w:rPr>
                <w:sz w:val="20"/>
                <w:szCs w:val="20"/>
                <w:color w:val="auto"/>
              </w:rPr>
            </w:pPr>
            <w:r>
              <w:rPr>
                <w:rFonts w:ascii="Arial" w:cs="Arial" w:eastAsia="Arial" w:hAnsi="Arial"/>
                <w:sz w:val="13"/>
                <w:szCs w:val="13"/>
                <w:color w:val="auto"/>
                <w:w w:val="82"/>
              </w:rPr>
              <w:t>$ 800,000</w:t>
            </w:r>
          </w:p>
        </w:tc>
        <w:tc>
          <w:tcPr>
            <w:tcW w:w="14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w w:val="86"/>
              </w:rPr>
              <w:t>4,593,890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shd w:val="clear" w:color="auto" w:fill="D8D8D8"/>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1,672,000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86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95,948</w:t>
            </w:r>
          </w:p>
        </w:tc>
        <w:tc>
          <w:tcPr>
            <w:tcW w:w="18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w w:val="82"/>
              </w:rPr>
              <w:t>7,161,838</w:t>
            </w:r>
          </w:p>
        </w:tc>
      </w:tr>
      <w:tr>
        <w:trPr>
          <w:trHeight w:val="176"/>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CEO and President</w:t>
            </w:r>
          </w:p>
        </w:tc>
        <w:tc>
          <w:tcPr>
            <w:tcW w:w="500" w:type="dxa"/>
            <w:vAlign w:val="bottom"/>
            <w:shd w:val="clear" w:color="auto" w:fill="D8D8D8"/>
          </w:tcPr>
          <w:p>
            <w:pPr>
              <w:spacing w:after="0"/>
              <w:rPr>
                <w:sz w:val="15"/>
                <w:szCs w:val="15"/>
                <w:color w:val="auto"/>
              </w:rPr>
            </w:pPr>
          </w:p>
        </w:tc>
        <w:tc>
          <w:tcPr>
            <w:tcW w:w="740" w:type="dxa"/>
            <w:vAlign w:val="bottom"/>
            <w:tcBorders>
              <w:right w:val="single" w:sz="8" w:color="D8D8D8"/>
            </w:tcBorders>
            <w:shd w:val="clear" w:color="auto" w:fill="D8D8D8"/>
          </w:tcPr>
          <w:p>
            <w:pPr>
              <w:spacing w:after="0"/>
              <w:rPr>
                <w:sz w:val="15"/>
                <w:szCs w:val="15"/>
                <w:color w:val="auto"/>
              </w:rPr>
            </w:pPr>
          </w:p>
        </w:tc>
        <w:tc>
          <w:tcPr>
            <w:tcW w:w="14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580" w:type="dxa"/>
            <w:vAlign w:val="bottom"/>
            <w:shd w:val="clear" w:color="auto" w:fill="D8D8D8"/>
          </w:tcPr>
          <w:p>
            <w:pPr>
              <w:spacing w:after="0"/>
              <w:rPr>
                <w:sz w:val="15"/>
                <w:szCs w:val="15"/>
                <w:color w:val="auto"/>
              </w:rPr>
            </w:pPr>
          </w:p>
        </w:tc>
        <w:tc>
          <w:tcPr>
            <w:tcW w:w="160" w:type="dxa"/>
            <w:vAlign w:val="bottom"/>
            <w:shd w:val="clear" w:color="auto" w:fill="D8D8D8"/>
          </w:tcPr>
          <w:p>
            <w:pPr>
              <w:spacing w:after="0"/>
              <w:rPr>
                <w:sz w:val="15"/>
                <w:szCs w:val="15"/>
                <w:color w:val="auto"/>
              </w:rPr>
            </w:pPr>
          </w:p>
        </w:tc>
        <w:tc>
          <w:tcPr>
            <w:tcW w:w="9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780" w:type="dxa"/>
            <w:vAlign w:val="bottom"/>
            <w:shd w:val="clear" w:color="auto" w:fill="D8D8D8"/>
          </w:tcPr>
          <w:p>
            <w:pPr>
              <w:spacing w:after="0"/>
              <w:rPr>
                <w:sz w:val="15"/>
                <w:szCs w:val="15"/>
                <w:color w:val="auto"/>
              </w:rPr>
            </w:pPr>
          </w:p>
        </w:tc>
        <w:tc>
          <w:tcPr>
            <w:tcW w:w="240" w:type="dxa"/>
            <w:vAlign w:val="bottom"/>
            <w:shd w:val="clear" w:color="auto" w:fill="D8D8D8"/>
          </w:tcPr>
          <w:p>
            <w:pPr>
              <w:spacing w:after="0"/>
              <w:rPr>
                <w:sz w:val="15"/>
                <w:szCs w:val="15"/>
                <w:color w:val="auto"/>
              </w:rPr>
            </w:pPr>
          </w:p>
        </w:tc>
        <w:tc>
          <w:tcPr>
            <w:tcW w:w="86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r>
      <w:tr>
        <w:trPr>
          <w:trHeight w:val="214"/>
        </w:trPr>
        <w:tc>
          <w:tcPr>
            <w:tcW w:w="4320" w:type="dxa"/>
            <w:vAlign w:val="bottom"/>
          </w:tcPr>
          <w:p>
            <w:pPr>
              <w:ind w:left="40"/>
              <w:spacing w:after="0"/>
              <w:rPr>
                <w:sz w:val="20"/>
                <w:szCs w:val="20"/>
                <w:color w:val="auto"/>
              </w:rPr>
            </w:pPr>
            <w:r>
              <w:rPr>
                <w:rFonts w:ascii="Arial" w:cs="Arial" w:eastAsia="Arial" w:hAnsi="Arial"/>
                <w:sz w:val="13"/>
                <w:szCs w:val="13"/>
                <w:color w:val="auto"/>
              </w:rPr>
              <w:t>Kristopher R. Westbrooks</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$ 445,665</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795,476</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652,008</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22,684</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w w:val="82"/>
              </w:rPr>
              <w:t>1,915,833</w:t>
            </w:r>
          </w:p>
        </w:tc>
      </w:tr>
      <w:tr>
        <w:trPr>
          <w:trHeight w:val="175"/>
        </w:trPr>
        <w:tc>
          <w:tcPr>
            <w:tcW w:w="4320" w:type="dxa"/>
            <w:vAlign w:val="bottom"/>
          </w:tcPr>
          <w:p>
            <w:pPr>
              <w:ind w:left="40"/>
              <w:spacing w:after="0"/>
              <w:rPr>
                <w:sz w:val="20"/>
                <w:szCs w:val="20"/>
                <w:color w:val="auto"/>
              </w:rPr>
            </w:pPr>
            <w:r>
              <w:rPr>
                <w:rFonts w:ascii="Arial" w:cs="Arial" w:eastAsia="Arial" w:hAnsi="Arial"/>
                <w:sz w:val="13"/>
                <w:szCs w:val="13"/>
                <w:color w:val="auto"/>
              </w:rPr>
              <w:t>Executive Vice</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2020</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$ 370,148</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479,743</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w w:val="93"/>
              </w:rPr>
              <w:t>185,090</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264,693</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13,141</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w w:val="82"/>
              </w:rPr>
              <w:t>1,312,815</w:t>
            </w:r>
          </w:p>
        </w:tc>
      </w:tr>
      <w:tr>
        <w:trPr>
          <w:trHeight w:val="176"/>
        </w:trPr>
        <w:tc>
          <w:tcPr>
            <w:tcW w:w="4320" w:type="dxa"/>
            <w:vAlign w:val="bottom"/>
          </w:tcPr>
          <w:p>
            <w:pPr>
              <w:ind w:left="40"/>
              <w:spacing w:after="0"/>
              <w:rPr>
                <w:sz w:val="20"/>
                <w:szCs w:val="20"/>
                <w:color w:val="auto"/>
              </w:rPr>
            </w:pPr>
            <w:r>
              <w:rPr>
                <w:rFonts w:ascii="Arial" w:cs="Arial" w:eastAsia="Arial" w:hAnsi="Arial"/>
                <w:sz w:val="13"/>
                <w:szCs w:val="13"/>
                <w:color w:val="auto"/>
              </w:rPr>
              <w:t>President and Chief</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2019</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$ 401,807</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425,790</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w w:val="93"/>
              </w:rPr>
              <w:t>183,374</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24,130</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w w:val="82"/>
              </w:rPr>
              <w:t>1,035,101</w:t>
            </w:r>
          </w:p>
        </w:tc>
      </w:tr>
      <w:tr>
        <w:trPr>
          <w:trHeight w:val="151"/>
        </w:trPr>
        <w:tc>
          <w:tcPr>
            <w:tcW w:w="4320" w:type="dxa"/>
            <w:vAlign w:val="bottom"/>
          </w:tcPr>
          <w:p>
            <w:pPr>
              <w:ind w:left="40"/>
              <w:spacing w:after="0"/>
              <w:rPr>
                <w:sz w:val="20"/>
                <w:szCs w:val="20"/>
                <w:color w:val="auto"/>
              </w:rPr>
            </w:pPr>
            <w:r>
              <w:rPr>
                <w:rFonts w:ascii="Arial" w:cs="Arial" w:eastAsia="Arial" w:hAnsi="Arial"/>
                <w:sz w:val="13"/>
                <w:szCs w:val="13"/>
                <w:color w:val="auto"/>
              </w:rPr>
              <w:t>Financial Officer</w:t>
            </w:r>
          </w:p>
        </w:tc>
        <w:tc>
          <w:tcPr>
            <w:tcW w:w="50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spacing w:after="0"/>
              <w:rPr>
                <w:sz w:val="13"/>
                <w:szCs w:val="13"/>
                <w:color w:val="auto"/>
              </w:rPr>
            </w:pPr>
          </w:p>
        </w:tc>
      </w:tr>
      <w:tr>
        <w:trPr>
          <w:trHeight w:val="216"/>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Kristine C. Syrvalin</w:t>
            </w:r>
          </w:p>
        </w:tc>
        <w:tc>
          <w:tcPr>
            <w:tcW w:w="50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Borders>
              <w:right w:val="single" w:sz="8" w:color="D8D8D8"/>
            </w:tcBorders>
            <w:shd w:val="clear" w:color="auto" w:fill="D8D8D8"/>
          </w:tcPr>
          <w:p>
            <w:pPr>
              <w:jc w:val="center"/>
              <w:spacing w:after="0"/>
              <w:rPr>
                <w:sz w:val="20"/>
                <w:szCs w:val="20"/>
                <w:color w:val="auto"/>
              </w:rPr>
            </w:pPr>
            <w:r>
              <w:rPr>
                <w:rFonts w:ascii="Arial" w:cs="Arial" w:eastAsia="Arial" w:hAnsi="Arial"/>
                <w:sz w:val="13"/>
                <w:szCs w:val="13"/>
                <w:color w:val="auto"/>
                <w:w w:val="82"/>
              </w:rPr>
              <w:t>$ 300,000</w:t>
            </w:r>
          </w:p>
        </w:tc>
        <w:tc>
          <w:tcPr>
            <w:tcW w:w="14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441,056</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shd w:val="clear" w:color="auto" w:fill="D8D8D8"/>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285,000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86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17,995</w:t>
            </w:r>
          </w:p>
        </w:tc>
        <w:tc>
          <w:tcPr>
            <w:tcW w:w="18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w w:val="82"/>
              </w:rPr>
              <w:t>1,044,051</w:t>
            </w:r>
          </w:p>
        </w:tc>
      </w:tr>
      <w:tr>
        <w:trPr>
          <w:trHeight w:val="173"/>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Executive Vice</w:t>
            </w:r>
          </w:p>
        </w:tc>
        <w:tc>
          <w:tcPr>
            <w:tcW w:w="500" w:type="dxa"/>
            <w:vAlign w:val="bottom"/>
            <w:shd w:val="clear" w:color="auto" w:fill="D8D8D8"/>
          </w:tcPr>
          <w:p>
            <w:pPr>
              <w:spacing w:after="0"/>
              <w:rPr>
                <w:sz w:val="15"/>
                <w:szCs w:val="15"/>
                <w:color w:val="auto"/>
              </w:rPr>
            </w:pPr>
          </w:p>
        </w:tc>
        <w:tc>
          <w:tcPr>
            <w:tcW w:w="740" w:type="dxa"/>
            <w:vAlign w:val="bottom"/>
            <w:tcBorders>
              <w:right w:val="single" w:sz="8" w:color="D8D8D8"/>
            </w:tcBorders>
            <w:shd w:val="clear" w:color="auto" w:fill="D8D8D8"/>
          </w:tcPr>
          <w:p>
            <w:pPr>
              <w:spacing w:after="0"/>
              <w:rPr>
                <w:sz w:val="15"/>
                <w:szCs w:val="15"/>
                <w:color w:val="auto"/>
              </w:rPr>
            </w:pPr>
          </w:p>
        </w:tc>
        <w:tc>
          <w:tcPr>
            <w:tcW w:w="14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580" w:type="dxa"/>
            <w:vAlign w:val="bottom"/>
            <w:shd w:val="clear" w:color="auto" w:fill="D8D8D8"/>
          </w:tcPr>
          <w:p>
            <w:pPr>
              <w:spacing w:after="0"/>
              <w:rPr>
                <w:sz w:val="15"/>
                <w:szCs w:val="15"/>
                <w:color w:val="auto"/>
              </w:rPr>
            </w:pPr>
          </w:p>
        </w:tc>
        <w:tc>
          <w:tcPr>
            <w:tcW w:w="160" w:type="dxa"/>
            <w:vAlign w:val="bottom"/>
            <w:shd w:val="clear" w:color="auto" w:fill="D8D8D8"/>
          </w:tcPr>
          <w:p>
            <w:pPr>
              <w:spacing w:after="0"/>
              <w:rPr>
                <w:sz w:val="15"/>
                <w:szCs w:val="15"/>
                <w:color w:val="auto"/>
              </w:rPr>
            </w:pPr>
          </w:p>
        </w:tc>
        <w:tc>
          <w:tcPr>
            <w:tcW w:w="9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780" w:type="dxa"/>
            <w:vAlign w:val="bottom"/>
            <w:shd w:val="clear" w:color="auto" w:fill="D8D8D8"/>
          </w:tcPr>
          <w:p>
            <w:pPr>
              <w:spacing w:after="0"/>
              <w:rPr>
                <w:sz w:val="15"/>
                <w:szCs w:val="15"/>
                <w:color w:val="auto"/>
              </w:rPr>
            </w:pPr>
          </w:p>
        </w:tc>
        <w:tc>
          <w:tcPr>
            <w:tcW w:w="240" w:type="dxa"/>
            <w:vAlign w:val="bottom"/>
            <w:shd w:val="clear" w:color="auto" w:fill="D8D8D8"/>
          </w:tcPr>
          <w:p>
            <w:pPr>
              <w:spacing w:after="0"/>
              <w:rPr>
                <w:sz w:val="15"/>
                <w:szCs w:val="15"/>
                <w:color w:val="auto"/>
              </w:rPr>
            </w:pPr>
          </w:p>
        </w:tc>
        <w:tc>
          <w:tcPr>
            <w:tcW w:w="86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r>
      <w:tr>
        <w:trPr>
          <w:trHeight w:val="175"/>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President, General</w:t>
            </w:r>
          </w:p>
        </w:tc>
        <w:tc>
          <w:tcPr>
            <w:tcW w:w="500" w:type="dxa"/>
            <w:vAlign w:val="bottom"/>
            <w:shd w:val="clear" w:color="auto" w:fill="D8D8D8"/>
          </w:tcPr>
          <w:p>
            <w:pPr>
              <w:spacing w:after="0"/>
              <w:rPr>
                <w:sz w:val="15"/>
                <w:szCs w:val="15"/>
                <w:color w:val="auto"/>
              </w:rPr>
            </w:pPr>
          </w:p>
        </w:tc>
        <w:tc>
          <w:tcPr>
            <w:tcW w:w="740" w:type="dxa"/>
            <w:vAlign w:val="bottom"/>
            <w:tcBorders>
              <w:right w:val="single" w:sz="8" w:color="D8D8D8"/>
            </w:tcBorders>
            <w:shd w:val="clear" w:color="auto" w:fill="D8D8D8"/>
          </w:tcPr>
          <w:p>
            <w:pPr>
              <w:spacing w:after="0"/>
              <w:rPr>
                <w:sz w:val="15"/>
                <w:szCs w:val="15"/>
                <w:color w:val="auto"/>
              </w:rPr>
            </w:pPr>
          </w:p>
        </w:tc>
        <w:tc>
          <w:tcPr>
            <w:tcW w:w="14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580" w:type="dxa"/>
            <w:vAlign w:val="bottom"/>
            <w:shd w:val="clear" w:color="auto" w:fill="D8D8D8"/>
          </w:tcPr>
          <w:p>
            <w:pPr>
              <w:spacing w:after="0"/>
              <w:rPr>
                <w:sz w:val="15"/>
                <w:szCs w:val="15"/>
                <w:color w:val="auto"/>
              </w:rPr>
            </w:pPr>
          </w:p>
        </w:tc>
        <w:tc>
          <w:tcPr>
            <w:tcW w:w="160" w:type="dxa"/>
            <w:vAlign w:val="bottom"/>
            <w:shd w:val="clear" w:color="auto" w:fill="D8D8D8"/>
          </w:tcPr>
          <w:p>
            <w:pPr>
              <w:spacing w:after="0"/>
              <w:rPr>
                <w:sz w:val="15"/>
                <w:szCs w:val="15"/>
                <w:color w:val="auto"/>
              </w:rPr>
            </w:pPr>
          </w:p>
        </w:tc>
        <w:tc>
          <w:tcPr>
            <w:tcW w:w="92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780" w:type="dxa"/>
            <w:vAlign w:val="bottom"/>
            <w:shd w:val="clear" w:color="auto" w:fill="D8D8D8"/>
          </w:tcPr>
          <w:p>
            <w:pPr>
              <w:spacing w:after="0"/>
              <w:rPr>
                <w:sz w:val="15"/>
                <w:szCs w:val="15"/>
                <w:color w:val="auto"/>
              </w:rPr>
            </w:pPr>
          </w:p>
        </w:tc>
        <w:tc>
          <w:tcPr>
            <w:tcW w:w="240" w:type="dxa"/>
            <w:vAlign w:val="bottom"/>
            <w:shd w:val="clear" w:color="auto" w:fill="D8D8D8"/>
          </w:tcPr>
          <w:p>
            <w:pPr>
              <w:spacing w:after="0"/>
              <w:rPr>
                <w:sz w:val="15"/>
                <w:szCs w:val="15"/>
                <w:color w:val="auto"/>
              </w:rPr>
            </w:pPr>
          </w:p>
        </w:tc>
        <w:tc>
          <w:tcPr>
            <w:tcW w:w="860" w:type="dxa"/>
            <w:vAlign w:val="bottom"/>
            <w:shd w:val="clear" w:color="auto" w:fill="D8D8D8"/>
          </w:tcPr>
          <w:p>
            <w:pPr>
              <w:spacing w:after="0"/>
              <w:rPr>
                <w:sz w:val="15"/>
                <w:szCs w:val="15"/>
                <w:color w:val="auto"/>
              </w:rPr>
            </w:pPr>
          </w:p>
        </w:tc>
        <w:tc>
          <w:tcPr>
            <w:tcW w:w="180" w:type="dxa"/>
            <w:vAlign w:val="bottom"/>
            <w:shd w:val="clear" w:color="auto" w:fill="D8D8D8"/>
          </w:tcPr>
          <w:p>
            <w:pPr>
              <w:spacing w:after="0"/>
              <w:rPr>
                <w:sz w:val="15"/>
                <w:szCs w:val="15"/>
                <w:color w:val="auto"/>
              </w:rPr>
            </w:pPr>
          </w:p>
        </w:tc>
        <w:tc>
          <w:tcPr>
            <w:tcW w:w="620" w:type="dxa"/>
            <w:vAlign w:val="bottom"/>
            <w:shd w:val="clear" w:color="auto" w:fill="D8D8D8"/>
          </w:tcPr>
          <w:p>
            <w:pPr>
              <w:spacing w:after="0"/>
              <w:rPr>
                <w:sz w:val="15"/>
                <w:szCs w:val="15"/>
                <w:color w:val="auto"/>
              </w:rPr>
            </w:pPr>
          </w:p>
        </w:tc>
      </w:tr>
      <w:tr>
        <w:trPr>
          <w:trHeight w:val="164"/>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Counsel and Secretary</w:t>
            </w:r>
          </w:p>
        </w:tc>
        <w:tc>
          <w:tcPr>
            <w:tcW w:w="500" w:type="dxa"/>
            <w:vAlign w:val="bottom"/>
            <w:shd w:val="clear" w:color="auto" w:fill="D8D8D8"/>
          </w:tcPr>
          <w:p>
            <w:pPr>
              <w:spacing w:after="0"/>
              <w:rPr>
                <w:sz w:val="14"/>
                <w:szCs w:val="14"/>
                <w:color w:val="auto"/>
              </w:rPr>
            </w:pPr>
          </w:p>
        </w:tc>
        <w:tc>
          <w:tcPr>
            <w:tcW w:w="740" w:type="dxa"/>
            <w:vAlign w:val="bottom"/>
            <w:tcBorders>
              <w:right w:val="single" w:sz="8" w:color="D8D8D8"/>
            </w:tcBorders>
            <w:shd w:val="clear" w:color="auto" w:fill="D8D8D8"/>
          </w:tcPr>
          <w:p>
            <w:pPr>
              <w:spacing w:after="0"/>
              <w:rPr>
                <w:sz w:val="14"/>
                <w:szCs w:val="14"/>
                <w:color w:val="auto"/>
              </w:rPr>
            </w:pPr>
          </w:p>
        </w:tc>
        <w:tc>
          <w:tcPr>
            <w:tcW w:w="140" w:type="dxa"/>
            <w:vAlign w:val="bottom"/>
            <w:shd w:val="clear" w:color="auto" w:fill="D8D8D8"/>
          </w:tcPr>
          <w:p>
            <w:pPr>
              <w:spacing w:after="0"/>
              <w:rPr>
                <w:sz w:val="14"/>
                <w:szCs w:val="14"/>
                <w:color w:val="auto"/>
              </w:rPr>
            </w:pPr>
          </w:p>
        </w:tc>
        <w:tc>
          <w:tcPr>
            <w:tcW w:w="620" w:type="dxa"/>
            <w:vAlign w:val="bottom"/>
            <w:shd w:val="clear" w:color="auto" w:fill="D8D8D8"/>
          </w:tcPr>
          <w:p>
            <w:pPr>
              <w:spacing w:after="0"/>
              <w:rPr>
                <w:sz w:val="14"/>
                <w:szCs w:val="14"/>
                <w:color w:val="auto"/>
              </w:rPr>
            </w:pPr>
          </w:p>
        </w:tc>
        <w:tc>
          <w:tcPr>
            <w:tcW w:w="180" w:type="dxa"/>
            <w:vAlign w:val="bottom"/>
            <w:shd w:val="clear" w:color="auto" w:fill="D8D8D8"/>
          </w:tcPr>
          <w:p>
            <w:pPr>
              <w:spacing w:after="0"/>
              <w:rPr>
                <w:sz w:val="14"/>
                <w:szCs w:val="14"/>
                <w:color w:val="auto"/>
              </w:rPr>
            </w:pPr>
          </w:p>
        </w:tc>
        <w:tc>
          <w:tcPr>
            <w:tcW w:w="580" w:type="dxa"/>
            <w:vAlign w:val="bottom"/>
            <w:shd w:val="clear" w:color="auto" w:fill="D8D8D8"/>
          </w:tcPr>
          <w:p>
            <w:pPr>
              <w:spacing w:after="0"/>
              <w:rPr>
                <w:sz w:val="14"/>
                <w:szCs w:val="14"/>
                <w:color w:val="auto"/>
              </w:rPr>
            </w:pPr>
          </w:p>
        </w:tc>
        <w:tc>
          <w:tcPr>
            <w:tcW w:w="160" w:type="dxa"/>
            <w:vAlign w:val="bottom"/>
            <w:shd w:val="clear" w:color="auto" w:fill="D8D8D8"/>
          </w:tcPr>
          <w:p>
            <w:pPr>
              <w:spacing w:after="0"/>
              <w:rPr>
                <w:sz w:val="14"/>
                <w:szCs w:val="14"/>
                <w:color w:val="auto"/>
              </w:rPr>
            </w:pPr>
          </w:p>
        </w:tc>
        <w:tc>
          <w:tcPr>
            <w:tcW w:w="920" w:type="dxa"/>
            <w:vAlign w:val="bottom"/>
            <w:shd w:val="clear" w:color="auto" w:fill="D8D8D8"/>
          </w:tcPr>
          <w:p>
            <w:pPr>
              <w:spacing w:after="0"/>
              <w:rPr>
                <w:sz w:val="14"/>
                <w:szCs w:val="14"/>
                <w:color w:val="auto"/>
              </w:rPr>
            </w:pPr>
          </w:p>
        </w:tc>
        <w:tc>
          <w:tcPr>
            <w:tcW w:w="180" w:type="dxa"/>
            <w:vAlign w:val="bottom"/>
            <w:shd w:val="clear" w:color="auto" w:fill="D8D8D8"/>
          </w:tcPr>
          <w:p>
            <w:pPr>
              <w:spacing w:after="0"/>
              <w:rPr>
                <w:sz w:val="14"/>
                <w:szCs w:val="14"/>
                <w:color w:val="auto"/>
              </w:rPr>
            </w:pPr>
          </w:p>
        </w:tc>
        <w:tc>
          <w:tcPr>
            <w:tcW w:w="780" w:type="dxa"/>
            <w:vAlign w:val="bottom"/>
            <w:shd w:val="clear" w:color="auto" w:fill="D8D8D8"/>
          </w:tcPr>
          <w:p>
            <w:pPr>
              <w:spacing w:after="0"/>
              <w:rPr>
                <w:sz w:val="14"/>
                <w:szCs w:val="14"/>
                <w:color w:val="auto"/>
              </w:rPr>
            </w:pPr>
          </w:p>
        </w:tc>
        <w:tc>
          <w:tcPr>
            <w:tcW w:w="240" w:type="dxa"/>
            <w:vAlign w:val="bottom"/>
            <w:shd w:val="clear" w:color="auto" w:fill="D8D8D8"/>
          </w:tcPr>
          <w:p>
            <w:pPr>
              <w:spacing w:after="0"/>
              <w:rPr>
                <w:sz w:val="14"/>
                <w:szCs w:val="14"/>
                <w:color w:val="auto"/>
              </w:rPr>
            </w:pPr>
          </w:p>
        </w:tc>
        <w:tc>
          <w:tcPr>
            <w:tcW w:w="860" w:type="dxa"/>
            <w:vAlign w:val="bottom"/>
            <w:shd w:val="clear" w:color="auto" w:fill="D8D8D8"/>
          </w:tcPr>
          <w:p>
            <w:pPr>
              <w:spacing w:after="0"/>
              <w:rPr>
                <w:sz w:val="14"/>
                <w:szCs w:val="14"/>
                <w:color w:val="auto"/>
              </w:rPr>
            </w:pPr>
          </w:p>
        </w:tc>
        <w:tc>
          <w:tcPr>
            <w:tcW w:w="180" w:type="dxa"/>
            <w:vAlign w:val="bottom"/>
            <w:shd w:val="clear" w:color="auto" w:fill="D8D8D8"/>
          </w:tcPr>
          <w:p>
            <w:pPr>
              <w:spacing w:after="0"/>
              <w:rPr>
                <w:sz w:val="14"/>
                <w:szCs w:val="14"/>
                <w:color w:val="auto"/>
              </w:rPr>
            </w:pPr>
          </w:p>
        </w:tc>
        <w:tc>
          <w:tcPr>
            <w:tcW w:w="620" w:type="dxa"/>
            <w:vAlign w:val="bottom"/>
            <w:shd w:val="clear" w:color="auto" w:fill="D8D8D8"/>
          </w:tcPr>
          <w:p>
            <w:pPr>
              <w:spacing w:after="0"/>
              <w:rPr>
                <w:sz w:val="14"/>
                <w:szCs w:val="14"/>
                <w:color w:val="auto"/>
              </w:rPr>
            </w:pPr>
          </w:p>
        </w:tc>
      </w:tr>
      <w:tr>
        <w:trPr>
          <w:trHeight w:val="227"/>
        </w:trPr>
        <w:tc>
          <w:tcPr>
            <w:tcW w:w="4320" w:type="dxa"/>
            <w:vAlign w:val="bottom"/>
          </w:tcPr>
          <w:p>
            <w:pPr>
              <w:ind w:left="40"/>
              <w:spacing w:after="0"/>
              <w:rPr>
                <w:sz w:val="20"/>
                <w:szCs w:val="20"/>
                <w:color w:val="auto"/>
              </w:rPr>
            </w:pPr>
            <w:r>
              <w:rPr>
                <w:rFonts w:ascii="Arial" w:cs="Arial" w:eastAsia="Arial" w:hAnsi="Arial"/>
                <w:sz w:val="13"/>
                <w:szCs w:val="13"/>
                <w:color w:val="auto"/>
              </w:rPr>
              <w:t>Kevin A. Raketich</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$ 292,585</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254,001</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269,124</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16,955</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rPr>
              <w:t>832,665</w:t>
            </w:r>
          </w:p>
        </w:tc>
      </w:tr>
      <w:tr>
        <w:trPr>
          <w:trHeight w:val="162"/>
        </w:trPr>
        <w:tc>
          <w:tcPr>
            <w:tcW w:w="4320" w:type="dxa"/>
            <w:vAlign w:val="bottom"/>
          </w:tcPr>
          <w:p>
            <w:pPr>
              <w:ind w:left="40"/>
              <w:spacing w:after="0"/>
              <w:rPr>
                <w:sz w:val="20"/>
                <w:szCs w:val="20"/>
                <w:color w:val="auto"/>
              </w:rPr>
            </w:pPr>
            <w:r>
              <w:rPr>
                <w:rFonts w:ascii="Arial" w:cs="Arial" w:eastAsia="Arial" w:hAnsi="Arial"/>
                <w:sz w:val="13"/>
                <w:szCs w:val="13"/>
                <w:color w:val="auto"/>
              </w:rPr>
              <w:t>Executive Vice President,</w:t>
            </w:r>
          </w:p>
        </w:tc>
        <w:tc>
          <w:tcPr>
            <w:tcW w:w="5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r>
      <w:tr>
        <w:trPr>
          <w:trHeight w:val="177"/>
        </w:trPr>
        <w:tc>
          <w:tcPr>
            <w:tcW w:w="4320" w:type="dxa"/>
            <w:vAlign w:val="bottom"/>
          </w:tcPr>
          <w:p>
            <w:pPr>
              <w:ind w:left="40"/>
              <w:spacing w:after="0"/>
              <w:rPr>
                <w:sz w:val="20"/>
                <w:szCs w:val="20"/>
                <w:color w:val="auto"/>
              </w:rPr>
            </w:pPr>
            <w:r>
              <w:rPr>
                <w:rFonts w:ascii="Arial" w:cs="Arial" w:eastAsia="Arial" w:hAnsi="Arial"/>
                <w:sz w:val="13"/>
                <w:szCs w:val="13"/>
                <w:color w:val="auto"/>
              </w:rPr>
              <w:t>Sales, Marketing &amp; Business Development</w:t>
            </w:r>
          </w:p>
        </w:tc>
        <w:tc>
          <w:tcPr>
            <w:tcW w:w="5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20" w:type="dxa"/>
            <w:vAlign w:val="bottom"/>
          </w:tcPr>
          <w:p>
            <w:pPr>
              <w:spacing w:after="0"/>
              <w:rPr>
                <w:sz w:val="15"/>
                <w:szCs w:val="15"/>
                <w:color w:val="auto"/>
              </w:rPr>
            </w:pPr>
          </w:p>
        </w:tc>
      </w:tr>
      <w:tr>
        <w:trPr>
          <w:trHeight w:val="217"/>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William P. Bryan</w:t>
            </w:r>
          </w:p>
        </w:tc>
        <w:tc>
          <w:tcPr>
            <w:tcW w:w="50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Borders>
              <w:right w:val="single" w:sz="8" w:color="D8D8D8"/>
            </w:tcBorders>
            <w:shd w:val="clear" w:color="auto" w:fill="D8D8D8"/>
          </w:tcPr>
          <w:p>
            <w:pPr>
              <w:jc w:val="center"/>
              <w:spacing w:after="0"/>
              <w:rPr>
                <w:sz w:val="20"/>
                <w:szCs w:val="20"/>
                <w:color w:val="auto"/>
              </w:rPr>
            </w:pPr>
            <w:r>
              <w:rPr>
                <w:rFonts w:ascii="Arial" w:cs="Arial" w:eastAsia="Arial" w:hAnsi="Arial"/>
                <w:sz w:val="13"/>
                <w:szCs w:val="13"/>
                <w:color w:val="auto"/>
                <w:w w:val="82"/>
              </w:rPr>
              <w:t>$ 111,137</w:t>
            </w:r>
          </w:p>
        </w:tc>
        <w:tc>
          <w:tcPr>
            <w:tcW w:w="14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336,699</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shd w:val="clear" w:color="auto" w:fill="D8D8D8"/>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105,580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298,860</w:t>
            </w:r>
          </w:p>
        </w:tc>
        <w:tc>
          <w:tcPr>
            <w:tcW w:w="240" w:type="dxa"/>
            <w:vAlign w:val="bottom"/>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86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670,625</w:t>
            </w:r>
          </w:p>
        </w:tc>
        <w:tc>
          <w:tcPr>
            <w:tcW w:w="18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w w:val="82"/>
              </w:rPr>
              <w:t>1,522,901</w:t>
            </w:r>
          </w:p>
        </w:tc>
      </w:tr>
      <w:tr>
        <w:trPr>
          <w:trHeight w:val="176"/>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Former Executive Vice President,</w:t>
            </w:r>
          </w:p>
        </w:tc>
        <w:tc>
          <w:tcPr>
            <w:tcW w:w="50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2020</w:t>
            </w:r>
          </w:p>
        </w:tc>
        <w:tc>
          <w:tcPr>
            <w:tcW w:w="740" w:type="dxa"/>
            <w:vAlign w:val="bottom"/>
            <w:tcBorders>
              <w:right w:val="single" w:sz="8" w:color="D8D8D8"/>
            </w:tcBorders>
            <w:shd w:val="clear" w:color="auto" w:fill="D8D8D8"/>
          </w:tcPr>
          <w:p>
            <w:pPr>
              <w:jc w:val="center"/>
              <w:spacing w:after="0"/>
              <w:rPr>
                <w:sz w:val="20"/>
                <w:szCs w:val="20"/>
                <w:color w:val="auto"/>
              </w:rPr>
            </w:pPr>
            <w:r>
              <w:rPr>
                <w:rFonts w:ascii="Arial" w:cs="Arial" w:eastAsia="Arial" w:hAnsi="Arial"/>
                <w:sz w:val="13"/>
                <w:szCs w:val="13"/>
                <w:color w:val="auto"/>
                <w:w w:val="82"/>
              </w:rPr>
              <w:t>$ 273,951</w:t>
            </w:r>
          </w:p>
        </w:tc>
        <w:tc>
          <w:tcPr>
            <w:tcW w:w="14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180,512</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78,273</w:t>
            </w:r>
          </w:p>
        </w:tc>
        <w:tc>
          <w:tcPr>
            <w:tcW w:w="160" w:type="dxa"/>
            <w:vAlign w:val="bottom"/>
            <w:shd w:val="clear" w:color="auto" w:fill="D8D8D8"/>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127,210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218,000</w:t>
            </w:r>
          </w:p>
        </w:tc>
        <w:tc>
          <w:tcPr>
            <w:tcW w:w="240" w:type="dxa"/>
            <w:vAlign w:val="bottom"/>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86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14,662</w:t>
            </w:r>
          </w:p>
        </w:tc>
        <w:tc>
          <w:tcPr>
            <w:tcW w:w="18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892,608</w:t>
            </w:r>
          </w:p>
        </w:tc>
      </w:tr>
      <w:tr>
        <w:trPr>
          <w:trHeight w:val="175"/>
        </w:trPr>
        <w:tc>
          <w:tcPr>
            <w:tcW w:w="4320" w:type="dxa"/>
            <w:vAlign w:val="bottom"/>
            <w:shd w:val="clear" w:color="auto" w:fill="D8D8D8"/>
          </w:tcPr>
          <w:p>
            <w:pPr>
              <w:ind w:left="40"/>
              <w:spacing w:after="0"/>
              <w:rPr>
                <w:sz w:val="20"/>
                <w:szCs w:val="20"/>
                <w:color w:val="auto"/>
              </w:rPr>
            </w:pPr>
            <w:r>
              <w:rPr>
                <w:rFonts w:ascii="Arial" w:cs="Arial" w:eastAsia="Arial" w:hAnsi="Arial"/>
                <w:sz w:val="13"/>
                <w:szCs w:val="13"/>
                <w:color w:val="auto"/>
              </w:rPr>
              <w:t>Manufacturing and Supply Chain</w:t>
            </w:r>
          </w:p>
        </w:tc>
        <w:tc>
          <w:tcPr>
            <w:tcW w:w="50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2019</w:t>
            </w:r>
          </w:p>
        </w:tc>
        <w:tc>
          <w:tcPr>
            <w:tcW w:w="740" w:type="dxa"/>
            <w:vAlign w:val="bottom"/>
            <w:tcBorders>
              <w:right w:val="single" w:sz="8" w:color="D8D8D8"/>
            </w:tcBorders>
            <w:shd w:val="clear" w:color="auto" w:fill="D8D8D8"/>
          </w:tcPr>
          <w:p>
            <w:pPr>
              <w:jc w:val="center"/>
              <w:spacing w:after="0"/>
              <w:rPr>
                <w:sz w:val="20"/>
                <w:szCs w:val="20"/>
                <w:color w:val="auto"/>
              </w:rPr>
            </w:pPr>
            <w:r>
              <w:rPr>
                <w:rFonts w:ascii="Arial" w:cs="Arial" w:eastAsia="Arial" w:hAnsi="Arial"/>
                <w:sz w:val="13"/>
                <w:szCs w:val="13"/>
                <w:color w:val="auto"/>
                <w:w w:val="82"/>
              </w:rPr>
              <w:t>$ 297,405</w:t>
            </w:r>
          </w:p>
        </w:tc>
        <w:tc>
          <w:tcPr>
            <w:tcW w:w="14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180,525</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77,560</w:t>
            </w:r>
          </w:p>
        </w:tc>
        <w:tc>
          <w:tcPr>
            <w:tcW w:w="160" w:type="dxa"/>
            <w:vAlign w:val="bottom"/>
            <w:shd w:val="clear" w:color="auto" w:fill="D8D8D8"/>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0</w:t>
            </w:r>
          </w:p>
        </w:tc>
        <w:tc>
          <w:tcPr>
            <w:tcW w:w="180" w:type="dxa"/>
            <w:vAlign w:val="bottom"/>
            <w:shd w:val="clear" w:color="auto" w:fill="D8D8D8"/>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D8D8D8"/>
          </w:tcPr>
          <w:p>
            <w:pPr>
              <w:jc w:val="right"/>
              <w:ind w:right="37"/>
              <w:spacing w:after="0"/>
              <w:rPr>
                <w:sz w:val="20"/>
                <w:szCs w:val="20"/>
                <w:color w:val="auto"/>
              </w:rPr>
            </w:pPr>
            <w:r>
              <w:rPr>
                <w:rFonts w:ascii="Arial" w:cs="Arial" w:eastAsia="Arial" w:hAnsi="Arial"/>
                <w:sz w:val="13"/>
                <w:szCs w:val="13"/>
                <w:color w:val="auto"/>
              </w:rPr>
              <w:t>275,000</w:t>
            </w:r>
          </w:p>
        </w:tc>
        <w:tc>
          <w:tcPr>
            <w:tcW w:w="240" w:type="dxa"/>
            <w:vAlign w:val="bottom"/>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86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22,644</w:t>
            </w:r>
          </w:p>
        </w:tc>
        <w:tc>
          <w:tcPr>
            <w:tcW w:w="180" w:type="dxa"/>
            <w:vAlign w:val="bottom"/>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620" w:type="dxa"/>
            <w:vAlign w:val="bottom"/>
            <w:shd w:val="clear" w:color="auto" w:fill="D8D8D8"/>
          </w:tcPr>
          <w:p>
            <w:pPr>
              <w:jc w:val="right"/>
              <w:ind w:right="57"/>
              <w:spacing w:after="0"/>
              <w:rPr>
                <w:sz w:val="20"/>
                <w:szCs w:val="20"/>
                <w:color w:val="auto"/>
              </w:rPr>
            </w:pPr>
            <w:r>
              <w:rPr>
                <w:rFonts w:ascii="Arial" w:cs="Arial" w:eastAsia="Arial" w:hAnsi="Arial"/>
                <w:sz w:val="13"/>
                <w:szCs w:val="13"/>
                <w:color w:val="auto"/>
              </w:rPr>
              <w:t>853,134</w:t>
            </w:r>
          </w:p>
        </w:tc>
      </w:tr>
      <w:tr>
        <w:trPr>
          <w:trHeight w:val="213"/>
        </w:trPr>
        <w:tc>
          <w:tcPr>
            <w:tcW w:w="4320" w:type="dxa"/>
            <w:vAlign w:val="bottom"/>
          </w:tcPr>
          <w:p>
            <w:pPr>
              <w:ind w:left="40"/>
              <w:spacing w:after="0"/>
              <w:rPr>
                <w:sz w:val="20"/>
                <w:szCs w:val="20"/>
                <w:color w:val="auto"/>
              </w:rPr>
            </w:pPr>
            <w:r>
              <w:rPr>
                <w:rFonts w:ascii="Arial" w:cs="Arial" w:eastAsia="Arial" w:hAnsi="Arial"/>
                <w:sz w:val="13"/>
                <w:szCs w:val="13"/>
                <w:color w:val="auto"/>
              </w:rPr>
              <w:t>Thomas D. Moline</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2021</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$ 111,137</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336,699</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rPr>
              <w:t>0</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105,580</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664,643</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w w:val="82"/>
              </w:rPr>
              <w:t>1,218,059</w:t>
            </w:r>
          </w:p>
        </w:tc>
      </w:tr>
      <w:tr>
        <w:trPr>
          <w:trHeight w:val="175"/>
        </w:trPr>
        <w:tc>
          <w:tcPr>
            <w:tcW w:w="4320" w:type="dxa"/>
            <w:vAlign w:val="bottom"/>
          </w:tcPr>
          <w:p>
            <w:pPr>
              <w:ind w:left="40"/>
              <w:spacing w:after="0"/>
              <w:rPr>
                <w:sz w:val="20"/>
                <w:szCs w:val="20"/>
                <w:color w:val="auto"/>
              </w:rPr>
            </w:pPr>
            <w:r>
              <w:rPr>
                <w:rFonts w:ascii="Arial" w:cs="Arial" w:eastAsia="Arial" w:hAnsi="Arial"/>
                <w:sz w:val="13"/>
                <w:szCs w:val="13"/>
                <w:color w:val="auto"/>
              </w:rPr>
              <w:t>Former Executive Vice President,</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2020</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$ 273,951</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180,512</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rPr>
              <w:t>78,273</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127,210</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234,000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14,046</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rPr>
              <w:t>907,992</w:t>
            </w:r>
          </w:p>
        </w:tc>
      </w:tr>
      <w:tr>
        <w:trPr>
          <w:trHeight w:val="175"/>
        </w:trPr>
        <w:tc>
          <w:tcPr>
            <w:tcW w:w="4320" w:type="dxa"/>
            <w:vAlign w:val="bottom"/>
          </w:tcPr>
          <w:p>
            <w:pPr>
              <w:ind w:left="40"/>
              <w:spacing w:after="0"/>
              <w:rPr>
                <w:sz w:val="20"/>
                <w:szCs w:val="20"/>
                <w:color w:val="auto"/>
              </w:rPr>
            </w:pPr>
            <w:r>
              <w:rPr>
                <w:rFonts w:ascii="Arial" w:cs="Arial" w:eastAsia="Arial" w:hAnsi="Arial"/>
                <w:sz w:val="13"/>
                <w:szCs w:val="13"/>
                <w:color w:val="auto"/>
              </w:rPr>
              <w:t>Commercial Operations</w:t>
            </w:r>
          </w:p>
        </w:tc>
        <w:tc>
          <w:tcPr>
            <w:tcW w:w="500" w:type="dxa"/>
            <w:vAlign w:val="bottom"/>
          </w:tcPr>
          <w:p>
            <w:pPr>
              <w:jc w:val="right"/>
              <w:ind w:right="37"/>
              <w:spacing w:after="0"/>
              <w:rPr>
                <w:sz w:val="20"/>
                <w:szCs w:val="20"/>
                <w:color w:val="auto"/>
              </w:rPr>
            </w:pPr>
            <w:r>
              <w:rPr>
                <w:rFonts w:ascii="Arial" w:cs="Arial" w:eastAsia="Arial" w:hAnsi="Arial"/>
                <w:sz w:val="13"/>
                <w:szCs w:val="13"/>
                <w:color w:val="auto"/>
              </w:rPr>
              <w:t>2019</w:t>
            </w:r>
          </w:p>
        </w:tc>
        <w:tc>
          <w:tcPr>
            <w:tcW w:w="740" w:type="dxa"/>
            <w:vAlign w:val="bottom"/>
          </w:tcPr>
          <w:p>
            <w:pPr>
              <w:jc w:val="center"/>
              <w:spacing w:after="0"/>
              <w:rPr>
                <w:sz w:val="20"/>
                <w:szCs w:val="20"/>
                <w:color w:val="auto"/>
              </w:rPr>
            </w:pPr>
            <w:r>
              <w:rPr>
                <w:rFonts w:ascii="Arial" w:cs="Arial" w:eastAsia="Arial" w:hAnsi="Arial"/>
                <w:sz w:val="13"/>
                <w:szCs w:val="13"/>
                <w:color w:val="auto"/>
                <w:w w:val="82"/>
              </w:rPr>
              <w:t>$ 297,405</w:t>
            </w:r>
          </w:p>
        </w:tc>
        <w:tc>
          <w:tcPr>
            <w:tcW w:w="14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37"/>
              <w:spacing w:after="0"/>
              <w:rPr>
                <w:sz w:val="20"/>
                <w:szCs w:val="20"/>
                <w:color w:val="auto"/>
              </w:rPr>
            </w:pPr>
            <w:r>
              <w:rPr>
                <w:rFonts w:ascii="Arial" w:cs="Arial" w:eastAsia="Arial" w:hAnsi="Arial"/>
                <w:sz w:val="13"/>
                <w:szCs w:val="13"/>
                <w:color w:val="auto"/>
              </w:rPr>
              <w:t>180,525</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57"/>
              <w:spacing w:after="0"/>
              <w:rPr>
                <w:sz w:val="20"/>
                <w:szCs w:val="20"/>
                <w:color w:val="auto"/>
              </w:rPr>
            </w:pPr>
            <w:r>
              <w:rPr>
                <w:rFonts w:ascii="Arial" w:cs="Arial" w:eastAsia="Arial" w:hAnsi="Arial"/>
                <w:sz w:val="13"/>
                <w:szCs w:val="13"/>
                <w:color w:val="auto"/>
              </w:rPr>
              <w:t>77,560</w:t>
            </w:r>
          </w:p>
        </w:tc>
        <w:tc>
          <w:tcPr>
            <w:tcW w:w="160" w:type="dxa"/>
            <w:vAlign w:val="bottom"/>
          </w:tcPr>
          <w:p>
            <w:pPr>
              <w:ind w:left="100"/>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37"/>
              <w:spacing w:after="0"/>
              <w:rPr>
                <w:sz w:val="20"/>
                <w:szCs w:val="20"/>
                <w:color w:val="auto"/>
              </w:rPr>
            </w:pPr>
            <w:r>
              <w:rPr>
                <w:rFonts w:ascii="Arial" w:cs="Arial" w:eastAsia="Arial" w:hAnsi="Arial"/>
                <w:sz w:val="13"/>
                <w:szCs w:val="13"/>
                <w:color w:val="auto"/>
              </w:rPr>
              <w:t>0</w:t>
            </w:r>
          </w:p>
        </w:tc>
        <w:tc>
          <w:tcPr>
            <w:tcW w:w="180" w:type="dxa"/>
            <w:vAlign w:val="bottom"/>
          </w:tcPr>
          <w:p>
            <w:pPr>
              <w:ind w:left="120"/>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ind w:right="37"/>
              <w:spacing w:after="0"/>
              <w:rPr>
                <w:sz w:val="20"/>
                <w:szCs w:val="20"/>
                <w:color w:val="auto"/>
              </w:rPr>
            </w:pPr>
            <w:r>
              <w:rPr>
                <w:rFonts w:ascii="Arial" w:cs="Arial" w:eastAsia="Arial" w:hAnsi="Arial"/>
                <w:sz w:val="13"/>
                <w:szCs w:val="13"/>
                <w:color w:val="auto"/>
              </w:rPr>
              <w:t>270,000</w:t>
            </w:r>
          </w:p>
        </w:tc>
        <w:tc>
          <w:tcPr>
            <w:tcW w:w="240" w:type="dxa"/>
            <w:vAlign w:val="bottom"/>
          </w:tcPr>
          <w:p>
            <w:pPr>
              <w:ind w:left="120"/>
              <w:spacing w:after="0"/>
              <w:rPr>
                <w:sz w:val="20"/>
                <w:szCs w:val="20"/>
                <w:color w:val="auto"/>
              </w:rPr>
            </w:pPr>
            <w:r>
              <w:rPr>
                <w:rFonts w:ascii="Arial" w:cs="Arial" w:eastAsia="Arial" w:hAnsi="Arial"/>
                <w:sz w:val="13"/>
                <w:szCs w:val="13"/>
                <w:color w:val="auto"/>
              </w:rPr>
              <w:t>$</w:t>
            </w:r>
          </w:p>
        </w:tc>
        <w:tc>
          <w:tcPr>
            <w:tcW w:w="860" w:type="dxa"/>
            <w:vAlign w:val="bottom"/>
          </w:tcPr>
          <w:p>
            <w:pPr>
              <w:jc w:val="right"/>
              <w:ind w:right="57"/>
              <w:spacing w:after="0"/>
              <w:rPr>
                <w:sz w:val="20"/>
                <w:szCs w:val="20"/>
                <w:color w:val="auto"/>
              </w:rPr>
            </w:pPr>
            <w:r>
              <w:rPr>
                <w:rFonts w:ascii="Arial" w:cs="Arial" w:eastAsia="Arial" w:hAnsi="Arial"/>
                <w:sz w:val="13"/>
                <w:szCs w:val="13"/>
                <w:color w:val="auto"/>
              </w:rPr>
              <w:t>15,699</w:t>
            </w: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tcPr>
          <w:p>
            <w:pPr>
              <w:jc w:val="right"/>
              <w:ind w:right="57"/>
              <w:spacing w:after="0"/>
              <w:rPr>
                <w:sz w:val="20"/>
                <w:szCs w:val="20"/>
                <w:color w:val="auto"/>
              </w:rPr>
            </w:pPr>
            <w:r>
              <w:rPr>
                <w:rFonts w:ascii="Arial" w:cs="Arial" w:eastAsia="Arial" w:hAnsi="Arial"/>
                <w:sz w:val="13"/>
                <w:szCs w:val="13"/>
                <w:color w:val="auto"/>
              </w:rPr>
              <w:t>841,189</w:t>
            </w:r>
          </w:p>
        </w:tc>
      </w:tr>
    </w:tbl>
    <w:p>
      <w:pPr>
        <w:spacing w:after="0" w:line="92" w:lineRule="exact"/>
        <w:rPr>
          <w:sz w:val="20"/>
          <w:szCs w:val="20"/>
          <w:color w:val="auto"/>
        </w:rPr>
      </w:pPr>
    </w:p>
    <w:p>
      <w:pPr>
        <w:ind w:left="540" w:hanging="424"/>
        <w:spacing w:after="0"/>
        <w:tabs>
          <w:tab w:leader="none" w:pos="540" w:val="left"/>
        </w:tabs>
        <w:numPr>
          <w:ilvl w:val="0"/>
          <w:numId w:val="56"/>
        </w:numPr>
        <w:rPr>
          <w:rFonts w:ascii="Arial" w:cs="Arial" w:eastAsia="Arial" w:hAnsi="Arial"/>
          <w:sz w:val="11"/>
          <w:szCs w:val="11"/>
          <w:color w:val="auto"/>
        </w:rPr>
      </w:pPr>
      <w:r>
        <w:rPr>
          <w:rFonts w:ascii="Arial" w:cs="Arial" w:eastAsia="Arial" w:hAnsi="Arial"/>
          <w:sz w:val="13"/>
          <w:szCs w:val="13"/>
          <w:color w:val="auto"/>
        </w:rPr>
        <w:t>The amounts shown in this column represent, for 2021, the grant date fair value (calculated in accordance with FASB ASC Topic 718) of (a) restricted stock units granted to</w:t>
      </w:r>
    </w:p>
    <w:p>
      <w:pPr>
        <w:spacing w:after="0" w:line="11" w:lineRule="exact"/>
        <w:rPr>
          <w:rFonts w:ascii="Arial" w:cs="Arial" w:eastAsia="Arial" w:hAnsi="Arial"/>
          <w:sz w:val="11"/>
          <w:szCs w:val="11"/>
          <w:color w:val="auto"/>
        </w:rPr>
      </w:pPr>
    </w:p>
    <w:p>
      <w:pPr>
        <w:ind w:left="540" w:right="240"/>
        <w:spacing w:after="0" w:line="238" w:lineRule="auto"/>
        <w:rPr>
          <w:rFonts w:ascii="Arial" w:cs="Arial" w:eastAsia="Arial" w:hAnsi="Arial"/>
          <w:sz w:val="11"/>
          <w:szCs w:val="11"/>
          <w:color w:val="auto"/>
        </w:rPr>
      </w:pPr>
      <w:r>
        <w:rPr>
          <w:rFonts w:ascii="Arial" w:cs="Arial" w:eastAsia="Arial" w:hAnsi="Arial"/>
          <w:sz w:val="13"/>
          <w:szCs w:val="13"/>
          <w:color w:val="auto"/>
        </w:rPr>
        <w:t>Mr. Williams on January 5, 2021, and to Messrs. Westbrooks, Raketich, Bryan and Moline and Ms. Syrvalin on March 1, 2021; and (b) performance shares (subject to being earned based upon achievement of the established performance objectives) granted to Mr. Williams on January 5, 2021, and to Messrs. Westbrooks, Raketich, Bryan and Moline and</w:t>
      </w:r>
    </w:p>
    <w:p>
      <w:pPr>
        <w:ind w:left="540" w:right="40"/>
        <w:spacing w:after="0" w:line="232" w:lineRule="auto"/>
        <w:rPr>
          <w:rFonts w:ascii="Arial" w:cs="Arial" w:eastAsia="Arial" w:hAnsi="Arial"/>
          <w:sz w:val="11"/>
          <w:szCs w:val="11"/>
          <w:color w:val="auto"/>
        </w:rPr>
      </w:pPr>
      <w:r>
        <w:rPr>
          <w:rFonts w:ascii="Arial" w:cs="Arial" w:eastAsia="Arial" w:hAnsi="Arial"/>
          <w:sz w:val="14"/>
          <w:szCs w:val="14"/>
          <w:color w:val="auto"/>
        </w:rPr>
        <w:t>Ms. Syrvalin, on March 1, 2021, assuming target achievement of the established performance objectives, which was the probable outcome on the grant date. Should performance equal or exceed the maximum goals for these 2021 performance shares, the grant date fair value for such awards would be as follows: Mr. Williams - $3,283,467; Mr. Westbrooks - $522,372; Ms. Syrvalin - $289,632; Mr. Raketich - $166,797; Mr. Bryan - $221,103 and Mr. Moline - $221,103.</w:t>
      </w:r>
    </w:p>
    <w:p>
      <w:pPr>
        <w:spacing w:after="0" w:line="124"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56</w:t>
      </w:r>
    </w:p>
    <w:p>
      <w:pPr>
        <w:sectPr>
          <w:pgSz w:w="11900" w:h="16838" w:orient="portrait"/>
          <w:cols w:equalWidth="0" w:num="1">
            <w:col w:w="11140"/>
          </w:cols>
          <w:pgMar w:left="320" w:top="459" w:right="4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60" w:right="60"/>
        <w:spacing w:after="0" w:line="233" w:lineRule="auto"/>
        <w:rPr>
          <w:sz w:val="20"/>
          <w:szCs w:val="20"/>
          <w:color w:val="auto"/>
        </w:rPr>
      </w:pPr>
      <w:r>
        <w:rPr>
          <w:rFonts w:ascii="Arial" w:cs="Arial" w:eastAsia="Arial" w:hAnsi="Arial"/>
          <w:sz w:val="14"/>
          <w:szCs w:val="14"/>
          <w:color w:val="auto"/>
        </w:rPr>
        <w:t>The restricted stock units granted to Mr. Williams generally will vest in full on January 5, 2024, while the restricted stock units granted to Messrs. Westbrooks and Raketich and Ms. Syrvalin generally will vest in full on March 1, 2024, in each case provided the named executive officer remains continuously employed by the company through that date. As a result of the termination of employment of Messrs. Bryan and Moline on May 7, 2021, 7,600 of the 17,100 restricted stock units awarded to each of them in 2021 were canceled. The remaining 9,500 restricted stock units for each will vest on March 1, 2024.</w:t>
      </w:r>
    </w:p>
    <w:p>
      <w:pPr>
        <w:spacing w:after="0" w:line="77" w:lineRule="exact"/>
        <w:rPr>
          <w:sz w:val="20"/>
          <w:szCs w:val="20"/>
          <w:color w:val="auto"/>
        </w:rPr>
      </w:pPr>
    </w:p>
    <w:p>
      <w:pPr>
        <w:ind w:left="560" w:right="40"/>
        <w:spacing w:after="0" w:line="244" w:lineRule="auto"/>
        <w:rPr>
          <w:sz w:val="20"/>
          <w:szCs w:val="20"/>
          <w:color w:val="auto"/>
        </w:rPr>
      </w:pPr>
      <w:r>
        <w:rPr>
          <w:rFonts w:ascii="Arial" w:cs="Arial" w:eastAsia="Arial" w:hAnsi="Arial"/>
          <w:sz w:val="13"/>
          <w:szCs w:val="13"/>
          <w:color w:val="auto"/>
        </w:rPr>
        <w:t>For the performance shares awarded in 2021 to Messrs. Williams, Westbrooks, Raketich, Bryan and Moline and Ms. Syrvalin, average payout (determined under a Compensation Committee-approved matrix) for the company’s relative total shareholder return as compared to an identified peer group of steel companies for the one-, two- and three-year periods beginning January 1, 2021 and ending December 31, 2021, 2022 and 2023, respectively, will be used to determine whether (and how many) performance shares are earned for the full 2021–2023 performance cycle. Performance shares earned will vest and be payable in shares following the conclusion of the three-year performance period on December 31, 2023, at such time as the Compensation Committee shall have determined the degree to which the performance metrics have been achieved and the resulting number of performance shares earned. As a result of the termination of employment of Messrs. Bryan and Moline on May 7, 2021, 6,650 of the 17,100 performance shares awarded to each of them were canceled. Any portion of the remaining 10,450 performance shares earned by Messrs. Bryan and Moline (based on achievement of the established performance objectives for the 2021-2023 performance period) will vest following the conclusion of the three-year performance period on December 31, 2023 at such time as the Compensation Committee shall have determined the degree to which the performance metrics have been achieved and the resulting number of performance shares earned.</w:t>
      </w:r>
    </w:p>
    <w:p>
      <w:pPr>
        <w:spacing w:after="0" w:line="90" w:lineRule="exact"/>
        <w:rPr>
          <w:sz w:val="20"/>
          <w:szCs w:val="20"/>
          <w:color w:val="auto"/>
        </w:rPr>
      </w:pPr>
    </w:p>
    <w:p>
      <w:pPr>
        <w:ind w:left="540" w:right="40" w:hanging="424"/>
        <w:spacing w:after="0" w:line="233" w:lineRule="auto"/>
        <w:tabs>
          <w:tab w:leader="none" w:pos="540" w:val="left"/>
        </w:tabs>
        <w:numPr>
          <w:ilvl w:val="0"/>
          <w:numId w:val="57"/>
        </w:numPr>
        <w:rPr>
          <w:rFonts w:ascii="Arial" w:cs="Arial" w:eastAsia="Arial" w:hAnsi="Arial"/>
          <w:sz w:val="12"/>
          <w:szCs w:val="12"/>
          <w:color w:val="auto"/>
        </w:rPr>
      </w:pPr>
      <w:r>
        <w:rPr>
          <w:rFonts w:ascii="Arial" w:cs="Arial" w:eastAsia="Arial" w:hAnsi="Arial"/>
          <w:sz w:val="14"/>
          <w:szCs w:val="14"/>
          <w:color w:val="auto"/>
        </w:rPr>
        <w:t>The amounts shown in this column represent, for each year, the grant date fair value of nonqualified stock options (calculated in accordance with FASB ASC Topic 718) using the Black-Scholes model. All stock options generally vest at a rate of 25 percent per year. Assumptions used to determine the value of these nonqualified stock options are described in Note 16 of the Notes to Consolidated Financial Statements included in our Annual Report on Form 10-K for the year ended December 31, 2021. The company did not grant any stock options in 2021.</w:t>
      </w:r>
    </w:p>
    <w:p>
      <w:pPr>
        <w:spacing w:after="0" w:line="76" w:lineRule="exact"/>
        <w:rPr>
          <w:rFonts w:ascii="Arial" w:cs="Arial" w:eastAsia="Arial" w:hAnsi="Arial"/>
          <w:sz w:val="12"/>
          <w:szCs w:val="12"/>
          <w:color w:val="auto"/>
        </w:rPr>
      </w:pPr>
    </w:p>
    <w:p>
      <w:pPr>
        <w:ind w:left="560" w:right="580"/>
        <w:spacing w:after="0" w:line="253" w:lineRule="auto"/>
        <w:rPr>
          <w:rFonts w:ascii="Arial" w:cs="Arial" w:eastAsia="Arial" w:hAnsi="Arial"/>
          <w:sz w:val="12"/>
          <w:szCs w:val="12"/>
          <w:color w:val="auto"/>
        </w:rPr>
      </w:pPr>
      <w:r>
        <w:rPr>
          <w:rFonts w:ascii="Arial" w:cs="Arial" w:eastAsia="Arial" w:hAnsi="Arial"/>
          <w:sz w:val="14"/>
          <w:szCs w:val="14"/>
          <w:color w:val="auto"/>
        </w:rPr>
        <w:t>As a result of the termination of employment of Messrs. Bryan and Moline on May 7, 2021, 17,550 options and 3,500 options granted to each of them on March 2, 2020 and February 15, 2019, respectively, were canceled and all remaining unvested options granted in 2018, 2019 and 2020 were vested.</w:t>
      </w:r>
    </w:p>
    <w:p>
      <w:pPr>
        <w:spacing w:after="0" w:line="79" w:lineRule="exact"/>
        <w:rPr>
          <w:rFonts w:ascii="Arial" w:cs="Arial" w:eastAsia="Arial" w:hAnsi="Arial"/>
          <w:sz w:val="12"/>
          <w:szCs w:val="12"/>
          <w:color w:val="auto"/>
        </w:rPr>
      </w:pPr>
    </w:p>
    <w:p>
      <w:pPr>
        <w:ind w:left="540" w:right="160" w:hanging="424"/>
        <w:spacing w:after="0" w:line="238" w:lineRule="auto"/>
        <w:tabs>
          <w:tab w:leader="none" w:pos="540" w:val="left"/>
        </w:tabs>
        <w:numPr>
          <w:ilvl w:val="0"/>
          <w:numId w:val="57"/>
        </w:numPr>
        <w:rPr>
          <w:rFonts w:ascii="Arial" w:cs="Arial" w:eastAsia="Arial" w:hAnsi="Arial"/>
          <w:sz w:val="12"/>
          <w:szCs w:val="12"/>
          <w:color w:val="auto"/>
        </w:rPr>
      </w:pPr>
      <w:r>
        <w:rPr>
          <w:rFonts w:ascii="Arial" w:cs="Arial" w:eastAsia="Arial" w:hAnsi="Arial"/>
          <w:sz w:val="14"/>
          <w:szCs w:val="14"/>
          <w:color w:val="auto"/>
        </w:rPr>
        <w:t>The amounts shown in this column for 2021 represent cash payouts earned under the TimkenSteel Corporation Annual Performance Award plan for Messrs. Williams, Westbrooks, Raketich, Bryan and Moline and Ms. Syrvalin. For additional information, see “Analysis of 2021 compensation – Annual incentive – 2021 Annual performance award decisions” in the Compensation Discussion and Analysis section of this proxy statement.</w:t>
      </w:r>
    </w:p>
    <w:p>
      <w:pPr>
        <w:spacing w:after="0" w:line="88" w:lineRule="exact"/>
        <w:rPr>
          <w:rFonts w:ascii="Arial" w:cs="Arial" w:eastAsia="Arial" w:hAnsi="Arial"/>
          <w:sz w:val="12"/>
          <w:szCs w:val="12"/>
          <w:color w:val="auto"/>
        </w:rPr>
      </w:pPr>
    </w:p>
    <w:p>
      <w:pPr>
        <w:ind w:left="540" w:right="40" w:hanging="424"/>
        <w:spacing w:after="0" w:line="227" w:lineRule="auto"/>
        <w:tabs>
          <w:tab w:leader="none" w:pos="540" w:val="left"/>
        </w:tabs>
        <w:numPr>
          <w:ilvl w:val="0"/>
          <w:numId w:val="57"/>
        </w:numPr>
        <w:rPr>
          <w:rFonts w:ascii="Arial" w:cs="Arial" w:eastAsia="Arial" w:hAnsi="Arial"/>
          <w:sz w:val="12"/>
          <w:szCs w:val="12"/>
          <w:color w:val="auto"/>
        </w:rPr>
      </w:pPr>
      <w:r>
        <w:rPr>
          <w:rFonts w:ascii="Arial" w:cs="Arial" w:eastAsia="Arial" w:hAnsi="Arial"/>
          <w:sz w:val="14"/>
          <w:szCs w:val="14"/>
          <w:color w:val="auto"/>
        </w:rPr>
        <w:t>The amounts shown in this column for 2021 represent the difference between the amounts shown in the “2021 Pension benefits table” as of December 31, 2021, and those amounts calculated as of December 31, 2020. The amounts were calculated using the same assumptions used in 2020 and included in the footnotes of the “2021 Pension benefits table,” except that the calculations as of December 31, 2021 utilized (a) a discount rate of 3.04 percent (while a discount rate of 2.77 percent was used for the calculation as of December 31, 2020) and (b) updated mortality statistics consistent with the 2021 mortality projection scale of the Society of Actuaries. The increase in value of $298,860 for Mr. Bryan is comprised of an increase of $335,860 from the change due to the actual election taken, an increase of $9,000 due to age, and an increase of $3,000 from the use of the updated mortality projection scale, offset by a decrease of $49,000 from the use of the higher discount rate. The actual negative change in pension value for Messrs. Moline and Raketich are $(13,000) and $(26,000), respectively. Messrs. Williams and Westbrooks and Ms. Syrvalin are not eligible for company-paid pension benefits. For additional information, please see “2021 Pension benefits table” in this proxy statement.</w:t>
      </w:r>
    </w:p>
    <w:p>
      <w:pPr>
        <w:spacing w:after="0" w:line="77" w:lineRule="exact"/>
        <w:rPr>
          <w:rFonts w:ascii="Arial" w:cs="Arial" w:eastAsia="Arial" w:hAnsi="Arial"/>
          <w:sz w:val="12"/>
          <w:szCs w:val="12"/>
          <w:color w:val="auto"/>
        </w:rPr>
      </w:pPr>
    </w:p>
    <w:p>
      <w:pPr>
        <w:ind w:left="560" w:right="280"/>
        <w:spacing w:after="0" w:line="290" w:lineRule="auto"/>
        <w:rPr>
          <w:rFonts w:ascii="Arial" w:cs="Arial" w:eastAsia="Arial" w:hAnsi="Arial"/>
          <w:sz w:val="12"/>
          <w:szCs w:val="12"/>
          <w:color w:val="auto"/>
        </w:rPr>
      </w:pPr>
      <w:r>
        <w:rPr>
          <w:rFonts w:ascii="Arial" w:cs="Arial" w:eastAsia="Arial" w:hAnsi="Arial"/>
          <w:sz w:val="13"/>
          <w:szCs w:val="13"/>
          <w:color w:val="auto"/>
        </w:rPr>
        <w:t>Liabilities were determined assuming no probability of termination, retirement, death or disability before age 62 (the earliest age unreduced pension benefits are payable from the plans). None of the NEOs earned above-market earnings in a deferred compensation plan. For additional information, see the discussion below under “Pension benefits.”</w:t>
      </w:r>
    </w:p>
    <w:p>
      <w:pPr>
        <w:spacing w:after="0" w:line="57" w:lineRule="exact"/>
        <w:rPr>
          <w:rFonts w:ascii="Arial" w:cs="Arial" w:eastAsia="Arial" w:hAnsi="Arial"/>
          <w:sz w:val="12"/>
          <w:szCs w:val="12"/>
          <w:color w:val="auto"/>
        </w:rPr>
      </w:pPr>
    </w:p>
    <w:p>
      <w:pPr>
        <w:ind w:left="540" w:hanging="424"/>
        <w:spacing w:after="0"/>
        <w:tabs>
          <w:tab w:leader="none" w:pos="540" w:val="left"/>
        </w:tabs>
        <w:numPr>
          <w:ilvl w:val="0"/>
          <w:numId w:val="57"/>
        </w:numPr>
        <w:rPr>
          <w:rFonts w:ascii="Arial" w:cs="Arial" w:eastAsia="Arial" w:hAnsi="Arial"/>
          <w:sz w:val="12"/>
          <w:szCs w:val="12"/>
          <w:color w:val="auto"/>
        </w:rPr>
      </w:pPr>
      <w:r>
        <w:rPr>
          <w:rFonts w:ascii="Arial" w:cs="Arial" w:eastAsia="Arial" w:hAnsi="Arial"/>
          <w:sz w:val="14"/>
          <w:szCs w:val="14"/>
          <w:color w:val="auto"/>
        </w:rPr>
        <w:t xml:space="preserve">The amounts shown in this column for 2021 are broken down in detail in the following table </w:t>
      </w:r>
      <w:r>
        <w:rPr>
          <w:rFonts w:ascii="Arial" w:cs="Arial" w:eastAsia="Arial" w:hAnsi="Arial"/>
          <w:sz w:val="12"/>
          <w:szCs w:val="12"/>
          <w:color w:val="auto"/>
        </w:rPr>
        <w:t>(a)</w:t>
      </w:r>
      <w:r>
        <w:rPr>
          <w:rFonts w:ascii="Arial" w:cs="Arial" w:eastAsia="Arial" w:hAnsi="Arial"/>
          <w:sz w:val="14"/>
          <w:szCs w:val="14"/>
          <w:color w:val="auto"/>
        </w:rPr>
        <w:t>:</w:t>
      </w:r>
    </w:p>
    <w:p>
      <w:pPr>
        <w:spacing w:after="0" w:line="109" w:lineRule="exact"/>
        <w:rPr>
          <w:sz w:val="20"/>
          <w:szCs w:val="20"/>
          <w:color w:val="auto"/>
        </w:rPr>
      </w:pPr>
    </w:p>
    <w:tbl>
      <w:tblPr>
        <w:tblLayout w:type="fixed"/>
        <w:tblInd w:w="560" w:type="dxa"/>
        <w:tblCellMar>
          <w:top w:w="0" w:type="dxa"/>
          <w:left w:w="0" w:type="dxa"/>
          <w:bottom w:w="0" w:type="dxa"/>
          <w:right w:w="0" w:type="dxa"/>
        </w:tblCellMar>
      </w:tblPr>
      <w:tr>
        <w:trPr>
          <w:trHeight w:val="126"/>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18"/>
              <w:spacing w:after="0"/>
              <w:rPr>
                <w:sz w:val="20"/>
                <w:szCs w:val="20"/>
                <w:color w:val="auto"/>
              </w:rPr>
            </w:pPr>
            <w:r>
              <w:rPr>
                <w:rFonts w:ascii="Arial" w:cs="Arial" w:eastAsia="Arial" w:hAnsi="Arial"/>
                <w:sz w:val="11"/>
                <w:szCs w:val="11"/>
                <w:b w:val="1"/>
                <w:bCs w:val="1"/>
                <w:color w:val="FFFFFF"/>
                <w:w w:val="91"/>
              </w:rPr>
              <w:t>Annual</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spacing w:after="0"/>
              <w:rPr>
                <w:sz w:val="10"/>
                <w:szCs w:val="10"/>
                <w:color w:val="auto"/>
              </w:rPr>
            </w:pP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spacing w:after="0"/>
              <w:rPr>
                <w:sz w:val="10"/>
                <w:szCs w:val="10"/>
                <w:color w:val="auto"/>
              </w:rPr>
            </w:pP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22"/>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18"/>
              <w:spacing w:after="0" w:line="122" w:lineRule="exact"/>
              <w:rPr>
                <w:sz w:val="20"/>
                <w:szCs w:val="20"/>
                <w:color w:val="auto"/>
              </w:rPr>
            </w:pPr>
            <w:r>
              <w:rPr>
                <w:rFonts w:ascii="Arial" w:cs="Arial" w:eastAsia="Arial" w:hAnsi="Arial"/>
                <w:sz w:val="11"/>
                <w:szCs w:val="11"/>
                <w:b w:val="1"/>
                <w:bCs w:val="1"/>
                <w:color w:val="FFFFFF"/>
                <w:w w:val="86"/>
              </w:rPr>
              <w:t>company</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jc w:val="center"/>
              <w:ind w:right="197"/>
              <w:spacing w:after="0" w:line="122" w:lineRule="exact"/>
              <w:rPr>
                <w:sz w:val="20"/>
                <w:szCs w:val="20"/>
                <w:color w:val="auto"/>
              </w:rPr>
            </w:pPr>
            <w:r>
              <w:rPr>
                <w:rFonts w:ascii="Arial" w:cs="Arial" w:eastAsia="Arial" w:hAnsi="Arial"/>
                <w:sz w:val="11"/>
                <w:szCs w:val="11"/>
                <w:b w:val="1"/>
                <w:bCs w:val="1"/>
                <w:color w:val="FFFFFF"/>
                <w:w w:val="91"/>
              </w:rPr>
              <w:t>Annual</w:t>
            </w: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jc w:val="center"/>
              <w:ind w:right="217"/>
              <w:spacing w:after="0" w:line="122" w:lineRule="exact"/>
              <w:rPr>
                <w:sz w:val="20"/>
                <w:szCs w:val="20"/>
                <w:color w:val="auto"/>
              </w:rPr>
            </w:pPr>
            <w:r>
              <w:rPr>
                <w:rFonts w:ascii="Arial" w:cs="Arial" w:eastAsia="Arial" w:hAnsi="Arial"/>
                <w:sz w:val="11"/>
                <w:szCs w:val="11"/>
                <w:b w:val="1"/>
                <w:bCs w:val="1"/>
                <w:color w:val="FFFFFF"/>
                <w:w w:val="96"/>
              </w:rPr>
              <w:t>Annual</w:t>
            </w: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21"/>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38"/>
              <w:spacing w:after="0" w:line="122" w:lineRule="exact"/>
              <w:rPr>
                <w:sz w:val="20"/>
                <w:szCs w:val="20"/>
                <w:color w:val="auto"/>
              </w:rPr>
            </w:pPr>
            <w:r>
              <w:rPr>
                <w:rFonts w:ascii="Arial" w:cs="Arial" w:eastAsia="Arial" w:hAnsi="Arial"/>
                <w:sz w:val="11"/>
                <w:szCs w:val="11"/>
                <w:b w:val="1"/>
                <w:bCs w:val="1"/>
                <w:color w:val="FFFFFF"/>
                <w:w w:val="87"/>
              </w:rPr>
              <w:t>contribution</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jc w:val="center"/>
              <w:ind w:right="197"/>
              <w:spacing w:after="0" w:line="122" w:lineRule="exact"/>
              <w:rPr>
                <w:sz w:val="20"/>
                <w:szCs w:val="20"/>
                <w:color w:val="auto"/>
              </w:rPr>
            </w:pPr>
            <w:r>
              <w:rPr>
                <w:rFonts w:ascii="Arial" w:cs="Arial" w:eastAsia="Arial" w:hAnsi="Arial"/>
                <w:sz w:val="11"/>
                <w:szCs w:val="11"/>
                <w:b w:val="1"/>
                <w:bCs w:val="1"/>
                <w:color w:val="FFFFFF"/>
                <w:w w:val="86"/>
              </w:rPr>
              <w:t>company</w:t>
            </w: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jc w:val="center"/>
              <w:ind w:right="217"/>
              <w:spacing w:after="0" w:line="122" w:lineRule="exact"/>
              <w:rPr>
                <w:sz w:val="20"/>
                <w:szCs w:val="20"/>
                <w:color w:val="auto"/>
              </w:rPr>
            </w:pPr>
            <w:r>
              <w:rPr>
                <w:rFonts w:ascii="Arial" w:cs="Arial" w:eastAsia="Arial" w:hAnsi="Arial"/>
                <w:sz w:val="11"/>
                <w:szCs w:val="11"/>
                <w:b w:val="1"/>
                <w:bCs w:val="1"/>
                <w:color w:val="FFFFFF"/>
              </w:rPr>
              <w:t>life</w:t>
            </w: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22"/>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38"/>
              <w:spacing w:after="0" w:line="122" w:lineRule="exact"/>
              <w:rPr>
                <w:sz w:val="20"/>
                <w:szCs w:val="20"/>
                <w:color w:val="auto"/>
              </w:rPr>
            </w:pPr>
            <w:r>
              <w:rPr>
                <w:rFonts w:ascii="Arial" w:cs="Arial" w:eastAsia="Arial" w:hAnsi="Arial"/>
                <w:sz w:val="11"/>
                <w:szCs w:val="11"/>
                <w:b w:val="1"/>
                <w:bCs w:val="1"/>
                <w:color w:val="FFFFFF"/>
                <w:w w:val="91"/>
              </w:rPr>
              <w:t>to SIP plan</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jc w:val="center"/>
              <w:ind w:right="197"/>
              <w:spacing w:after="0" w:line="122" w:lineRule="exact"/>
              <w:rPr>
                <w:sz w:val="20"/>
                <w:szCs w:val="20"/>
                <w:color w:val="auto"/>
              </w:rPr>
            </w:pPr>
            <w:r>
              <w:rPr>
                <w:rFonts w:ascii="Arial" w:cs="Arial" w:eastAsia="Arial" w:hAnsi="Arial"/>
                <w:sz w:val="11"/>
                <w:szCs w:val="11"/>
                <w:b w:val="1"/>
                <w:bCs w:val="1"/>
                <w:color w:val="FFFFFF"/>
                <w:w w:val="90"/>
              </w:rPr>
              <w:t>contribution</w:t>
            </w: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jc w:val="center"/>
              <w:ind w:right="217"/>
              <w:spacing w:after="0" w:line="122" w:lineRule="exact"/>
              <w:rPr>
                <w:sz w:val="20"/>
                <w:szCs w:val="20"/>
                <w:color w:val="auto"/>
              </w:rPr>
            </w:pPr>
            <w:r>
              <w:rPr>
                <w:rFonts w:ascii="Arial" w:cs="Arial" w:eastAsia="Arial" w:hAnsi="Arial"/>
                <w:sz w:val="11"/>
                <w:szCs w:val="11"/>
                <w:b w:val="1"/>
                <w:bCs w:val="1"/>
                <w:color w:val="FFFFFF"/>
                <w:w w:val="84"/>
              </w:rPr>
              <w:t>insurance</w:t>
            </w: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21"/>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38"/>
              <w:spacing w:after="0" w:line="122" w:lineRule="exact"/>
              <w:rPr>
                <w:sz w:val="20"/>
                <w:szCs w:val="20"/>
                <w:color w:val="auto"/>
              </w:rPr>
            </w:pPr>
            <w:r>
              <w:rPr>
                <w:rFonts w:ascii="Arial" w:cs="Arial" w:eastAsia="Arial" w:hAnsi="Arial"/>
                <w:sz w:val="11"/>
                <w:szCs w:val="11"/>
                <w:b w:val="1"/>
                <w:bCs w:val="1"/>
                <w:color w:val="FFFFFF"/>
                <w:w w:val="87"/>
              </w:rPr>
              <w:t>and core</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jc w:val="center"/>
              <w:ind w:right="177"/>
              <w:spacing w:after="0" w:line="122" w:lineRule="exact"/>
              <w:rPr>
                <w:sz w:val="20"/>
                <w:szCs w:val="20"/>
                <w:color w:val="auto"/>
              </w:rPr>
            </w:pPr>
            <w:r>
              <w:rPr>
                <w:rFonts w:ascii="Arial" w:cs="Arial" w:eastAsia="Arial" w:hAnsi="Arial"/>
                <w:sz w:val="11"/>
                <w:szCs w:val="11"/>
                <w:b w:val="1"/>
                <w:bCs w:val="1"/>
                <w:color w:val="FFFFFF"/>
                <w:w w:val="85"/>
              </w:rPr>
              <w:t>to post-tax</w:t>
            </w: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jc w:val="center"/>
              <w:ind w:right="217"/>
              <w:spacing w:after="0" w:line="122" w:lineRule="exact"/>
              <w:rPr>
                <w:sz w:val="20"/>
                <w:szCs w:val="20"/>
                <w:color w:val="auto"/>
              </w:rPr>
            </w:pPr>
            <w:r>
              <w:rPr>
                <w:rFonts w:ascii="Arial" w:cs="Arial" w:eastAsia="Arial" w:hAnsi="Arial"/>
                <w:sz w:val="11"/>
                <w:szCs w:val="11"/>
                <w:b w:val="1"/>
                <w:bCs w:val="1"/>
                <w:color w:val="FFFFFF"/>
                <w:w w:val="94"/>
              </w:rPr>
              <w:t>premium</w:t>
            </w: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22"/>
        </w:trPr>
        <w:tc>
          <w:tcPr>
            <w:tcW w:w="2320" w:type="dxa"/>
            <w:vAlign w:val="bottom"/>
            <w:shd w:val="clear" w:color="auto" w:fill="333333"/>
          </w:tcPr>
          <w:p>
            <w:pPr>
              <w:spacing w:after="0"/>
              <w:rPr>
                <w:sz w:val="10"/>
                <w:szCs w:val="10"/>
                <w:color w:val="auto"/>
              </w:rPr>
            </w:pPr>
          </w:p>
        </w:tc>
        <w:tc>
          <w:tcPr>
            <w:tcW w:w="980" w:type="dxa"/>
            <w:vAlign w:val="bottom"/>
            <w:shd w:val="clear" w:color="auto" w:fill="333333"/>
          </w:tcPr>
          <w:p>
            <w:pPr>
              <w:spacing w:after="0"/>
              <w:rPr>
                <w:sz w:val="10"/>
                <w:szCs w:val="10"/>
                <w:color w:val="auto"/>
              </w:rPr>
            </w:pPr>
          </w:p>
        </w:tc>
        <w:tc>
          <w:tcPr>
            <w:tcW w:w="1180" w:type="dxa"/>
            <w:vAlign w:val="bottom"/>
            <w:shd w:val="clear" w:color="auto" w:fill="333333"/>
          </w:tcPr>
          <w:p>
            <w:pPr>
              <w:jc w:val="center"/>
              <w:ind w:right="238"/>
              <w:spacing w:after="0" w:line="122" w:lineRule="exact"/>
              <w:rPr>
                <w:sz w:val="20"/>
                <w:szCs w:val="20"/>
                <w:color w:val="auto"/>
              </w:rPr>
            </w:pPr>
            <w:r>
              <w:rPr>
                <w:rFonts w:ascii="Arial" w:cs="Arial" w:eastAsia="Arial" w:hAnsi="Arial"/>
                <w:sz w:val="11"/>
                <w:szCs w:val="11"/>
                <w:b w:val="1"/>
                <w:bCs w:val="1"/>
                <w:color w:val="FFFFFF"/>
              </w:rPr>
              <w:t>DC</w:t>
            </w:r>
          </w:p>
        </w:tc>
        <w:tc>
          <w:tcPr>
            <w:tcW w:w="240" w:type="dxa"/>
            <w:vAlign w:val="bottom"/>
            <w:shd w:val="clear" w:color="auto" w:fill="333333"/>
          </w:tcPr>
          <w:p>
            <w:pPr>
              <w:spacing w:after="0"/>
              <w:rPr>
                <w:sz w:val="10"/>
                <w:szCs w:val="10"/>
                <w:color w:val="auto"/>
              </w:rPr>
            </w:pPr>
          </w:p>
        </w:tc>
        <w:tc>
          <w:tcPr>
            <w:tcW w:w="1040" w:type="dxa"/>
            <w:vAlign w:val="bottom"/>
            <w:shd w:val="clear" w:color="auto" w:fill="333333"/>
          </w:tcPr>
          <w:p>
            <w:pPr>
              <w:jc w:val="center"/>
              <w:ind w:right="197"/>
              <w:spacing w:after="0" w:line="122" w:lineRule="exact"/>
              <w:rPr>
                <w:sz w:val="20"/>
                <w:szCs w:val="20"/>
                <w:color w:val="auto"/>
              </w:rPr>
            </w:pPr>
            <w:r>
              <w:rPr>
                <w:rFonts w:ascii="Arial" w:cs="Arial" w:eastAsia="Arial" w:hAnsi="Arial"/>
                <w:sz w:val="11"/>
                <w:szCs w:val="11"/>
                <w:b w:val="1"/>
                <w:bCs w:val="1"/>
                <w:color w:val="FFFFFF"/>
                <w:w w:val="82"/>
              </w:rPr>
              <w:t>savings</w:t>
            </w:r>
          </w:p>
        </w:tc>
        <w:tc>
          <w:tcPr>
            <w:tcW w:w="280" w:type="dxa"/>
            <w:vAlign w:val="bottom"/>
            <w:shd w:val="clear" w:color="auto" w:fill="333333"/>
          </w:tcPr>
          <w:p>
            <w:pPr>
              <w:spacing w:after="0"/>
              <w:rPr>
                <w:sz w:val="10"/>
                <w:szCs w:val="10"/>
                <w:color w:val="auto"/>
              </w:rPr>
            </w:pPr>
          </w:p>
        </w:tc>
        <w:tc>
          <w:tcPr>
            <w:tcW w:w="1000" w:type="dxa"/>
            <w:vAlign w:val="bottom"/>
            <w:shd w:val="clear" w:color="auto" w:fill="333333"/>
          </w:tcPr>
          <w:p>
            <w:pPr>
              <w:jc w:val="center"/>
              <w:ind w:right="217"/>
              <w:spacing w:after="0" w:line="122" w:lineRule="exact"/>
              <w:rPr>
                <w:sz w:val="20"/>
                <w:szCs w:val="20"/>
                <w:color w:val="auto"/>
              </w:rPr>
            </w:pPr>
            <w:r>
              <w:rPr>
                <w:rFonts w:ascii="Arial" w:cs="Arial" w:eastAsia="Arial" w:hAnsi="Arial"/>
                <w:sz w:val="11"/>
                <w:szCs w:val="11"/>
                <w:b w:val="1"/>
                <w:bCs w:val="1"/>
                <w:color w:val="FFFFFF"/>
                <w:w w:val="84"/>
              </w:rPr>
              <w:t>(company</w:t>
            </w:r>
          </w:p>
        </w:tc>
        <w:tc>
          <w:tcPr>
            <w:tcW w:w="260" w:type="dxa"/>
            <w:vAlign w:val="bottom"/>
            <w:shd w:val="clear" w:color="auto" w:fill="333333"/>
          </w:tcPr>
          <w:p>
            <w:pPr>
              <w:spacing w:after="0"/>
              <w:rPr>
                <w:sz w:val="10"/>
                <w:szCs w:val="10"/>
                <w:color w:val="auto"/>
              </w:rPr>
            </w:pPr>
          </w:p>
        </w:tc>
        <w:tc>
          <w:tcPr>
            <w:tcW w:w="1280" w:type="dxa"/>
            <w:vAlign w:val="bottom"/>
            <w:shd w:val="clear" w:color="auto" w:fill="333333"/>
          </w:tcPr>
          <w:p>
            <w:pPr>
              <w:spacing w:after="0"/>
              <w:rPr>
                <w:sz w:val="10"/>
                <w:szCs w:val="10"/>
                <w:color w:val="auto"/>
              </w:rPr>
            </w:pPr>
          </w:p>
        </w:tc>
        <w:tc>
          <w:tcPr>
            <w:tcW w:w="360" w:type="dxa"/>
            <w:vAlign w:val="bottom"/>
            <w:shd w:val="clear" w:color="auto" w:fill="333333"/>
          </w:tcPr>
          <w:p>
            <w:pPr>
              <w:spacing w:after="0"/>
              <w:rPr>
                <w:sz w:val="10"/>
                <w:szCs w:val="10"/>
                <w:color w:val="auto"/>
              </w:rPr>
            </w:pPr>
          </w:p>
        </w:tc>
        <w:tc>
          <w:tcPr>
            <w:tcW w:w="1180" w:type="dxa"/>
            <w:vAlign w:val="bottom"/>
            <w:shd w:val="clear" w:color="auto" w:fill="333333"/>
          </w:tcPr>
          <w:p>
            <w:pPr>
              <w:spacing w:after="0"/>
              <w:rPr>
                <w:sz w:val="10"/>
                <w:szCs w:val="10"/>
                <w:color w:val="auto"/>
              </w:rPr>
            </w:pPr>
          </w:p>
        </w:tc>
      </w:tr>
      <w:tr>
        <w:trPr>
          <w:trHeight w:val="149"/>
        </w:trPr>
        <w:tc>
          <w:tcPr>
            <w:tcW w:w="2320" w:type="dxa"/>
            <w:vAlign w:val="bottom"/>
            <w:shd w:val="clear" w:color="auto" w:fill="333333"/>
          </w:tcPr>
          <w:p>
            <w:pPr>
              <w:ind w:left="140"/>
              <w:spacing w:after="0"/>
              <w:rPr>
                <w:sz w:val="20"/>
                <w:szCs w:val="20"/>
                <w:color w:val="auto"/>
              </w:rPr>
            </w:pPr>
            <w:r>
              <w:rPr>
                <w:rFonts w:ascii="Arial" w:cs="Arial" w:eastAsia="Arial" w:hAnsi="Arial"/>
                <w:sz w:val="11"/>
                <w:szCs w:val="11"/>
                <w:b w:val="1"/>
                <w:bCs w:val="1"/>
                <w:color w:val="FFFFFF"/>
              </w:rPr>
              <w:t>Name</w:t>
            </w:r>
          </w:p>
        </w:tc>
        <w:tc>
          <w:tcPr>
            <w:tcW w:w="980" w:type="dxa"/>
            <w:vAlign w:val="bottom"/>
            <w:shd w:val="clear" w:color="auto" w:fill="333333"/>
          </w:tcPr>
          <w:p>
            <w:pPr>
              <w:spacing w:after="0"/>
              <w:rPr>
                <w:sz w:val="12"/>
                <w:szCs w:val="12"/>
                <w:color w:val="auto"/>
              </w:rPr>
            </w:pPr>
          </w:p>
        </w:tc>
        <w:tc>
          <w:tcPr>
            <w:tcW w:w="1180" w:type="dxa"/>
            <w:vAlign w:val="bottom"/>
            <w:shd w:val="clear" w:color="auto" w:fill="333333"/>
          </w:tcPr>
          <w:p>
            <w:pPr>
              <w:jc w:val="center"/>
              <w:ind w:right="238"/>
              <w:spacing w:after="0"/>
              <w:rPr>
                <w:sz w:val="20"/>
                <w:szCs w:val="20"/>
                <w:color w:val="auto"/>
              </w:rPr>
            </w:pPr>
            <w:r>
              <w:rPr>
                <w:rFonts w:ascii="Arial" w:cs="Arial" w:eastAsia="Arial" w:hAnsi="Arial"/>
                <w:sz w:val="11"/>
                <w:szCs w:val="11"/>
                <w:b w:val="1"/>
                <w:bCs w:val="1"/>
                <w:color w:val="FFFFFF"/>
                <w:w w:val="92"/>
              </w:rPr>
              <w:t>program</w:t>
            </w:r>
            <w:r>
              <w:rPr>
                <w:rFonts w:ascii="Arial" w:cs="Arial" w:eastAsia="Arial" w:hAnsi="Arial"/>
                <w:sz w:val="9"/>
                <w:szCs w:val="9"/>
                <w:b w:val="1"/>
                <w:bCs w:val="1"/>
                <w:color w:val="FFFFFF"/>
                <w:w w:val="92"/>
              </w:rPr>
              <w:t>(b)</w:t>
            </w:r>
          </w:p>
        </w:tc>
        <w:tc>
          <w:tcPr>
            <w:tcW w:w="240" w:type="dxa"/>
            <w:vAlign w:val="bottom"/>
            <w:shd w:val="clear" w:color="auto" w:fill="333333"/>
          </w:tcPr>
          <w:p>
            <w:pPr>
              <w:spacing w:after="0"/>
              <w:rPr>
                <w:sz w:val="12"/>
                <w:szCs w:val="12"/>
                <w:color w:val="auto"/>
              </w:rPr>
            </w:pPr>
          </w:p>
        </w:tc>
        <w:tc>
          <w:tcPr>
            <w:tcW w:w="1040" w:type="dxa"/>
            <w:vAlign w:val="bottom"/>
            <w:shd w:val="clear" w:color="auto" w:fill="333333"/>
          </w:tcPr>
          <w:p>
            <w:pPr>
              <w:jc w:val="center"/>
              <w:ind w:right="197"/>
              <w:spacing w:after="0"/>
              <w:rPr>
                <w:sz w:val="20"/>
                <w:szCs w:val="20"/>
                <w:color w:val="auto"/>
              </w:rPr>
            </w:pPr>
            <w:r>
              <w:rPr>
                <w:rFonts w:ascii="Arial" w:cs="Arial" w:eastAsia="Arial" w:hAnsi="Arial"/>
                <w:sz w:val="11"/>
                <w:szCs w:val="11"/>
                <w:b w:val="1"/>
                <w:bCs w:val="1"/>
                <w:color w:val="FFFFFF"/>
                <w:w w:val="89"/>
              </w:rPr>
              <w:t>benefit</w:t>
            </w:r>
            <w:r>
              <w:rPr>
                <w:rFonts w:ascii="Arial" w:cs="Arial" w:eastAsia="Arial" w:hAnsi="Arial"/>
                <w:sz w:val="9"/>
                <w:szCs w:val="9"/>
                <w:b w:val="1"/>
                <w:bCs w:val="1"/>
                <w:color w:val="FFFFFF"/>
                <w:w w:val="89"/>
              </w:rPr>
              <w:t>(c)</w:t>
            </w:r>
          </w:p>
        </w:tc>
        <w:tc>
          <w:tcPr>
            <w:tcW w:w="280" w:type="dxa"/>
            <w:vAlign w:val="bottom"/>
            <w:shd w:val="clear" w:color="auto" w:fill="333333"/>
          </w:tcPr>
          <w:p>
            <w:pPr>
              <w:spacing w:after="0"/>
              <w:rPr>
                <w:sz w:val="12"/>
                <w:szCs w:val="12"/>
                <w:color w:val="auto"/>
              </w:rPr>
            </w:pPr>
          </w:p>
        </w:tc>
        <w:tc>
          <w:tcPr>
            <w:tcW w:w="1000" w:type="dxa"/>
            <w:vAlign w:val="bottom"/>
            <w:shd w:val="clear" w:color="auto" w:fill="333333"/>
          </w:tcPr>
          <w:p>
            <w:pPr>
              <w:jc w:val="center"/>
              <w:ind w:right="217"/>
              <w:spacing w:after="0"/>
              <w:rPr>
                <w:sz w:val="20"/>
                <w:szCs w:val="20"/>
                <w:color w:val="auto"/>
              </w:rPr>
            </w:pPr>
            <w:r>
              <w:rPr>
                <w:rFonts w:ascii="Arial" w:cs="Arial" w:eastAsia="Arial" w:hAnsi="Arial"/>
                <w:sz w:val="11"/>
                <w:szCs w:val="11"/>
                <w:b w:val="1"/>
                <w:bCs w:val="1"/>
                <w:color w:val="FFFFFF"/>
                <w:w w:val="91"/>
              </w:rPr>
              <w:t>paid)</w:t>
            </w:r>
          </w:p>
        </w:tc>
        <w:tc>
          <w:tcPr>
            <w:tcW w:w="260" w:type="dxa"/>
            <w:vAlign w:val="bottom"/>
            <w:shd w:val="clear" w:color="auto" w:fill="333333"/>
          </w:tcPr>
          <w:p>
            <w:pPr>
              <w:spacing w:after="0"/>
              <w:rPr>
                <w:sz w:val="12"/>
                <w:szCs w:val="12"/>
                <w:color w:val="auto"/>
              </w:rPr>
            </w:pPr>
          </w:p>
        </w:tc>
        <w:tc>
          <w:tcPr>
            <w:tcW w:w="1280" w:type="dxa"/>
            <w:vAlign w:val="bottom"/>
            <w:shd w:val="clear" w:color="auto" w:fill="333333"/>
          </w:tcPr>
          <w:p>
            <w:pPr>
              <w:jc w:val="right"/>
              <w:ind w:right="311"/>
              <w:spacing w:after="0"/>
              <w:rPr>
                <w:sz w:val="20"/>
                <w:szCs w:val="20"/>
                <w:color w:val="auto"/>
              </w:rPr>
            </w:pPr>
            <w:r>
              <w:rPr>
                <w:rFonts w:ascii="Arial" w:cs="Arial" w:eastAsia="Arial" w:hAnsi="Arial"/>
                <w:sz w:val="11"/>
                <w:szCs w:val="11"/>
                <w:b w:val="1"/>
                <w:bCs w:val="1"/>
                <w:color w:val="FFFFFF"/>
              </w:rPr>
              <w:t>Life insurance</w:t>
            </w:r>
            <w:r>
              <w:rPr>
                <w:rFonts w:ascii="Arial" w:cs="Arial" w:eastAsia="Arial" w:hAnsi="Arial"/>
                <w:sz w:val="9"/>
                <w:szCs w:val="9"/>
                <w:b w:val="1"/>
                <w:bCs w:val="1"/>
                <w:color w:val="FFFFFF"/>
              </w:rPr>
              <w:t>(d)</w:t>
            </w:r>
          </w:p>
        </w:tc>
        <w:tc>
          <w:tcPr>
            <w:tcW w:w="360" w:type="dxa"/>
            <w:vAlign w:val="bottom"/>
            <w:shd w:val="clear" w:color="auto" w:fill="333333"/>
          </w:tcPr>
          <w:p>
            <w:pPr>
              <w:spacing w:after="0"/>
              <w:rPr>
                <w:sz w:val="12"/>
                <w:szCs w:val="12"/>
                <w:color w:val="auto"/>
              </w:rPr>
            </w:pPr>
          </w:p>
        </w:tc>
        <w:tc>
          <w:tcPr>
            <w:tcW w:w="1180" w:type="dxa"/>
            <w:vAlign w:val="bottom"/>
            <w:shd w:val="clear" w:color="auto" w:fill="333333"/>
          </w:tcPr>
          <w:p>
            <w:pPr>
              <w:jc w:val="right"/>
              <w:ind w:right="511"/>
              <w:spacing w:after="0"/>
              <w:rPr>
                <w:sz w:val="20"/>
                <w:szCs w:val="20"/>
                <w:color w:val="auto"/>
              </w:rPr>
            </w:pPr>
            <w:r>
              <w:rPr>
                <w:rFonts w:ascii="Arial" w:cs="Arial" w:eastAsia="Arial" w:hAnsi="Arial"/>
                <w:sz w:val="11"/>
                <w:szCs w:val="11"/>
                <w:b w:val="1"/>
                <w:bCs w:val="1"/>
                <w:color w:val="FFFFFF"/>
              </w:rPr>
              <w:t>Other</w:t>
            </w:r>
            <w:r>
              <w:rPr>
                <w:rFonts w:ascii="Arial" w:cs="Arial" w:eastAsia="Arial" w:hAnsi="Arial"/>
                <w:sz w:val="9"/>
                <w:szCs w:val="9"/>
                <w:b w:val="1"/>
                <w:bCs w:val="1"/>
                <w:color w:val="FFFFFF"/>
              </w:rPr>
              <w:t>(e)</w:t>
            </w:r>
          </w:p>
        </w:tc>
      </w:tr>
      <w:tr>
        <w:trPr>
          <w:trHeight w:val="162"/>
        </w:trPr>
        <w:tc>
          <w:tcPr>
            <w:tcW w:w="2320" w:type="dxa"/>
            <w:vAlign w:val="bottom"/>
            <w:shd w:val="clear" w:color="auto" w:fill="D8D8D8"/>
          </w:tcPr>
          <w:p>
            <w:pPr>
              <w:ind w:left="80"/>
              <w:spacing w:after="0"/>
              <w:rPr>
                <w:sz w:val="20"/>
                <w:szCs w:val="20"/>
                <w:color w:val="auto"/>
              </w:rPr>
            </w:pPr>
            <w:r>
              <w:rPr>
                <w:rFonts w:ascii="Arial" w:cs="Arial" w:eastAsia="Arial" w:hAnsi="Arial"/>
                <w:sz w:val="14"/>
                <w:szCs w:val="14"/>
                <w:color w:val="auto"/>
              </w:rPr>
              <w:t>Michael S. Williams</w:t>
            </w:r>
          </w:p>
        </w:tc>
        <w:tc>
          <w:tcPr>
            <w:tcW w:w="9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8"/>
              <w:spacing w:after="0"/>
              <w:rPr>
                <w:sz w:val="20"/>
                <w:szCs w:val="20"/>
                <w:color w:val="auto"/>
              </w:rPr>
            </w:pPr>
            <w:r>
              <w:rPr>
                <w:rFonts w:ascii="Arial" w:cs="Arial" w:eastAsia="Arial" w:hAnsi="Arial"/>
                <w:sz w:val="14"/>
                <w:szCs w:val="14"/>
                <w:color w:val="auto"/>
              </w:rPr>
              <w:t>13,050</w:t>
            </w:r>
          </w:p>
        </w:tc>
        <w:tc>
          <w:tcPr>
            <w:tcW w:w="24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shd w:val="clear" w:color="auto" w:fill="D8D8D8"/>
          </w:tcPr>
          <w:p>
            <w:pPr>
              <w:jc w:val="right"/>
              <w:spacing w:after="0"/>
              <w:rPr>
                <w:sz w:val="20"/>
                <w:szCs w:val="20"/>
                <w:color w:val="auto"/>
              </w:rPr>
            </w:pPr>
            <w:r>
              <w:rPr>
                <w:rFonts w:ascii="Arial" w:cs="Arial" w:eastAsia="Arial" w:hAnsi="Arial"/>
                <w:sz w:val="14"/>
                <w:szCs w:val="14"/>
                <w:color w:val="auto"/>
              </w:rPr>
              <w:t>16,950</w:t>
            </w:r>
          </w:p>
        </w:tc>
        <w:tc>
          <w:tcPr>
            <w:tcW w:w="2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shd w:val="clear" w:color="auto" w:fill="D8D8D8"/>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4"/>
                <w:szCs w:val="14"/>
                <w:color w:val="auto"/>
              </w:rPr>
              <w:t>5,948</w:t>
            </w:r>
          </w:p>
        </w:tc>
        <w:tc>
          <w:tcPr>
            <w:tcW w:w="360" w:type="dxa"/>
            <w:vAlign w:val="bottom"/>
            <w:shd w:val="clear" w:color="auto" w:fill="D8D8D8"/>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1"/>
              <w:spacing w:after="0"/>
              <w:rPr>
                <w:sz w:val="20"/>
                <w:szCs w:val="20"/>
                <w:color w:val="auto"/>
              </w:rPr>
            </w:pPr>
            <w:r>
              <w:rPr>
                <w:rFonts w:ascii="Arial" w:cs="Arial" w:eastAsia="Arial" w:hAnsi="Arial"/>
                <w:sz w:val="14"/>
                <w:szCs w:val="14"/>
                <w:color w:val="auto"/>
              </w:rPr>
              <w:t>60,000</w:t>
            </w:r>
          </w:p>
        </w:tc>
      </w:tr>
      <w:tr>
        <w:trPr>
          <w:trHeight w:val="162"/>
        </w:trPr>
        <w:tc>
          <w:tcPr>
            <w:tcW w:w="2320" w:type="dxa"/>
            <w:vAlign w:val="bottom"/>
          </w:tcPr>
          <w:p>
            <w:pPr>
              <w:ind w:left="80"/>
              <w:spacing w:after="0"/>
              <w:rPr>
                <w:sz w:val="20"/>
                <w:szCs w:val="20"/>
                <w:color w:val="auto"/>
              </w:rPr>
            </w:pPr>
            <w:r>
              <w:rPr>
                <w:rFonts w:ascii="Arial" w:cs="Arial" w:eastAsia="Arial" w:hAnsi="Arial"/>
                <w:sz w:val="14"/>
                <w:szCs w:val="14"/>
                <w:color w:val="auto"/>
              </w:rPr>
              <w:t>Kristopher R. Westbrooks</w:t>
            </w:r>
          </w:p>
        </w:tc>
        <w:tc>
          <w:tcPr>
            <w:tcW w:w="9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8"/>
              <w:spacing w:after="0"/>
              <w:rPr>
                <w:sz w:val="20"/>
                <w:szCs w:val="20"/>
                <w:color w:val="auto"/>
              </w:rPr>
            </w:pPr>
            <w:r>
              <w:rPr>
                <w:rFonts w:ascii="Arial" w:cs="Arial" w:eastAsia="Arial" w:hAnsi="Arial"/>
                <w:sz w:val="14"/>
                <w:szCs w:val="14"/>
                <w:color w:val="auto"/>
              </w:rPr>
              <w:t>18,434</w:t>
            </w:r>
          </w:p>
        </w:tc>
        <w:tc>
          <w:tcPr>
            <w:tcW w:w="24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3,825</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tcPr>
          <w:p>
            <w:pPr>
              <w:jc w:val="right"/>
              <w:spacing w:after="0"/>
              <w:rPr>
                <w:sz w:val="20"/>
                <w:szCs w:val="20"/>
                <w:color w:val="auto"/>
              </w:rPr>
            </w:pPr>
            <w:r>
              <w:rPr>
                <w:rFonts w:ascii="Arial" w:cs="Arial" w:eastAsia="Arial" w:hAnsi="Arial"/>
                <w:sz w:val="14"/>
                <w:szCs w:val="14"/>
                <w:color w:val="auto"/>
              </w:rPr>
              <w:t>425</w:t>
            </w:r>
          </w:p>
        </w:tc>
        <w:tc>
          <w:tcPr>
            <w:tcW w:w="36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1"/>
              <w:spacing w:after="0"/>
              <w:rPr>
                <w:sz w:val="20"/>
                <w:szCs w:val="20"/>
                <w:color w:val="auto"/>
              </w:rPr>
            </w:pPr>
            <w:r>
              <w:rPr>
                <w:rFonts w:ascii="Arial" w:cs="Arial" w:eastAsia="Arial" w:hAnsi="Arial"/>
                <w:sz w:val="14"/>
                <w:szCs w:val="14"/>
                <w:color w:val="auto"/>
              </w:rPr>
              <w:t>0</w:t>
            </w:r>
          </w:p>
        </w:tc>
      </w:tr>
      <w:tr>
        <w:trPr>
          <w:trHeight w:val="162"/>
        </w:trPr>
        <w:tc>
          <w:tcPr>
            <w:tcW w:w="2320" w:type="dxa"/>
            <w:vAlign w:val="bottom"/>
            <w:shd w:val="clear" w:color="auto" w:fill="D8D8D8"/>
          </w:tcPr>
          <w:p>
            <w:pPr>
              <w:ind w:left="80"/>
              <w:spacing w:after="0"/>
              <w:rPr>
                <w:sz w:val="20"/>
                <w:szCs w:val="20"/>
                <w:color w:val="auto"/>
              </w:rPr>
            </w:pPr>
            <w:r>
              <w:rPr>
                <w:rFonts w:ascii="Arial" w:cs="Arial" w:eastAsia="Arial" w:hAnsi="Arial"/>
                <w:sz w:val="14"/>
                <w:szCs w:val="14"/>
                <w:color w:val="auto"/>
              </w:rPr>
              <w:t>Kristine C. Syrvalin</w:t>
            </w:r>
          </w:p>
        </w:tc>
        <w:tc>
          <w:tcPr>
            <w:tcW w:w="9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8"/>
              <w:spacing w:after="0"/>
              <w:rPr>
                <w:sz w:val="20"/>
                <w:szCs w:val="20"/>
                <w:color w:val="auto"/>
              </w:rPr>
            </w:pPr>
            <w:r>
              <w:rPr>
                <w:rFonts w:ascii="Arial" w:cs="Arial" w:eastAsia="Arial" w:hAnsi="Arial"/>
                <w:sz w:val="14"/>
                <w:szCs w:val="14"/>
                <w:color w:val="auto"/>
              </w:rPr>
              <w:t>17,426</w:t>
            </w:r>
          </w:p>
        </w:tc>
        <w:tc>
          <w:tcPr>
            <w:tcW w:w="24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shd w:val="clear" w:color="auto" w:fill="D8D8D8"/>
          </w:tcPr>
          <w:p>
            <w:pPr>
              <w:jc w:val="right"/>
              <w:spacing w:after="0"/>
              <w:rPr>
                <w:sz w:val="20"/>
                <w:szCs w:val="20"/>
                <w:color w:val="auto"/>
              </w:rPr>
            </w:pPr>
            <w:r>
              <w:rPr>
                <w:rFonts w:ascii="Arial" w:cs="Arial" w:eastAsia="Arial" w:hAnsi="Arial"/>
                <w:sz w:val="14"/>
                <w:szCs w:val="14"/>
                <w:color w:val="auto"/>
              </w:rPr>
              <w:t>0</w:t>
            </w:r>
          </w:p>
        </w:tc>
        <w:tc>
          <w:tcPr>
            <w:tcW w:w="2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shd w:val="clear" w:color="auto" w:fill="D8D8D8"/>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4"/>
                <w:szCs w:val="14"/>
                <w:color w:val="auto"/>
              </w:rPr>
              <w:t>569</w:t>
            </w:r>
          </w:p>
        </w:tc>
        <w:tc>
          <w:tcPr>
            <w:tcW w:w="360" w:type="dxa"/>
            <w:vAlign w:val="bottom"/>
            <w:shd w:val="clear" w:color="auto" w:fill="D8D8D8"/>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1"/>
              <w:spacing w:after="0"/>
              <w:rPr>
                <w:sz w:val="20"/>
                <w:szCs w:val="20"/>
                <w:color w:val="auto"/>
              </w:rPr>
            </w:pPr>
            <w:r>
              <w:rPr>
                <w:rFonts w:ascii="Arial" w:cs="Arial" w:eastAsia="Arial" w:hAnsi="Arial"/>
                <w:sz w:val="14"/>
                <w:szCs w:val="14"/>
                <w:color w:val="auto"/>
              </w:rPr>
              <w:t>0</w:t>
            </w:r>
          </w:p>
        </w:tc>
      </w:tr>
      <w:tr>
        <w:trPr>
          <w:trHeight w:val="162"/>
        </w:trPr>
        <w:tc>
          <w:tcPr>
            <w:tcW w:w="2320" w:type="dxa"/>
            <w:vAlign w:val="bottom"/>
          </w:tcPr>
          <w:p>
            <w:pPr>
              <w:ind w:left="80"/>
              <w:spacing w:after="0"/>
              <w:rPr>
                <w:sz w:val="20"/>
                <w:szCs w:val="20"/>
                <w:color w:val="auto"/>
              </w:rPr>
            </w:pPr>
            <w:r>
              <w:rPr>
                <w:rFonts w:ascii="Arial" w:cs="Arial" w:eastAsia="Arial" w:hAnsi="Arial"/>
                <w:sz w:val="14"/>
                <w:szCs w:val="14"/>
                <w:color w:val="auto"/>
              </w:rPr>
              <w:t>Kevin A. Raketich</w:t>
            </w:r>
          </w:p>
        </w:tc>
        <w:tc>
          <w:tcPr>
            <w:tcW w:w="9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8"/>
              <w:spacing w:after="0"/>
              <w:rPr>
                <w:sz w:val="20"/>
                <w:szCs w:val="20"/>
                <w:color w:val="auto"/>
              </w:rPr>
            </w:pPr>
            <w:r>
              <w:rPr>
                <w:rFonts w:ascii="Arial" w:cs="Arial" w:eastAsia="Arial" w:hAnsi="Arial"/>
                <w:sz w:val="14"/>
                <w:szCs w:val="14"/>
                <w:color w:val="auto"/>
              </w:rPr>
              <w:t>13,050</w:t>
            </w:r>
          </w:p>
        </w:tc>
        <w:tc>
          <w:tcPr>
            <w:tcW w:w="24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2,806</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tcPr>
          <w:p>
            <w:pPr>
              <w:jc w:val="right"/>
              <w:spacing w:after="0"/>
              <w:rPr>
                <w:sz w:val="20"/>
                <w:szCs w:val="20"/>
                <w:color w:val="auto"/>
              </w:rPr>
            </w:pPr>
            <w:r>
              <w:rPr>
                <w:rFonts w:ascii="Arial" w:cs="Arial" w:eastAsia="Arial" w:hAnsi="Arial"/>
                <w:sz w:val="14"/>
                <w:szCs w:val="14"/>
                <w:color w:val="auto"/>
              </w:rPr>
              <w:t>1,099</w:t>
            </w:r>
          </w:p>
        </w:tc>
        <w:tc>
          <w:tcPr>
            <w:tcW w:w="36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1"/>
              <w:spacing w:after="0"/>
              <w:rPr>
                <w:sz w:val="20"/>
                <w:szCs w:val="20"/>
                <w:color w:val="auto"/>
              </w:rPr>
            </w:pPr>
            <w:r>
              <w:rPr>
                <w:rFonts w:ascii="Arial" w:cs="Arial" w:eastAsia="Arial" w:hAnsi="Arial"/>
                <w:sz w:val="14"/>
                <w:szCs w:val="14"/>
                <w:color w:val="auto"/>
              </w:rPr>
              <w:t>0</w:t>
            </w:r>
          </w:p>
        </w:tc>
      </w:tr>
      <w:tr>
        <w:trPr>
          <w:trHeight w:val="162"/>
        </w:trPr>
        <w:tc>
          <w:tcPr>
            <w:tcW w:w="2320" w:type="dxa"/>
            <w:vAlign w:val="bottom"/>
            <w:shd w:val="clear" w:color="auto" w:fill="D8D8D8"/>
          </w:tcPr>
          <w:p>
            <w:pPr>
              <w:ind w:left="80"/>
              <w:spacing w:after="0"/>
              <w:rPr>
                <w:sz w:val="20"/>
                <w:szCs w:val="20"/>
                <w:color w:val="auto"/>
              </w:rPr>
            </w:pPr>
            <w:r>
              <w:rPr>
                <w:rFonts w:ascii="Arial" w:cs="Arial" w:eastAsia="Arial" w:hAnsi="Arial"/>
                <w:sz w:val="14"/>
                <w:szCs w:val="14"/>
                <w:color w:val="auto"/>
              </w:rPr>
              <w:t>William P. Bryan</w:t>
            </w:r>
          </w:p>
        </w:tc>
        <w:tc>
          <w:tcPr>
            <w:tcW w:w="9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8"/>
              <w:spacing w:after="0"/>
              <w:rPr>
                <w:sz w:val="20"/>
                <w:szCs w:val="20"/>
                <w:color w:val="auto"/>
              </w:rPr>
            </w:pPr>
            <w:r>
              <w:rPr>
                <w:rFonts w:ascii="Arial" w:cs="Arial" w:eastAsia="Arial" w:hAnsi="Arial"/>
                <w:sz w:val="14"/>
                <w:szCs w:val="14"/>
                <w:color w:val="auto"/>
              </w:rPr>
              <w:t>8,372</w:t>
            </w:r>
          </w:p>
        </w:tc>
        <w:tc>
          <w:tcPr>
            <w:tcW w:w="24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shd w:val="clear" w:color="auto" w:fill="D8D8D8"/>
          </w:tcPr>
          <w:p>
            <w:pPr>
              <w:jc w:val="right"/>
              <w:spacing w:after="0"/>
              <w:rPr>
                <w:sz w:val="20"/>
                <w:szCs w:val="20"/>
                <w:color w:val="auto"/>
              </w:rPr>
            </w:pPr>
            <w:r>
              <w:rPr>
                <w:rFonts w:ascii="Arial" w:cs="Arial" w:eastAsia="Arial" w:hAnsi="Arial"/>
                <w:sz w:val="14"/>
                <w:szCs w:val="14"/>
                <w:color w:val="auto"/>
              </w:rPr>
              <w:t>0</w:t>
            </w:r>
          </w:p>
        </w:tc>
        <w:tc>
          <w:tcPr>
            <w:tcW w:w="280" w:type="dxa"/>
            <w:vAlign w:val="bottom"/>
            <w:shd w:val="clear" w:color="auto" w:fill="D8D8D8"/>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shd w:val="clear" w:color="auto" w:fill="D8D8D8"/>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shd w:val="clear" w:color="auto" w:fill="D8D8D8"/>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4"/>
                <w:szCs w:val="14"/>
                <w:color w:val="auto"/>
              </w:rPr>
              <w:t>740</w:t>
            </w:r>
          </w:p>
        </w:tc>
        <w:tc>
          <w:tcPr>
            <w:tcW w:w="360" w:type="dxa"/>
            <w:vAlign w:val="bottom"/>
            <w:shd w:val="clear" w:color="auto" w:fill="D8D8D8"/>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shd w:val="clear" w:color="auto" w:fill="D8D8D8"/>
          </w:tcPr>
          <w:p>
            <w:pPr>
              <w:jc w:val="right"/>
              <w:ind w:right="11"/>
              <w:spacing w:after="0"/>
              <w:rPr>
                <w:sz w:val="20"/>
                <w:szCs w:val="20"/>
                <w:color w:val="auto"/>
              </w:rPr>
            </w:pPr>
            <w:r>
              <w:rPr>
                <w:rFonts w:ascii="Arial" w:cs="Arial" w:eastAsia="Arial" w:hAnsi="Arial"/>
                <w:sz w:val="14"/>
                <w:szCs w:val="14"/>
                <w:color w:val="auto"/>
              </w:rPr>
              <w:t>661,513</w:t>
            </w:r>
          </w:p>
        </w:tc>
      </w:tr>
      <w:tr>
        <w:trPr>
          <w:trHeight w:val="182"/>
        </w:trPr>
        <w:tc>
          <w:tcPr>
            <w:tcW w:w="2320" w:type="dxa"/>
            <w:vAlign w:val="bottom"/>
          </w:tcPr>
          <w:p>
            <w:pPr>
              <w:ind w:left="80"/>
              <w:spacing w:after="0"/>
              <w:rPr>
                <w:sz w:val="20"/>
                <w:szCs w:val="20"/>
                <w:color w:val="auto"/>
              </w:rPr>
            </w:pPr>
            <w:r>
              <w:rPr>
                <w:rFonts w:ascii="Arial" w:cs="Arial" w:eastAsia="Arial" w:hAnsi="Arial"/>
                <w:sz w:val="14"/>
                <w:szCs w:val="14"/>
                <w:color w:val="auto"/>
              </w:rPr>
              <w:t>Thomas D. Moline</w:t>
            </w:r>
          </w:p>
        </w:tc>
        <w:tc>
          <w:tcPr>
            <w:tcW w:w="9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8"/>
              <w:spacing w:after="0"/>
              <w:rPr>
                <w:sz w:val="20"/>
                <w:szCs w:val="20"/>
                <w:color w:val="auto"/>
              </w:rPr>
            </w:pPr>
            <w:r>
              <w:rPr>
                <w:rFonts w:ascii="Arial" w:cs="Arial" w:eastAsia="Arial" w:hAnsi="Arial"/>
                <w:sz w:val="14"/>
                <w:szCs w:val="14"/>
                <w:color w:val="auto"/>
              </w:rPr>
              <w:t>2,648</w:t>
            </w:r>
          </w:p>
        </w:tc>
        <w:tc>
          <w:tcPr>
            <w:tcW w:w="24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1000" w:type="dxa"/>
            <w:vAlign w:val="bottom"/>
          </w:tcPr>
          <w:p>
            <w:pPr>
              <w:jc w:val="right"/>
              <w:ind w:right="17"/>
              <w:spacing w:after="0"/>
              <w:rPr>
                <w:sz w:val="20"/>
                <w:szCs w:val="20"/>
                <w:color w:val="auto"/>
              </w:rPr>
            </w:pPr>
            <w:r>
              <w:rPr>
                <w:rFonts w:ascii="Arial" w:cs="Arial" w:eastAsia="Arial" w:hAnsi="Arial"/>
                <w:sz w:val="14"/>
                <w:szCs w:val="14"/>
                <w:color w:val="auto"/>
              </w:rPr>
              <w:t>0</w:t>
            </w:r>
          </w:p>
        </w:tc>
        <w:tc>
          <w:tcPr>
            <w:tcW w:w="26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280" w:type="dxa"/>
            <w:vAlign w:val="bottom"/>
          </w:tcPr>
          <w:p>
            <w:pPr>
              <w:jc w:val="right"/>
              <w:spacing w:after="0"/>
              <w:rPr>
                <w:sz w:val="20"/>
                <w:szCs w:val="20"/>
                <w:color w:val="auto"/>
              </w:rPr>
            </w:pPr>
            <w:r>
              <w:rPr>
                <w:rFonts w:ascii="Arial" w:cs="Arial" w:eastAsia="Arial" w:hAnsi="Arial"/>
                <w:sz w:val="14"/>
                <w:szCs w:val="14"/>
                <w:color w:val="auto"/>
              </w:rPr>
              <w:t>482</w:t>
            </w:r>
          </w:p>
        </w:tc>
        <w:tc>
          <w:tcPr>
            <w:tcW w:w="36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1"/>
              <w:spacing w:after="0"/>
              <w:rPr>
                <w:sz w:val="20"/>
                <w:szCs w:val="20"/>
                <w:color w:val="auto"/>
              </w:rPr>
            </w:pPr>
            <w:r>
              <w:rPr>
                <w:rFonts w:ascii="Arial" w:cs="Arial" w:eastAsia="Arial" w:hAnsi="Arial"/>
                <w:sz w:val="14"/>
                <w:szCs w:val="14"/>
                <w:color w:val="auto"/>
              </w:rPr>
              <w:t>661,513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5825490</wp:posOffset>
            </wp:positionH>
            <wp:positionV relativeFrom="paragraph">
              <wp:posOffset>-1177925</wp:posOffset>
            </wp:positionV>
            <wp:extent cx="8255" cy="5486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8255" cy="54864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-1177925</wp:posOffset>
            </wp:positionV>
            <wp:extent cx="8890" cy="54864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8890" cy="548640"/>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-1177925</wp:posOffset>
            </wp:positionV>
            <wp:extent cx="8255" cy="5486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8255" cy="548640"/>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-1177925</wp:posOffset>
            </wp:positionV>
            <wp:extent cx="8255" cy="54864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8255" cy="548640"/>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-1177925</wp:posOffset>
            </wp:positionV>
            <wp:extent cx="8890" cy="54864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8890" cy="548640"/>
                    </a:xfrm>
                    <a:prstGeom prst="rect">
                      <a:avLst/>
                    </a:prstGeom>
                    <a:noFill/>
                  </pic:spPr>
                </pic:pic>
              </a:graphicData>
            </a:graphic>
          </wp:anchor>
        </w:drawing>
      </w:r>
    </w:p>
    <w:p>
      <w:pPr>
        <w:spacing w:after="0" w:line="49" w:lineRule="exact"/>
        <w:rPr>
          <w:sz w:val="20"/>
          <w:szCs w:val="20"/>
          <w:color w:val="auto"/>
        </w:rPr>
      </w:pPr>
    </w:p>
    <w:p>
      <w:pPr>
        <w:ind w:left="880" w:hanging="332"/>
        <w:spacing w:after="0"/>
        <w:tabs>
          <w:tab w:leader="none" w:pos="880" w:val="left"/>
        </w:tabs>
        <w:numPr>
          <w:ilvl w:val="0"/>
          <w:numId w:val="58"/>
        </w:numPr>
        <w:rPr>
          <w:rFonts w:ascii="Arial" w:cs="Arial" w:eastAsia="Arial" w:hAnsi="Arial"/>
          <w:sz w:val="12"/>
          <w:szCs w:val="12"/>
          <w:color w:val="auto"/>
        </w:rPr>
      </w:pPr>
      <w:r>
        <w:rPr>
          <w:rFonts w:ascii="Arial" w:cs="Arial" w:eastAsia="Arial" w:hAnsi="Arial"/>
          <w:sz w:val="14"/>
          <w:szCs w:val="14"/>
          <w:color w:val="auto"/>
        </w:rPr>
        <w:t>The company does not provide tax gross-ups for executive benefits.</w:t>
      </w:r>
    </w:p>
    <w:p>
      <w:pPr>
        <w:spacing w:after="0" w:line="109" w:lineRule="exact"/>
        <w:rPr>
          <w:rFonts w:ascii="Arial" w:cs="Arial" w:eastAsia="Arial" w:hAnsi="Arial"/>
          <w:sz w:val="12"/>
          <w:szCs w:val="12"/>
          <w:color w:val="auto"/>
        </w:rPr>
      </w:pPr>
    </w:p>
    <w:p>
      <w:pPr>
        <w:ind w:left="880" w:hanging="332"/>
        <w:spacing w:after="0" w:line="238" w:lineRule="auto"/>
        <w:tabs>
          <w:tab w:leader="none" w:pos="880" w:val="left"/>
        </w:tabs>
        <w:numPr>
          <w:ilvl w:val="0"/>
          <w:numId w:val="58"/>
        </w:numPr>
        <w:rPr>
          <w:rFonts w:ascii="Arial" w:cs="Arial" w:eastAsia="Arial" w:hAnsi="Arial"/>
          <w:sz w:val="12"/>
          <w:szCs w:val="12"/>
          <w:color w:val="auto"/>
        </w:rPr>
      </w:pPr>
      <w:r>
        <w:rPr>
          <w:rFonts w:ascii="Arial" w:cs="Arial" w:eastAsia="Arial" w:hAnsi="Arial"/>
          <w:sz w:val="14"/>
          <w:szCs w:val="14"/>
          <w:color w:val="auto"/>
        </w:rPr>
        <w:t>The “SIP plan” refers to the Savings and Investment Pension Plan, which is the company’s qualified defined contribution plan for salaried employees. “Core DC program” refers to the core defined contribution program for salaried employees hired on or after January 1, 2004, as well as for salaried employees whose age plus years of service with The Timken Company (the company’s former parent company)</w:t>
      </w:r>
    </w:p>
    <w:p>
      <w:pPr>
        <w:spacing w:after="0" w:line="124"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57</w:t>
      </w:r>
    </w:p>
    <w:p>
      <w:pPr>
        <w:sectPr>
          <w:pgSz w:w="11900" w:h="16838" w:orient="portrait"/>
          <w:cols w:equalWidth="0" w:num="1">
            <w:col w:w="11080"/>
          </w:cols>
          <w:pgMar w:left="320" w:top="459" w:right="49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80" w:right="60"/>
        <w:spacing w:after="0" w:line="238" w:lineRule="auto"/>
        <w:rPr>
          <w:sz w:val="20"/>
          <w:szCs w:val="20"/>
          <w:color w:val="auto"/>
        </w:rPr>
      </w:pPr>
      <w:r>
        <w:rPr>
          <w:rFonts w:ascii="Arial" w:cs="Arial" w:eastAsia="Arial" w:hAnsi="Arial"/>
          <w:sz w:val="14"/>
          <w:szCs w:val="14"/>
          <w:color w:val="auto"/>
        </w:rPr>
        <w:t>equaled less than 50 as of December 31, 2003. In 2021, Mr. Westbrooks and Ms. Syrvalin received core DC program contributions in the amounts of $5,384 and $6,176, respectively. These payments accrued to their benefit based on 2020 earnings and service but were made in the second quarter of 2021 in accordance with the terms of the SIP plan. Effective January 1, 2021, core DC contributions have been eliminated as a benefit.</w:t>
      </w:r>
    </w:p>
    <w:p>
      <w:pPr>
        <w:spacing w:after="0" w:line="88" w:lineRule="exact"/>
        <w:rPr>
          <w:sz w:val="20"/>
          <w:szCs w:val="20"/>
          <w:color w:val="auto"/>
        </w:rPr>
      </w:pPr>
    </w:p>
    <w:p>
      <w:pPr>
        <w:ind w:left="880" w:right="80" w:hanging="332"/>
        <w:spacing w:after="0" w:line="253" w:lineRule="auto"/>
        <w:tabs>
          <w:tab w:leader="none" w:pos="880" w:val="left"/>
        </w:tabs>
        <w:numPr>
          <w:ilvl w:val="0"/>
          <w:numId w:val="59"/>
        </w:numPr>
        <w:rPr>
          <w:rFonts w:ascii="Arial" w:cs="Arial" w:eastAsia="Arial" w:hAnsi="Arial"/>
          <w:sz w:val="12"/>
          <w:szCs w:val="12"/>
          <w:color w:val="auto"/>
        </w:rPr>
      </w:pPr>
      <w:r>
        <w:rPr>
          <w:rFonts w:ascii="Arial" w:cs="Arial" w:eastAsia="Arial" w:hAnsi="Arial"/>
          <w:sz w:val="14"/>
          <w:szCs w:val="14"/>
          <w:color w:val="auto"/>
        </w:rPr>
        <w:t>The “Post-tax savings benefit” is the company’s non-tax qualified restoration benefit for salaried employees whose contributions and benefits in qualified retirement plans are limited by Section 415 of the Internal Revenue Code.</w:t>
      </w:r>
    </w:p>
    <w:p>
      <w:pPr>
        <w:spacing w:after="0" w:line="79" w:lineRule="exact"/>
        <w:rPr>
          <w:rFonts w:ascii="Arial" w:cs="Arial" w:eastAsia="Arial" w:hAnsi="Arial"/>
          <w:sz w:val="12"/>
          <w:szCs w:val="12"/>
          <w:color w:val="auto"/>
        </w:rPr>
      </w:pPr>
    </w:p>
    <w:p>
      <w:pPr>
        <w:ind w:left="880" w:right="100" w:hanging="332"/>
        <w:spacing w:after="0" w:line="253" w:lineRule="auto"/>
        <w:tabs>
          <w:tab w:leader="none" w:pos="880" w:val="left"/>
        </w:tabs>
        <w:numPr>
          <w:ilvl w:val="0"/>
          <w:numId w:val="59"/>
        </w:numPr>
        <w:rPr>
          <w:rFonts w:ascii="Arial" w:cs="Arial" w:eastAsia="Arial" w:hAnsi="Arial"/>
          <w:sz w:val="12"/>
          <w:szCs w:val="12"/>
          <w:color w:val="auto"/>
        </w:rPr>
      </w:pPr>
      <w:r>
        <w:rPr>
          <w:rFonts w:ascii="Arial" w:cs="Arial" w:eastAsia="Arial" w:hAnsi="Arial"/>
          <w:sz w:val="14"/>
          <w:szCs w:val="14"/>
          <w:color w:val="auto"/>
        </w:rPr>
        <w:t>The amounts shown represent imputed income for the cost of pre-tax term life insurance (which is provided by the company for all salaried employees equal to one time their annual salary) for the portion that exceeds the IRS pre-tax limit of $50,000.</w:t>
      </w:r>
    </w:p>
    <w:p>
      <w:pPr>
        <w:spacing w:after="0" w:line="79" w:lineRule="exact"/>
        <w:rPr>
          <w:rFonts w:ascii="Arial" w:cs="Arial" w:eastAsia="Arial" w:hAnsi="Arial"/>
          <w:sz w:val="12"/>
          <w:szCs w:val="12"/>
          <w:color w:val="auto"/>
        </w:rPr>
      </w:pPr>
    </w:p>
    <w:p>
      <w:pPr>
        <w:ind w:left="880" w:hanging="332"/>
        <w:spacing w:after="0" w:line="255" w:lineRule="auto"/>
        <w:tabs>
          <w:tab w:leader="none" w:pos="880" w:val="left"/>
        </w:tabs>
        <w:numPr>
          <w:ilvl w:val="0"/>
          <w:numId w:val="59"/>
        </w:numPr>
        <w:rPr>
          <w:rFonts w:ascii="Arial" w:cs="Arial" w:eastAsia="Arial" w:hAnsi="Arial"/>
          <w:sz w:val="11"/>
          <w:szCs w:val="11"/>
          <w:color w:val="auto"/>
        </w:rPr>
      </w:pPr>
      <w:r>
        <w:rPr>
          <w:rFonts w:ascii="Arial" w:cs="Arial" w:eastAsia="Arial" w:hAnsi="Arial"/>
          <w:sz w:val="13"/>
          <w:szCs w:val="13"/>
          <w:color w:val="auto"/>
        </w:rPr>
        <w:t>The amount shown for Mr. Williams represents personal benefits received as a result of his appointment as President and CEO on January 1, 2021, including a one-time cash payment in the amount of $60,000 to assist with the costs of relocating to Canton, Ohio. No other relocation benefits were provided. For each of Messrs. Bryan and Moline, the amount shown reflects payments made as a result of the termination of his employment on May 7, 2021 and in accordance with the Severance Agreement which he previously entered into with the company. For additional information, see “Potential payments upon termination or change in control.”</w:t>
      </w:r>
    </w:p>
    <w:p>
      <w:pPr>
        <w:spacing w:after="0" w:line="116" w:lineRule="exact"/>
        <w:rPr>
          <w:sz w:val="20"/>
          <w:szCs w:val="20"/>
          <w:color w:val="auto"/>
        </w:rPr>
      </w:pPr>
    </w:p>
    <w:p>
      <w:pPr>
        <w:jc w:val="center"/>
        <w:ind w:right="-259"/>
        <w:spacing w:after="0"/>
        <w:rPr>
          <w:sz w:val="20"/>
          <w:szCs w:val="20"/>
          <w:color w:val="auto"/>
        </w:rPr>
      </w:pPr>
      <w:r>
        <w:rPr>
          <w:rFonts w:ascii="Arial" w:cs="Arial" w:eastAsia="Arial" w:hAnsi="Arial"/>
          <w:sz w:val="16"/>
          <w:szCs w:val="16"/>
          <w:color w:val="auto"/>
        </w:rPr>
        <w:t>58</w:t>
      </w:r>
    </w:p>
    <w:p>
      <w:pPr>
        <w:sectPr>
          <w:pgSz w:w="11900" w:h="16838" w:orient="portrait"/>
          <w:cols w:equalWidth="0" w:num="1">
            <w:col w:w="10980"/>
          </w:cols>
          <w:pgMar w:left="320" w:top="459" w:right="59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Grants of plan-based awards table</w:t>
      </w:r>
    </w:p>
    <w:p>
      <w:pPr>
        <w:spacing w:after="0" w:line="234" w:lineRule="exact"/>
        <w:rPr>
          <w:sz w:val="20"/>
          <w:szCs w:val="20"/>
          <w:color w:val="auto"/>
        </w:rPr>
      </w:pPr>
    </w:p>
    <w:p>
      <w:pPr>
        <w:ind w:left="120" w:right="440"/>
        <w:spacing w:after="0" w:line="277" w:lineRule="auto"/>
        <w:rPr>
          <w:sz w:val="20"/>
          <w:szCs w:val="20"/>
          <w:color w:val="auto"/>
        </w:rPr>
      </w:pPr>
      <w:r>
        <w:rPr>
          <w:rFonts w:ascii="Arial" w:cs="Arial" w:eastAsia="Arial" w:hAnsi="Arial"/>
          <w:sz w:val="18"/>
          <w:szCs w:val="18"/>
          <w:color w:val="auto"/>
        </w:rPr>
        <w:t>The following table sets forth information concerning potential awards payable to our NEOs with respect to the short-term and long-term incentive award opportunities granted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2516505</wp:posOffset>
            </wp:positionH>
            <wp:positionV relativeFrom="paragraph">
              <wp:posOffset>134620</wp:posOffset>
            </wp:positionV>
            <wp:extent cx="4071620" cy="55753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4071620" cy="557530"/>
                    </a:xfrm>
                    <a:prstGeom prst="rect">
                      <a:avLst/>
                    </a:prstGeom>
                    <a:noFill/>
                  </pic:spPr>
                </pic:pic>
              </a:graphicData>
            </a:graphic>
          </wp:anchor>
        </w:drawing>
      </w:r>
    </w:p>
    <w:p>
      <w:pPr>
        <w:spacing w:after="0" w:line="172" w:lineRule="exact"/>
        <w:rPr>
          <w:sz w:val="20"/>
          <w:szCs w:val="20"/>
          <w:color w:val="auto"/>
        </w:rPr>
      </w:pPr>
    </w:p>
    <w:tbl>
      <w:tblPr>
        <w:tblLayout w:type="fixed"/>
        <w:tblInd w:w="120" w:type="dxa"/>
        <w:tblCellMar>
          <w:top w:w="0" w:type="dxa"/>
          <w:left w:w="0" w:type="dxa"/>
          <w:bottom w:w="0" w:type="dxa"/>
          <w:right w:w="0" w:type="dxa"/>
        </w:tblCellMar>
      </w:tblPr>
      <w:tr>
        <w:trPr>
          <w:trHeight w:val="121"/>
        </w:trPr>
        <w:tc>
          <w:tcPr>
            <w:tcW w:w="3840" w:type="dxa"/>
            <w:vAlign w:val="bottom"/>
            <w:tcBorders>
              <w:top w:val="single" w:sz="8" w:color="auto"/>
            </w:tcBorders>
            <w:shd w:val="clear" w:color="auto" w:fill="4C4C4C"/>
          </w:tcPr>
          <w:p>
            <w:pPr>
              <w:spacing w:after="0"/>
              <w:rPr>
                <w:sz w:val="10"/>
                <w:szCs w:val="10"/>
                <w:color w:val="auto"/>
              </w:rPr>
            </w:pPr>
          </w:p>
        </w:tc>
        <w:tc>
          <w:tcPr>
            <w:tcW w:w="760" w:type="dxa"/>
            <w:vAlign w:val="bottom"/>
            <w:tcBorders>
              <w:top w:val="single" w:sz="8" w:color="auto"/>
            </w:tcBorders>
            <w:shd w:val="clear" w:color="auto" w:fill="4C4C4C"/>
          </w:tcPr>
          <w:p>
            <w:pPr>
              <w:spacing w:after="0"/>
              <w:rPr>
                <w:sz w:val="10"/>
                <w:szCs w:val="10"/>
                <w:color w:val="auto"/>
              </w:rPr>
            </w:pPr>
          </w:p>
        </w:tc>
        <w:tc>
          <w:tcPr>
            <w:tcW w:w="1100" w:type="dxa"/>
            <w:vAlign w:val="bottom"/>
            <w:tcBorders>
              <w:top w:val="single" w:sz="8" w:color="auto"/>
            </w:tcBorders>
            <w:shd w:val="clear" w:color="auto" w:fill="4C4C4C"/>
          </w:tcPr>
          <w:p>
            <w:pPr>
              <w:spacing w:after="0"/>
              <w:rPr>
                <w:sz w:val="10"/>
                <w:szCs w:val="10"/>
                <w:color w:val="auto"/>
              </w:rPr>
            </w:pPr>
          </w:p>
        </w:tc>
        <w:tc>
          <w:tcPr>
            <w:tcW w:w="140" w:type="dxa"/>
            <w:vAlign w:val="bottom"/>
            <w:tcBorders>
              <w:top w:val="single" w:sz="8" w:color="auto"/>
            </w:tcBorders>
            <w:shd w:val="clear" w:color="auto" w:fill="4C4C4C"/>
          </w:tcPr>
          <w:p>
            <w:pPr>
              <w:spacing w:after="0"/>
              <w:rPr>
                <w:sz w:val="10"/>
                <w:szCs w:val="10"/>
                <w:color w:val="auto"/>
              </w:rPr>
            </w:pPr>
          </w:p>
        </w:tc>
        <w:tc>
          <w:tcPr>
            <w:tcW w:w="480" w:type="dxa"/>
            <w:vAlign w:val="bottom"/>
            <w:tcBorders>
              <w:top w:val="single" w:sz="8" w:color="auto"/>
            </w:tcBorders>
            <w:shd w:val="clear" w:color="auto" w:fill="4C4C4C"/>
          </w:tcPr>
          <w:p>
            <w:pPr>
              <w:spacing w:after="0"/>
              <w:rPr>
                <w:sz w:val="10"/>
                <w:szCs w:val="10"/>
                <w:color w:val="auto"/>
              </w:rPr>
            </w:pPr>
          </w:p>
        </w:tc>
        <w:tc>
          <w:tcPr>
            <w:tcW w:w="120" w:type="dxa"/>
            <w:vAlign w:val="bottom"/>
            <w:tcBorders>
              <w:top w:val="single" w:sz="8" w:color="auto"/>
            </w:tcBorders>
            <w:shd w:val="clear" w:color="auto" w:fill="4C4C4C"/>
          </w:tcPr>
          <w:p>
            <w:pPr>
              <w:spacing w:after="0"/>
              <w:rPr>
                <w:sz w:val="10"/>
                <w:szCs w:val="10"/>
                <w:color w:val="auto"/>
              </w:rPr>
            </w:pPr>
          </w:p>
        </w:tc>
        <w:tc>
          <w:tcPr>
            <w:tcW w:w="460" w:type="dxa"/>
            <w:vAlign w:val="bottom"/>
            <w:tcBorders>
              <w:top w:val="single" w:sz="8" w:color="auto"/>
            </w:tcBorders>
            <w:shd w:val="clear" w:color="auto" w:fill="4C4C4C"/>
          </w:tcPr>
          <w:p>
            <w:pPr>
              <w:spacing w:after="0"/>
              <w:rPr>
                <w:sz w:val="10"/>
                <w:szCs w:val="10"/>
                <w:color w:val="auto"/>
              </w:rPr>
            </w:pPr>
          </w:p>
        </w:tc>
        <w:tc>
          <w:tcPr>
            <w:tcW w:w="160" w:type="dxa"/>
            <w:vAlign w:val="bottom"/>
            <w:tcBorders>
              <w:top w:val="single" w:sz="8" w:color="auto"/>
            </w:tcBorders>
            <w:shd w:val="clear" w:color="auto" w:fill="4C4C4C"/>
          </w:tcPr>
          <w:p>
            <w:pPr>
              <w:spacing w:after="0"/>
              <w:rPr>
                <w:sz w:val="10"/>
                <w:szCs w:val="10"/>
                <w:color w:val="auto"/>
              </w:rPr>
            </w:pPr>
          </w:p>
        </w:tc>
        <w:tc>
          <w:tcPr>
            <w:tcW w:w="560" w:type="dxa"/>
            <w:vAlign w:val="bottom"/>
            <w:tcBorders>
              <w:top w:val="single" w:sz="8" w:color="auto"/>
            </w:tcBorders>
            <w:shd w:val="clear" w:color="auto" w:fill="4C4C4C"/>
          </w:tcPr>
          <w:p>
            <w:pPr>
              <w:spacing w:after="0"/>
              <w:rPr>
                <w:sz w:val="10"/>
                <w:szCs w:val="10"/>
                <w:color w:val="auto"/>
              </w:rPr>
            </w:pPr>
          </w:p>
        </w:tc>
        <w:tc>
          <w:tcPr>
            <w:tcW w:w="680" w:type="dxa"/>
            <w:vAlign w:val="bottom"/>
            <w:tcBorders>
              <w:top w:val="single" w:sz="8" w:color="auto"/>
            </w:tcBorders>
            <w:shd w:val="clear" w:color="auto" w:fill="4C4C4C"/>
          </w:tcPr>
          <w:p>
            <w:pPr>
              <w:spacing w:after="0"/>
              <w:rPr>
                <w:sz w:val="10"/>
                <w:szCs w:val="10"/>
                <w:color w:val="auto"/>
              </w:rPr>
            </w:pPr>
          </w:p>
        </w:tc>
        <w:tc>
          <w:tcPr>
            <w:tcW w:w="540" w:type="dxa"/>
            <w:vAlign w:val="bottom"/>
            <w:tcBorders>
              <w:top w:val="single" w:sz="8" w:color="auto"/>
            </w:tcBorders>
            <w:shd w:val="clear" w:color="auto" w:fill="4C4C4C"/>
          </w:tcPr>
          <w:p>
            <w:pPr>
              <w:spacing w:after="0"/>
              <w:rPr>
                <w:sz w:val="10"/>
                <w:szCs w:val="10"/>
                <w:color w:val="auto"/>
              </w:rPr>
            </w:pPr>
          </w:p>
        </w:tc>
        <w:tc>
          <w:tcPr>
            <w:tcW w:w="720" w:type="dxa"/>
            <w:vAlign w:val="bottom"/>
            <w:tcBorders>
              <w:top w:val="single" w:sz="8" w:color="auto"/>
            </w:tcBorders>
            <w:shd w:val="clear" w:color="auto" w:fill="4C4C4C"/>
          </w:tcPr>
          <w:p>
            <w:pPr>
              <w:spacing w:after="0"/>
              <w:rPr>
                <w:sz w:val="10"/>
                <w:szCs w:val="10"/>
                <w:color w:val="auto"/>
              </w:rPr>
            </w:pPr>
          </w:p>
        </w:tc>
        <w:tc>
          <w:tcPr>
            <w:tcW w:w="640" w:type="dxa"/>
            <w:vAlign w:val="bottom"/>
            <w:tcBorders>
              <w:top w:val="single" w:sz="8" w:color="auto"/>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4"/>
              </w:rPr>
              <w:t>All other</w:t>
            </w:r>
          </w:p>
        </w:tc>
        <w:tc>
          <w:tcPr>
            <w:tcW w:w="140" w:type="dxa"/>
            <w:vAlign w:val="bottom"/>
            <w:tcBorders>
              <w:top w:val="single" w:sz="8" w:color="auto"/>
            </w:tcBorders>
            <w:shd w:val="clear" w:color="auto" w:fill="4C4C4C"/>
          </w:tcPr>
          <w:p>
            <w:pPr>
              <w:spacing w:after="0"/>
              <w:rPr>
                <w:sz w:val="10"/>
                <w:szCs w:val="10"/>
                <w:color w:val="auto"/>
              </w:rPr>
            </w:pPr>
          </w:p>
        </w:tc>
        <w:tc>
          <w:tcPr>
            <w:tcW w:w="680" w:type="dxa"/>
            <w:vAlign w:val="bottom"/>
            <w:tcBorders>
              <w:top w:val="single" w:sz="8" w:color="auto"/>
            </w:tcBorders>
            <w:shd w:val="clear" w:color="auto" w:fill="4C4C4C"/>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3840" w:type="dxa"/>
            <w:vAlign w:val="bottom"/>
            <w:shd w:val="clear" w:color="auto" w:fill="4C4C4C"/>
          </w:tcPr>
          <w:p>
            <w:pPr>
              <w:spacing w:after="0"/>
              <w:rPr>
                <w:sz w:val="10"/>
                <w:szCs w:val="10"/>
                <w:color w:val="auto"/>
              </w:rPr>
            </w:pPr>
          </w:p>
        </w:tc>
        <w:tc>
          <w:tcPr>
            <w:tcW w:w="760" w:type="dxa"/>
            <w:vAlign w:val="bottom"/>
            <w:shd w:val="clear" w:color="auto" w:fill="4C4C4C"/>
          </w:tcPr>
          <w:p>
            <w:pPr>
              <w:spacing w:after="0"/>
              <w:rPr>
                <w:sz w:val="10"/>
                <w:szCs w:val="10"/>
                <w:color w:val="auto"/>
              </w:rPr>
            </w:pPr>
          </w:p>
        </w:tc>
        <w:tc>
          <w:tcPr>
            <w:tcW w:w="1100" w:type="dxa"/>
            <w:vAlign w:val="bottom"/>
            <w:shd w:val="clear" w:color="auto" w:fill="4C4C4C"/>
          </w:tcPr>
          <w:p>
            <w:pPr>
              <w:spacing w:after="0"/>
              <w:rPr>
                <w:sz w:val="10"/>
                <w:szCs w:val="10"/>
                <w:color w:val="auto"/>
              </w:rPr>
            </w:pPr>
          </w:p>
        </w:tc>
        <w:tc>
          <w:tcPr>
            <w:tcW w:w="140" w:type="dxa"/>
            <w:vAlign w:val="bottom"/>
            <w:shd w:val="clear" w:color="auto" w:fill="4C4C4C"/>
          </w:tcPr>
          <w:p>
            <w:pPr>
              <w:spacing w:after="0"/>
              <w:rPr>
                <w:sz w:val="10"/>
                <w:szCs w:val="10"/>
                <w:color w:val="auto"/>
              </w:rPr>
            </w:pPr>
          </w:p>
        </w:tc>
        <w:tc>
          <w:tcPr>
            <w:tcW w:w="480" w:type="dxa"/>
            <w:vAlign w:val="bottom"/>
            <w:shd w:val="clear" w:color="auto" w:fill="4C4C4C"/>
          </w:tcPr>
          <w:p>
            <w:pPr>
              <w:spacing w:after="0"/>
              <w:rPr>
                <w:sz w:val="10"/>
                <w:szCs w:val="10"/>
                <w:color w:val="auto"/>
              </w:rPr>
            </w:pPr>
          </w:p>
        </w:tc>
        <w:tc>
          <w:tcPr>
            <w:tcW w:w="120" w:type="dxa"/>
            <w:vAlign w:val="bottom"/>
            <w:shd w:val="clear" w:color="auto" w:fill="4C4C4C"/>
          </w:tcPr>
          <w:p>
            <w:pPr>
              <w:spacing w:after="0"/>
              <w:rPr>
                <w:sz w:val="10"/>
                <w:szCs w:val="10"/>
                <w:color w:val="auto"/>
              </w:rPr>
            </w:pPr>
          </w:p>
        </w:tc>
        <w:tc>
          <w:tcPr>
            <w:tcW w:w="460" w:type="dxa"/>
            <w:vAlign w:val="bottom"/>
            <w:shd w:val="clear" w:color="auto" w:fill="4C4C4C"/>
          </w:tcPr>
          <w:p>
            <w:pPr>
              <w:spacing w:after="0"/>
              <w:rPr>
                <w:sz w:val="10"/>
                <w:szCs w:val="10"/>
                <w:color w:val="auto"/>
              </w:rPr>
            </w:pPr>
          </w:p>
        </w:tc>
        <w:tc>
          <w:tcPr>
            <w:tcW w:w="160" w:type="dxa"/>
            <w:vAlign w:val="bottom"/>
            <w:shd w:val="clear" w:color="auto" w:fill="4C4C4C"/>
          </w:tcPr>
          <w:p>
            <w:pPr>
              <w:spacing w:after="0"/>
              <w:rPr>
                <w:sz w:val="10"/>
                <w:szCs w:val="10"/>
                <w:color w:val="auto"/>
              </w:rPr>
            </w:pPr>
          </w:p>
        </w:tc>
        <w:tc>
          <w:tcPr>
            <w:tcW w:w="560" w:type="dxa"/>
            <w:vAlign w:val="bottom"/>
            <w:shd w:val="clear" w:color="auto" w:fill="4C4C4C"/>
          </w:tcPr>
          <w:p>
            <w:pPr>
              <w:spacing w:after="0"/>
              <w:rPr>
                <w:sz w:val="10"/>
                <w:szCs w:val="10"/>
                <w:color w:val="auto"/>
              </w:rPr>
            </w:pPr>
          </w:p>
        </w:tc>
        <w:tc>
          <w:tcPr>
            <w:tcW w:w="680" w:type="dxa"/>
            <w:vAlign w:val="bottom"/>
            <w:shd w:val="clear" w:color="auto" w:fill="4C4C4C"/>
          </w:tcPr>
          <w:p>
            <w:pPr>
              <w:spacing w:after="0"/>
              <w:rPr>
                <w:sz w:val="10"/>
                <w:szCs w:val="10"/>
                <w:color w:val="auto"/>
              </w:rPr>
            </w:pPr>
          </w:p>
        </w:tc>
        <w:tc>
          <w:tcPr>
            <w:tcW w:w="540" w:type="dxa"/>
            <w:vAlign w:val="bottom"/>
            <w:shd w:val="clear" w:color="auto" w:fill="4C4C4C"/>
          </w:tcPr>
          <w:p>
            <w:pPr>
              <w:spacing w:after="0"/>
              <w:rPr>
                <w:sz w:val="10"/>
                <w:szCs w:val="10"/>
                <w:color w:val="auto"/>
              </w:rPr>
            </w:pPr>
          </w:p>
        </w:tc>
        <w:tc>
          <w:tcPr>
            <w:tcW w:w="720" w:type="dxa"/>
            <w:vAlign w:val="bottom"/>
            <w:shd w:val="clear" w:color="auto" w:fill="4C4C4C"/>
          </w:tcPr>
          <w:p>
            <w:pPr>
              <w:spacing w:after="0"/>
              <w:rPr>
                <w:sz w:val="10"/>
                <w:szCs w:val="10"/>
                <w:color w:val="auto"/>
              </w:rPr>
            </w:pPr>
          </w:p>
        </w:tc>
        <w:tc>
          <w:tcPr>
            <w:tcW w:w="64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3"/>
              </w:rPr>
              <w:t>stock</w:t>
            </w:r>
          </w:p>
        </w:tc>
        <w:tc>
          <w:tcPr>
            <w:tcW w:w="140" w:type="dxa"/>
            <w:vAlign w:val="bottom"/>
            <w:shd w:val="clear" w:color="auto" w:fill="4C4C4C"/>
          </w:tcPr>
          <w:p>
            <w:pPr>
              <w:spacing w:after="0"/>
              <w:rPr>
                <w:sz w:val="10"/>
                <w:szCs w:val="10"/>
                <w:color w:val="auto"/>
              </w:rPr>
            </w:pPr>
          </w:p>
        </w:tc>
        <w:tc>
          <w:tcPr>
            <w:tcW w:w="680" w:type="dxa"/>
            <w:vAlign w:val="bottom"/>
            <w:shd w:val="clear" w:color="auto" w:fill="4C4C4C"/>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3840" w:type="dxa"/>
            <w:vAlign w:val="bottom"/>
            <w:shd w:val="clear" w:color="auto" w:fill="4C4C4C"/>
          </w:tcPr>
          <w:p>
            <w:pPr>
              <w:spacing w:after="0"/>
              <w:rPr>
                <w:sz w:val="10"/>
                <w:szCs w:val="10"/>
                <w:color w:val="auto"/>
              </w:rPr>
            </w:pPr>
          </w:p>
        </w:tc>
        <w:tc>
          <w:tcPr>
            <w:tcW w:w="760" w:type="dxa"/>
            <w:vAlign w:val="bottom"/>
            <w:shd w:val="clear" w:color="auto" w:fill="4C4C4C"/>
          </w:tcPr>
          <w:p>
            <w:pPr>
              <w:spacing w:after="0"/>
              <w:rPr>
                <w:sz w:val="10"/>
                <w:szCs w:val="10"/>
                <w:color w:val="auto"/>
              </w:rPr>
            </w:pPr>
          </w:p>
        </w:tc>
        <w:tc>
          <w:tcPr>
            <w:tcW w:w="1100" w:type="dxa"/>
            <w:vAlign w:val="bottom"/>
            <w:shd w:val="clear" w:color="auto" w:fill="4C4C4C"/>
          </w:tcPr>
          <w:p>
            <w:pPr>
              <w:spacing w:after="0"/>
              <w:rPr>
                <w:sz w:val="10"/>
                <w:szCs w:val="10"/>
                <w:color w:val="auto"/>
              </w:rPr>
            </w:pPr>
          </w:p>
        </w:tc>
        <w:tc>
          <w:tcPr>
            <w:tcW w:w="140" w:type="dxa"/>
            <w:vAlign w:val="bottom"/>
            <w:shd w:val="clear" w:color="auto" w:fill="4C4C4C"/>
          </w:tcPr>
          <w:p>
            <w:pPr>
              <w:spacing w:after="0"/>
              <w:rPr>
                <w:sz w:val="10"/>
                <w:szCs w:val="10"/>
                <w:color w:val="auto"/>
              </w:rPr>
            </w:pPr>
          </w:p>
        </w:tc>
        <w:tc>
          <w:tcPr>
            <w:tcW w:w="1780" w:type="dxa"/>
            <w:vAlign w:val="bottom"/>
            <w:gridSpan w:val="5"/>
            <w:vMerge w:val="restart"/>
            <w:shd w:val="clear" w:color="auto" w:fill="4C4C4C"/>
          </w:tcPr>
          <w:p>
            <w:pPr>
              <w:jc w:val="right"/>
              <w:ind w:right="186"/>
              <w:spacing w:after="0"/>
              <w:rPr>
                <w:sz w:val="20"/>
                <w:szCs w:val="20"/>
                <w:color w:val="auto"/>
              </w:rPr>
            </w:pPr>
            <w:r>
              <w:rPr>
                <w:rFonts w:ascii="Arial" w:cs="Arial" w:eastAsia="Arial" w:hAnsi="Arial"/>
                <w:sz w:val="11"/>
                <w:szCs w:val="11"/>
                <w:b w:val="1"/>
                <w:bCs w:val="1"/>
                <w:color w:val="FFFFFF"/>
                <w:w w:val="91"/>
              </w:rPr>
              <w:t>Estimated future payouts under</w:t>
            </w:r>
          </w:p>
        </w:tc>
        <w:tc>
          <w:tcPr>
            <w:tcW w:w="1940" w:type="dxa"/>
            <w:vAlign w:val="bottom"/>
            <w:gridSpan w:val="3"/>
            <w:vMerge w:val="restart"/>
            <w:shd w:val="clear" w:color="auto" w:fill="4C4C4C"/>
          </w:tcPr>
          <w:p>
            <w:pPr>
              <w:jc w:val="right"/>
              <w:ind w:right="206"/>
              <w:spacing w:after="0"/>
              <w:rPr>
                <w:sz w:val="20"/>
                <w:szCs w:val="20"/>
                <w:color w:val="auto"/>
              </w:rPr>
            </w:pPr>
            <w:r>
              <w:rPr>
                <w:rFonts w:ascii="Arial" w:cs="Arial" w:eastAsia="Arial" w:hAnsi="Arial"/>
                <w:sz w:val="11"/>
                <w:szCs w:val="11"/>
                <w:b w:val="1"/>
                <w:bCs w:val="1"/>
                <w:color w:val="FFFFFF"/>
              </w:rPr>
              <w:t>Estimated future payouts under</w:t>
            </w:r>
          </w:p>
        </w:tc>
        <w:tc>
          <w:tcPr>
            <w:tcW w:w="64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1"/>
              </w:rPr>
              <w:t>awards:</w:t>
            </w:r>
          </w:p>
        </w:tc>
        <w:tc>
          <w:tcPr>
            <w:tcW w:w="140" w:type="dxa"/>
            <w:vAlign w:val="bottom"/>
            <w:shd w:val="clear" w:color="auto" w:fill="4C4C4C"/>
          </w:tcPr>
          <w:p>
            <w:pPr>
              <w:spacing w:after="0"/>
              <w:rPr>
                <w:sz w:val="10"/>
                <w:szCs w:val="10"/>
                <w:color w:val="auto"/>
              </w:rPr>
            </w:pPr>
          </w:p>
        </w:tc>
        <w:tc>
          <w:tcPr>
            <w:tcW w:w="680" w:type="dxa"/>
            <w:vAlign w:val="bottom"/>
            <w:shd w:val="clear" w:color="auto" w:fill="4C4C4C"/>
          </w:tcPr>
          <w:p>
            <w:pPr>
              <w:jc w:val="center"/>
              <w:ind w:right="126"/>
              <w:spacing w:after="0" w:line="122" w:lineRule="exact"/>
              <w:rPr>
                <w:sz w:val="20"/>
                <w:szCs w:val="20"/>
                <w:color w:val="auto"/>
              </w:rPr>
            </w:pPr>
            <w:r>
              <w:rPr>
                <w:rFonts w:ascii="Arial" w:cs="Arial" w:eastAsia="Arial" w:hAnsi="Arial"/>
                <w:sz w:val="11"/>
                <w:szCs w:val="11"/>
                <w:b w:val="1"/>
                <w:bCs w:val="1"/>
                <w:color w:val="FFFFFF"/>
                <w:w w:val="90"/>
              </w:rPr>
              <w:t>Grant date</w:t>
            </w:r>
          </w:p>
        </w:tc>
        <w:tc>
          <w:tcPr>
            <w:tcW w:w="0" w:type="dxa"/>
            <w:vAlign w:val="bottom"/>
          </w:tcPr>
          <w:p>
            <w:pPr>
              <w:spacing w:after="0"/>
              <w:rPr>
                <w:sz w:val="1"/>
                <w:szCs w:val="1"/>
                <w:color w:val="auto"/>
              </w:rPr>
            </w:pPr>
          </w:p>
        </w:tc>
      </w:tr>
      <w:tr>
        <w:trPr>
          <w:trHeight w:val="68"/>
        </w:trPr>
        <w:tc>
          <w:tcPr>
            <w:tcW w:w="3840" w:type="dxa"/>
            <w:vAlign w:val="bottom"/>
            <w:shd w:val="clear" w:color="auto" w:fill="4C4C4C"/>
          </w:tcPr>
          <w:p>
            <w:pPr>
              <w:spacing w:after="0"/>
              <w:rPr>
                <w:sz w:val="5"/>
                <w:szCs w:val="5"/>
                <w:color w:val="auto"/>
              </w:rPr>
            </w:pPr>
          </w:p>
        </w:tc>
        <w:tc>
          <w:tcPr>
            <w:tcW w:w="760" w:type="dxa"/>
            <w:vAlign w:val="bottom"/>
            <w:shd w:val="clear" w:color="auto" w:fill="4C4C4C"/>
          </w:tcPr>
          <w:p>
            <w:pPr>
              <w:spacing w:after="0"/>
              <w:rPr>
                <w:sz w:val="5"/>
                <w:szCs w:val="5"/>
                <w:color w:val="auto"/>
              </w:rPr>
            </w:pPr>
          </w:p>
        </w:tc>
        <w:tc>
          <w:tcPr>
            <w:tcW w:w="1100" w:type="dxa"/>
            <w:vAlign w:val="bottom"/>
            <w:shd w:val="clear" w:color="auto" w:fill="4C4C4C"/>
          </w:tcPr>
          <w:p>
            <w:pPr>
              <w:spacing w:after="0"/>
              <w:rPr>
                <w:sz w:val="5"/>
                <w:szCs w:val="5"/>
                <w:color w:val="auto"/>
              </w:rPr>
            </w:pPr>
          </w:p>
        </w:tc>
        <w:tc>
          <w:tcPr>
            <w:tcW w:w="140" w:type="dxa"/>
            <w:vAlign w:val="bottom"/>
            <w:shd w:val="clear" w:color="auto" w:fill="4C4C4C"/>
          </w:tcPr>
          <w:p>
            <w:pPr>
              <w:spacing w:after="0"/>
              <w:rPr>
                <w:sz w:val="5"/>
                <w:szCs w:val="5"/>
                <w:color w:val="auto"/>
              </w:rPr>
            </w:pPr>
          </w:p>
        </w:tc>
        <w:tc>
          <w:tcPr>
            <w:tcW w:w="1780" w:type="dxa"/>
            <w:vAlign w:val="bottom"/>
            <w:gridSpan w:val="5"/>
            <w:vMerge w:val="continue"/>
            <w:shd w:val="clear" w:color="auto" w:fill="4C4C4C"/>
          </w:tcPr>
          <w:p>
            <w:pPr>
              <w:spacing w:after="0"/>
              <w:rPr>
                <w:sz w:val="5"/>
                <w:szCs w:val="5"/>
                <w:color w:val="auto"/>
              </w:rPr>
            </w:pPr>
          </w:p>
        </w:tc>
        <w:tc>
          <w:tcPr>
            <w:tcW w:w="1940" w:type="dxa"/>
            <w:vAlign w:val="bottom"/>
            <w:gridSpan w:val="3"/>
            <w:vMerge w:val="continue"/>
            <w:shd w:val="clear" w:color="auto" w:fill="4C4C4C"/>
          </w:tcPr>
          <w:p>
            <w:pPr>
              <w:spacing w:after="0"/>
              <w:rPr>
                <w:sz w:val="5"/>
                <w:szCs w:val="5"/>
                <w:color w:val="auto"/>
              </w:rPr>
            </w:pPr>
          </w:p>
        </w:tc>
        <w:tc>
          <w:tcPr>
            <w:tcW w:w="640" w:type="dxa"/>
            <w:vAlign w:val="bottom"/>
            <w:vMerge w:val="restart"/>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9"/>
              </w:rPr>
              <w:t>number of</w:t>
            </w:r>
          </w:p>
        </w:tc>
        <w:tc>
          <w:tcPr>
            <w:tcW w:w="140" w:type="dxa"/>
            <w:vAlign w:val="bottom"/>
            <w:shd w:val="clear" w:color="auto" w:fill="4C4C4C"/>
          </w:tcPr>
          <w:p>
            <w:pPr>
              <w:spacing w:after="0"/>
              <w:rPr>
                <w:sz w:val="5"/>
                <w:szCs w:val="5"/>
                <w:color w:val="auto"/>
              </w:rPr>
            </w:pPr>
          </w:p>
        </w:tc>
        <w:tc>
          <w:tcPr>
            <w:tcW w:w="680" w:type="dxa"/>
            <w:vAlign w:val="bottom"/>
            <w:vMerge w:val="restart"/>
            <w:shd w:val="clear" w:color="auto" w:fill="4C4C4C"/>
          </w:tcPr>
          <w:p>
            <w:pPr>
              <w:jc w:val="center"/>
              <w:ind w:right="106"/>
              <w:spacing w:after="0" w:line="122" w:lineRule="exact"/>
              <w:rPr>
                <w:sz w:val="20"/>
                <w:szCs w:val="20"/>
                <w:color w:val="auto"/>
              </w:rPr>
            </w:pPr>
            <w:r>
              <w:rPr>
                <w:rFonts w:ascii="Arial" w:cs="Arial" w:eastAsia="Arial" w:hAnsi="Arial"/>
                <w:sz w:val="11"/>
                <w:szCs w:val="11"/>
                <w:b w:val="1"/>
                <w:bCs w:val="1"/>
                <w:color w:val="FFFFFF"/>
                <w:w w:val="90"/>
              </w:rPr>
              <w:t>fair value</w:t>
            </w:r>
          </w:p>
        </w:tc>
        <w:tc>
          <w:tcPr>
            <w:tcW w:w="0" w:type="dxa"/>
            <w:vAlign w:val="bottom"/>
          </w:tcPr>
          <w:p>
            <w:pPr>
              <w:spacing w:after="0"/>
              <w:rPr>
                <w:sz w:val="1"/>
                <w:szCs w:val="1"/>
                <w:color w:val="auto"/>
              </w:rPr>
            </w:pPr>
          </w:p>
        </w:tc>
      </w:tr>
      <w:tr>
        <w:trPr>
          <w:trHeight w:val="54"/>
        </w:trPr>
        <w:tc>
          <w:tcPr>
            <w:tcW w:w="3840" w:type="dxa"/>
            <w:vAlign w:val="bottom"/>
            <w:shd w:val="clear" w:color="auto" w:fill="4C4C4C"/>
          </w:tcPr>
          <w:p>
            <w:pPr>
              <w:spacing w:after="0"/>
              <w:rPr>
                <w:sz w:val="4"/>
                <w:szCs w:val="4"/>
                <w:color w:val="auto"/>
              </w:rPr>
            </w:pPr>
          </w:p>
        </w:tc>
        <w:tc>
          <w:tcPr>
            <w:tcW w:w="760" w:type="dxa"/>
            <w:vAlign w:val="bottom"/>
            <w:shd w:val="clear" w:color="auto" w:fill="4C4C4C"/>
          </w:tcPr>
          <w:p>
            <w:pPr>
              <w:spacing w:after="0"/>
              <w:rPr>
                <w:sz w:val="4"/>
                <w:szCs w:val="4"/>
                <w:color w:val="auto"/>
              </w:rPr>
            </w:pPr>
          </w:p>
        </w:tc>
        <w:tc>
          <w:tcPr>
            <w:tcW w:w="1100" w:type="dxa"/>
            <w:vAlign w:val="bottom"/>
            <w:shd w:val="clear" w:color="auto" w:fill="4C4C4C"/>
          </w:tcPr>
          <w:p>
            <w:pPr>
              <w:spacing w:after="0"/>
              <w:rPr>
                <w:sz w:val="4"/>
                <w:szCs w:val="4"/>
                <w:color w:val="auto"/>
              </w:rPr>
            </w:pPr>
          </w:p>
        </w:tc>
        <w:tc>
          <w:tcPr>
            <w:tcW w:w="140" w:type="dxa"/>
            <w:vAlign w:val="bottom"/>
            <w:shd w:val="clear" w:color="auto" w:fill="4C4C4C"/>
          </w:tcPr>
          <w:p>
            <w:pPr>
              <w:spacing w:after="0"/>
              <w:rPr>
                <w:sz w:val="4"/>
                <w:szCs w:val="4"/>
                <w:color w:val="auto"/>
              </w:rPr>
            </w:pPr>
          </w:p>
        </w:tc>
        <w:tc>
          <w:tcPr>
            <w:tcW w:w="1780" w:type="dxa"/>
            <w:vAlign w:val="bottom"/>
            <w:gridSpan w:val="5"/>
            <w:vMerge w:val="restart"/>
            <w:shd w:val="clear" w:color="auto" w:fill="4C4C4C"/>
          </w:tcPr>
          <w:p>
            <w:pPr>
              <w:jc w:val="right"/>
              <w:ind w:right="146"/>
              <w:spacing w:after="0"/>
              <w:rPr>
                <w:sz w:val="20"/>
                <w:szCs w:val="20"/>
                <w:color w:val="auto"/>
              </w:rPr>
            </w:pPr>
            <w:r>
              <w:rPr>
                <w:rFonts w:ascii="Arial" w:cs="Arial" w:eastAsia="Arial" w:hAnsi="Arial"/>
                <w:sz w:val="11"/>
                <w:szCs w:val="11"/>
                <w:b w:val="1"/>
                <w:bCs w:val="1"/>
                <w:color w:val="FFFFFF"/>
                <w:w w:val="89"/>
              </w:rPr>
              <w:t>non-equity incentive plan awards</w:t>
            </w:r>
          </w:p>
        </w:tc>
        <w:tc>
          <w:tcPr>
            <w:tcW w:w="1940" w:type="dxa"/>
            <w:vAlign w:val="bottom"/>
            <w:gridSpan w:val="3"/>
            <w:vMerge w:val="restart"/>
            <w:shd w:val="clear" w:color="auto" w:fill="4C4C4C"/>
          </w:tcPr>
          <w:p>
            <w:pPr>
              <w:jc w:val="right"/>
              <w:ind w:right="266"/>
              <w:spacing w:after="0"/>
              <w:rPr>
                <w:sz w:val="20"/>
                <w:szCs w:val="20"/>
                <w:color w:val="auto"/>
              </w:rPr>
            </w:pPr>
            <w:r>
              <w:rPr>
                <w:rFonts w:ascii="Arial" w:cs="Arial" w:eastAsia="Arial" w:hAnsi="Arial"/>
                <w:sz w:val="11"/>
                <w:szCs w:val="11"/>
                <w:b w:val="1"/>
                <w:bCs w:val="1"/>
                <w:color w:val="FFFFFF"/>
              </w:rPr>
              <w:t>equity incentive plan awards</w:t>
            </w:r>
          </w:p>
        </w:tc>
        <w:tc>
          <w:tcPr>
            <w:tcW w:w="640" w:type="dxa"/>
            <w:vAlign w:val="bottom"/>
            <w:vMerge w:val="continue"/>
            <w:shd w:val="clear" w:color="auto" w:fill="4C4C4C"/>
          </w:tcPr>
          <w:p>
            <w:pPr>
              <w:spacing w:after="0"/>
              <w:rPr>
                <w:sz w:val="4"/>
                <w:szCs w:val="4"/>
                <w:color w:val="auto"/>
              </w:rPr>
            </w:pPr>
          </w:p>
        </w:tc>
        <w:tc>
          <w:tcPr>
            <w:tcW w:w="140" w:type="dxa"/>
            <w:vAlign w:val="bottom"/>
            <w:shd w:val="clear" w:color="auto" w:fill="4C4C4C"/>
          </w:tcPr>
          <w:p>
            <w:pPr>
              <w:spacing w:after="0"/>
              <w:rPr>
                <w:sz w:val="4"/>
                <w:szCs w:val="4"/>
                <w:color w:val="auto"/>
              </w:rPr>
            </w:pPr>
          </w:p>
        </w:tc>
        <w:tc>
          <w:tcPr>
            <w:tcW w:w="680" w:type="dxa"/>
            <w:vAlign w:val="bottom"/>
            <w:vMerge w:val="continue"/>
            <w:shd w:val="clear" w:color="auto" w:fill="4C4C4C"/>
          </w:tcPr>
          <w:p>
            <w:pPr>
              <w:spacing w:after="0"/>
              <w:rPr>
                <w:sz w:val="4"/>
                <w:szCs w:val="4"/>
                <w:color w:val="auto"/>
              </w:rPr>
            </w:pPr>
          </w:p>
        </w:tc>
        <w:tc>
          <w:tcPr>
            <w:tcW w:w="0" w:type="dxa"/>
            <w:vAlign w:val="bottom"/>
          </w:tcPr>
          <w:p>
            <w:pPr>
              <w:spacing w:after="0"/>
              <w:rPr>
                <w:sz w:val="1"/>
                <w:szCs w:val="1"/>
                <w:color w:val="auto"/>
              </w:rPr>
            </w:pPr>
          </w:p>
        </w:tc>
      </w:tr>
      <w:tr>
        <w:trPr>
          <w:trHeight w:val="86"/>
        </w:trPr>
        <w:tc>
          <w:tcPr>
            <w:tcW w:w="3840" w:type="dxa"/>
            <w:vAlign w:val="bottom"/>
            <w:shd w:val="clear" w:color="auto" w:fill="4C4C4C"/>
          </w:tcPr>
          <w:p>
            <w:pPr>
              <w:spacing w:after="0"/>
              <w:rPr>
                <w:sz w:val="7"/>
                <w:szCs w:val="7"/>
                <w:color w:val="auto"/>
              </w:rPr>
            </w:pPr>
          </w:p>
        </w:tc>
        <w:tc>
          <w:tcPr>
            <w:tcW w:w="760" w:type="dxa"/>
            <w:vAlign w:val="bottom"/>
            <w:shd w:val="clear" w:color="auto" w:fill="4C4C4C"/>
          </w:tcPr>
          <w:p>
            <w:pPr>
              <w:spacing w:after="0"/>
              <w:rPr>
                <w:sz w:val="7"/>
                <w:szCs w:val="7"/>
                <w:color w:val="auto"/>
              </w:rPr>
            </w:pPr>
          </w:p>
        </w:tc>
        <w:tc>
          <w:tcPr>
            <w:tcW w:w="1100" w:type="dxa"/>
            <w:vAlign w:val="bottom"/>
            <w:shd w:val="clear" w:color="auto" w:fill="4C4C4C"/>
          </w:tcPr>
          <w:p>
            <w:pPr>
              <w:spacing w:after="0"/>
              <w:rPr>
                <w:sz w:val="7"/>
                <w:szCs w:val="7"/>
                <w:color w:val="auto"/>
              </w:rPr>
            </w:pPr>
          </w:p>
        </w:tc>
        <w:tc>
          <w:tcPr>
            <w:tcW w:w="140" w:type="dxa"/>
            <w:vAlign w:val="bottom"/>
            <w:shd w:val="clear" w:color="auto" w:fill="4C4C4C"/>
          </w:tcPr>
          <w:p>
            <w:pPr>
              <w:spacing w:after="0"/>
              <w:rPr>
                <w:sz w:val="7"/>
                <w:szCs w:val="7"/>
                <w:color w:val="auto"/>
              </w:rPr>
            </w:pPr>
          </w:p>
        </w:tc>
        <w:tc>
          <w:tcPr>
            <w:tcW w:w="1780" w:type="dxa"/>
            <w:vAlign w:val="bottom"/>
            <w:gridSpan w:val="5"/>
            <w:vMerge w:val="continue"/>
            <w:shd w:val="clear" w:color="auto" w:fill="4C4C4C"/>
          </w:tcPr>
          <w:p>
            <w:pPr>
              <w:spacing w:after="0"/>
              <w:rPr>
                <w:sz w:val="7"/>
                <w:szCs w:val="7"/>
                <w:color w:val="auto"/>
              </w:rPr>
            </w:pPr>
          </w:p>
        </w:tc>
        <w:tc>
          <w:tcPr>
            <w:tcW w:w="1940" w:type="dxa"/>
            <w:vAlign w:val="bottom"/>
            <w:gridSpan w:val="3"/>
            <w:vMerge w:val="continue"/>
            <w:shd w:val="clear" w:color="auto" w:fill="4C4C4C"/>
          </w:tcPr>
          <w:p>
            <w:pPr>
              <w:spacing w:after="0"/>
              <w:rPr>
                <w:sz w:val="7"/>
                <w:szCs w:val="7"/>
                <w:color w:val="auto"/>
              </w:rPr>
            </w:pPr>
          </w:p>
        </w:tc>
        <w:tc>
          <w:tcPr>
            <w:tcW w:w="640" w:type="dxa"/>
            <w:vAlign w:val="bottom"/>
            <w:vMerge w:val="restart"/>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1"/>
              </w:rPr>
              <w:t>shares of</w:t>
            </w:r>
          </w:p>
        </w:tc>
        <w:tc>
          <w:tcPr>
            <w:tcW w:w="140" w:type="dxa"/>
            <w:vAlign w:val="bottom"/>
            <w:shd w:val="clear" w:color="auto" w:fill="4C4C4C"/>
          </w:tcPr>
          <w:p>
            <w:pPr>
              <w:spacing w:after="0"/>
              <w:rPr>
                <w:sz w:val="7"/>
                <w:szCs w:val="7"/>
                <w:color w:val="auto"/>
              </w:rPr>
            </w:pPr>
          </w:p>
        </w:tc>
        <w:tc>
          <w:tcPr>
            <w:tcW w:w="680" w:type="dxa"/>
            <w:vAlign w:val="bottom"/>
            <w:vMerge w:val="restart"/>
            <w:shd w:val="clear" w:color="auto" w:fill="4C4C4C"/>
          </w:tcPr>
          <w:p>
            <w:pPr>
              <w:jc w:val="center"/>
              <w:ind w:right="106"/>
              <w:spacing w:after="0" w:line="122" w:lineRule="exact"/>
              <w:rPr>
                <w:sz w:val="20"/>
                <w:szCs w:val="20"/>
                <w:color w:val="auto"/>
              </w:rPr>
            </w:pPr>
            <w:r>
              <w:rPr>
                <w:rFonts w:ascii="Arial" w:cs="Arial" w:eastAsia="Arial" w:hAnsi="Arial"/>
                <w:sz w:val="11"/>
                <w:szCs w:val="11"/>
                <w:b w:val="1"/>
                <w:bCs w:val="1"/>
                <w:color w:val="FFFFFF"/>
                <w:w w:val="85"/>
              </w:rPr>
              <w:t>of stock</w:t>
            </w:r>
          </w:p>
        </w:tc>
        <w:tc>
          <w:tcPr>
            <w:tcW w:w="0" w:type="dxa"/>
            <w:vAlign w:val="bottom"/>
          </w:tcPr>
          <w:p>
            <w:pPr>
              <w:spacing w:after="0"/>
              <w:rPr>
                <w:sz w:val="1"/>
                <w:szCs w:val="1"/>
                <w:color w:val="auto"/>
              </w:rPr>
            </w:pPr>
          </w:p>
        </w:tc>
      </w:tr>
      <w:tr>
        <w:trPr>
          <w:trHeight w:val="35"/>
        </w:trPr>
        <w:tc>
          <w:tcPr>
            <w:tcW w:w="3840" w:type="dxa"/>
            <w:vAlign w:val="bottom"/>
            <w:shd w:val="clear" w:color="auto" w:fill="4C4C4C"/>
          </w:tcPr>
          <w:p>
            <w:pPr>
              <w:spacing w:after="0"/>
              <w:rPr>
                <w:sz w:val="3"/>
                <w:szCs w:val="3"/>
                <w:color w:val="auto"/>
              </w:rPr>
            </w:pPr>
          </w:p>
        </w:tc>
        <w:tc>
          <w:tcPr>
            <w:tcW w:w="760" w:type="dxa"/>
            <w:vAlign w:val="bottom"/>
            <w:shd w:val="clear" w:color="auto" w:fill="4C4C4C"/>
          </w:tcPr>
          <w:p>
            <w:pPr>
              <w:spacing w:after="0"/>
              <w:rPr>
                <w:sz w:val="3"/>
                <w:szCs w:val="3"/>
                <w:color w:val="auto"/>
              </w:rPr>
            </w:pPr>
          </w:p>
        </w:tc>
        <w:tc>
          <w:tcPr>
            <w:tcW w:w="1100" w:type="dxa"/>
            <w:vAlign w:val="bottom"/>
            <w:shd w:val="clear" w:color="auto" w:fill="4C4C4C"/>
          </w:tcPr>
          <w:p>
            <w:pPr>
              <w:spacing w:after="0"/>
              <w:rPr>
                <w:sz w:val="3"/>
                <w:szCs w:val="3"/>
                <w:color w:val="auto"/>
              </w:rPr>
            </w:pPr>
          </w:p>
        </w:tc>
        <w:tc>
          <w:tcPr>
            <w:tcW w:w="140" w:type="dxa"/>
            <w:vAlign w:val="bottom"/>
            <w:shd w:val="clear" w:color="auto" w:fill="4C4C4C"/>
          </w:tcPr>
          <w:p>
            <w:pPr>
              <w:spacing w:after="0"/>
              <w:rPr>
                <w:sz w:val="3"/>
                <w:szCs w:val="3"/>
                <w:color w:val="auto"/>
              </w:rPr>
            </w:pPr>
          </w:p>
        </w:tc>
        <w:tc>
          <w:tcPr>
            <w:tcW w:w="480" w:type="dxa"/>
            <w:vAlign w:val="bottom"/>
            <w:shd w:val="clear" w:color="auto" w:fill="4C4C4C"/>
          </w:tcPr>
          <w:p>
            <w:pPr>
              <w:spacing w:after="0"/>
              <w:rPr>
                <w:sz w:val="3"/>
                <w:szCs w:val="3"/>
                <w:color w:val="auto"/>
              </w:rPr>
            </w:pPr>
          </w:p>
        </w:tc>
        <w:tc>
          <w:tcPr>
            <w:tcW w:w="120" w:type="dxa"/>
            <w:vAlign w:val="bottom"/>
            <w:shd w:val="clear" w:color="auto" w:fill="4C4C4C"/>
          </w:tcPr>
          <w:p>
            <w:pPr>
              <w:spacing w:after="0"/>
              <w:rPr>
                <w:sz w:val="3"/>
                <w:szCs w:val="3"/>
                <w:color w:val="auto"/>
              </w:rPr>
            </w:pPr>
          </w:p>
        </w:tc>
        <w:tc>
          <w:tcPr>
            <w:tcW w:w="460" w:type="dxa"/>
            <w:vAlign w:val="bottom"/>
            <w:shd w:val="clear" w:color="auto" w:fill="4C4C4C"/>
          </w:tcPr>
          <w:p>
            <w:pPr>
              <w:spacing w:after="0"/>
              <w:rPr>
                <w:sz w:val="3"/>
                <w:szCs w:val="3"/>
                <w:color w:val="auto"/>
              </w:rPr>
            </w:pPr>
          </w:p>
        </w:tc>
        <w:tc>
          <w:tcPr>
            <w:tcW w:w="160" w:type="dxa"/>
            <w:vAlign w:val="bottom"/>
            <w:shd w:val="clear" w:color="auto" w:fill="4C4C4C"/>
          </w:tcPr>
          <w:p>
            <w:pPr>
              <w:spacing w:after="0"/>
              <w:rPr>
                <w:sz w:val="3"/>
                <w:szCs w:val="3"/>
                <w:color w:val="auto"/>
              </w:rPr>
            </w:pPr>
          </w:p>
        </w:tc>
        <w:tc>
          <w:tcPr>
            <w:tcW w:w="560" w:type="dxa"/>
            <w:vAlign w:val="bottom"/>
            <w:shd w:val="clear" w:color="auto" w:fill="4C4C4C"/>
          </w:tcPr>
          <w:p>
            <w:pPr>
              <w:spacing w:after="0"/>
              <w:rPr>
                <w:sz w:val="3"/>
                <w:szCs w:val="3"/>
                <w:color w:val="auto"/>
              </w:rPr>
            </w:pPr>
          </w:p>
        </w:tc>
        <w:tc>
          <w:tcPr>
            <w:tcW w:w="680" w:type="dxa"/>
            <w:vAlign w:val="bottom"/>
            <w:shd w:val="clear" w:color="auto" w:fill="4C4C4C"/>
          </w:tcPr>
          <w:p>
            <w:pPr>
              <w:spacing w:after="0"/>
              <w:rPr>
                <w:sz w:val="3"/>
                <w:szCs w:val="3"/>
                <w:color w:val="auto"/>
              </w:rPr>
            </w:pPr>
          </w:p>
        </w:tc>
        <w:tc>
          <w:tcPr>
            <w:tcW w:w="540" w:type="dxa"/>
            <w:vAlign w:val="bottom"/>
            <w:shd w:val="clear" w:color="auto" w:fill="4C4C4C"/>
          </w:tcPr>
          <w:p>
            <w:pPr>
              <w:spacing w:after="0"/>
              <w:rPr>
                <w:sz w:val="3"/>
                <w:szCs w:val="3"/>
                <w:color w:val="auto"/>
              </w:rPr>
            </w:pPr>
          </w:p>
        </w:tc>
        <w:tc>
          <w:tcPr>
            <w:tcW w:w="720" w:type="dxa"/>
            <w:vAlign w:val="bottom"/>
            <w:shd w:val="clear" w:color="auto" w:fill="4C4C4C"/>
          </w:tcPr>
          <w:p>
            <w:pPr>
              <w:spacing w:after="0"/>
              <w:rPr>
                <w:sz w:val="3"/>
                <w:szCs w:val="3"/>
                <w:color w:val="auto"/>
              </w:rPr>
            </w:pPr>
          </w:p>
        </w:tc>
        <w:tc>
          <w:tcPr>
            <w:tcW w:w="640" w:type="dxa"/>
            <w:vAlign w:val="bottom"/>
            <w:vMerge w:val="continue"/>
            <w:shd w:val="clear" w:color="auto" w:fill="4C4C4C"/>
          </w:tcPr>
          <w:p>
            <w:pPr>
              <w:spacing w:after="0"/>
              <w:rPr>
                <w:sz w:val="3"/>
                <w:szCs w:val="3"/>
                <w:color w:val="auto"/>
              </w:rPr>
            </w:pPr>
          </w:p>
        </w:tc>
        <w:tc>
          <w:tcPr>
            <w:tcW w:w="140" w:type="dxa"/>
            <w:vAlign w:val="bottom"/>
            <w:shd w:val="clear" w:color="auto" w:fill="4C4C4C"/>
          </w:tcPr>
          <w:p>
            <w:pPr>
              <w:spacing w:after="0"/>
              <w:rPr>
                <w:sz w:val="3"/>
                <w:szCs w:val="3"/>
                <w:color w:val="auto"/>
              </w:rPr>
            </w:pPr>
          </w:p>
        </w:tc>
        <w:tc>
          <w:tcPr>
            <w:tcW w:w="680" w:type="dxa"/>
            <w:vAlign w:val="bottom"/>
            <w:vMerge w:val="continue"/>
            <w:shd w:val="clear" w:color="auto" w:fill="4C4C4C"/>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1"/>
        </w:trPr>
        <w:tc>
          <w:tcPr>
            <w:tcW w:w="3840" w:type="dxa"/>
            <w:vAlign w:val="bottom"/>
            <w:shd w:val="clear" w:color="auto" w:fill="4C4C4C"/>
          </w:tcPr>
          <w:p>
            <w:pPr>
              <w:spacing w:after="0"/>
              <w:rPr>
                <w:sz w:val="10"/>
                <w:szCs w:val="10"/>
                <w:color w:val="auto"/>
              </w:rPr>
            </w:pPr>
          </w:p>
        </w:tc>
        <w:tc>
          <w:tcPr>
            <w:tcW w:w="760" w:type="dxa"/>
            <w:vAlign w:val="bottom"/>
            <w:shd w:val="clear" w:color="auto" w:fill="4C4C4C"/>
          </w:tcPr>
          <w:p>
            <w:pPr>
              <w:spacing w:after="0"/>
              <w:rPr>
                <w:sz w:val="10"/>
                <w:szCs w:val="10"/>
                <w:color w:val="auto"/>
              </w:rPr>
            </w:pPr>
          </w:p>
        </w:tc>
        <w:tc>
          <w:tcPr>
            <w:tcW w:w="1100" w:type="dxa"/>
            <w:vAlign w:val="bottom"/>
            <w:shd w:val="clear" w:color="auto" w:fill="4C4C4C"/>
          </w:tcPr>
          <w:p>
            <w:pPr>
              <w:spacing w:after="0"/>
              <w:rPr>
                <w:sz w:val="10"/>
                <w:szCs w:val="10"/>
                <w:color w:val="auto"/>
              </w:rPr>
            </w:pPr>
          </w:p>
        </w:tc>
        <w:tc>
          <w:tcPr>
            <w:tcW w:w="140" w:type="dxa"/>
            <w:vAlign w:val="bottom"/>
            <w:shd w:val="clear" w:color="auto" w:fill="4C4C4C"/>
          </w:tcPr>
          <w:p>
            <w:pPr>
              <w:spacing w:after="0"/>
              <w:rPr>
                <w:sz w:val="10"/>
                <w:szCs w:val="10"/>
                <w:color w:val="auto"/>
              </w:rPr>
            </w:pPr>
          </w:p>
        </w:tc>
        <w:tc>
          <w:tcPr>
            <w:tcW w:w="480" w:type="dxa"/>
            <w:vAlign w:val="bottom"/>
            <w:shd w:val="clear" w:color="auto" w:fill="4C4C4C"/>
          </w:tcPr>
          <w:p>
            <w:pPr>
              <w:spacing w:after="0"/>
              <w:rPr>
                <w:sz w:val="10"/>
                <w:szCs w:val="10"/>
                <w:color w:val="auto"/>
              </w:rPr>
            </w:pPr>
          </w:p>
        </w:tc>
        <w:tc>
          <w:tcPr>
            <w:tcW w:w="120" w:type="dxa"/>
            <w:vAlign w:val="bottom"/>
            <w:shd w:val="clear" w:color="auto" w:fill="4C4C4C"/>
          </w:tcPr>
          <w:p>
            <w:pPr>
              <w:spacing w:after="0"/>
              <w:rPr>
                <w:sz w:val="10"/>
                <w:szCs w:val="10"/>
                <w:color w:val="auto"/>
              </w:rPr>
            </w:pPr>
          </w:p>
        </w:tc>
        <w:tc>
          <w:tcPr>
            <w:tcW w:w="460" w:type="dxa"/>
            <w:vAlign w:val="bottom"/>
            <w:shd w:val="clear" w:color="auto" w:fill="4C4C4C"/>
          </w:tcPr>
          <w:p>
            <w:pPr>
              <w:spacing w:after="0"/>
              <w:rPr>
                <w:sz w:val="10"/>
                <w:szCs w:val="10"/>
                <w:color w:val="auto"/>
              </w:rPr>
            </w:pPr>
          </w:p>
        </w:tc>
        <w:tc>
          <w:tcPr>
            <w:tcW w:w="160" w:type="dxa"/>
            <w:vAlign w:val="bottom"/>
            <w:shd w:val="clear" w:color="auto" w:fill="4C4C4C"/>
          </w:tcPr>
          <w:p>
            <w:pPr>
              <w:spacing w:after="0"/>
              <w:rPr>
                <w:sz w:val="10"/>
                <w:szCs w:val="10"/>
                <w:color w:val="auto"/>
              </w:rPr>
            </w:pPr>
          </w:p>
        </w:tc>
        <w:tc>
          <w:tcPr>
            <w:tcW w:w="560" w:type="dxa"/>
            <w:vAlign w:val="bottom"/>
            <w:shd w:val="clear" w:color="auto" w:fill="4C4C4C"/>
          </w:tcPr>
          <w:p>
            <w:pPr>
              <w:spacing w:after="0"/>
              <w:rPr>
                <w:sz w:val="10"/>
                <w:szCs w:val="10"/>
                <w:color w:val="auto"/>
              </w:rPr>
            </w:pPr>
          </w:p>
        </w:tc>
        <w:tc>
          <w:tcPr>
            <w:tcW w:w="680" w:type="dxa"/>
            <w:vAlign w:val="bottom"/>
            <w:shd w:val="clear" w:color="auto" w:fill="4C4C4C"/>
          </w:tcPr>
          <w:p>
            <w:pPr>
              <w:spacing w:after="0"/>
              <w:rPr>
                <w:sz w:val="10"/>
                <w:szCs w:val="10"/>
                <w:color w:val="auto"/>
              </w:rPr>
            </w:pPr>
          </w:p>
        </w:tc>
        <w:tc>
          <w:tcPr>
            <w:tcW w:w="540" w:type="dxa"/>
            <w:vAlign w:val="bottom"/>
            <w:shd w:val="clear" w:color="auto" w:fill="4C4C4C"/>
          </w:tcPr>
          <w:p>
            <w:pPr>
              <w:spacing w:after="0"/>
              <w:rPr>
                <w:sz w:val="10"/>
                <w:szCs w:val="10"/>
                <w:color w:val="auto"/>
              </w:rPr>
            </w:pPr>
          </w:p>
        </w:tc>
        <w:tc>
          <w:tcPr>
            <w:tcW w:w="720" w:type="dxa"/>
            <w:vAlign w:val="bottom"/>
            <w:shd w:val="clear" w:color="auto" w:fill="4C4C4C"/>
          </w:tcPr>
          <w:p>
            <w:pPr>
              <w:spacing w:after="0"/>
              <w:rPr>
                <w:sz w:val="10"/>
                <w:szCs w:val="10"/>
                <w:color w:val="auto"/>
              </w:rPr>
            </w:pPr>
          </w:p>
        </w:tc>
        <w:tc>
          <w:tcPr>
            <w:tcW w:w="64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3"/>
              </w:rPr>
              <w:t>stock</w:t>
            </w:r>
          </w:p>
        </w:tc>
        <w:tc>
          <w:tcPr>
            <w:tcW w:w="140" w:type="dxa"/>
            <w:vAlign w:val="bottom"/>
            <w:shd w:val="clear" w:color="auto" w:fill="4C4C4C"/>
          </w:tcPr>
          <w:p>
            <w:pPr>
              <w:spacing w:after="0"/>
              <w:rPr>
                <w:sz w:val="10"/>
                <w:szCs w:val="10"/>
                <w:color w:val="auto"/>
              </w:rPr>
            </w:pPr>
          </w:p>
        </w:tc>
        <w:tc>
          <w:tcPr>
            <w:tcW w:w="680" w:type="dxa"/>
            <w:vAlign w:val="bottom"/>
            <w:shd w:val="clear" w:color="auto" w:fill="4C4C4C"/>
          </w:tcPr>
          <w:p>
            <w:pPr>
              <w:jc w:val="center"/>
              <w:ind w:right="126"/>
              <w:spacing w:after="0" w:line="122" w:lineRule="exact"/>
              <w:rPr>
                <w:sz w:val="20"/>
                <w:szCs w:val="20"/>
                <w:color w:val="auto"/>
              </w:rPr>
            </w:pPr>
            <w:r>
              <w:rPr>
                <w:rFonts w:ascii="Arial" w:cs="Arial" w:eastAsia="Arial" w:hAnsi="Arial"/>
                <w:sz w:val="11"/>
                <w:szCs w:val="11"/>
                <w:b w:val="1"/>
                <w:bCs w:val="1"/>
                <w:color w:val="FFFFFF"/>
                <w:w w:val="88"/>
              </w:rPr>
              <w:t>and option</w:t>
            </w:r>
          </w:p>
        </w:tc>
        <w:tc>
          <w:tcPr>
            <w:tcW w:w="0" w:type="dxa"/>
            <w:vAlign w:val="bottom"/>
          </w:tcPr>
          <w:p>
            <w:pPr>
              <w:spacing w:after="0"/>
              <w:rPr>
                <w:sz w:val="1"/>
                <w:szCs w:val="1"/>
                <w:color w:val="auto"/>
              </w:rPr>
            </w:pPr>
          </w:p>
        </w:tc>
      </w:tr>
      <w:tr>
        <w:trPr>
          <w:trHeight w:val="149"/>
        </w:trPr>
        <w:tc>
          <w:tcPr>
            <w:tcW w:w="3840" w:type="dxa"/>
            <w:vAlign w:val="bottom"/>
            <w:shd w:val="clear" w:color="auto" w:fill="4C4C4C"/>
          </w:tcPr>
          <w:p>
            <w:pPr>
              <w:ind w:left="1780"/>
              <w:spacing w:after="0"/>
              <w:rPr>
                <w:sz w:val="20"/>
                <w:szCs w:val="20"/>
                <w:color w:val="auto"/>
              </w:rPr>
            </w:pPr>
            <w:r>
              <w:rPr>
                <w:rFonts w:ascii="Arial" w:cs="Arial" w:eastAsia="Arial" w:hAnsi="Arial"/>
                <w:sz w:val="11"/>
                <w:szCs w:val="11"/>
                <w:b w:val="1"/>
                <w:bCs w:val="1"/>
                <w:color w:val="FFFFFF"/>
              </w:rPr>
              <w:t>Name</w:t>
            </w:r>
          </w:p>
        </w:tc>
        <w:tc>
          <w:tcPr>
            <w:tcW w:w="760" w:type="dxa"/>
            <w:vAlign w:val="bottom"/>
            <w:shd w:val="clear" w:color="auto" w:fill="4C4C4C"/>
          </w:tcPr>
          <w:p>
            <w:pPr>
              <w:ind w:left="80"/>
              <w:spacing w:after="0"/>
              <w:rPr>
                <w:sz w:val="20"/>
                <w:szCs w:val="20"/>
                <w:color w:val="auto"/>
              </w:rPr>
            </w:pPr>
            <w:r>
              <w:rPr>
                <w:rFonts w:ascii="Arial" w:cs="Arial" w:eastAsia="Arial" w:hAnsi="Arial"/>
                <w:sz w:val="11"/>
                <w:szCs w:val="11"/>
                <w:b w:val="1"/>
                <w:bCs w:val="1"/>
                <w:color w:val="FFFFFF"/>
                <w:w w:val="89"/>
              </w:rPr>
              <w:t>Approval date</w:t>
            </w:r>
          </w:p>
        </w:tc>
        <w:tc>
          <w:tcPr>
            <w:tcW w:w="1100" w:type="dxa"/>
            <w:vAlign w:val="bottom"/>
            <w:shd w:val="clear" w:color="auto" w:fill="4C4C4C"/>
          </w:tcPr>
          <w:p>
            <w:pPr>
              <w:ind w:left="320"/>
              <w:spacing w:after="0"/>
              <w:rPr>
                <w:sz w:val="20"/>
                <w:szCs w:val="20"/>
                <w:color w:val="auto"/>
              </w:rPr>
            </w:pPr>
            <w:r>
              <w:rPr>
                <w:rFonts w:ascii="Arial" w:cs="Arial" w:eastAsia="Arial" w:hAnsi="Arial"/>
                <w:sz w:val="11"/>
                <w:szCs w:val="11"/>
                <w:b w:val="1"/>
                <w:bCs w:val="1"/>
                <w:color w:val="FFFFFF"/>
              </w:rPr>
              <w:t>Grant date</w:t>
            </w:r>
          </w:p>
        </w:tc>
        <w:tc>
          <w:tcPr>
            <w:tcW w:w="620" w:type="dxa"/>
            <w:vAlign w:val="bottom"/>
            <w:gridSpan w:val="2"/>
            <w:shd w:val="clear" w:color="auto" w:fill="4C4C4C"/>
          </w:tcPr>
          <w:p>
            <w:pPr>
              <w:ind w:left="60"/>
              <w:spacing w:after="0"/>
              <w:rPr>
                <w:sz w:val="20"/>
                <w:szCs w:val="20"/>
                <w:color w:val="auto"/>
              </w:rPr>
            </w:pPr>
            <w:r>
              <w:rPr>
                <w:rFonts w:ascii="Arial" w:cs="Arial" w:eastAsia="Arial" w:hAnsi="Arial"/>
                <w:sz w:val="11"/>
                <w:szCs w:val="11"/>
                <w:b w:val="1"/>
                <w:bCs w:val="1"/>
                <w:color w:val="FFFFFF"/>
              </w:rPr>
              <w:t>Threshold</w:t>
            </w:r>
          </w:p>
        </w:tc>
        <w:tc>
          <w:tcPr>
            <w:tcW w:w="120" w:type="dxa"/>
            <w:vAlign w:val="bottom"/>
            <w:shd w:val="clear" w:color="auto" w:fill="4C4C4C"/>
          </w:tcPr>
          <w:p>
            <w:pPr>
              <w:spacing w:after="0"/>
              <w:rPr>
                <w:sz w:val="12"/>
                <w:szCs w:val="12"/>
                <w:color w:val="auto"/>
              </w:rPr>
            </w:pPr>
          </w:p>
        </w:tc>
        <w:tc>
          <w:tcPr>
            <w:tcW w:w="460" w:type="dxa"/>
            <w:vAlign w:val="bottom"/>
            <w:shd w:val="clear" w:color="auto" w:fill="4C4C4C"/>
          </w:tcPr>
          <w:p>
            <w:pPr>
              <w:jc w:val="right"/>
              <w:ind w:right="86"/>
              <w:spacing w:after="0"/>
              <w:rPr>
                <w:sz w:val="20"/>
                <w:szCs w:val="20"/>
                <w:color w:val="auto"/>
              </w:rPr>
            </w:pPr>
            <w:r>
              <w:rPr>
                <w:rFonts w:ascii="Arial" w:cs="Arial" w:eastAsia="Arial" w:hAnsi="Arial"/>
                <w:sz w:val="11"/>
                <w:szCs w:val="11"/>
                <w:b w:val="1"/>
                <w:bCs w:val="1"/>
                <w:color w:val="FFFFFF"/>
                <w:w w:val="89"/>
              </w:rPr>
              <w:t>Target</w:t>
            </w:r>
          </w:p>
        </w:tc>
        <w:tc>
          <w:tcPr>
            <w:tcW w:w="720" w:type="dxa"/>
            <w:vAlign w:val="bottom"/>
            <w:gridSpan w:val="2"/>
            <w:shd w:val="clear" w:color="auto" w:fill="4C4C4C"/>
          </w:tcPr>
          <w:p>
            <w:pPr>
              <w:jc w:val="right"/>
              <w:ind w:right="66"/>
              <w:spacing w:after="0"/>
              <w:rPr>
                <w:sz w:val="20"/>
                <w:szCs w:val="20"/>
                <w:color w:val="auto"/>
              </w:rPr>
            </w:pPr>
            <w:r>
              <w:rPr>
                <w:rFonts w:ascii="Arial" w:cs="Arial" w:eastAsia="Arial" w:hAnsi="Arial"/>
                <w:sz w:val="11"/>
                <w:szCs w:val="11"/>
                <w:b w:val="1"/>
                <w:bCs w:val="1"/>
                <w:color w:val="FFFFFF"/>
              </w:rPr>
              <w:t>Maximum</w:t>
            </w:r>
          </w:p>
        </w:tc>
        <w:tc>
          <w:tcPr>
            <w:tcW w:w="680" w:type="dxa"/>
            <w:vAlign w:val="bottom"/>
            <w:shd w:val="clear" w:color="auto" w:fill="4C4C4C"/>
          </w:tcPr>
          <w:p>
            <w:pPr>
              <w:jc w:val="right"/>
              <w:ind w:right="66"/>
              <w:spacing w:after="0"/>
              <w:rPr>
                <w:sz w:val="20"/>
                <w:szCs w:val="20"/>
                <w:color w:val="auto"/>
              </w:rPr>
            </w:pPr>
            <w:r>
              <w:rPr>
                <w:rFonts w:ascii="Arial" w:cs="Arial" w:eastAsia="Arial" w:hAnsi="Arial"/>
                <w:sz w:val="11"/>
                <w:szCs w:val="11"/>
                <w:b w:val="1"/>
                <w:bCs w:val="1"/>
                <w:color w:val="FFFFFF"/>
              </w:rPr>
              <w:t>Threshold</w:t>
            </w:r>
          </w:p>
        </w:tc>
        <w:tc>
          <w:tcPr>
            <w:tcW w:w="540" w:type="dxa"/>
            <w:vAlign w:val="bottom"/>
            <w:shd w:val="clear" w:color="auto" w:fill="4C4C4C"/>
          </w:tcPr>
          <w:p>
            <w:pPr>
              <w:jc w:val="right"/>
              <w:ind w:right="86"/>
              <w:spacing w:after="0"/>
              <w:rPr>
                <w:sz w:val="20"/>
                <w:szCs w:val="20"/>
                <w:color w:val="auto"/>
              </w:rPr>
            </w:pPr>
            <w:r>
              <w:rPr>
                <w:rFonts w:ascii="Arial" w:cs="Arial" w:eastAsia="Arial" w:hAnsi="Arial"/>
                <w:sz w:val="11"/>
                <w:szCs w:val="11"/>
                <w:b w:val="1"/>
                <w:bCs w:val="1"/>
                <w:color w:val="FFFFFF"/>
              </w:rPr>
              <w:t>Target</w:t>
            </w:r>
          </w:p>
        </w:tc>
        <w:tc>
          <w:tcPr>
            <w:tcW w:w="720" w:type="dxa"/>
            <w:vAlign w:val="bottom"/>
            <w:shd w:val="clear" w:color="auto" w:fill="4C4C4C"/>
          </w:tcPr>
          <w:p>
            <w:pPr>
              <w:jc w:val="right"/>
              <w:ind w:right="106"/>
              <w:spacing w:after="0"/>
              <w:rPr>
                <w:sz w:val="20"/>
                <w:szCs w:val="20"/>
                <w:color w:val="auto"/>
              </w:rPr>
            </w:pPr>
            <w:r>
              <w:rPr>
                <w:rFonts w:ascii="Arial" w:cs="Arial" w:eastAsia="Arial" w:hAnsi="Arial"/>
                <w:sz w:val="11"/>
                <w:szCs w:val="11"/>
                <w:b w:val="1"/>
                <w:bCs w:val="1"/>
                <w:color w:val="FFFFFF"/>
              </w:rPr>
              <w:t>Maximum</w:t>
            </w:r>
          </w:p>
        </w:tc>
        <w:tc>
          <w:tcPr>
            <w:tcW w:w="640" w:type="dxa"/>
            <w:vAlign w:val="bottom"/>
            <w:shd w:val="clear" w:color="auto" w:fill="4C4C4C"/>
          </w:tcPr>
          <w:p>
            <w:pPr>
              <w:jc w:val="center"/>
              <w:spacing w:after="0"/>
              <w:rPr>
                <w:sz w:val="20"/>
                <w:szCs w:val="20"/>
                <w:color w:val="auto"/>
              </w:rPr>
            </w:pPr>
            <w:r>
              <w:rPr>
                <w:rFonts w:ascii="Arial" w:cs="Arial" w:eastAsia="Arial" w:hAnsi="Arial"/>
                <w:sz w:val="11"/>
                <w:szCs w:val="11"/>
                <w:b w:val="1"/>
                <w:bCs w:val="1"/>
                <w:color w:val="FFFFFF"/>
                <w:w w:val="89"/>
              </w:rPr>
              <w:t>or units</w:t>
            </w:r>
          </w:p>
        </w:tc>
        <w:tc>
          <w:tcPr>
            <w:tcW w:w="140" w:type="dxa"/>
            <w:vAlign w:val="bottom"/>
            <w:shd w:val="clear" w:color="auto" w:fill="4C4C4C"/>
          </w:tcPr>
          <w:p>
            <w:pPr>
              <w:spacing w:after="0"/>
              <w:rPr>
                <w:sz w:val="12"/>
                <w:szCs w:val="12"/>
                <w:color w:val="auto"/>
              </w:rPr>
            </w:pPr>
          </w:p>
        </w:tc>
        <w:tc>
          <w:tcPr>
            <w:tcW w:w="680" w:type="dxa"/>
            <w:vAlign w:val="bottom"/>
            <w:shd w:val="clear" w:color="auto" w:fill="4C4C4C"/>
          </w:tcPr>
          <w:p>
            <w:pPr>
              <w:jc w:val="center"/>
              <w:ind w:right="106"/>
              <w:spacing w:after="0"/>
              <w:rPr>
                <w:sz w:val="20"/>
                <w:szCs w:val="20"/>
                <w:color w:val="auto"/>
              </w:rPr>
            </w:pPr>
            <w:r>
              <w:rPr>
                <w:rFonts w:ascii="Arial" w:cs="Arial" w:eastAsia="Arial" w:hAnsi="Arial"/>
                <w:sz w:val="11"/>
                <w:szCs w:val="11"/>
                <w:b w:val="1"/>
                <w:bCs w:val="1"/>
                <w:color w:val="FFFFFF"/>
                <w:w w:val="89"/>
              </w:rPr>
              <w:t>awards</w:t>
            </w:r>
            <w:r>
              <w:rPr>
                <w:rFonts w:ascii="Arial" w:cs="Arial" w:eastAsia="Arial" w:hAnsi="Arial"/>
                <w:sz w:val="9"/>
                <w:szCs w:val="9"/>
                <w:b w:val="1"/>
                <w:bCs w:val="1"/>
                <w:color w:val="FFFFFF"/>
                <w:w w:val="89"/>
              </w:rPr>
              <w:t>(4)</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20"/>
                <w:szCs w:val="20"/>
                <w:color w:val="auto"/>
              </w:rPr>
            </w:pPr>
            <w:r>
              <w:rPr>
                <w:rFonts w:ascii="Arial" w:cs="Arial" w:eastAsia="Arial" w:hAnsi="Arial"/>
                <w:sz w:val="11"/>
                <w:szCs w:val="11"/>
                <w:color w:val="auto"/>
              </w:rPr>
              <w:t>Michael S. Williams</w:t>
            </w: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12/16/2020</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shd w:val="clear" w:color="auto" w:fill="D8D8D8"/>
          </w:tcPr>
          <w:p>
            <w:pPr>
              <w:ind w:left="40"/>
              <w:spacing w:after="0"/>
              <w:rPr>
                <w:sz w:val="20"/>
                <w:szCs w:val="20"/>
                <w:color w:val="auto"/>
              </w:rPr>
            </w:pPr>
            <w:r>
              <w:rPr>
                <w:rFonts w:ascii="Arial" w:cs="Arial" w:eastAsia="Arial" w:hAnsi="Arial"/>
                <w:sz w:val="11"/>
                <w:szCs w:val="11"/>
                <w:color w:val="auto"/>
              </w:rPr>
              <w:t>$</w:t>
            </w:r>
          </w:p>
        </w:tc>
        <w:tc>
          <w:tcPr>
            <w:tcW w:w="48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46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w w:val="95"/>
              </w:rPr>
              <w:t>800,000</w:t>
            </w:r>
          </w:p>
        </w:tc>
        <w:tc>
          <w:tcPr>
            <w:tcW w:w="16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56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w w:val="93"/>
              </w:rPr>
              <w:t>1,600,000</w:t>
            </w: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12/16/2020</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1/5/2021 RSUs</w:t>
            </w:r>
            <w:r>
              <w:rPr>
                <w:rFonts w:ascii="Arial" w:cs="Arial" w:eastAsia="Arial" w:hAnsi="Arial"/>
                <w:sz w:val="9"/>
                <w:szCs w:val="9"/>
                <w:color w:val="auto"/>
              </w:rPr>
              <w:t>(2)</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rPr>
              <w:t>423,400</w:t>
            </w: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2,188,978</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12/16/2020</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w w:val="95"/>
              </w:rPr>
              <w:t>1/5/2021 Perf RSUs</w:t>
            </w:r>
            <w:r>
              <w:rPr>
                <w:rFonts w:ascii="Arial" w:cs="Arial" w:eastAsia="Arial" w:hAnsi="Arial"/>
                <w:sz w:val="9"/>
                <w:szCs w:val="9"/>
                <w:color w:val="auto"/>
                <w:w w:val="95"/>
              </w:rPr>
              <w:t>(3)</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211,700</w:t>
            </w:r>
          </w:p>
        </w:tc>
        <w:tc>
          <w:tcPr>
            <w:tcW w:w="54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423,400</w:t>
            </w:r>
          </w:p>
        </w:tc>
        <w:tc>
          <w:tcPr>
            <w:tcW w:w="72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635,100</w:t>
            </w: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2,404,912</w:t>
            </w:r>
          </w:p>
        </w:tc>
        <w:tc>
          <w:tcPr>
            <w:tcW w:w="0" w:type="dxa"/>
            <w:vAlign w:val="bottom"/>
          </w:tcPr>
          <w:p>
            <w:pPr>
              <w:spacing w:after="0"/>
              <w:rPr>
                <w:sz w:val="1"/>
                <w:szCs w:val="1"/>
                <w:color w:val="auto"/>
              </w:rPr>
            </w:pPr>
          </w:p>
        </w:tc>
      </w:tr>
      <w:tr>
        <w:trPr>
          <w:trHeight w:val="139"/>
        </w:trPr>
        <w:tc>
          <w:tcPr>
            <w:tcW w:w="3840" w:type="dxa"/>
            <w:vAlign w:val="bottom"/>
          </w:tcPr>
          <w:p>
            <w:pPr>
              <w:spacing w:after="0"/>
              <w:rPr>
                <w:sz w:val="20"/>
                <w:szCs w:val="20"/>
                <w:color w:val="auto"/>
              </w:rPr>
            </w:pPr>
            <w:r>
              <w:rPr>
                <w:rFonts w:ascii="Arial" w:cs="Arial" w:eastAsia="Arial" w:hAnsi="Arial"/>
                <w:sz w:val="11"/>
                <w:szCs w:val="11"/>
                <w:color w:val="auto"/>
              </w:rPr>
              <w:t>Kristopher R. Westbrooks</w:t>
            </w: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tcPr>
          <w:p>
            <w:pPr>
              <w:ind w:left="40"/>
              <w:spacing w:after="0"/>
              <w:rPr>
                <w:sz w:val="20"/>
                <w:szCs w:val="20"/>
                <w:color w:val="auto"/>
              </w:rPr>
            </w:pPr>
            <w:r>
              <w:rPr>
                <w:rFonts w:ascii="Arial" w:cs="Arial" w:eastAsia="Arial" w:hAnsi="Arial"/>
                <w:sz w:val="11"/>
                <w:szCs w:val="11"/>
                <w:color w:val="auto"/>
              </w:rPr>
              <w:t>$</w:t>
            </w:r>
          </w:p>
        </w:tc>
        <w:tc>
          <w:tcPr>
            <w:tcW w:w="480" w:type="dxa"/>
            <w:vAlign w:val="bottom"/>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tcPr>
          <w:p>
            <w:pPr>
              <w:jc w:val="right"/>
              <w:spacing w:after="0"/>
              <w:rPr>
                <w:sz w:val="20"/>
                <w:szCs w:val="20"/>
                <w:color w:val="auto"/>
              </w:rPr>
            </w:pPr>
            <w:r>
              <w:rPr>
                <w:rFonts w:ascii="Arial" w:cs="Arial" w:eastAsia="Arial" w:hAnsi="Arial"/>
                <w:sz w:val="11"/>
                <w:szCs w:val="11"/>
                <w:color w:val="auto"/>
              </w:rPr>
              <w:t>$</w:t>
            </w:r>
          </w:p>
        </w:tc>
        <w:tc>
          <w:tcPr>
            <w:tcW w:w="460" w:type="dxa"/>
            <w:vAlign w:val="bottom"/>
          </w:tcPr>
          <w:p>
            <w:pPr>
              <w:jc w:val="right"/>
              <w:ind w:right="6"/>
              <w:spacing w:after="0"/>
              <w:rPr>
                <w:sz w:val="20"/>
                <w:szCs w:val="20"/>
                <w:color w:val="auto"/>
              </w:rPr>
            </w:pPr>
            <w:r>
              <w:rPr>
                <w:rFonts w:ascii="Arial" w:cs="Arial" w:eastAsia="Arial" w:hAnsi="Arial"/>
                <w:sz w:val="11"/>
                <w:szCs w:val="11"/>
                <w:color w:val="auto"/>
                <w:w w:val="95"/>
              </w:rPr>
              <w:t>311,965</w:t>
            </w:r>
          </w:p>
        </w:tc>
        <w:tc>
          <w:tcPr>
            <w:tcW w:w="160" w:type="dxa"/>
            <w:vAlign w:val="bottom"/>
          </w:tcPr>
          <w:p>
            <w:pPr>
              <w:jc w:val="right"/>
              <w:spacing w:after="0"/>
              <w:rPr>
                <w:sz w:val="20"/>
                <w:szCs w:val="20"/>
                <w:color w:val="auto"/>
              </w:rPr>
            </w:pPr>
            <w:r>
              <w:rPr>
                <w:rFonts w:ascii="Arial" w:cs="Arial" w:eastAsia="Arial" w:hAnsi="Arial"/>
                <w:sz w:val="11"/>
                <w:szCs w:val="11"/>
                <w:color w:val="auto"/>
              </w:rPr>
              <w:t>$</w:t>
            </w:r>
          </w:p>
        </w:tc>
        <w:tc>
          <w:tcPr>
            <w:tcW w:w="560" w:type="dxa"/>
            <w:vAlign w:val="bottom"/>
          </w:tcPr>
          <w:p>
            <w:pPr>
              <w:jc w:val="right"/>
              <w:ind w:right="26"/>
              <w:spacing w:after="0"/>
              <w:rPr>
                <w:sz w:val="20"/>
                <w:szCs w:val="20"/>
                <w:color w:val="auto"/>
              </w:rPr>
            </w:pPr>
            <w:r>
              <w:rPr>
                <w:rFonts w:ascii="Arial" w:cs="Arial" w:eastAsia="Arial" w:hAnsi="Arial"/>
                <w:sz w:val="11"/>
                <w:szCs w:val="11"/>
                <w:color w:val="auto"/>
              </w:rPr>
              <w:t>623,929</w:t>
            </w:r>
          </w:p>
        </w:tc>
        <w:tc>
          <w:tcPr>
            <w:tcW w:w="6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RSUs</w:t>
            </w:r>
            <w:r>
              <w:rPr>
                <w:rFonts w:ascii="Arial" w:cs="Arial" w:eastAsia="Arial" w:hAnsi="Arial"/>
                <w:sz w:val="9"/>
                <w:szCs w:val="9"/>
                <w:color w:val="auto"/>
              </w:rPr>
              <w:t>(2)</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40" w:type="dxa"/>
            <w:vAlign w:val="bottom"/>
          </w:tcPr>
          <w:p>
            <w:pPr>
              <w:jc w:val="right"/>
              <w:ind w:right="6"/>
              <w:spacing w:after="0"/>
              <w:rPr>
                <w:sz w:val="20"/>
                <w:szCs w:val="20"/>
                <w:color w:val="auto"/>
              </w:rPr>
            </w:pPr>
            <w:r>
              <w:rPr>
                <w:rFonts w:ascii="Arial" w:cs="Arial" w:eastAsia="Arial" w:hAnsi="Arial"/>
                <w:sz w:val="11"/>
                <w:szCs w:val="11"/>
                <w:color w:val="auto"/>
              </w:rPr>
              <w:t>40,400</w:t>
            </w: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348,248</w:t>
            </w:r>
          </w:p>
        </w:tc>
        <w:tc>
          <w:tcPr>
            <w:tcW w:w="0" w:type="dxa"/>
            <w:vAlign w:val="bottom"/>
          </w:tcPr>
          <w:p>
            <w:pPr>
              <w:spacing w:after="0"/>
              <w:rPr>
                <w:sz w:val="1"/>
                <w:szCs w:val="1"/>
                <w:color w:val="auto"/>
              </w:rPr>
            </w:pPr>
          </w:p>
        </w:tc>
      </w:tr>
      <w:tr>
        <w:trPr>
          <w:trHeight w:val="131"/>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w w:val="95"/>
              </w:rPr>
              <w:t>3/1/2021 Perf RSUs</w:t>
            </w:r>
            <w:r>
              <w:rPr>
                <w:rFonts w:ascii="Arial" w:cs="Arial" w:eastAsia="Arial" w:hAnsi="Arial"/>
                <w:sz w:val="9"/>
                <w:szCs w:val="9"/>
                <w:color w:val="auto"/>
                <w:w w:val="95"/>
              </w:rPr>
              <w:t>(3)</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20,200</w:t>
            </w:r>
          </w:p>
        </w:tc>
        <w:tc>
          <w:tcPr>
            <w:tcW w:w="540" w:type="dxa"/>
            <w:vAlign w:val="bottom"/>
          </w:tcPr>
          <w:p>
            <w:pPr>
              <w:jc w:val="right"/>
              <w:ind w:right="46"/>
              <w:spacing w:after="0"/>
              <w:rPr>
                <w:sz w:val="20"/>
                <w:szCs w:val="20"/>
                <w:color w:val="auto"/>
              </w:rPr>
            </w:pPr>
            <w:r>
              <w:rPr>
                <w:rFonts w:ascii="Arial" w:cs="Arial" w:eastAsia="Arial" w:hAnsi="Arial"/>
                <w:sz w:val="11"/>
                <w:szCs w:val="11"/>
                <w:color w:val="auto"/>
              </w:rPr>
              <w:t>40,400</w:t>
            </w:r>
          </w:p>
        </w:tc>
        <w:tc>
          <w:tcPr>
            <w:tcW w:w="720" w:type="dxa"/>
            <w:vAlign w:val="bottom"/>
          </w:tcPr>
          <w:p>
            <w:pPr>
              <w:jc w:val="right"/>
              <w:ind w:right="66"/>
              <w:spacing w:after="0"/>
              <w:rPr>
                <w:sz w:val="20"/>
                <w:szCs w:val="20"/>
                <w:color w:val="auto"/>
              </w:rPr>
            </w:pPr>
            <w:r>
              <w:rPr>
                <w:rFonts w:ascii="Arial" w:cs="Arial" w:eastAsia="Arial" w:hAnsi="Arial"/>
                <w:sz w:val="11"/>
                <w:szCs w:val="11"/>
                <w:color w:val="auto"/>
              </w:rPr>
              <w:t>60,600</w:t>
            </w:r>
          </w:p>
        </w:tc>
        <w:tc>
          <w:tcPr>
            <w:tcW w:w="640" w:type="dxa"/>
            <w:vAlign w:val="bottom"/>
          </w:tcPr>
          <w:p>
            <w:pPr>
              <w:spacing w:after="0"/>
              <w:rPr>
                <w:sz w:val="11"/>
                <w:szCs w:val="11"/>
                <w:color w:val="auto"/>
              </w:rPr>
            </w:pP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447,228</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20"/>
                <w:szCs w:val="20"/>
                <w:color w:val="auto"/>
              </w:rPr>
            </w:pPr>
            <w:r>
              <w:rPr>
                <w:rFonts w:ascii="Arial" w:cs="Arial" w:eastAsia="Arial" w:hAnsi="Arial"/>
                <w:sz w:val="11"/>
                <w:szCs w:val="11"/>
                <w:color w:val="auto"/>
              </w:rPr>
              <w:t>Kristine C. Syrvalin</w:t>
            </w: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shd w:val="clear" w:color="auto" w:fill="D8D8D8"/>
          </w:tcPr>
          <w:p>
            <w:pPr>
              <w:ind w:left="40"/>
              <w:spacing w:after="0"/>
              <w:rPr>
                <w:sz w:val="20"/>
                <w:szCs w:val="20"/>
                <w:color w:val="auto"/>
              </w:rPr>
            </w:pPr>
            <w:r>
              <w:rPr>
                <w:rFonts w:ascii="Arial" w:cs="Arial" w:eastAsia="Arial" w:hAnsi="Arial"/>
                <w:sz w:val="11"/>
                <w:szCs w:val="11"/>
                <w:color w:val="auto"/>
              </w:rPr>
              <w:t>$</w:t>
            </w:r>
          </w:p>
        </w:tc>
        <w:tc>
          <w:tcPr>
            <w:tcW w:w="48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46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w w:val="95"/>
              </w:rPr>
              <w:t>150,000</w:t>
            </w:r>
          </w:p>
        </w:tc>
        <w:tc>
          <w:tcPr>
            <w:tcW w:w="16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56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rPr>
              <w:t>300,000</w:t>
            </w: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3/1/2021 RSUs</w:t>
            </w:r>
            <w:r>
              <w:rPr>
                <w:rFonts w:ascii="Arial" w:cs="Arial" w:eastAsia="Arial" w:hAnsi="Arial"/>
                <w:sz w:val="9"/>
                <w:szCs w:val="9"/>
                <w:color w:val="auto"/>
              </w:rPr>
              <w:t>(2)</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rPr>
              <w:t>22,400</w:t>
            </w: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193,088</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w w:val="95"/>
              </w:rPr>
              <w:t>3/1/2021 Perf RSUs</w:t>
            </w:r>
            <w:r>
              <w:rPr>
                <w:rFonts w:ascii="Arial" w:cs="Arial" w:eastAsia="Arial" w:hAnsi="Arial"/>
                <w:sz w:val="9"/>
                <w:szCs w:val="9"/>
                <w:color w:val="auto"/>
                <w:w w:val="95"/>
              </w:rPr>
              <w:t>(3)</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11,200</w:t>
            </w:r>
          </w:p>
        </w:tc>
        <w:tc>
          <w:tcPr>
            <w:tcW w:w="54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22,400</w:t>
            </w:r>
          </w:p>
        </w:tc>
        <w:tc>
          <w:tcPr>
            <w:tcW w:w="72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33,600</w:t>
            </w: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247,968</w:t>
            </w:r>
          </w:p>
        </w:tc>
        <w:tc>
          <w:tcPr>
            <w:tcW w:w="0" w:type="dxa"/>
            <w:vAlign w:val="bottom"/>
          </w:tcPr>
          <w:p>
            <w:pPr>
              <w:spacing w:after="0"/>
              <w:rPr>
                <w:sz w:val="1"/>
                <w:szCs w:val="1"/>
                <w:color w:val="auto"/>
              </w:rPr>
            </w:pPr>
          </w:p>
        </w:tc>
      </w:tr>
      <w:tr>
        <w:trPr>
          <w:trHeight w:val="139"/>
        </w:trPr>
        <w:tc>
          <w:tcPr>
            <w:tcW w:w="3840" w:type="dxa"/>
            <w:vAlign w:val="bottom"/>
          </w:tcPr>
          <w:p>
            <w:pPr>
              <w:spacing w:after="0"/>
              <w:rPr>
                <w:sz w:val="20"/>
                <w:szCs w:val="20"/>
                <w:color w:val="auto"/>
              </w:rPr>
            </w:pPr>
            <w:r>
              <w:rPr>
                <w:rFonts w:ascii="Arial" w:cs="Arial" w:eastAsia="Arial" w:hAnsi="Arial"/>
                <w:sz w:val="11"/>
                <w:szCs w:val="11"/>
                <w:color w:val="auto"/>
              </w:rPr>
              <w:t>Kevin A. Raketich</w:t>
            </w: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tcPr>
          <w:p>
            <w:pPr>
              <w:ind w:left="40"/>
              <w:spacing w:after="0"/>
              <w:rPr>
                <w:sz w:val="20"/>
                <w:szCs w:val="20"/>
                <w:color w:val="auto"/>
              </w:rPr>
            </w:pPr>
            <w:r>
              <w:rPr>
                <w:rFonts w:ascii="Arial" w:cs="Arial" w:eastAsia="Arial" w:hAnsi="Arial"/>
                <w:sz w:val="11"/>
                <w:szCs w:val="11"/>
                <w:color w:val="auto"/>
              </w:rPr>
              <w:t>$</w:t>
            </w:r>
          </w:p>
        </w:tc>
        <w:tc>
          <w:tcPr>
            <w:tcW w:w="480" w:type="dxa"/>
            <w:vAlign w:val="bottom"/>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tcPr>
          <w:p>
            <w:pPr>
              <w:jc w:val="right"/>
              <w:spacing w:after="0"/>
              <w:rPr>
                <w:sz w:val="20"/>
                <w:szCs w:val="20"/>
                <w:color w:val="auto"/>
              </w:rPr>
            </w:pPr>
            <w:r>
              <w:rPr>
                <w:rFonts w:ascii="Arial" w:cs="Arial" w:eastAsia="Arial" w:hAnsi="Arial"/>
                <w:sz w:val="11"/>
                <w:szCs w:val="11"/>
                <w:color w:val="auto"/>
              </w:rPr>
              <w:t>$</w:t>
            </w:r>
          </w:p>
        </w:tc>
        <w:tc>
          <w:tcPr>
            <w:tcW w:w="460" w:type="dxa"/>
            <w:vAlign w:val="bottom"/>
          </w:tcPr>
          <w:p>
            <w:pPr>
              <w:jc w:val="right"/>
              <w:ind w:right="6"/>
              <w:spacing w:after="0"/>
              <w:rPr>
                <w:sz w:val="20"/>
                <w:szCs w:val="20"/>
                <w:color w:val="auto"/>
              </w:rPr>
            </w:pPr>
            <w:r>
              <w:rPr>
                <w:rFonts w:ascii="Arial" w:cs="Arial" w:eastAsia="Arial" w:hAnsi="Arial"/>
                <w:sz w:val="11"/>
                <w:szCs w:val="11"/>
                <w:color w:val="auto"/>
                <w:w w:val="95"/>
              </w:rPr>
              <w:t>146,293</w:t>
            </w:r>
          </w:p>
        </w:tc>
        <w:tc>
          <w:tcPr>
            <w:tcW w:w="160" w:type="dxa"/>
            <w:vAlign w:val="bottom"/>
          </w:tcPr>
          <w:p>
            <w:pPr>
              <w:jc w:val="right"/>
              <w:spacing w:after="0"/>
              <w:rPr>
                <w:sz w:val="20"/>
                <w:szCs w:val="20"/>
                <w:color w:val="auto"/>
              </w:rPr>
            </w:pPr>
            <w:r>
              <w:rPr>
                <w:rFonts w:ascii="Arial" w:cs="Arial" w:eastAsia="Arial" w:hAnsi="Arial"/>
                <w:sz w:val="11"/>
                <w:szCs w:val="11"/>
                <w:color w:val="auto"/>
              </w:rPr>
              <w:t>$</w:t>
            </w:r>
          </w:p>
        </w:tc>
        <w:tc>
          <w:tcPr>
            <w:tcW w:w="560" w:type="dxa"/>
            <w:vAlign w:val="bottom"/>
          </w:tcPr>
          <w:p>
            <w:pPr>
              <w:jc w:val="right"/>
              <w:ind w:right="26"/>
              <w:spacing w:after="0"/>
              <w:rPr>
                <w:sz w:val="20"/>
                <w:szCs w:val="20"/>
                <w:color w:val="auto"/>
              </w:rPr>
            </w:pPr>
            <w:r>
              <w:rPr>
                <w:rFonts w:ascii="Arial" w:cs="Arial" w:eastAsia="Arial" w:hAnsi="Arial"/>
                <w:sz w:val="11"/>
                <w:szCs w:val="11"/>
                <w:color w:val="auto"/>
              </w:rPr>
              <w:t>292,585</w:t>
            </w:r>
          </w:p>
        </w:tc>
        <w:tc>
          <w:tcPr>
            <w:tcW w:w="6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RSUs</w:t>
            </w:r>
            <w:r>
              <w:rPr>
                <w:rFonts w:ascii="Arial" w:cs="Arial" w:eastAsia="Arial" w:hAnsi="Arial"/>
                <w:sz w:val="9"/>
                <w:szCs w:val="9"/>
                <w:color w:val="auto"/>
              </w:rPr>
              <w:t>(2)</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40" w:type="dxa"/>
            <w:vAlign w:val="bottom"/>
          </w:tcPr>
          <w:p>
            <w:pPr>
              <w:jc w:val="right"/>
              <w:ind w:right="6"/>
              <w:spacing w:after="0"/>
              <w:rPr>
                <w:sz w:val="20"/>
                <w:szCs w:val="20"/>
                <w:color w:val="auto"/>
              </w:rPr>
            </w:pPr>
            <w:r>
              <w:rPr>
                <w:rFonts w:ascii="Arial" w:cs="Arial" w:eastAsia="Arial" w:hAnsi="Arial"/>
                <w:sz w:val="11"/>
                <w:szCs w:val="11"/>
                <w:color w:val="auto"/>
              </w:rPr>
              <w:t>12,900</w:t>
            </w: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111,198</w:t>
            </w:r>
          </w:p>
        </w:tc>
        <w:tc>
          <w:tcPr>
            <w:tcW w:w="0" w:type="dxa"/>
            <w:vAlign w:val="bottom"/>
          </w:tcPr>
          <w:p>
            <w:pPr>
              <w:spacing w:after="0"/>
              <w:rPr>
                <w:sz w:val="1"/>
                <w:szCs w:val="1"/>
                <w:color w:val="auto"/>
              </w:rPr>
            </w:pPr>
          </w:p>
        </w:tc>
      </w:tr>
      <w:tr>
        <w:trPr>
          <w:trHeight w:val="131"/>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w w:val="95"/>
              </w:rPr>
              <w:t>3/1/2021 Perf RSUs</w:t>
            </w:r>
            <w:r>
              <w:rPr>
                <w:rFonts w:ascii="Arial" w:cs="Arial" w:eastAsia="Arial" w:hAnsi="Arial"/>
                <w:sz w:val="9"/>
                <w:szCs w:val="9"/>
                <w:color w:val="auto"/>
                <w:w w:val="95"/>
              </w:rPr>
              <w:t>(3)</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6,450</w:t>
            </w:r>
          </w:p>
        </w:tc>
        <w:tc>
          <w:tcPr>
            <w:tcW w:w="540" w:type="dxa"/>
            <w:vAlign w:val="bottom"/>
          </w:tcPr>
          <w:p>
            <w:pPr>
              <w:jc w:val="right"/>
              <w:ind w:right="46"/>
              <w:spacing w:after="0"/>
              <w:rPr>
                <w:sz w:val="20"/>
                <w:szCs w:val="20"/>
                <w:color w:val="auto"/>
              </w:rPr>
            </w:pPr>
            <w:r>
              <w:rPr>
                <w:rFonts w:ascii="Arial" w:cs="Arial" w:eastAsia="Arial" w:hAnsi="Arial"/>
                <w:sz w:val="11"/>
                <w:szCs w:val="11"/>
                <w:color w:val="auto"/>
              </w:rPr>
              <w:t>12,900</w:t>
            </w:r>
          </w:p>
        </w:tc>
        <w:tc>
          <w:tcPr>
            <w:tcW w:w="720" w:type="dxa"/>
            <w:vAlign w:val="bottom"/>
          </w:tcPr>
          <w:p>
            <w:pPr>
              <w:jc w:val="right"/>
              <w:ind w:right="66"/>
              <w:spacing w:after="0"/>
              <w:rPr>
                <w:sz w:val="20"/>
                <w:szCs w:val="20"/>
                <w:color w:val="auto"/>
              </w:rPr>
            </w:pPr>
            <w:r>
              <w:rPr>
                <w:rFonts w:ascii="Arial" w:cs="Arial" w:eastAsia="Arial" w:hAnsi="Arial"/>
                <w:sz w:val="11"/>
                <w:szCs w:val="11"/>
                <w:color w:val="auto"/>
              </w:rPr>
              <w:t>19,350</w:t>
            </w:r>
          </w:p>
        </w:tc>
        <w:tc>
          <w:tcPr>
            <w:tcW w:w="640" w:type="dxa"/>
            <w:vAlign w:val="bottom"/>
          </w:tcPr>
          <w:p>
            <w:pPr>
              <w:spacing w:after="0"/>
              <w:rPr>
                <w:sz w:val="11"/>
                <w:szCs w:val="11"/>
                <w:color w:val="auto"/>
              </w:rPr>
            </w:pP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142,803</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20"/>
                <w:szCs w:val="20"/>
                <w:color w:val="auto"/>
              </w:rPr>
            </w:pPr>
            <w:r>
              <w:rPr>
                <w:rFonts w:ascii="Arial" w:cs="Arial" w:eastAsia="Arial" w:hAnsi="Arial"/>
                <w:sz w:val="11"/>
                <w:szCs w:val="11"/>
                <w:color w:val="auto"/>
              </w:rPr>
              <w:t>William P. Bryan</w:t>
            </w: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shd w:val="clear" w:color="auto" w:fill="D8D8D8"/>
          </w:tcPr>
          <w:p>
            <w:pPr>
              <w:ind w:left="40"/>
              <w:spacing w:after="0"/>
              <w:rPr>
                <w:sz w:val="20"/>
                <w:szCs w:val="20"/>
                <w:color w:val="auto"/>
              </w:rPr>
            </w:pPr>
            <w:r>
              <w:rPr>
                <w:rFonts w:ascii="Arial" w:cs="Arial" w:eastAsia="Arial" w:hAnsi="Arial"/>
                <w:sz w:val="11"/>
                <w:szCs w:val="11"/>
                <w:color w:val="auto"/>
              </w:rPr>
              <w:t>$</w:t>
            </w:r>
          </w:p>
        </w:tc>
        <w:tc>
          <w:tcPr>
            <w:tcW w:w="48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46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rPr>
              <w:t>55,569</w:t>
            </w:r>
          </w:p>
        </w:tc>
        <w:tc>
          <w:tcPr>
            <w:tcW w:w="16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560" w:type="dxa"/>
            <w:vAlign w:val="bottom"/>
            <w:shd w:val="clear" w:color="auto" w:fill="D8D8D8"/>
          </w:tcPr>
          <w:p>
            <w:pPr>
              <w:jc w:val="right"/>
              <w:ind w:right="26"/>
              <w:spacing w:after="0"/>
              <w:rPr>
                <w:sz w:val="20"/>
                <w:szCs w:val="20"/>
                <w:color w:val="auto"/>
              </w:rPr>
            </w:pPr>
            <w:r>
              <w:rPr>
                <w:rFonts w:ascii="Arial" w:cs="Arial" w:eastAsia="Arial" w:hAnsi="Arial"/>
                <w:sz w:val="11"/>
                <w:szCs w:val="11"/>
                <w:color w:val="auto"/>
              </w:rPr>
              <w:t>111,137</w:t>
            </w: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rPr>
              <w:t>3/1/2021 RSUs</w:t>
            </w:r>
            <w:r>
              <w:rPr>
                <w:rFonts w:ascii="Arial" w:cs="Arial" w:eastAsia="Arial" w:hAnsi="Arial"/>
                <w:sz w:val="9"/>
                <w:szCs w:val="9"/>
                <w:color w:val="auto"/>
              </w:rPr>
              <w:t>(2)</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spacing w:after="0"/>
              <w:rPr>
                <w:sz w:val="11"/>
                <w:szCs w:val="11"/>
                <w:color w:val="auto"/>
              </w:rPr>
            </w:pPr>
          </w:p>
        </w:tc>
        <w:tc>
          <w:tcPr>
            <w:tcW w:w="540" w:type="dxa"/>
            <w:vAlign w:val="bottom"/>
            <w:shd w:val="clear" w:color="auto" w:fill="D8D8D8"/>
          </w:tcPr>
          <w:p>
            <w:pPr>
              <w:spacing w:after="0"/>
              <w:rPr>
                <w:sz w:val="11"/>
                <w:szCs w:val="11"/>
                <w:color w:val="auto"/>
              </w:rPr>
            </w:pPr>
          </w:p>
        </w:tc>
        <w:tc>
          <w:tcPr>
            <w:tcW w:w="720" w:type="dxa"/>
            <w:vAlign w:val="bottom"/>
            <w:shd w:val="clear" w:color="auto" w:fill="D8D8D8"/>
          </w:tcPr>
          <w:p>
            <w:pPr>
              <w:spacing w:after="0"/>
              <w:rPr>
                <w:sz w:val="11"/>
                <w:szCs w:val="11"/>
                <w:color w:val="auto"/>
              </w:rPr>
            </w:pPr>
          </w:p>
        </w:tc>
        <w:tc>
          <w:tcPr>
            <w:tcW w:w="640" w:type="dxa"/>
            <w:vAlign w:val="bottom"/>
            <w:shd w:val="clear" w:color="auto" w:fill="D8D8D8"/>
          </w:tcPr>
          <w:p>
            <w:pPr>
              <w:jc w:val="right"/>
              <w:ind w:right="6"/>
              <w:spacing w:after="0"/>
              <w:rPr>
                <w:sz w:val="20"/>
                <w:szCs w:val="20"/>
                <w:color w:val="auto"/>
              </w:rPr>
            </w:pPr>
            <w:r>
              <w:rPr>
                <w:rFonts w:ascii="Arial" w:cs="Arial" w:eastAsia="Arial" w:hAnsi="Arial"/>
                <w:sz w:val="11"/>
                <w:szCs w:val="11"/>
                <w:color w:val="auto"/>
              </w:rPr>
              <w:t>17,100</w:t>
            </w: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147,402</w:t>
            </w:r>
          </w:p>
        </w:tc>
        <w:tc>
          <w:tcPr>
            <w:tcW w:w="0" w:type="dxa"/>
            <w:vAlign w:val="bottom"/>
          </w:tcPr>
          <w:p>
            <w:pPr>
              <w:spacing w:after="0"/>
              <w:rPr>
                <w:sz w:val="1"/>
                <w:szCs w:val="1"/>
                <w:color w:val="auto"/>
              </w:rPr>
            </w:pPr>
          </w:p>
        </w:tc>
      </w:tr>
      <w:tr>
        <w:trPr>
          <w:trHeight w:val="135"/>
        </w:trPr>
        <w:tc>
          <w:tcPr>
            <w:tcW w:w="3840" w:type="dxa"/>
            <w:vAlign w:val="bottom"/>
            <w:shd w:val="clear" w:color="auto" w:fill="D8D8D8"/>
          </w:tcPr>
          <w:p>
            <w:pPr>
              <w:spacing w:after="0"/>
              <w:rPr>
                <w:sz w:val="11"/>
                <w:szCs w:val="11"/>
                <w:color w:val="auto"/>
              </w:rPr>
            </w:pPr>
          </w:p>
        </w:tc>
        <w:tc>
          <w:tcPr>
            <w:tcW w:w="760" w:type="dxa"/>
            <w:vAlign w:val="bottom"/>
            <w:shd w:val="clear" w:color="auto" w:fill="D8D8D8"/>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shd w:val="clear" w:color="auto" w:fill="D8D8D8"/>
          </w:tcPr>
          <w:p>
            <w:pPr>
              <w:ind w:left="40"/>
              <w:spacing w:after="0"/>
              <w:rPr>
                <w:sz w:val="20"/>
                <w:szCs w:val="20"/>
                <w:color w:val="auto"/>
              </w:rPr>
            </w:pPr>
            <w:r>
              <w:rPr>
                <w:rFonts w:ascii="Arial" w:cs="Arial" w:eastAsia="Arial" w:hAnsi="Arial"/>
                <w:sz w:val="11"/>
                <w:szCs w:val="11"/>
                <w:color w:val="auto"/>
                <w:w w:val="95"/>
              </w:rPr>
              <w:t>3/1/2021 Perf RSUs</w:t>
            </w:r>
            <w:r>
              <w:rPr>
                <w:rFonts w:ascii="Arial" w:cs="Arial" w:eastAsia="Arial" w:hAnsi="Arial"/>
                <w:sz w:val="9"/>
                <w:szCs w:val="9"/>
                <w:color w:val="auto"/>
                <w:w w:val="95"/>
              </w:rPr>
              <w:t>(3)</w:t>
            </w:r>
          </w:p>
        </w:tc>
        <w:tc>
          <w:tcPr>
            <w:tcW w:w="140" w:type="dxa"/>
            <w:vAlign w:val="bottom"/>
            <w:shd w:val="clear" w:color="auto" w:fill="D8D8D8"/>
          </w:tcPr>
          <w:p>
            <w:pPr>
              <w:spacing w:after="0"/>
              <w:rPr>
                <w:sz w:val="11"/>
                <w:szCs w:val="11"/>
                <w:color w:val="auto"/>
              </w:rPr>
            </w:pPr>
          </w:p>
        </w:tc>
        <w:tc>
          <w:tcPr>
            <w:tcW w:w="480" w:type="dxa"/>
            <w:vAlign w:val="bottom"/>
            <w:shd w:val="clear" w:color="auto" w:fill="D8D8D8"/>
          </w:tcPr>
          <w:p>
            <w:pPr>
              <w:spacing w:after="0"/>
              <w:rPr>
                <w:sz w:val="11"/>
                <w:szCs w:val="11"/>
                <w:color w:val="auto"/>
              </w:rPr>
            </w:pPr>
          </w:p>
        </w:tc>
        <w:tc>
          <w:tcPr>
            <w:tcW w:w="120" w:type="dxa"/>
            <w:vAlign w:val="bottom"/>
            <w:shd w:val="clear" w:color="auto" w:fill="D8D8D8"/>
          </w:tcPr>
          <w:p>
            <w:pPr>
              <w:spacing w:after="0"/>
              <w:rPr>
                <w:sz w:val="11"/>
                <w:szCs w:val="11"/>
                <w:color w:val="auto"/>
              </w:rPr>
            </w:pPr>
          </w:p>
        </w:tc>
        <w:tc>
          <w:tcPr>
            <w:tcW w:w="46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560" w:type="dxa"/>
            <w:vAlign w:val="bottom"/>
            <w:shd w:val="clear" w:color="auto" w:fill="D8D8D8"/>
          </w:tcPr>
          <w:p>
            <w:pPr>
              <w:spacing w:after="0"/>
              <w:rPr>
                <w:sz w:val="11"/>
                <w:szCs w:val="11"/>
                <w:color w:val="auto"/>
              </w:rPr>
            </w:pPr>
          </w:p>
        </w:tc>
        <w:tc>
          <w:tcPr>
            <w:tcW w:w="68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8,550</w:t>
            </w:r>
          </w:p>
        </w:tc>
        <w:tc>
          <w:tcPr>
            <w:tcW w:w="540" w:type="dxa"/>
            <w:vAlign w:val="bottom"/>
            <w:shd w:val="clear" w:color="auto" w:fill="D8D8D8"/>
          </w:tcPr>
          <w:p>
            <w:pPr>
              <w:jc w:val="right"/>
              <w:ind w:right="46"/>
              <w:spacing w:after="0"/>
              <w:rPr>
                <w:sz w:val="20"/>
                <w:szCs w:val="20"/>
                <w:color w:val="auto"/>
              </w:rPr>
            </w:pPr>
            <w:r>
              <w:rPr>
                <w:rFonts w:ascii="Arial" w:cs="Arial" w:eastAsia="Arial" w:hAnsi="Arial"/>
                <w:sz w:val="11"/>
                <w:szCs w:val="11"/>
                <w:color w:val="auto"/>
              </w:rPr>
              <w:t>17,100</w:t>
            </w:r>
          </w:p>
        </w:tc>
        <w:tc>
          <w:tcPr>
            <w:tcW w:w="72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25,650</w:t>
            </w:r>
          </w:p>
        </w:tc>
        <w:tc>
          <w:tcPr>
            <w:tcW w:w="640" w:type="dxa"/>
            <w:vAlign w:val="bottom"/>
            <w:shd w:val="clear" w:color="auto" w:fill="D8D8D8"/>
          </w:tcPr>
          <w:p>
            <w:pPr>
              <w:spacing w:after="0"/>
              <w:rPr>
                <w:sz w:val="11"/>
                <w:szCs w:val="11"/>
                <w:color w:val="auto"/>
              </w:rPr>
            </w:pPr>
          </w:p>
        </w:tc>
        <w:tc>
          <w:tcPr>
            <w:tcW w:w="140" w:type="dxa"/>
            <w:vAlign w:val="bottom"/>
            <w:shd w:val="clear" w:color="auto" w:fill="D8D8D8"/>
          </w:tcPr>
          <w:p>
            <w:pPr>
              <w:jc w:val="right"/>
              <w:spacing w:after="0"/>
              <w:rPr>
                <w:sz w:val="20"/>
                <w:szCs w:val="20"/>
                <w:color w:val="auto"/>
              </w:rPr>
            </w:pPr>
            <w:r>
              <w:rPr>
                <w:rFonts w:ascii="Arial" w:cs="Arial" w:eastAsia="Arial" w:hAnsi="Arial"/>
                <w:sz w:val="11"/>
                <w:szCs w:val="11"/>
                <w:color w:val="auto"/>
              </w:rPr>
              <w:t>$</w:t>
            </w:r>
          </w:p>
        </w:tc>
        <w:tc>
          <w:tcPr>
            <w:tcW w:w="680" w:type="dxa"/>
            <w:vAlign w:val="bottom"/>
            <w:shd w:val="clear" w:color="auto" w:fill="D8D8D8"/>
          </w:tcPr>
          <w:p>
            <w:pPr>
              <w:jc w:val="right"/>
              <w:ind w:right="66"/>
              <w:spacing w:after="0"/>
              <w:rPr>
                <w:sz w:val="20"/>
                <w:szCs w:val="20"/>
                <w:color w:val="auto"/>
              </w:rPr>
            </w:pPr>
            <w:r>
              <w:rPr>
                <w:rFonts w:ascii="Arial" w:cs="Arial" w:eastAsia="Arial" w:hAnsi="Arial"/>
                <w:sz w:val="11"/>
                <w:szCs w:val="11"/>
                <w:color w:val="auto"/>
              </w:rPr>
              <w:t>189,297</w:t>
            </w:r>
          </w:p>
        </w:tc>
        <w:tc>
          <w:tcPr>
            <w:tcW w:w="0" w:type="dxa"/>
            <w:vAlign w:val="bottom"/>
          </w:tcPr>
          <w:p>
            <w:pPr>
              <w:spacing w:after="0"/>
              <w:rPr>
                <w:sz w:val="1"/>
                <w:szCs w:val="1"/>
                <w:color w:val="auto"/>
              </w:rPr>
            </w:pPr>
          </w:p>
        </w:tc>
      </w:tr>
      <w:tr>
        <w:trPr>
          <w:trHeight w:val="139"/>
        </w:trPr>
        <w:tc>
          <w:tcPr>
            <w:tcW w:w="3840" w:type="dxa"/>
            <w:vAlign w:val="bottom"/>
          </w:tcPr>
          <w:p>
            <w:pPr>
              <w:spacing w:after="0"/>
              <w:rPr>
                <w:sz w:val="20"/>
                <w:szCs w:val="20"/>
                <w:color w:val="auto"/>
              </w:rPr>
            </w:pPr>
            <w:r>
              <w:rPr>
                <w:rFonts w:ascii="Arial" w:cs="Arial" w:eastAsia="Arial" w:hAnsi="Arial"/>
                <w:sz w:val="11"/>
                <w:szCs w:val="11"/>
                <w:color w:val="auto"/>
              </w:rPr>
              <w:t>Thomas D. Moline</w:t>
            </w: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APA</w:t>
            </w:r>
            <w:r>
              <w:rPr>
                <w:rFonts w:ascii="Arial" w:cs="Arial" w:eastAsia="Arial" w:hAnsi="Arial"/>
                <w:sz w:val="9"/>
                <w:szCs w:val="9"/>
                <w:color w:val="auto"/>
              </w:rPr>
              <w:t>(1)</w:t>
            </w:r>
          </w:p>
        </w:tc>
        <w:tc>
          <w:tcPr>
            <w:tcW w:w="140" w:type="dxa"/>
            <w:vAlign w:val="bottom"/>
          </w:tcPr>
          <w:p>
            <w:pPr>
              <w:ind w:left="40"/>
              <w:spacing w:after="0"/>
              <w:rPr>
                <w:sz w:val="20"/>
                <w:szCs w:val="20"/>
                <w:color w:val="auto"/>
              </w:rPr>
            </w:pPr>
            <w:r>
              <w:rPr>
                <w:rFonts w:ascii="Arial" w:cs="Arial" w:eastAsia="Arial" w:hAnsi="Arial"/>
                <w:sz w:val="11"/>
                <w:szCs w:val="11"/>
                <w:color w:val="auto"/>
              </w:rPr>
              <w:t>$</w:t>
            </w:r>
          </w:p>
        </w:tc>
        <w:tc>
          <w:tcPr>
            <w:tcW w:w="480" w:type="dxa"/>
            <w:vAlign w:val="bottom"/>
          </w:tcPr>
          <w:p>
            <w:pPr>
              <w:jc w:val="right"/>
              <w:ind w:right="26"/>
              <w:spacing w:after="0"/>
              <w:rPr>
                <w:sz w:val="20"/>
                <w:szCs w:val="20"/>
                <w:color w:val="auto"/>
              </w:rPr>
            </w:pPr>
            <w:r>
              <w:rPr>
                <w:rFonts w:ascii="Arial" w:cs="Arial" w:eastAsia="Arial" w:hAnsi="Arial"/>
                <w:sz w:val="11"/>
                <w:szCs w:val="11"/>
                <w:color w:val="auto"/>
              </w:rPr>
              <w:t>0</w:t>
            </w:r>
          </w:p>
        </w:tc>
        <w:tc>
          <w:tcPr>
            <w:tcW w:w="120" w:type="dxa"/>
            <w:vAlign w:val="bottom"/>
          </w:tcPr>
          <w:p>
            <w:pPr>
              <w:jc w:val="right"/>
              <w:spacing w:after="0"/>
              <w:rPr>
                <w:sz w:val="20"/>
                <w:szCs w:val="20"/>
                <w:color w:val="auto"/>
              </w:rPr>
            </w:pPr>
            <w:r>
              <w:rPr>
                <w:rFonts w:ascii="Arial" w:cs="Arial" w:eastAsia="Arial" w:hAnsi="Arial"/>
                <w:sz w:val="11"/>
                <w:szCs w:val="11"/>
                <w:color w:val="auto"/>
              </w:rPr>
              <w:t>$</w:t>
            </w:r>
          </w:p>
        </w:tc>
        <w:tc>
          <w:tcPr>
            <w:tcW w:w="460" w:type="dxa"/>
            <w:vAlign w:val="bottom"/>
          </w:tcPr>
          <w:p>
            <w:pPr>
              <w:jc w:val="right"/>
              <w:ind w:right="6"/>
              <w:spacing w:after="0"/>
              <w:rPr>
                <w:sz w:val="20"/>
                <w:szCs w:val="20"/>
                <w:color w:val="auto"/>
              </w:rPr>
            </w:pPr>
            <w:r>
              <w:rPr>
                <w:rFonts w:ascii="Arial" w:cs="Arial" w:eastAsia="Arial" w:hAnsi="Arial"/>
                <w:sz w:val="11"/>
                <w:szCs w:val="11"/>
                <w:color w:val="auto"/>
              </w:rPr>
              <w:t>55,569</w:t>
            </w:r>
          </w:p>
        </w:tc>
        <w:tc>
          <w:tcPr>
            <w:tcW w:w="160" w:type="dxa"/>
            <w:vAlign w:val="bottom"/>
          </w:tcPr>
          <w:p>
            <w:pPr>
              <w:jc w:val="right"/>
              <w:spacing w:after="0"/>
              <w:rPr>
                <w:sz w:val="20"/>
                <w:szCs w:val="20"/>
                <w:color w:val="auto"/>
              </w:rPr>
            </w:pPr>
            <w:r>
              <w:rPr>
                <w:rFonts w:ascii="Arial" w:cs="Arial" w:eastAsia="Arial" w:hAnsi="Arial"/>
                <w:sz w:val="11"/>
                <w:szCs w:val="11"/>
                <w:color w:val="auto"/>
              </w:rPr>
              <w:t>$</w:t>
            </w:r>
          </w:p>
        </w:tc>
        <w:tc>
          <w:tcPr>
            <w:tcW w:w="560" w:type="dxa"/>
            <w:vAlign w:val="bottom"/>
          </w:tcPr>
          <w:p>
            <w:pPr>
              <w:jc w:val="right"/>
              <w:ind w:right="26"/>
              <w:spacing w:after="0"/>
              <w:rPr>
                <w:sz w:val="20"/>
                <w:szCs w:val="20"/>
                <w:color w:val="auto"/>
              </w:rPr>
            </w:pPr>
            <w:r>
              <w:rPr>
                <w:rFonts w:ascii="Arial" w:cs="Arial" w:eastAsia="Arial" w:hAnsi="Arial"/>
                <w:sz w:val="11"/>
                <w:szCs w:val="11"/>
                <w:color w:val="auto"/>
              </w:rPr>
              <w:t>111,137</w:t>
            </w:r>
          </w:p>
        </w:tc>
        <w:tc>
          <w:tcPr>
            <w:tcW w:w="6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rPr>
              <w:t>3/1/2021 RSUs</w:t>
            </w:r>
            <w:r>
              <w:rPr>
                <w:rFonts w:ascii="Arial" w:cs="Arial" w:eastAsia="Arial" w:hAnsi="Arial"/>
                <w:sz w:val="9"/>
                <w:szCs w:val="9"/>
                <w:color w:val="auto"/>
              </w:rPr>
              <w:t>(2)</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40" w:type="dxa"/>
            <w:vAlign w:val="bottom"/>
          </w:tcPr>
          <w:p>
            <w:pPr>
              <w:jc w:val="right"/>
              <w:ind w:right="6"/>
              <w:spacing w:after="0"/>
              <w:rPr>
                <w:sz w:val="20"/>
                <w:szCs w:val="20"/>
                <w:color w:val="auto"/>
              </w:rPr>
            </w:pPr>
            <w:r>
              <w:rPr>
                <w:rFonts w:ascii="Arial" w:cs="Arial" w:eastAsia="Arial" w:hAnsi="Arial"/>
                <w:sz w:val="11"/>
                <w:szCs w:val="11"/>
                <w:color w:val="auto"/>
              </w:rPr>
              <w:t>17,100</w:t>
            </w: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147,402</w:t>
            </w:r>
          </w:p>
        </w:tc>
        <w:tc>
          <w:tcPr>
            <w:tcW w:w="0" w:type="dxa"/>
            <w:vAlign w:val="bottom"/>
          </w:tcPr>
          <w:p>
            <w:pPr>
              <w:spacing w:after="0"/>
              <w:rPr>
                <w:sz w:val="1"/>
                <w:szCs w:val="1"/>
                <w:color w:val="auto"/>
              </w:rPr>
            </w:pPr>
          </w:p>
        </w:tc>
      </w:tr>
      <w:tr>
        <w:trPr>
          <w:trHeight w:val="136"/>
        </w:trPr>
        <w:tc>
          <w:tcPr>
            <w:tcW w:w="3840" w:type="dxa"/>
            <w:vAlign w:val="bottom"/>
          </w:tcPr>
          <w:p>
            <w:pPr>
              <w:spacing w:after="0"/>
              <w:rPr>
                <w:sz w:val="11"/>
                <w:szCs w:val="11"/>
                <w:color w:val="auto"/>
              </w:rPr>
            </w:pPr>
          </w:p>
        </w:tc>
        <w:tc>
          <w:tcPr>
            <w:tcW w:w="760" w:type="dxa"/>
            <w:vAlign w:val="bottom"/>
          </w:tcPr>
          <w:p>
            <w:pPr>
              <w:ind w:left="40"/>
              <w:spacing w:after="0"/>
              <w:rPr>
                <w:sz w:val="20"/>
                <w:szCs w:val="20"/>
                <w:color w:val="auto"/>
              </w:rPr>
            </w:pPr>
            <w:r>
              <w:rPr>
                <w:rFonts w:ascii="Arial" w:cs="Arial" w:eastAsia="Arial" w:hAnsi="Arial"/>
                <w:sz w:val="11"/>
                <w:szCs w:val="11"/>
                <w:color w:val="auto"/>
              </w:rPr>
              <w:t>2/9/2021</w:t>
            </w:r>
          </w:p>
        </w:tc>
        <w:tc>
          <w:tcPr>
            <w:tcW w:w="1100" w:type="dxa"/>
            <w:vAlign w:val="bottom"/>
          </w:tcPr>
          <w:p>
            <w:pPr>
              <w:ind w:left="40"/>
              <w:spacing w:after="0"/>
              <w:rPr>
                <w:sz w:val="20"/>
                <w:szCs w:val="20"/>
                <w:color w:val="auto"/>
              </w:rPr>
            </w:pPr>
            <w:r>
              <w:rPr>
                <w:rFonts w:ascii="Arial" w:cs="Arial" w:eastAsia="Arial" w:hAnsi="Arial"/>
                <w:sz w:val="11"/>
                <w:szCs w:val="11"/>
                <w:color w:val="auto"/>
                <w:w w:val="95"/>
              </w:rPr>
              <w:t>3/1/2021 Perf RSUs</w:t>
            </w:r>
            <w:r>
              <w:rPr>
                <w:rFonts w:ascii="Arial" w:cs="Arial" w:eastAsia="Arial" w:hAnsi="Arial"/>
                <w:sz w:val="9"/>
                <w:szCs w:val="9"/>
                <w:color w:val="auto"/>
                <w:w w:val="95"/>
              </w:rPr>
              <w:t>(3)</w:t>
            </w:r>
          </w:p>
        </w:tc>
        <w:tc>
          <w:tcPr>
            <w:tcW w:w="1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8,550</w:t>
            </w:r>
          </w:p>
        </w:tc>
        <w:tc>
          <w:tcPr>
            <w:tcW w:w="540" w:type="dxa"/>
            <w:vAlign w:val="bottom"/>
          </w:tcPr>
          <w:p>
            <w:pPr>
              <w:jc w:val="right"/>
              <w:ind w:right="46"/>
              <w:spacing w:after="0"/>
              <w:rPr>
                <w:sz w:val="20"/>
                <w:szCs w:val="20"/>
                <w:color w:val="auto"/>
              </w:rPr>
            </w:pPr>
            <w:r>
              <w:rPr>
                <w:rFonts w:ascii="Arial" w:cs="Arial" w:eastAsia="Arial" w:hAnsi="Arial"/>
                <w:sz w:val="11"/>
                <w:szCs w:val="11"/>
                <w:color w:val="auto"/>
              </w:rPr>
              <w:t>17,100</w:t>
            </w:r>
          </w:p>
        </w:tc>
        <w:tc>
          <w:tcPr>
            <w:tcW w:w="720" w:type="dxa"/>
            <w:vAlign w:val="bottom"/>
          </w:tcPr>
          <w:p>
            <w:pPr>
              <w:jc w:val="right"/>
              <w:ind w:right="66"/>
              <w:spacing w:after="0"/>
              <w:rPr>
                <w:sz w:val="20"/>
                <w:szCs w:val="20"/>
                <w:color w:val="auto"/>
              </w:rPr>
            </w:pPr>
            <w:r>
              <w:rPr>
                <w:rFonts w:ascii="Arial" w:cs="Arial" w:eastAsia="Arial" w:hAnsi="Arial"/>
                <w:sz w:val="11"/>
                <w:szCs w:val="11"/>
                <w:color w:val="auto"/>
              </w:rPr>
              <w:t>25,650</w:t>
            </w:r>
          </w:p>
        </w:tc>
        <w:tc>
          <w:tcPr>
            <w:tcW w:w="640" w:type="dxa"/>
            <w:vAlign w:val="bottom"/>
          </w:tcPr>
          <w:p>
            <w:pPr>
              <w:spacing w:after="0"/>
              <w:rPr>
                <w:sz w:val="11"/>
                <w:szCs w:val="11"/>
                <w:color w:val="auto"/>
              </w:rPr>
            </w:pPr>
          </w:p>
        </w:tc>
        <w:tc>
          <w:tcPr>
            <w:tcW w:w="140" w:type="dxa"/>
            <w:vAlign w:val="bottom"/>
          </w:tcPr>
          <w:p>
            <w:pPr>
              <w:jc w:val="right"/>
              <w:spacing w:after="0"/>
              <w:rPr>
                <w:sz w:val="20"/>
                <w:szCs w:val="20"/>
                <w:color w:val="auto"/>
              </w:rPr>
            </w:pPr>
            <w:r>
              <w:rPr>
                <w:rFonts w:ascii="Arial" w:cs="Arial" w:eastAsia="Arial" w:hAnsi="Arial"/>
                <w:sz w:val="11"/>
                <w:szCs w:val="11"/>
                <w:color w:val="auto"/>
              </w:rPr>
              <w:t>$</w:t>
            </w:r>
          </w:p>
        </w:tc>
        <w:tc>
          <w:tcPr>
            <w:tcW w:w="680" w:type="dxa"/>
            <w:vAlign w:val="bottom"/>
          </w:tcPr>
          <w:p>
            <w:pPr>
              <w:jc w:val="right"/>
              <w:ind w:right="66"/>
              <w:spacing w:after="0"/>
              <w:rPr>
                <w:sz w:val="20"/>
                <w:szCs w:val="20"/>
                <w:color w:val="auto"/>
              </w:rPr>
            </w:pPr>
            <w:r>
              <w:rPr>
                <w:rFonts w:ascii="Arial" w:cs="Arial" w:eastAsia="Arial" w:hAnsi="Arial"/>
                <w:sz w:val="11"/>
                <w:szCs w:val="11"/>
                <w:color w:val="auto"/>
              </w:rPr>
              <w:t>189,297</w:t>
            </w:r>
          </w:p>
        </w:tc>
        <w:tc>
          <w:tcPr>
            <w:tcW w:w="0" w:type="dxa"/>
            <w:vAlign w:val="bottom"/>
          </w:tcPr>
          <w:p>
            <w:pPr>
              <w:spacing w:after="0"/>
              <w:rPr>
                <w:sz w:val="1"/>
                <w:szCs w:val="1"/>
                <w:color w:val="auto"/>
              </w:rPr>
            </w:pPr>
          </w:p>
        </w:tc>
      </w:tr>
    </w:tbl>
    <w:p>
      <w:pPr>
        <w:spacing w:after="0" w:line="98" w:lineRule="exact"/>
        <w:rPr>
          <w:sz w:val="20"/>
          <w:szCs w:val="20"/>
          <w:color w:val="auto"/>
        </w:rPr>
      </w:pPr>
    </w:p>
    <w:p>
      <w:pPr>
        <w:ind w:left="540" w:right="100" w:hanging="424"/>
        <w:spacing w:after="0" w:line="231" w:lineRule="auto"/>
        <w:tabs>
          <w:tab w:leader="none" w:pos="540" w:val="left"/>
        </w:tabs>
        <w:numPr>
          <w:ilvl w:val="0"/>
          <w:numId w:val="60"/>
        </w:numPr>
        <w:rPr>
          <w:rFonts w:ascii="Arial" w:cs="Arial" w:eastAsia="Arial" w:hAnsi="Arial"/>
          <w:sz w:val="12"/>
          <w:szCs w:val="12"/>
          <w:color w:val="auto"/>
        </w:rPr>
      </w:pPr>
      <w:r>
        <w:rPr>
          <w:rFonts w:ascii="Arial" w:cs="Arial" w:eastAsia="Arial" w:hAnsi="Arial"/>
          <w:sz w:val="14"/>
          <w:szCs w:val="14"/>
          <w:color w:val="auto"/>
        </w:rPr>
        <w:t>“APA” reflects the annual incentive opportunity available to each NEO under the TimkenSteel Corporation Annual Performance Award plan at threshold, target and maximum performance levels for the 2021 performance period before application of the modifiers for safety and individual performance. Application of these modifiers, if applicable, may have the effect of increasing or decreasing payouts earned at target and maximum based on achievement of the adjusted EBITDA and adjusted operating cash flow metrics for the 2021 performance period. See “Analysis of 2021 compensation – Annual incentive” and “Analysis of 2021 compensation – 2021 Annual performance award decisions” for additional information.</w:t>
      </w:r>
    </w:p>
    <w:p>
      <w:pPr>
        <w:spacing w:after="0" w:line="89" w:lineRule="exact"/>
        <w:rPr>
          <w:rFonts w:ascii="Arial" w:cs="Arial" w:eastAsia="Arial" w:hAnsi="Arial"/>
          <w:sz w:val="12"/>
          <w:szCs w:val="12"/>
          <w:color w:val="auto"/>
        </w:rPr>
      </w:pPr>
    </w:p>
    <w:p>
      <w:pPr>
        <w:ind w:left="540" w:hanging="424"/>
        <w:spacing w:after="0" w:line="255" w:lineRule="auto"/>
        <w:tabs>
          <w:tab w:leader="none" w:pos="540" w:val="left"/>
        </w:tabs>
        <w:numPr>
          <w:ilvl w:val="0"/>
          <w:numId w:val="60"/>
        </w:numPr>
        <w:rPr>
          <w:rFonts w:ascii="Arial" w:cs="Arial" w:eastAsia="Arial" w:hAnsi="Arial"/>
          <w:sz w:val="11"/>
          <w:szCs w:val="11"/>
          <w:color w:val="auto"/>
        </w:rPr>
      </w:pPr>
      <w:r>
        <w:rPr>
          <w:rFonts w:ascii="Arial" w:cs="Arial" w:eastAsia="Arial" w:hAnsi="Arial"/>
          <w:sz w:val="13"/>
          <w:szCs w:val="13"/>
          <w:color w:val="auto"/>
        </w:rPr>
        <w:t>“RSUs” refers to restricted stock units granted to each NEO on the grant date indicated. Restricted stock units reported in this table for Mr. Williams will vest in full on January 5, 2024 and for Messrs. Westbrooks and Raketich and Ms. Syrvalin generally will vest in full on March 1, 2024, in each case provided the executive maintains continuous employment with the company through that date. As a result of the termination of employment of Messrs. Bryan and Moline on May 7, 2021, 7,600 of the 17,100 restricted stock units awarded to each of them in 2021 were canceled. The remaining 9,500 restricted stock units for each of them generally will vest on March 1, 2024.</w:t>
      </w:r>
    </w:p>
    <w:p>
      <w:pPr>
        <w:spacing w:after="0" w:line="66" w:lineRule="exact"/>
        <w:rPr>
          <w:rFonts w:ascii="Arial" w:cs="Arial" w:eastAsia="Arial" w:hAnsi="Arial"/>
          <w:sz w:val="11"/>
          <w:szCs w:val="11"/>
          <w:color w:val="auto"/>
        </w:rPr>
      </w:pPr>
    </w:p>
    <w:p>
      <w:pPr>
        <w:ind w:left="560" w:right="160"/>
        <w:spacing w:after="0" w:line="290" w:lineRule="auto"/>
        <w:rPr>
          <w:rFonts w:ascii="Arial" w:cs="Arial" w:eastAsia="Arial" w:hAnsi="Arial"/>
          <w:sz w:val="11"/>
          <w:szCs w:val="11"/>
          <w:color w:val="auto"/>
        </w:rPr>
      </w:pPr>
      <w:r>
        <w:rPr>
          <w:rFonts w:ascii="Arial" w:cs="Arial" w:eastAsia="Arial" w:hAnsi="Arial"/>
          <w:sz w:val="13"/>
          <w:szCs w:val="13"/>
          <w:color w:val="auto"/>
        </w:rPr>
        <w:t>For additional information, see “Analysis of 2021 compensation – Long-term incentives” in the Compensation discussion and analysis section of this proxy statement. For additional information regarding vesting of equity in the event of a change in control or other termination scenarios, see “Potential payments upon termination or change in control.”</w:t>
      </w:r>
    </w:p>
    <w:p>
      <w:pPr>
        <w:spacing w:after="0" w:line="57" w:lineRule="exact"/>
        <w:rPr>
          <w:rFonts w:ascii="Arial" w:cs="Arial" w:eastAsia="Arial" w:hAnsi="Arial"/>
          <w:sz w:val="11"/>
          <w:szCs w:val="11"/>
          <w:color w:val="auto"/>
        </w:rPr>
      </w:pPr>
    </w:p>
    <w:p>
      <w:pPr>
        <w:ind w:left="540" w:right="100" w:hanging="424"/>
        <w:spacing w:after="0" w:line="244" w:lineRule="auto"/>
        <w:tabs>
          <w:tab w:leader="none" w:pos="540" w:val="left"/>
        </w:tabs>
        <w:numPr>
          <w:ilvl w:val="0"/>
          <w:numId w:val="60"/>
        </w:numPr>
        <w:rPr>
          <w:rFonts w:ascii="Arial" w:cs="Arial" w:eastAsia="Arial" w:hAnsi="Arial"/>
          <w:sz w:val="11"/>
          <w:szCs w:val="11"/>
          <w:color w:val="auto"/>
        </w:rPr>
      </w:pPr>
      <w:r>
        <w:rPr>
          <w:rFonts w:ascii="Arial" w:cs="Arial" w:eastAsia="Arial" w:hAnsi="Arial"/>
          <w:sz w:val="13"/>
          <w:szCs w:val="13"/>
          <w:color w:val="auto"/>
        </w:rPr>
        <w:t>The “Perf RSUs” amounts reported in this table indicate threshold, target and maximum award opportunities for the performance shares granted to Mr. Williams on January 5, 2021 and to the other NEOs on March 1, 2021. For the performance shares awarded in 2021, average payout (determined under a Compensation Committee-approved matrix) for the company’s relative total shareholder return as compared to an identified peer group of steel companies for the one-, two- and three-year periods beginning January 1, 2021 and ending December 31, 2021, 2022 and 2023, respectively, will be used to determine whether (and how many) performance shares are earned for the 2021–2023 performance cycle. Performance shares earned will vest and be payable in shares following the conclusion of the three-year performance period on December 31, 2023, at such time as the Compensation Committee shall have determined the degree to which the performance metrics have been achieved and the resulting number of performance shares earned. As a result of the termination of employment of Messrs. Bryan and Moline on May 7, 2021, 6,650 of the 17,100 performance shares awarded to each of them were canceled. Any portion of the remaining 10,450 performance shares that are earned (based on achievement of the established performance objectives for the 2021-2023 performance period) will vest following the conclusion of the three-year performance period on December 31, 2023, at such time as the Compensation Committee shall have determined the degree to which the performance metrics have been achieved and the resulting number of performance shares earned.</w:t>
      </w:r>
    </w:p>
    <w:p>
      <w:pPr>
        <w:spacing w:after="0" w:line="73" w:lineRule="exact"/>
        <w:rPr>
          <w:rFonts w:ascii="Arial" w:cs="Arial" w:eastAsia="Arial" w:hAnsi="Arial"/>
          <w:sz w:val="11"/>
          <w:szCs w:val="11"/>
          <w:color w:val="auto"/>
        </w:rPr>
      </w:pPr>
    </w:p>
    <w:p>
      <w:pPr>
        <w:ind w:left="560" w:right="120"/>
        <w:spacing w:after="0" w:line="290" w:lineRule="auto"/>
        <w:rPr>
          <w:rFonts w:ascii="Arial" w:cs="Arial" w:eastAsia="Arial" w:hAnsi="Arial"/>
          <w:sz w:val="11"/>
          <w:szCs w:val="11"/>
          <w:color w:val="auto"/>
        </w:rPr>
      </w:pPr>
      <w:r>
        <w:rPr>
          <w:rFonts w:ascii="Arial" w:cs="Arial" w:eastAsia="Arial" w:hAnsi="Arial"/>
          <w:sz w:val="13"/>
          <w:szCs w:val="13"/>
          <w:color w:val="auto"/>
        </w:rPr>
        <w:t>For additional information, see “Analysis of 2021 Compensation – Long-term incentives” in the Compensation discussion and analysis section of this proxy statement. For additional information regarding vesting of equity in the event of a change in control or other termination scenarios, see “Potential payments upon termination or change in control.”</w:t>
      </w:r>
    </w:p>
    <w:p>
      <w:pPr>
        <w:spacing w:after="0" w:line="57" w:lineRule="exact"/>
        <w:rPr>
          <w:rFonts w:ascii="Arial" w:cs="Arial" w:eastAsia="Arial" w:hAnsi="Arial"/>
          <w:sz w:val="11"/>
          <w:szCs w:val="11"/>
          <w:color w:val="auto"/>
        </w:rPr>
      </w:pPr>
    </w:p>
    <w:p>
      <w:pPr>
        <w:ind w:left="540" w:right="120" w:hanging="424"/>
        <w:spacing w:after="0" w:line="233" w:lineRule="auto"/>
        <w:tabs>
          <w:tab w:leader="none" w:pos="540" w:val="left"/>
        </w:tabs>
        <w:numPr>
          <w:ilvl w:val="0"/>
          <w:numId w:val="60"/>
        </w:numPr>
        <w:rPr>
          <w:rFonts w:ascii="Arial" w:cs="Arial" w:eastAsia="Arial" w:hAnsi="Arial"/>
          <w:sz w:val="12"/>
          <w:szCs w:val="12"/>
          <w:color w:val="auto"/>
        </w:rPr>
      </w:pPr>
      <w:r>
        <w:rPr>
          <w:rFonts w:ascii="Arial" w:cs="Arial" w:eastAsia="Arial" w:hAnsi="Arial"/>
          <w:sz w:val="14"/>
          <w:szCs w:val="14"/>
          <w:color w:val="auto"/>
        </w:rPr>
        <w:t>The amounts shown in this column reflect the fair value on the date of grant of RSUs and performance shares granted in 2021, computed in accordance with FASB ASC Topic 718. The fair value of RSUs is equal to the closing price of TimkenSteel common shares on the date of grant multiplied by the number of RSUs granted. The fair value of performance shares is determined using a lattice valuation model, the Monte Carlo Simulation, multiplied by the target number of performance shares granted, which was the probable outcome on the grant date.</w:t>
      </w:r>
    </w:p>
    <w:p>
      <w:pPr>
        <w:spacing w:after="0" w:line="126"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59</w:t>
      </w:r>
    </w:p>
    <w:p>
      <w:pPr>
        <w:sectPr>
          <w:pgSz w:w="11900" w:h="16838" w:orient="portrait"/>
          <w:cols w:equalWidth="0" w:num="1">
            <w:col w:w="11140"/>
          </w:cols>
          <w:pgMar w:left="320" w:top="459" w:right="4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Outstanding equity awards at 2021 year-end table</w:t>
      </w:r>
    </w:p>
    <w:p>
      <w:pPr>
        <w:spacing w:after="0" w:line="234"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The following table sets forth information concerning unexercised stock options and stock awards that have not yet vested for each of our NEOs as of</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4017010</wp:posOffset>
            </wp:positionH>
            <wp:positionV relativeFrom="paragraph">
              <wp:posOffset>160020</wp:posOffset>
            </wp:positionV>
            <wp:extent cx="8890" cy="77152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8890" cy="771525"/>
                    </a:xfrm>
                    <a:prstGeom prst="rect">
                      <a:avLst/>
                    </a:prstGeom>
                    <a:noFill/>
                  </pic:spPr>
                </pic:pic>
              </a:graphicData>
            </a:graphic>
          </wp:anchor>
        </w:drawing>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212"/>
        </w:trPr>
        <w:tc>
          <w:tcPr>
            <w:tcW w:w="2140" w:type="dxa"/>
            <w:vAlign w:val="bottom"/>
            <w:tcBorders>
              <w:bottom w:val="single" w:sz="8" w:color="333333"/>
            </w:tcBorders>
            <w:shd w:val="clear" w:color="auto" w:fill="7F7F7F"/>
          </w:tcPr>
          <w:p>
            <w:pPr>
              <w:spacing w:after="0"/>
              <w:rPr>
                <w:sz w:val="18"/>
                <w:szCs w:val="18"/>
                <w:color w:val="auto"/>
              </w:rPr>
            </w:pPr>
          </w:p>
        </w:tc>
        <w:tc>
          <w:tcPr>
            <w:tcW w:w="940" w:type="dxa"/>
            <w:vAlign w:val="bottom"/>
            <w:tcBorders>
              <w:bottom w:val="single" w:sz="8" w:color="333333"/>
              <w:right w:val="single" w:sz="8" w:color="7F7F7F"/>
            </w:tcBorders>
            <w:shd w:val="clear" w:color="auto" w:fill="7F7F7F"/>
          </w:tcPr>
          <w:p>
            <w:pPr>
              <w:spacing w:after="0"/>
              <w:rPr>
                <w:sz w:val="18"/>
                <w:szCs w:val="18"/>
                <w:color w:val="auto"/>
              </w:rPr>
            </w:pPr>
          </w:p>
        </w:tc>
        <w:tc>
          <w:tcPr>
            <w:tcW w:w="700" w:type="dxa"/>
            <w:vAlign w:val="bottom"/>
            <w:tcBorders>
              <w:bottom w:val="single" w:sz="8" w:color="333333"/>
            </w:tcBorders>
            <w:shd w:val="clear" w:color="auto" w:fill="7F7F7F"/>
          </w:tcPr>
          <w:p>
            <w:pPr>
              <w:spacing w:after="0"/>
              <w:rPr>
                <w:sz w:val="18"/>
                <w:szCs w:val="18"/>
                <w:color w:val="auto"/>
              </w:rPr>
            </w:pPr>
          </w:p>
        </w:tc>
        <w:tc>
          <w:tcPr>
            <w:tcW w:w="860" w:type="dxa"/>
            <w:vAlign w:val="bottom"/>
            <w:tcBorders>
              <w:bottom w:val="single" w:sz="8" w:color="333333"/>
            </w:tcBorders>
            <w:shd w:val="clear" w:color="auto" w:fill="7F7F7F"/>
          </w:tcPr>
          <w:p>
            <w:pPr>
              <w:jc w:val="right"/>
              <w:ind w:right="6"/>
              <w:spacing w:after="0"/>
              <w:rPr>
                <w:sz w:val="20"/>
                <w:szCs w:val="20"/>
                <w:color w:val="auto"/>
              </w:rPr>
            </w:pPr>
            <w:r>
              <w:rPr>
                <w:rFonts w:ascii="Arial" w:cs="Arial" w:eastAsia="Arial" w:hAnsi="Arial"/>
                <w:sz w:val="11"/>
                <w:szCs w:val="11"/>
                <w:b w:val="1"/>
                <w:bCs w:val="1"/>
                <w:color w:val="FFFFFF"/>
                <w:w w:val="89"/>
              </w:rPr>
              <w:t>Option awards</w:t>
            </w:r>
            <w:r>
              <w:rPr>
                <w:rFonts w:ascii="Arial" w:cs="Arial" w:eastAsia="Arial" w:hAnsi="Arial"/>
                <w:sz w:val="9"/>
                <w:szCs w:val="9"/>
                <w:b w:val="1"/>
                <w:bCs w:val="1"/>
                <w:color w:val="FFFFFF"/>
                <w:w w:val="89"/>
              </w:rPr>
              <w:t>(1)</w:t>
            </w:r>
          </w:p>
        </w:tc>
        <w:tc>
          <w:tcPr>
            <w:tcW w:w="120" w:type="dxa"/>
            <w:vAlign w:val="bottom"/>
            <w:tcBorders>
              <w:bottom w:val="single" w:sz="8" w:color="333333"/>
            </w:tcBorders>
            <w:shd w:val="clear" w:color="auto" w:fill="7F7F7F"/>
          </w:tcPr>
          <w:p>
            <w:pPr>
              <w:spacing w:after="0"/>
              <w:rPr>
                <w:sz w:val="18"/>
                <w:szCs w:val="18"/>
                <w:color w:val="auto"/>
              </w:rPr>
            </w:pPr>
          </w:p>
        </w:tc>
        <w:tc>
          <w:tcPr>
            <w:tcW w:w="540" w:type="dxa"/>
            <w:vAlign w:val="bottom"/>
            <w:tcBorders>
              <w:bottom w:val="single" w:sz="8" w:color="333333"/>
              <w:right w:val="single" w:sz="8" w:color="7F7F7F"/>
            </w:tcBorders>
            <w:shd w:val="clear" w:color="auto" w:fill="7F7F7F"/>
          </w:tcPr>
          <w:p>
            <w:pPr>
              <w:spacing w:after="0"/>
              <w:rPr>
                <w:sz w:val="18"/>
                <w:szCs w:val="18"/>
                <w:color w:val="auto"/>
              </w:rPr>
            </w:pPr>
          </w:p>
        </w:tc>
        <w:tc>
          <w:tcPr>
            <w:tcW w:w="940" w:type="dxa"/>
            <w:vAlign w:val="bottom"/>
            <w:tcBorders>
              <w:bottom w:val="single" w:sz="8" w:color="333333"/>
            </w:tcBorders>
            <w:shd w:val="clear" w:color="auto" w:fill="7F7F7F"/>
          </w:tcPr>
          <w:p>
            <w:pPr>
              <w:spacing w:after="0"/>
              <w:rPr>
                <w:sz w:val="18"/>
                <w:szCs w:val="18"/>
                <w:color w:val="auto"/>
              </w:rPr>
            </w:pPr>
          </w:p>
        </w:tc>
        <w:tc>
          <w:tcPr>
            <w:tcW w:w="900" w:type="dxa"/>
            <w:vAlign w:val="bottom"/>
            <w:tcBorders>
              <w:bottom w:val="single" w:sz="8" w:color="333333"/>
              <w:right w:val="single" w:sz="8" w:color="7F7F7F"/>
            </w:tcBorders>
            <w:shd w:val="clear" w:color="auto" w:fill="7F7F7F"/>
          </w:tcPr>
          <w:p>
            <w:pPr>
              <w:spacing w:after="0"/>
              <w:rPr>
                <w:sz w:val="18"/>
                <w:szCs w:val="18"/>
                <w:color w:val="auto"/>
              </w:rPr>
            </w:pPr>
          </w:p>
        </w:tc>
        <w:tc>
          <w:tcPr>
            <w:tcW w:w="760" w:type="dxa"/>
            <w:vAlign w:val="bottom"/>
            <w:tcBorders>
              <w:bottom w:val="single" w:sz="8" w:color="333333"/>
            </w:tcBorders>
            <w:shd w:val="clear" w:color="auto" w:fill="7F7F7F"/>
          </w:tcPr>
          <w:p>
            <w:pPr>
              <w:spacing w:after="0"/>
              <w:rPr>
                <w:sz w:val="18"/>
                <w:szCs w:val="18"/>
                <w:color w:val="auto"/>
              </w:rPr>
            </w:pPr>
          </w:p>
        </w:tc>
        <w:tc>
          <w:tcPr>
            <w:tcW w:w="260" w:type="dxa"/>
            <w:vAlign w:val="bottom"/>
            <w:tcBorders>
              <w:bottom w:val="single" w:sz="8" w:color="333333"/>
            </w:tcBorders>
            <w:shd w:val="clear" w:color="auto" w:fill="7F7F7F"/>
          </w:tcPr>
          <w:p>
            <w:pPr>
              <w:spacing w:after="0"/>
              <w:rPr>
                <w:sz w:val="18"/>
                <w:szCs w:val="18"/>
                <w:color w:val="auto"/>
              </w:rPr>
            </w:pPr>
          </w:p>
        </w:tc>
        <w:tc>
          <w:tcPr>
            <w:tcW w:w="1560" w:type="dxa"/>
            <w:vAlign w:val="bottom"/>
            <w:tcBorders>
              <w:bottom w:val="single" w:sz="8" w:color="333333"/>
              <w:right w:val="single" w:sz="8" w:color="7F7F7F"/>
            </w:tcBorders>
            <w:gridSpan w:val="2"/>
            <w:shd w:val="clear" w:color="auto" w:fill="7F7F7F"/>
          </w:tcPr>
          <w:p>
            <w:pPr>
              <w:jc w:val="right"/>
              <w:ind w:right="686"/>
              <w:spacing w:after="0"/>
              <w:rPr>
                <w:sz w:val="20"/>
                <w:szCs w:val="20"/>
                <w:color w:val="auto"/>
              </w:rPr>
            </w:pPr>
            <w:r>
              <w:rPr>
                <w:rFonts w:ascii="Arial" w:cs="Arial" w:eastAsia="Arial" w:hAnsi="Arial"/>
                <w:sz w:val="11"/>
                <w:szCs w:val="11"/>
                <w:b w:val="1"/>
                <w:bCs w:val="1"/>
                <w:color w:val="FFFFFF"/>
                <w:w w:val="97"/>
              </w:rPr>
              <w:t>Stock awards</w:t>
            </w:r>
            <w:r>
              <w:rPr>
                <w:rFonts w:ascii="Arial" w:cs="Arial" w:eastAsia="Arial" w:hAnsi="Arial"/>
                <w:sz w:val="9"/>
                <w:szCs w:val="9"/>
                <w:b w:val="1"/>
                <w:bCs w:val="1"/>
                <w:color w:val="FFFFFF"/>
                <w:w w:val="97"/>
              </w:rPr>
              <w:t>(2)</w:t>
            </w:r>
          </w:p>
        </w:tc>
        <w:tc>
          <w:tcPr>
            <w:tcW w:w="240" w:type="dxa"/>
            <w:vAlign w:val="bottom"/>
            <w:tcBorders>
              <w:bottom w:val="single" w:sz="8" w:color="333333"/>
            </w:tcBorders>
            <w:shd w:val="clear" w:color="auto" w:fill="7F7F7F"/>
          </w:tcPr>
          <w:p>
            <w:pPr>
              <w:spacing w:after="0"/>
              <w:rPr>
                <w:sz w:val="18"/>
                <w:szCs w:val="18"/>
                <w:color w:val="auto"/>
              </w:rPr>
            </w:pPr>
          </w:p>
        </w:tc>
        <w:tc>
          <w:tcPr>
            <w:tcW w:w="1060" w:type="dxa"/>
            <w:vAlign w:val="bottom"/>
            <w:tcBorders>
              <w:bottom w:val="single" w:sz="8" w:color="333333"/>
            </w:tcBorders>
            <w:shd w:val="clear" w:color="auto" w:fill="7F7F7F"/>
          </w:tcPr>
          <w:p>
            <w:pPr>
              <w:spacing w:after="0"/>
              <w:rPr>
                <w:sz w:val="18"/>
                <w:szCs w:val="18"/>
                <w:color w:val="auto"/>
              </w:rPr>
            </w:pPr>
          </w:p>
        </w:tc>
      </w:tr>
      <w:tr>
        <w:trPr>
          <w:trHeight w:val="106"/>
        </w:trPr>
        <w:tc>
          <w:tcPr>
            <w:tcW w:w="2140" w:type="dxa"/>
            <w:vAlign w:val="bottom"/>
            <w:shd w:val="clear" w:color="auto" w:fill="4C4C4C"/>
          </w:tcPr>
          <w:p>
            <w:pPr>
              <w:spacing w:after="0"/>
              <w:rPr>
                <w:sz w:val="9"/>
                <w:szCs w:val="9"/>
                <w:color w:val="auto"/>
              </w:rPr>
            </w:pPr>
          </w:p>
        </w:tc>
        <w:tc>
          <w:tcPr>
            <w:tcW w:w="940" w:type="dxa"/>
            <w:vAlign w:val="bottom"/>
            <w:tcBorders>
              <w:right w:val="single" w:sz="8" w:color="B2B2B2"/>
            </w:tcBorders>
            <w:shd w:val="clear" w:color="auto" w:fill="4C4C4C"/>
          </w:tcPr>
          <w:p>
            <w:pPr>
              <w:spacing w:after="0"/>
              <w:rPr>
                <w:sz w:val="9"/>
                <w:szCs w:val="9"/>
                <w:color w:val="auto"/>
              </w:rPr>
            </w:pPr>
          </w:p>
        </w:tc>
        <w:tc>
          <w:tcPr>
            <w:tcW w:w="700" w:type="dxa"/>
            <w:vAlign w:val="bottom"/>
            <w:shd w:val="clear" w:color="auto" w:fill="4C4C4C"/>
          </w:tcPr>
          <w:p>
            <w:pPr>
              <w:spacing w:after="0"/>
              <w:rPr>
                <w:sz w:val="9"/>
                <w:szCs w:val="9"/>
                <w:color w:val="auto"/>
              </w:rPr>
            </w:pPr>
          </w:p>
        </w:tc>
        <w:tc>
          <w:tcPr>
            <w:tcW w:w="860" w:type="dxa"/>
            <w:vAlign w:val="bottom"/>
            <w:shd w:val="clear" w:color="auto" w:fill="4C4C4C"/>
          </w:tcPr>
          <w:p>
            <w:pPr>
              <w:spacing w:after="0"/>
              <w:rPr>
                <w:sz w:val="9"/>
                <w:szCs w:val="9"/>
                <w:color w:val="auto"/>
              </w:rPr>
            </w:pPr>
          </w:p>
        </w:tc>
        <w:tc>
          <w:tcPr>
            <w:tcW w:w="120" w:type="dxa"/>
            <w:vAlign w:val="bottom"/>
            <w:shd w:val="clear" w:color="auto" w:fill="4C4C4C"/>
          </w:tcPr>
          <w:p>
            <w:pPr>
              <w:spacing w:after="0"/>
              <w:rPr>
                <w:sz w:val="9"/>
                <w:szCs w:val="9"/>
                <w:color w:val="auto"/>
              </w:rPr>
            </w:pPr>
          </w:p>
        </w:tc>
        <w:tc>
          <w:tcPr>
            <w:tcW w:w="540" w:type="dxa"/>
            <w:vAlign w:val="bottom"/>
            <w:tcBorders>
              <w:right w:val="single" w:sz="8" w:color="B2B2B2"/>
            </w:tcBorders>
            <w:shd w:val="clear" w:color="auto" w:fill="4C4C4C"/>
          </w:tcPr>
          <w:p>
            <w:pPr>
              <w:spacing w:after="0"/>
              <w:rPr>
                <w:sz w:val="9"/>
                <w:szCs w:val="9"/>
                <w:color w:val="auto"/>
              </w:rPr>
            </w:pPr>
          </w:p>
        </w:tc>
        <w:tc>
          <w:tcPr>
            <w:tcW w:w="940" w:type="dxa"/>
            <w:vAlign w:val="bottom"/>
            <w:shd w:val="clear" w:color="auto" w:fill="4C4C4C"/>
          </w:tcPr>
          <w:p>
            <w:pPr>
              <w:spacing w:after="0"/>
              <w:rPr>
                <w:sz w:val="9"/>
                <w:szCs w:val="9"/>
                <w:color w:val="auto"/>
              </w:rPr>
            </w:pPr>
          </w:p>
        </w:tc>
        <w:tc>
          <w:tcPr>
            <w:tcW w:w="900" w:type="dxa"/>
            <w:vAlign w:val="bottom"/>
            <w:tcBorders>
              <w:right w:val="single" w:sz="8" w:color="B2B2B2"/>
            </w:tcBorders>
            <w:shd w:val="clear" w:color="auto" w:fill="4C4C4C"/>
          </w:tcPr>
          <w:p>
            <w:pPr>
              <w:spacing w:after="0"/>
              <w:rPr>
                <w:sz w:val="9"/>
                <w:szCs w:val="9"/>
                <w:color w:val="auto"/>
              </w:rPr>
            </w:pPr>
          </w:p>
        </w:tc>
        <w:tc>
          <w:tcPr>
            <w:tcW w:w="760" w:type="dxa"/>
            <w:vAlign w:val="bottom"/>
            <w:shd w:val="clear" w:color="auto" w:fill="4C4C4C"/>
          </w:tcPr>
          <w:p>
            <w:pPr>
              <w:spacing w:after="0"/>
              <w:rPr>
                <w:sz w:val="9"/>
                <w:szCs w:val="9"/>
                <w:color w:val="auto"/>
              </w:rPr>
            </w:pPr>
          </w:p>
        </w:tc>
        <w:tc>
          <w:tcPr>
            <w:tcW w:w="260" w:type="dxa"/>
            <w:vAlign w:val="bottom"/>
            <w:shd w:val="clear" w:color="auto" w:fill="4C4C4C"/>
          </w:tcPr>
          <w:p>
            <w:pPr>
              <w:spacing w:after="0"/>
              <w:rPr>
                <w:sz w:val="9"/>
                <w:szCs w:val="9"/>
                <w:color w:val="auto"/>
              </w:rPr>
            </w:pPr>
          </w:p>
        </w:tc>
        <w:tc>
          <w:tcPr>
            <w:tcW w:w="780" w:type="dxa"/>
            <w:vAlign w:val="bottom"/>
            <w:shd w:val="clear" w:color="auto" w:fill="4C4C4C"/>
          </w:tcPr>
          <w:p>
            <w:pPr>
              <w:spacing w:after="0"/>
              <w:rPr>
                <w:sz w:val="9"/>
                <w:szCs w:val="9"/>
                <w:color w:val="auto"/>
              </w:rPr>
            </w:pPr>
          </w:p>
        </w:tc>
        <w:tc>
          <w:tcPr>
            <w:tcW w:w="780" w:type="dxa"/>
            <w:vAlign w:val="bottom"/>
            <w:tcBorders>
              <w:right w:val="single" w:sz="8" w:color="B2B2B2"/>
            </w:tcBorders>
            <w:shd w:val="clear" w:color="auto" w:fill="4C4C4C"/>
          </w:tcPr>
          <w:p>
            <w:pPr>
              <w:jc w:val="center"/>
              <w:spacing w:after="0" w:line="106" w:lineRule="exact"/>
              <w:rPr>
                <w:sz w:val="20"/>
                <w:szCs w:val="20"/>
                <w:color w:val="auto"/>
              </w:rPr>
            </w:pPr>
            <w:r>
              <w:rPr>
                <w:rFonts w:ascii="Arial" w:cs="Arial" w:eastAsia="Arial" w:hAnsi="Arial"/>
                <w:sz w:val="11"/>
                <w:szCs w:val="11"/>
                <w:b w:val="1"/>
                <w:bCs w:val="1"/>
                <w:color w:val="FFFFFF"/>
                <w:w w:val="90"/>
              </w:rPr>
              <w:t>Equity incentive</w:t>
            </w:r>
          </w:p>
        </w:tc>
        <w:tc>
          <w:tcPr>
            <w:tcW w:w="240" w:type="dxa"/>
            <w:vAlign w:val="bottom"/>
            <w:shd w:val="clear" w:color="auto" w:fill="4C4C4C"/>
          </w:tcPr>
          <w:p>
            <w:pPr>
              <w:spacing w:after="0"/>
              <w:rPr>
                <w:sz w:val="9"/>
                <w:szCs w:val="9"/>
                <w:color w:val="auto"/>
              </w:rPr>
            </w:pPr>
          </w:p>
        </w:tc>
        <w:tc>
          <w:tcPr>
            <w:tcW w:w="1060" w:type="dxa"/>
            <w:vAlign w:val="bottom"/>
            <w:shd w:val="clear" w:color="auto" w:fill="4C4C4C"/>
          </w:tcPr>
          <w:p>
            <w:pPr>
              <w:spacing w:after="0"/>
              <w:rPr>
                <w:sz w:val="9"/>
                <w:szCs w:val="9"/>
                <w:color w:val="auto"/>
              </w:rPr>
            </w:pPr>
          </w:p>
        </w:tc>
      </w:tr>
      <w:tr>
        <w:trPr>
          <w:trHeight w:val="121"/>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spacing w:after="0"/>
              <w:rPr>
                <w:sz w:val="10"/>
                <w:szCs w:val="10"/>
                <w:color w:val="auto"/>
              </w:rPr>
            </w:pPr>
          </w:p>
        </w:tc>
        <w:tc>
          <w:tcPr>
            <w:tcW w:w="700" w:type="dxa"/>
            <w:vAlign w:val="bottom"/>
            <w:shd w:val="clear" w:color="auto" w:fill="4C4C4C"/>
          </w:tcPr>
          <w:p>
            <w:pPr>
              <w:spacing w:after="0"/>
              <w:rPr>
                <w:sz w:val="10"/>
                <w:szCs w:val="10"/>
                <w:color w:val="auto"/>
              </w:rPr>
            </w:pPr>
          </w:p>
        </w:tc>
        <w:tc>
          <w:tcPr>
            <w:tcW w:w="860" w:type="dxa"/>
            <w:vAlign w:val="bottom"/>
            <w:shd w:val="clear" w:color="auto" w:fill="4C4C4C"/>
          </w:tcPr>
          <w:p>
            <w:pPr>
              <w:spacing w:after="0"/>
              <w:rPr>
                <w:sz w:val="10"/>
                <w:szCs w:val="10"/>
                <w:color w:val="auto"/>
              </w:rPr>
            </w:pPr>
          </w:p>
        </w:tc>
        <w:tc>
          <w:tcPr>
            <w:tcW w:w="120" w:type="dxa"/>
            <w:vAlign w:val="bottom"/>
            <w:shd w:val="clear" w:color="auto" w:fill="4C4C4C"/>
          </w:tcPr>
          <w:p>
            <w:pPr>
              <w:spacing w:after="0"/>
              <w:rPr>
                <w:sz w:val="10"/>
                <w:szCs w:val="10"/>
                <w:color w:val="auto"/>
              </w:rPr>
            </w:pPr>
          </w:p>
        </w:tc>
        <w:tc>
          <w:tcPr>
            <w:tcW w:w="540" w:type="dxa"/>
            <w:vAlign w:val="bottom"/>
            <w:tcBorders>
              <w:right w:val="single" w:sz="8" w:color="B2B2B2"/>
            </w:tcBorders>
            <w:shd w:val="clear" w:color="auto" w:fill="4C4C4C"/>
          </w:tcPr>
          <w:p>
            <w:pPr>
              <w:spacing w:after="0"/>
              <w:rPr>
                <w:sz w:val="10"/>
                <w:szCs w:val="10"/>
                <w:color w:val="auto"/>
              </w:rPr>
            </w:pPr>
          </w:p>
        </w:tc>
        <w:tc>
          <w:tcPr>
            <w:tcW w:w="940" w:type="dxa"/>
            <w:vAlign w:val="bottom"/>
            <w:shd w:val="clear" w:color="auto" w:fill="4C4C4C"/>
          </w:tcPr>
          <w:p>
            <w:pPr>
              <w:spacing w:after="0"/>
              <w:rPr>
                <w:sz w:val="10"/>
                <w:szCs w:val="10"/>
                <w:color w:val="auto"/>
              </w:rPr>
            </w:pPr>
          </w:p>
        </w:tc>
        <w:tc>
          <w:tcPr>
            <w:tcW w:w="900" w:type="dxa"/>
            <w:vAlign w:val="bottom"/>
            <w:tcBorders>
              <w:right w:val="single" w:sz="8" w:color="B2B2B2"/>
            </w:tcBorders>
            <w:shd w:val="clear" w:color="auto" w:fill="4C4C4C"/>
          </w:tcPr>
          <w:p>
            <w:pPr>
              <w:spacing w:after="0"/>
              <w:rPr>
                <w:sz w:val="10"/>
                <w:szCs w:val="10"/>
                <w:color w:val="auto"/>
              </w:rPr>
            </w:pPr>
          </w:p>
        </w:tc>
        <w:tc>
          <w:tcPr>
            <w:tcW w:w="760" w:type="dxa"/>
            <w:vAlign w:val="bottom"/>
            <w:shd w:val="clear" w:color="auto" w:fill="4C4C4C"/>
          </w:tcPr>
          <w:p>
            <w:pPr>
              <w:spacing w:after="0"/>
              <w:rPr>
                <w:sz w:val="10"/>
                <w:szCs w:val="10"/>
                <w:color w:val="auto"/>
              </w:rPr>
            </w:pPr>
          </w:p>
        </w:tc>
        <w:tc>
          <w:tcPr>
            <w:tcW w:w="260" w:type="dxa"/>
            <w:vAlign w:val="bottom"/>
            <w:shd w:val="clear" w:color="auto" w:fill="4C4C4C"/>
          </w:tcPr>
          <w:p>
            <w:pPr>
              <w:spacing w:after="0"/>
              <w:rPr>
                <w:sz w:val="10"/>
                <w:szCs w:val="10"/>
                <w:color w:val="auto"/>
              </w:rPr>
            </w:pPr>
          </w:p>
        </w:tc>
        <w:tc>
          <w:tcPr>
            <w:tcW w:w="780" w:type="dxa"/>
            <w:vAlign w:val="bottom"/>
            <w:shd w:val="clear" w:color="auto" w:fill="4C4C4C"/>
          </w:tcPr>
          <w:p>
            <w:pPr>
              <w:spacing w:after="0"/>
              <w:rPr>
                <w:sz w:val="10"/>
                <w:szCs w:val="10"/>
                <w:color w:val="auto"/>
              </w:rPr>
            </w:pP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9"/>
              </w:rPr>
              <w:t>plan awards:</w:t>
            </w:r>
          </w:p>
        </w:tc>
        <w:tc>
          <w:tcPr>
            <w:tcW w:w="240" w:type="dxa"/>
            <w:vAlign w:val="bottom"/>
            <w:shd w:val="clear" w:color="auto" w:fill="4C4C4C"/>
          </w:tcPr>
          <w:p>
            <w:pPr>
              <w:spacing w:after="0"/>
              <w:rPr>
                <w:sz w:val="10"/>
                <w:szCs w:val="10"/>
                <w:color w:val="auto"/>
              </w:rPr>
            </w:pPr>
          </w:p>
        </w:tc>
        <w:tc>
          <w:tcPr>
            <w:tcW w:w="106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90"/>
              </w:rPr>
              <w:t>Equity incentive</w:t>
            </w:r>
          </w:p>
        </w:tc>
      </w:tr>
      <w:tr>
        <w:trPr>
          <w:trHeight w:val="122"/>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spacing w:after="0"/>
              <w:rPr>
                <w:sz w:val="10"/>
                <w:szCs w:val="10"/>
                <w:color w:val="auto"/>
              </w:rPr>
            </w:pPr>
          </w:p>
        </w:tc>
        <w:tc>
          <w:tcPr>
            <w:tcW w:w="70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0"/>
              </w:rPr>
              <w:t>Number of</w:t>
            </w:r>
          </w:p>
        </w:tc>
        <w:tc>
          <w:tcPr>
            <w:tcW w:w="860" w:type="dxa"/>
            <w:vAlign w:val="bottom"/>
            <w:shd w:val="clear" w:color="auto" w:fill="4C4C4C"/>
          </w:tcPr>
          <w:p>
            <w:pPr>
              <w:jc w:val="center"/>
              <w:ind w:right="66"/>
              <w:spacing w:after="0" w:line="122" w:lineRule="exact"/>
              <w:rPr>
                <w:sz w:val="20"/>
                <w:szCs w:val="20"/>
                <w:color w:val="auto"/>
              </w:rPr>
            </w:pPr>
            <w:r>
              <w:rPr>
                <w:rFonts w:ascii="Arial" w:cs="Arial" w:eastAsia="Arial" w:hAnsi="Arial"/>
                <w:sz w:val="11"/>
                <w:szCs w:val="11"/>
                <w:b w:val="1"/>
                <w:bCs w:val="1"/>
                <w:color w:val="FFFFFF"/>
                <w:w w:val="90"/>
              </w:rPr>
              <w:t>Number of</w:t>
            </w:r>
          </w:p>
        </w:tc>
        <w:tc>
          <w:tcPr>
            <w:tcW w:w="120" w:type="dxa"/>
            <w:vAlign w:val="bottom"/>
            <w:shd w:val="clear" w:color="auto" w:fill="4C4C4C"/>
          </w:tcPr>
          <w:p>
            <w:pPr>
              <w:spacing w:after="0"/>
              <w:rPr>
                <w:sz w:val="10"/>
                <w:szCs w:val="10"/>
                <w:color w:val="auto"/>
              </w:rPr>
            </w:pPr>
          </w:p>
        </w:tc>
        <w:tc>
          <w:tcPr>
            <w:tcW w:w="540" w:type="dxa"/>
            <w:vAlign w:val="bottom"/>
            <w:tcBorders>
              <w:right w:val="single" w:sz="8" w:color="B2B2B2"/>
            </w:tcBorders>
            <w:shd w:val="clear" w:color="auto" w:fill="4C4C4C"/>
          </w:tcPr>
          <w:p>
            <w:pPr>
              <w:spacing w:after="0"/>
              <w:rPr>
                <w:sz w:val="10"/>
                <w:szCs w:val="10"/>
                <w:color w:val="auto"/>
              </w:rPr>
            </w:pPr>
          </w:p>
        </w:tc>
        <w:tc>
          <w:tcPr>
            <w:tcW w:w="940" w:type="dxa"/>
            <w:vAlign w:val="bottom"/>
            <w:shd w:val="clear" w:color="auto" w:fill="4C4C4C"/>
          </w:tcPr>
          <w:p>
            <w:pPr>
              <w:spacing w:after="0"/>
              <w:rPr>
                <w:sz w:val="10"/>
                <w:szCs w:val="10"/>
                <w:color w:val="auto"/>
              </w:rPr>
            </w:pPr>
          </w:p>
        </w:tc>
        <w:tc>
          <w:tcPr>
            <w:tcW w:w="900" w:type="dxa"/>
            <w:vAlign w:val="bottom"/>
            <w:tcBorders>
              <w:right w:val="single" w:sz="8" w:color="B2B2B2"/>
            </w:tcBorders>
            <w:shd w:val="clear" w:color="auto" w:fill="4C4C4C"/>
          </w:tcPr>
          <w:p>
            <w:pPr>
              <w:spacing w:after="0"/>
              <w:rPr>
                <w:sz w:val="10"/>
                <w:szCs w:val="10"/>
                <w:color w:val="auto"/>
              </w:rPr>
            </w:pPr>
          </w:p>
        </w:tc>
        <w:tc>
          <w:tcPr>
            <w:tcW w:w="760" w:type="dxa"/>
            <w:vAlign w:val="bottom"/>
            <w:shd w:val="clear" w:color="auto" w:fill="4C4C4C"/>
          </w:tcPr>
          <w:p>
            <w:pPr>
              <w:spacing w:after="0"/>
              <w:rPr>
                <w:sz w:val="10"/>
                <w:szCs w:val="10"/>
                <w:color w:val="auto"/>
              </w:rPr>
            </w:pPr>
          </w:p>
        </w:tc>
        <w:tc>
          <w:tcPr>
            <w:tcW w:w="1040" w:type="dxa"/>
            <w:vAlign w:val="bottom"/>
            <w:gridSpan w:val="2"/>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5"/>
              </w:rPr>
              <w:t>Market value</w:t>
            </w: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9"/>
              </w:rPr>
              <w:t>number of</w:t>
            </w:r>
          </w:p>
        </w:tc>
        <w:tc>
          <w:tcPr>
            <w:tcW w:w="240" w:type="dxa"/>
            <w:vAlign w:val="bottom"/>
            <w:shd w:val="clear" w:color="auto" w:fill="4C4C4C"/>
          </w:tcPr>
          <w:p>
            <w:pPr>
              <w:spacing w:after="0"/>
              <w:rPr>
                <w:sz w:val="10"/>
                <w:szCs w:val="10"/>
                <w:color w:val="auto"/>
              </w:rPr>
            </w:pPr>
          </w:p>
        </w:tc>
        <w:tc>
          <w:tcPr>
            <w:tcW w:w="106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89"/>
              </w:rPr>
              <w:t>plan awards:</w:t>
            </w:r>
          </w:p>
        </w:tc>
      </w:tr>
      <w:tr>
        <w:trPr>
          <w:trHeight w:val="122"/>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spacing w:after="0"/>
              <w:rPr>
                <w:sz w:val="10"/>
                <w:szCs w:val="10"/>
                <w:color w:val="auto"/>
              </w:rPr>
            </w:pPr>
          </w:p>
        </w:tc>
        <w:tc>
          <w:tcPr>
            <w:tcW w:w="70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5"/>
              </w:rPr>
              <w:t>securities</w:t>
            </w:r>
          </w:p>
        </w:tc>
        <w:tc>
          <w:tcPr>
            <w:tcW w:w="860" w:type="dxa"/>
            <w:vAlign w:val="bottom"/>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85"/>
              </w:rPr>
              <w:t>securities</w:t>
            </w:r>
          </w:p>
        </w:tc>
        <w:tc>
          <w:tcPr>
            <w:tcW w:w="120" w:type="dxa"/>
            <w:vAlign w:val="bottom"/>
            <w:shd w:val="clear" w:color="auto" w:fill="4C4C4C"/>
          </w:tcPr>
          <w:p>
            <w:pPr>
              <w:spacing w:after="0"/>
              <w:rPr>
                <w:sz w:val="10"/>
                <w:szCs w:val="10"/>
                <w:color w:val="auto"/>
              </w:rPr>
            </w:pPr>
          </w:p>
        </w:tc>
        <w:tc>
          <w:tcPr>
            <w:tcW w:w="540" w:type="dxa"/>
            <w:vAlign w:val="bottom"/>
            <w:tcBorders>
              <w:right w:val="single" w:sz="8" w:color="B2B2B2"/>
            </w:tcBorders>
            <w:shd w:val="clear" w:color="auto" w:fill="4C4C4C"/>
          </w:tcPr>
          <w:p>
            <w:pPr>
              <w:spacing w:after="0"/>
              <w:rPr>
                <w:sz w:val="10"/>
                <w:szCs w:val="10"/>
                <w:color w:val="auto"/>
              </w:rPr>
            </w:pPr>
          </w:p>
        </w:tc>
        <w:tc>
          <w:tcPr>
            <w:tcW w:w="940" w:type="dxa"/>
            <w:vAlign w:val="bottom"/>
            <w:shd w:val="clear" w:color="auto" w:fill="4C4C4C"/>
          </w:tcPr>
          <w:p>
            <w:pPr>
              <w:spacing w:after="0"/>
              <w:rPr>
                <w:sz w:val="10"/>
                <w:szCs w:val="10"/>
                <w:color w:val="auto"/>
              </w:rPr>
            </w:pPr>
          </w:p>
        </w:tc>
        <w:tc>
          <w:tcPr>
            <w:tcW w:w="900" w:type="dxa"/>
            <w:vAlign w:val="bottom"/>
            <w:tcBorders>
              <w:right w:val="single" w:sz="8" w:color="B2B2B2"/>
            </w:tcBorders>
            <w:shd w:val="clear" w:color="auto" w:fill="4C4C4C"/>
          </w:tcPr>
          <w:p>
            <w:pPr>
              <w:spacing w:after="0"/>
              <w:rPr>
                <w:sz w:val="10"/>
                <w:szCs w:val="10"/>
                <w:color w:val="auto"/>
              </w:rPr>
            </w:pPr>
          </w:p>
        </w:tc>
        <w:tc>
          <w:tcPr>
            <w:tcW w:w="76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0"/>
              </w:rPr>
              <w:t>Number of</w:t>
            </w:r>
          </w:p>
        </w:tc>
        <w:tc>
          <w:tcPr>
            <w:tcW w:w="260" w:type="dxa"/>
            <w:vAlign w:val="bottom"/>
            <w:shd w:val="clear" w:color="auto" w:fill="4C4C4C"/>
          </w:tcPr>
          <w:p>
            <w:pPr>
              <w:spacing w:after="0"/>
              <w:rPr>
                <w:sz w:val="10"/>
                <w:szCs w:val="10"/>
                <w:color w:val="auto"/>
              </w:rPr>
            </w:pPr>
          </w:p>
        </w:tc>
        <w:tc>
          <w:tcPr>
            <w:tcW w:w="78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82"/>
              </w:rPr>
              <w:t>of shares or</w:t>
            </w: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8"/>
              </w:rPr>
              <w:t>unearned</w:t>
            </w:r>
          </w:p>
        </w:tc>
        <w:tc>
          <w:tcPr>
            <w:tcW w:w="240" w:type="dxa"/>
            <w:vAlign w:val="bottom"/>
            <w:shd w:val="clear" w:color="auto" w:fill="4C4C4C"/>
          </w:tcPr>
          <w:p>
            <w:pPr>
              <w:spacing w:after="0"/>
              <w:rPr>
                <w:sz w:val="10"/>
                <w:szCs w:val="10"/>
                <w:color w:val="auto"/>
              </w:rPr>
            </w:pPr>
          </w:p>
        </w:tc>
        <w:tc>
          <w:tcPr>
            <w:tcW w:w="106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89"/>
              </w:rPr>
              <w:t>market or payout</w:t>
            </w:r>
          </w:p>
        </w:tc>
      </w:tr>
      <w:tr>
        <w:trPr>
          <w:trHeight w:val="122"/>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spacing w:after="0"/>
              <w:rPr>
                <w:sz w:val="10"/>
                <w:szCs w:val="10"/>
                <w:color w:val="auto"/>
              </w:rPr>
            </w:pPr>
          </w:p>
        </w:tc>
        <w:tc>
          <w:tcPr>
            <w:tcW w:w="70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8"/>
              </w:rPr>
              <w:t>underlying</w:t>
            </w:r>
          </w:p>
        </w:tc>
        <w:tc>
          <w:tcPr>
            <w:tcW w:w="860" w:type="dxa"/>
            <w:vAlign w:val="bottom"/>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92"/>
              </w:rPr>
              <w:t>underlying</w:t>
            </w:r>
          </w:p>
        </w:tc>
        <w:tc>
          <w:tcPr>
            <w:tcW w:w="660" w:type="dxa"/>
            <w:vAlign w:val="bottom"/>
            <w:tcBorders>
              <w:right w:val="single" w:sz="8" w:color="B2B2B2"/>
            </w:tcBorders>
            <w:gridSpan w:val="2"/>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90"/>
              </w:rPr>
              <w:t>Option</w:t>
            </w:r>
          </w:p>
        </w:tc>
        <w:tc>
          <w:tcPr>
            <w:tcW w:w="940" w:type="dxa"/>
            <w:vAlign w:val="bottom"/>
            <w:shd w:val="clear" w:color="auto" w:fill="4C4C4C"/>
          </w:tcPr>
          <w:p>
            <w:pPr>
              <w:spacing w:after="0"/>
              <w:rPr>
                <w:sz w:val="10"/>
                <w:szCs w:val="10"/>
                <w:color w:val="auto"/>
              </w:rPr>
            </w:pPr>
          </w:p>
        </w:tc>
        <w:tc>
          <w:tcPr>
            <w:tcW w:w="900" w:type="dxa"/>
            <w:vAlign w:val="bottom"/>
            <w:tcBorders>
              <w:right w:val="single" w:sz="8" w:color="B2B2B2"/>
            </w:tcBorders>
            <w:shd w:val="clear" w:color="auto" w:fill="4C4C4C"/>
          </w:tcPr>
          <w:p>
            <w:pPr>
              <w:spacing w:after="0"/>
              <w:rPr>
                <w:sz w:val="10"/>
                <w:szCs w:val="10"/>
                <w:color w:val="auto"/>
              </w:rPr>
            </w:pPr>
          </w:p>
        </w:tc>
        <w:tc>
          <w:tcPr>
            <w:tcW w:w="76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4"/>
              </w:rPr>
              <w:t>shares or</w:t>
            </w:r>
          </w:p>
        </w:tc>
        <w:tc>
          <w:tcPr>
            <w:tcW w:w="260" w:type="dxa"/>
            <w:vAlign w:val="bottom"/>
            <w:shd w:val="clear" w:color="auto" w:fill="4C4C4C"/>
          </w:tcPr>
          <w:p>
            <w:pPr>
              <w:spacing w:after="0"/>
              <w:rPr>
                <w:sz w:val="10"/>
                <w:szCs w:val="10"/>
                <w:color w:val="auto"/>
              </w:rPr>
            </w:pPr>
          </w:p>
        </w:tc>
        <w:tc>
          <w:tcPr>
            <w:tcW w:w="78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90"/>
              </w:rPr>
              <w:t>units of</w:t>
            </w: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5"/>
              </w:rPr>
              <w:t>shares, units or</w:t>
            </w:r>
          </w:p>
        </w:tc>
        <w:tc>
          <w:tcPr>
            <w:tcW w:w="1300" w:type="dxa"/>
            <w:vAlign w:val="bottom"/>
            <w:gridSpan w:val="2"/>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7"/>
              </w:rPr>
              <w:t>value of unearned</w:t>
            </w:r>
          </w:p>
        </w:tc>
      </w:tr>
      <w:tr>
        <w:trPr>
          <w:trHeight w:val="122"/>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spacing w:after="0"/>
              <w:rPr>
                <w:sz w:val="10"/>
                <w:szCs w:val="10"/>
                <w:color w:val="auto"/>
              </w:rPr>
            </w:pPr>
          </w:p>
        </w:tc>
        <w:tc>
          <w:tcPr>
            <w:tcW w:w="70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4"/>
              </w:rPr>
              <w:t>unexercised</w:t>
            </w:r>
          </w:p>
        </w:tc>
        <w:tc>
          <w:tcPr>
            <w:tcW w:w="860" w:type="dxa"/>
            <w:vAlign w:val="bottom"/>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87"/>
              </w:rPr>
              <w:t>unexercised</w:t>
            </w:r>
          </w:p>
        </w:tc>
        <w:tc>
          <w:tcPr>
            <w:tcW w:w="660" w:type="dxa"/>
            <w:vAlign w:val="bottom"/>
            <w:tcBorders>
              <w:right w:val="single" w:sz="8" w:color="B2B2B2"/>
            </w:tcBorders>
            <w:gridSpan w:val="2"/>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81"/>
              </w:rPr>
              <w:t>exercise</w:t>
            </w:r>
          </w:p>
        </w:tc>
        <w:tc>
          <w:tcPr>
            <w:tcW w:w="940" w:type="dxa"/>
            <w:vAlign w:val="bottom"/>
            <w:shd w:val="clear" w:color="auto" w:fill="4C4C4C"/>
          </w:tcPr>
          <w:p>
            <w:pPr>
              <w:ind w:left="300"/>
              <w:spacing w:after="0" w:line="122" w:lineRule="exact"/>
              <w:rPr>
                <w:sz w:val="20"/>
                <w:szCs w:val="20"/>
                <w:color w:val="auto"/>
              </w:rPr>
            </w:pPr>
            <w:r>
              <w:rPr>
                <w:rFonts w:ascii="Arial" w:cs="Arial" w:eastAsia="Arial" w:hAnsi="Arial"/>
                <w:sz w:val="11"/>
                <w:szCs w:val="11"/>
                <w:b w:val="1"/>
                <w:bCs w:val="1"/>
                <w:color w:val="FFFFFF"/>
              </w:rPr>
              <w:t>Option</w:t>
            </w:r>
          </w:p>
        </w:tc>
        <w:tc>
          <w:tcPr>
            <w:tcW w:w="900" w:type="dxa"/>
            <w:vAlign w:val="bottom"/>
            <w:tcBorders>
              <w:right w:val="single" w:sz="8" w:color="B2B2B2"/>
            </w:tcBorders>
            <w:shd w:val="clear" w:color="auto" w:fill="4C4C4C"/>
          </w:tcPr>
          <w:p>
            <w:pPr>
              <w:spacing w:after="0"/>
              <w:rPr>
                <w:sz w:val="10"/>
                <w:szCs w:val="10"/>
                <w:color w:val="auto"/>
              </w:rPr>
            </w:pPr>
          </w:p>
        </w:tc>
        <w:tc>
          <w:tcPr>
            <w:tcW w:w="76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6"/>
              </w:rPr>
              <w:t>units of stock</w:t>
            </w:r>
          </w:p>
        </w:tc>
        <w:tc>
          <w:tcPr>
            <w:tcW w:w="260" w:type="dxa"/>
            <w:vAlign w:val="bottom"/>
            <w:shd w:val="clear" w:color="auto" w:fill="4C4C4C"/>
          </w:tcPr>
          <w:p>
            <w:pPr>
              <w:spacing w:after="0"/>
              <w:rPr>
                <w:sz w:val="10"/>
                <w:szCs w:val="10"/>
                <w:color w:val="auto"/>
              </w:rPr>
            </w:pPr>
          </w:p>
        </w:tc>
        <w:tc>
          <w:tcPr>
            <w:tcW w:w="78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84"/>
              </w:rPr>
              <w:t>stock that</w:t>
            </w: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8"/>
              </w:rPr>
              <w:t>other rights</w:t>
            </w:r>
          </w:p>
        </w:tc>
        <w:tc>
          <w:tcPr>
            <w:tcW w:w="240" w:type="dxa"/>
            <w:vAlign w:val="bottom"/>
            <w:shd w:val="clear" w:color="auto" w:fill="4C4C4C"/>
          </w:tcPr>
          <w:p>
            <w:pPr>
              <w:spacing w:after="0"/>
              <w:rPr>
                <w:sz w:val="10"/>
                <w:szCs w:val="10"/>
                <w:color w:val="auto"/>
              </w:rPr>
            </w:pPr>
          </w:p>
        </w:tc>
        <w:tc>
          <w:tcPr>
            <w:tcW w:w="1060" w:type="dxa"/>
            <w:vAlign w:val="bottom"/>
            <w:shd w:val="clear" w:color="auto" w:fill="4C4C4C"/>
          </w:tcPr>
          <w:p>
            <w:pPr>
              <w:jc w:val="center"/>
              <w:ind w:right="186"/>
              <w:spacing w:after="0" w:line="122" w:lineRule="exact"/>
              <w:rPr>
                <w:sz w:val="20"/>
                <w:szCs w:val="20"/>
                <w:color w:val="auto"/>
              </w:rPr>
            </w:pPr>
            <w:r>
              <w:rPr>
                <w:rFonts w:ascii="Arial" w:cs="Arial" w:eastAsia="Arial" w:hAnsi="Arial"/>
                <w:sz w:val="11"/>
                <w:szCs w:val="11"/>
                <w:b w:val="1"/>
                <w:bCs w:val="1"/>
                <w:color w:val="FFFFFF"/>
                <w:w w:val="85"/>
              </w:rPr>
              <w:t>shares, units or</w:t>
            </w:r>
          </w:p>
        </w:tc>
      </w:tr>
      <w:tr>
        <w:trPr>
          <w:trHeight w:val="122"/>
        </w:trPr>
        <w:tc>
          <w:tcPr>
            <w:tcW w:w="2140" w:type="dxa"/>
            <w:vAlign w:val="bottom"/>
            <w:shd w:val="clear" w:color="auto" w:fill="4C4C4C"/>
          </w:tcPr>
          <w:p>
            <w:pPr>
              <w:spacing w:after="0"/>
              <w:rPr>
                <w:sz w:val="10"/>
                <w:szCs w:val="10"/>
                <w:color w:val="auto"/>
              </w:rPr>
            </w:pPr>
          </w:p>
        </w:tc>
        <w:tc>
          <w:tcPr>
            <w:tcW w:w="940" w:type="dxa"/>
            <w:vAlign w:val="bottom"/>
            <w:tcBorders>
              <w:right w:val="single" w:sz="8" w:color="B2B2B2"/>
            </w:tcBorders>
            <w:shd w:val="clear" w:color="auto" w:fill="4C4C4C"/>
          </w:tcPr>
          <w:p>
            <w:pPr>
              <w:jc w:val="right"/>
              <w:ind w:right="286"/>
              <w:spacing w:after="0" w:line="122" w:lineRule="exact"/>
              <w:rPr>
                <w:sz w:val="20"/>
                <w:szCs w:val="20"/>
                <w:color w:val="auto"/>
              </w:rPr>
            </w:pPr>
            <w:r>
              <w:rPr>
                <w:rFonts w:ascii="Arial" w:cs="Arial" w:eastAsia="Arial" w:hAnsi="Arial"/>
                <w:sz w:val="11"/>
                <w:szCs w:val="11"/>
                <w:b w:val="1"/>
                <w:bCs w:val="1"/>
                <w:color w:val="FFFFFF"/>
              </w:rPr>
              <w:t>Grant</w:t>
            </w:r>
          </w:p>
        </w:tc>
        <w:tc>
          <w:tcPr>
            <w:tcW w:w="70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5"/>
              </w:rPr>
              <w:t>options</w:t>
            </w:r>
          </w:p>
        </w:tc>
        <w:tc>
          <w:tcPr>
            <w:tcW w:w="860" w:type="dxa"/>
            <w:vAlign w:val="bottom"/>
            <w:shd w:val="clear" w:color="auto" w:fill="4C4C4C"/>
          </w:tcPr>
          <w:p>
            <w:pPr>
              <w:jc w:val="center"/>
              <w:ind w:right="86"/>
              <w:spacing w:after="0" w:line="122" w:lineRule="exact"/>
              <w:rPr>
                <w:sz w:val="20"/>
                <w:szCs w:val="20"/>
                <w:color w:val="auto"/>
              </w:rPr>
            </w:pPr>
            <w:r>
              <w:rPr>
                <w:rFonts w:ascii="Arial" w:cs="Arial" w:eastAsia="Arial" w:hAnsi="Arial"/>
                <w:sz w:val="11"/>
                <w:szCs w:val="11"/>
                <w:b w:val="1"/>
                <w:bCs w:val="1"/>
                <w:color w:val="FFFFFF"/>
                <w:w w:val="80"/>
              </w:rPr>
              <w:t>options</w:t>
            </w:r>
          </w:p>
        </w:tc>
        <w:tc>
          <w:tcPr>
            <w:tcW w:w="120" w:type="dxa"/>
            <w:vAlign w:val="bottom"/>
            <w:shd w:val="clear" w:color="auto" w:fill="4C4C4C"/>
          </w:tcPr>
          <w:p>
            <w:pPr>
              <w:spacing w:after="0"/>
              <w:rPr>
                <w:sz w:val="10"/>
                <w:szCs w:val="10"/>
                <w:color w:val="auto"/>
              </w:rPr>
            </w:pPr>
          </w:p>
        </w:tc>
        <w:tc>
          <w:tcPr>
            <w:tcW w:w="540" w:type="dxa"/>
            <w:vAlign w:val="bottom"/>
            <w:tcBorders>
              <w:right w:val="single" w:sz="8" w:color="B2B2B2"/>
            </w:tcBorders>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91"/>
              </w:rPr>
              <w:t>price</w:t>
            </w:r>
          </w:p>
        </w:tc>
        <w:tc>
          <w:tcPr>
            <w:tcW w:w="940" w:type="dxa"/>
            <w:vAlign w:val="bottom"/>
            <w:shd w:val="clear" w:color="auto" w:fill="4C4C4C"/>
          </w:tcPr>
          <w:p>
            <w:pPr>
              <w:ind w:left="220"/>
              <w:spacing w:after="0" w:line="122" w:lineRule="exact"/>
              <w:rPr>
                <w:sz w:val="20"/>
                <w:szCs w:val="20"/>
                <w:color w:val="auto"/>
              </w:rPr>
            </w:pPr>
            <w:r>
              <w:rPr>
                <w:rFonts w:ascii="Arial" w:cs="Arial" w:eastAsia="Arial" w:hAnsi="Arial"/>
                <w:sz w:val="11"/>
                <w:szCs w:val="11"/>
                <w:b w:val="1"/>
                <w:bCs w:val="1"/>
                <w:color w:val="FFFFFF"/>
              </w:rPr>
              <w:t>expiration</w:t>
            </w:r>
          </w:p>
        </w:tc>
        <w:tc>
          <w:tcPr>
            <w:tcW w:w="900" w:type="dxa"/>
            <w:vAlign w:val="bottom"/>
            <w:tcBorders>
              <w:right w:val="single" w:sz="8" w:color="B2B2B2"/>
            </w:tcBorders>
            <w:shd w:val="clear" w:color="auto" w:fill="4C4C4C"/>
          </w:tcPr>
          <w:p>
            <w:pPr>
              <w:jc w:val="right"/>
              <w:ind w:right="266"/>
              <w:spacing w:after="0" w:line="122" w:lineRule="exact"/>
              <w:rPr>
                <w:sz w:val="20"/>
                <w:szCs w:val="20"/>
                <w:color w:val="auto"/>
              </w:rPr>
            </w:pPr>
            <w:r>
              <w:rPr>
                <w:rFonts w:ascii="Arial" w:cs="Arial" w:eastAsia="Arial" w:hAnsi="Arial"/>
                <w:sz w:val="11"/>
                <w:szCs w:val="11"/>
                <w:b w:val="1"/>
                <w:bCs w:val="1"/>
                <w:color w:val="FFFFFF"/>
              </w:rPr>
              <w:t>Grant</w:t>
            </w:r>
          </w:p>
        </w:tc>
        <w:tc>
          <w:tcPr>
            <w:tcW w:w="760" w:type="dxa"/>
            <w:vAlign w:val="bottom"/>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91"/>
              </w:rPr>
              <w:t>that have</w:t>
            </w:r>
          </w:p>
        </w:tc>
        <w:tc>
          <w:tcPr>
            <w:tcW w:w="260" w:type="dxa"/>
            <w:vAlign w:val="bottom"/>
            <w:shd w:val="clear" w:color="auto" w:fill="4C4C4C"/>
          </w:tcPr>
          <w:p>
            <w:pPr>
              <w:spacing w:after="0"/>
              <w:rPr>
                <w:sz w:val="10"/>
                <w:szCs w:val="10"/>
                <w:color w:val="auto"/>
              </w:rPr>
            </w:pPr>
          </w:p>
        </w:tc>
        <w:tc>
          <w:tcPr>
            <w:tcW w:w="78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88"/>
              </w:rPr>
              <w:t>have not</w:t>
            </w:r>
          </w:p>
        </w:tc>
        <w:tc>
          <w:tcPr>
            <w:tcW w:w="780" w:type="dxa"/>
            <w:vAlign w:val="bottom"/>
            <w:tcBorders>
              <w:right w:val="single" w:sz="8" w:color="B2B2B2"/>
            </w:tcBorders>
            <w:shd w:val="clear" w:color="auto" w:fill="4C4C4C"/>
          </w:tcPr>
          <w:p>
            <w:pPr>
              <w:jc w:val="center"/>
              <w:spacing w:after="0" w:line="122" w:lineRule="exact"/>
              <w:rPr>
                <w:sz w:val="20"/>
                <w:szCs w:val="20"/>
                <w:color w:val="auto"/>
              </w:rPr>
            </w:pPr>
            <w:r>
              <w:rPr>
                <w:rFonts w:ascii="Arial" w:cs="Arial" w:eastAsia="Arial" w:hAnsi="Arial"/>
                <w:sz w:val="11"/>
                <w:szCs w:val="11"/>
                <w:b w:val="1"/>
                <w:bCs w:val="1"/>
                <w:color w:val="FFFFFF"/>
                <w:w w:val="87"/>
              </w:rPr>
              <w:t>that have not</w:t>
            </w:r>
          </w:p>
        </w:tc>
        <w:tc>
          <w:tcPr>
            <w:tcW w:w="240" w:type="dxa"/>
            <w:vAlign w:val="bottom"/>
            <w:shd w:val="clear" w:color="auto" w:fill="4C4C4C"/>
          </w:tcPr>
          <w:p>
            <w:pPr>
              <w:spacing w:after="0"/>
              <w:rPr>
                <w:sz w:val="10"/>
                <w:szCs w:val="10"/>
                <w:color w:val="auto"/>
              </w:rPr>
            </w:pPr>
          </w:p>
        </w:tc>
        <w:tc>
          <w:tcPr>
            <w:tcW w:w="1060" w:type="dxa"/>
            <w:vAlign w:val="bottom"/>
            <w:shd w:val="clear" w:color="auto" w:fill="4C4C4C"/>
          </w:tcPr>
          <w:p>
            <w:pPr>
              <w:jc w:val="center"/>
              <w:ind w:right="206"/>
              <w:spacing w:after="0" w:line="122" w:lineRule="exact"/>
              <w:rPr>
                <w:sz w:val="20"/>
                <w:szCs w:val="20"/>
                <w:color w:val="auto"/>
              </w:rPr>
            </w:pPr>
            <w:r>
              <w:rPr>
                <w:rFonts w:ascii="Arial" w:cs="Arial" w:eastAsia="Arial" w:hAnsi="Arial"/>
                <w:sz w:val="11"/>
                <w:szCs w:val="11"/>
                <w:b w:val="1"/>
                <w:bCs w:val="1"/>
                <w:color w:val="FFFFFF"/>
                <w:w w:val="90"/>
              </w:rPr>
              <w:t>other rights that</w:t>
            </w:r>
          </w:p>
        </w:tc>
      </w:tr>
      <w:tr>
        <w:trPr>
          <w:trHeight w:val="148"/>
        </w:trPr>
        <w:tc>
          <w:tcPr>
            <w:tcW w:w="2140" w:type="dxa"/>
            <w:vAlign w:val="bottom"/>
            <w:shd w:val="clear" w:color="auto" w:fill="4C4C4C"/>
          </w:tcPr>
          <w:p>
            <w:pPr>
              <w:ind w:left="180"/>
              <w:spacing w:after="0"/>
              <w:rPr>
                <w:sz w:val="20"/>
                <w:szCs w:val="20"/>
                <w:color w:val="auto"/>
              </w:rPr>
            </w:pPr>
            <w:r>
              <w:rPr>
                <w:rFonts w:ascii="Arial" w:cs="Arial" w:eastAsia="Arial" w:hAnsi="Arial"/>
                <w:sz w:val="11"/>
                <w:szCs w:val="11"/>
                <w:b w:val="1"/>
                <w:bCs w:val="1"/>
                <w:color w:val="FFFFFF"/>
              </w:rPr>
              <w:t>Name</w:t>
            </w:r>
          </w:p>
        </w:tc>
        <w:tc>
          <w:tcPr>
            <w:tcW w:w="940" w:type="dxa"/>
            <w:vAlign w:val="bottom"/>
            <w:tcBorders>
              <w:right w:val="single" w:sz="8" w:color="B2B2B2"/>
            </w:tcBorders>
            <w:shd w:val="clear" w:color="auto" w:fill="4C4C4C"/>
          </w:tcPr>
          <w:p>
            <w:pPr>
              <w:jc w:val="right"/>
              <w:ind w:right="326"/>
              <w:spacing w:after="0"/>
              <w:rPr>
                <w:sz w:val="20"/>
                <w:szCs w:val="20"/>
                <w:color w:val="auto"/>
              </w:rPr>
            </w:pPr>
            <w:r>
              <w:rPr>
                <w:rFonts w:ascii="Arial" w:cs="Arial" w:eastAsia="Arial" w:hAnsi="Arial"/>
                <w:sz w:val="11"/>
                <w:szCs w:val="11"/>
                <w:b w:val="1"/>
                <w:bCs w:val="1"/>
                <w:color w:val="FFFFFF"/>
              </w:rPr>
              <w:t>date</w:t>
            </w:r>
          </w:p>
        </w:tc>
        <w:tc>
          <w:tcPr>
            <w:tcW w:w="700" w:type="dxa"/>
            <w:vAlign w:val="bottom"/>
            <w:shd w:val="clear" w:color="auto" w:fill="4C4C4C"/>
          </w:tcPr>
          <w:p>
            <w:pPr>
              <w:jc w:val="center"/>
              <w:spacing w:after="0"/>
              <w:rPr>
                <w:sz w:val="20"/>
                <w:szCs w:val="20"/>
                <w:color w:val="auto"/>
              </w:rPr>
            </w:pPr>
            <w:r>
              <w:rPr>
                <w:rFonts w:ascii="Arial" w:cs="Arial" w:eastAsia="Arial" w:hAnsi="Arial"/>
                <w:sz w:val="11"/>
                <w:szCs w:val="11"/>
                <w:b w:val="1"/>
                <w:bCs w:val="1"/>
                <w:color w:val="FFFFFF"/>
                <w:w w:val="83"/>
              </w:rPr>
              <w:t>exercisable</w:t>
            </w:r>
          </w:p>
        </w:tc>
        <w:tc>
          <w:tcPr>
            <w:tcW w:w="860" w:type="dxa"/>
            <w:vAlign w:val="bottom"/>
            <w:shd w:val="clear" w:color="auto" w:fill="4C4C4C"/>
          </w:tcPr>
          <w:p>
            <w:pPr>
              <w:jc w:val="center"/>
              <w:ind w:right="86"/>
              <w:spacing w:after="0"/>
              <w:rPr>
                <w:sz w:val="20"/>
                <w:szCs w:val="20"/>
                <w:color w:val="auto"/>
              </w:rPr>
            </w:pPr>
            <w:r>
              <w:rPr>
                <w:rFonts w:ascii="Arial" w:cs="Arial" w:eastAsia="Arial" w:hAnsi="Arial"/>
                <w:sz w:val="11"/>
                <w:szCs w:val="11"/>
                <w:b w:val="1"/>
                <w:bCs w:val="1"/>
                <w:color w:val="FFFFFF"/>
                <w:w w:val="87"/>
              </w:rPr>
              <w:t>unexercisable</w:t>
            </w:r>
          </w:p>
        </w:tc>
        <w:tc>
          <w:tcPr>
            <w:tcW w:w="660" w:type="dxa"/>
            <w:vAlign w:val="bottom"/>
            <w:tcBorders>
              <w:right w:val="single" w:sz="8" w:color="B2B2B2"/>
            </w:tcBorders>
            <w:gridSpan w:val="2"/>
            <w:shd w:val="clear" w:color="auto" w:fill="4C4C4C"/>
          </w:tcPr>
          <w:p>
            <w:pPr>
              <w:ind w:left="60"/>
              <w:spacing w:after="0"/>
              <w:rPr>
                <w:sz w:val="20"/>
                <w:szCs w:val="20"/>
                <w:color w:val="auto"/>
              </w:rPr>
            </w:pPr>
            <w:r>
              <w:rPr>
                <w:rFonts w:ascii="Arial" w:cs="Arial" w:eastAsia="Arial" w:hAnsi="Arial"/>
                <w:sz w:val="11"/>
                <w:szCs w:val="11"/>
                <w:b w:val="1"/>
                <w:bCs w:val="1"/>
                <w:color w:val="FFFFFF"/>
              </w:rPr>
              <w:t>($/share)</w:t>
            </w:r>
          </w:p>
        </w:tc>
        <w:tc>
          <w:tcPr>
            <w:tcW w:w="940" w:type="dxa"/>
            <w:vAlign w:val="bottom"/>
            <w:shd w:val="clear" w:color="auto" w:fill="4C4C4C"/>
          </w:tcPr>
          <w:p>
            <w:pPr>
              <w:ind w:left="360"/>
              <w:spacing w:after="0"/>
              <w:rPr>
                <w:sz w:val="20"/>
                <w:szCs w:val="20"/>
                <w:color w:val="auto"/>
              </w:rPr>
            </w:pPr>
            <w:r>
              <w:rPr>
                <w:rFonts w:ascii="Arial" w:cs="Arial" w:eastAsia="Arial" w:hAnsi="Arial"/>
                <w:sz w:val="11"/>
                <w:szCs w:val="11"/>
                <w:b w:val="1"/>
                <w:bCs w:val="1"/>
                <w:color w:val="FFFFFF"/>
              </w:rPr>
              <w:t>date</w:t>
            </w:r>
          </w:p>
        </w:tc>
        <w:tc>
          <w:tcPr>
            <w:tcW w:w="900" w:type="dxa"/>
            <w:vAlign w:val="bottom"/>
            <w:tcBorders>
              <w:right w:val="single" w:sz="8" w:color="B2B2B2"/>
            </w:tcBorders>
            <w:shd w:val="clear" w:color="auto" w:fill="4C4C4C"/>
          </w:tcPr>
          <w:p>
            <w:pPr>
              <w:jc w:val="right"/>
              <w:ind w:right="306"/>
              <w:spacing w:after="0"/>
              <w:rPr>
                <w:sz w:val="20"/>
                <w:szCs w:val="20"/>
                <w:color w:val="auto"/>
              </w:rPr>
            </w:pPr>
            <w:r>
              <w:rPr>
                <w:rFonts w:ascii="Arial" w:cs="Arial" w:eastAsia="Arial" w:hAnsi="Arial"/>
                <w:sz w:val="11"/>
                <w:szCs w:val="11"/>
                <w:b w:val="1"/>
                <w:bCs w:val="1"/>
                <w:color w:val="FFFFFF"/>
              </w:rPr>
              <w:t>date</w:t>
            </w:r>
          </w:p>
        </w:tc>
        <w:tc>
          <w:tcPr>
            <w:tcW w:w="760" w:type="dxa"/>
            <w:vAlign w:val="bottom"/>
            <w:shd w:val="clear" w:color="auto" w:fill="4C4C4C"/>
          </w:tcPr>
          <w:p>
            <w:pPr>
              <w:jc w:val="center"/>
              <w:spacing w:after="0"/>
              <w:rPr>
                <w:sz w:val="20"/>
                <w:szCs w:val="20"/>
                <w:color w:val="auto"/>
              </w:rPr>
            </w:pPr>
            <w:r>
              <w:rPr>
                <w:rFonts w:ascii="Arial" w:cs="Arial" w:eastAsia="Arial" w:hAnsi="Arial"/>
                <w:sz w:val="11"/>
                <w:szCs w:val="11"/>
                <w:b w:val="1"/>
                <w:bCs w:val="1"/>
                <w:color w:val="FFFFFF"/>
                <w:w w:val="83"/>
              </w:rPr>
              <w:t>not vested</w:t>
            </w:r>
          </w:p>
        </w:tc>
        <w:tc>
          <w:tcPr>
            <w:tcW w:w="260" w:type="dxa"/>
            <w:vAlign w:val="bottom"/>
            <w:shd w:val="clear" w:color="auto" w:fill="4C4C4C"/>
          </w:tcPr>
          <w:p>
            <w:pPr>
              <w:spacing w:after="0"/>
              <w:rPr>
                <w:sz w:val="12"/>
                <w:szCs w:val="12"/>
                <w:color w:val="auto"/>
              </w:rPr>
            </w:pPr>
          </w:p>
        </w:tc>
        <w:tc>
          <w:tcPr>
            <w:tcW w:w="780" w:type="dxa"/>
            <w:vAlign w:val="bottom"/>
            <w:shd w:val="clear" w:color="auto" w:fill="4C4C4C"/>
          </w:tcPr>
          <w:p>
            <w:pPr>
              <w:jc w:val="center"/>
              <w:ind w:right="206"/>
              <w:spacing w:after="0"/>
              <w:rPr>
                <w:sz w:val="20"/>
                <w:szCs w:val="20"/>
                <w:color w:val="auto"/>
              </w:rPr>
            </w:pPr>
            <w:r>
              <w:rPr>
                <w:rFonts w:ascii="Arial" w:cs="Arial" w:eastAsia="Arial" w:hAnsi="Arial"/>
                <w:sz w:val="11"/>
                <w:szCs w:val="11"/>
                <w:b w:val="1"/>
                <w:bCs w:val="1"/>
                <w:color w:val="FFFFFF"/>
                <w:w w:val="80"/>
              </w:rPr>
              <w:t>vested</w:t>
            </w:r>
          </w:p>
        </w:tc>
        <w:tc>
          <w:tcPr>
            <w:tcW w:w="780" w:type="dxa"/>
            <w:vAlign w:val="bottom"/>
            <w:tcBorders>
              <w:right w:val="single" w:sz="8" w:color="B2B2B2"/>
            </w:tcBorders>
            <w:shd w:val="clear" w:color="auto" w:fill="4C4C4C"/>
          </w:tcPr>
          <w:p>
            <w:pPr>
              <w:jc w:val="center"/>
              <w:spacing w:after="0"/>
              <w:rPr>
                <w:sz w:val="20"/>
                <w:szCs w:val="20"/>
                <w:color w:val="auto"/>
              </w:rPr>
            </w:pPr>
            <w:r>
              <w:rPr>
                <w:rFonts w:ascii="Arial" w:cs="Arial" w:eastAsia="Arial" w:hAnsi="Arial"/>
                <w:sz w:val="11"/>
                <w:szCs w:val="11"/>
                <w:b w:val="1"/>
                <w:bCs w:val="1"/>
                <w:color w:val="FFFFFF"/>
                <w:w w:val="80"/>
              </w:rPr>
              <w:t>vested</w:t>
            </w:r>
          </w:p>
        </w:tc>
        <w:tc>
          <w:tcPr>
            <w:tcW w:w="240" w:type="dxa"/>
            <w:vAlign w:val="bottom"/>
            <w:shd w:val="clear" w:color="auto" w:fill="4C4C4C"/>
          </w:tcPr>
          <w:p>
            <w:pPr>
              <w:spacing w:after="0"/>
              <w:rPr>
                <w:sz w:val="12"/>
                <w:szCs w:val="12"/>
                <w:color w:val="auto"/>
              </w:rPr>
            </w:pPr>
          </w:p>
        </w:tc>
        <w:tc>
          <w:tcPr>
            <w:tcW w:w="1060" w:type="dxa"/>
            <w:vAlign w:val="bottom"/>
            <w:shd w:val="clear" w:color="auto" w:fill="4C4C4C"/>
          </w:tcPr>
          <w:p>
            <w:pPr>
              <w:jc w:val="center"/>
              <w:ind w:right="186"/>
              <w:spacing w:after="0"/>
              <w:rPr>
                <w:sz w:val="20"/>
                <w:szCs w:val="20"/>
                <w:color w:val="auto"/>
              </w:rPr>
            </w:pPr>
            <w:r>
              <w:rPr>
                <w:rFonts w:ascii="Arial" w:cs="Arial" w:eastAsia="Arial" w:hAnsi="Arial"/>
                <w:sz w:val="11"/>
                <w:szCs w:val="11"/>
                <w:b w:val="1"/>
                <w:bCs w:val="1"/>
                <w:color w:val="FFFFFF"/>
                <w:w w:val="84"/>
              </w:rPr>
              <w:t>have not vested</w:t>
            </w:r>
          </w:p>
        </w:tc>
      </w:tr>
      <w:tr>
        <w:trPr>
          <w:trHeight w:val="122"/>
        </w:trPr>
        <w:tc>
          <w:tcPr>
            <w:tcW w:w="2140" w:type="dxa"/>
            <w:vAlign w:val="bottom"/>
            <w:shd w:val="clear" w:color="auto" w:fill="D8D8D8"/>
          </w:tcPr>
          <w:p>
            <w:pPr>
              <w:ind w:left="180"/>
              <w:spacing w:after="0" w:line="122" w:lineRule="exact"/>
              <w:rPr>
                <w:sz w:val="20"/>
                <w:szCs w:val="20"/>
                <w:color w:val="auto"/>
              </w:rPr>
            </w:pPr>
            <w:r>
              <w:rPr>
                <w:rFonts w:ascii="Arial" w:cs="Arial" w:eastAsia="Arial" w:hAnsi="Arial"/>
                <w:sz w:val="11"/>
                <w:szCs w:val="11"/>
                <w:color w:val="auto"/>
              </w:rPr>
              <w:t>M. S. Williams</w:t>
            </w:r>
          </w:p>
        </w:tc>
        <w:tc>
          <w:tcPr>
            <w:tcW w:w="940" w:type="dxa"/>
            <w:vAlign w:val="bottom"/>
            <w:tcBorders>
              <w:right w:val="single" w:sz="8" w:color="D8D8D8"/>
            </w:tcBorders>
            <w:shd w:val="clear" w:color="auto" w:fill="D8D8D8"/>
          </w:tcPr>
          <w:p>
            <w:pPr>
              <w:spacing w:after="0"/>
              <w:rPr>
                <w:sz w:val="10"/>
                <w:szCs w:val="10"/>
                <w:color w:val="auto"/>
              </w:rPr>
            </w:pPr>
          </w:p>
        </w:tc>
        <w:tc>
          <w:tcPr>
            <w:tcW w:w="700" w:type="dxa"/>
            <w:vAlign w:val="bottom"/>
            <w:shd w:val="clear" w:color="auto" w:fill="D8D8D8"/>
          </w:tcPr>
          <w:p>
            <w:pPr>
              <w:spacing w:after="0"/>
              <w:rPr>
                <w:sz w:val="10"/>
                <w:szCs w:val="10"/>
                <w:color w:val="auto"/>
              </w:rPr>
            </w:pPr>
          </w:p>
        </w:tc>
        <w:tc>
          <w:tcPr>
            <w:tcW w:w="860" w:type="dxa"/>
            <w:vAlign w:val="bottom"/>
            <w:shd w:val="clear" w:color="auto" w:fill="D8D8D8"/>
          </w:tcPr>
          <w:p>
            <w:pPr>
              <w:spacing w:after="0"/>
              <w:rPr>
                <w:sz w:val="10"/>
                <w:szCs w:val="10"/>
                <w:color w:val="auto"/>
              </w:rPr>
            </w:pPr>
          </w:p>
        </w:tc>
        <w:tc>
          <w:tcPr>
            <w:tcW w:w="120" w:type="dxa"/>
            <w:vAlign w:val="bottom"/>
            <w:shd w:val="clear" w:color="auto" w:fill="D8D8D8"/>
          </w:tcPr>
          <w:p>
            <w:pPr>
              <w:spacing w:after="0"/>
              <w:rPr>
                <w:sz w:val="10"/>
                <w:szCs w:val="10"/>
                <w:color w:val="auto"/>
              </w:rPr>
            </w:pPr>
          </w:p>
        </w:tc>
        <w:tc>
          <w:tcPr>
            <w:tcW w:w="540" w:type="dxa"/>
            <w:vAlign w:val="bottom"/>
            <w:tcBorders>
              <w:right w:val="single" w:sz="8" w:color="D8D8D8"/>
            </w:tcBorders>
            <w:shd w:val="clear" w:color="auto" w:fill="D8D8D8"/>
          </w:tcPr>
          <w:p>
            <w:pPr>
              <w:spacing w:after="0"/>
              <w:rPr>
                <w:sz w:val="10"/>
                <w:szCs w:val="10"/>
                <w:color w:val="auto"/>
              </w:rPr>
            </w:pPr>
          </w:p>
        </w:tc>
        <w:tc>
          <w:tcPr>
            <w:tcW w:w="940" w:type="dxa"/>
            <w:vAlign w:val="bottom"/>
            <w:shd w:val="clear" w:color="auto" w:fill="D8D8D8"/>
          </w:tcPr>
          <w:p>
            <w:pPr>
              <w:spacing w:after="0"/>
              <w:rPr>
                <w:sz w:val="10"/>
                <w:szCs w:val="10"/>
                <w:color w:val="auto"/>
              </w:rPr>
            </w:pP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01/05/2021</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423,400</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6,986,100</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635,100</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10,479,150</w:t>
            </w:r>
          </w:p>
        </w:tc>
      </w:tr>
      <w:tr>
        <w:trPr>
          <w:trHeight w:val="112"/>
        </w:trPr>
        <w:tc>
          <w:tcPr>
            <w:tcW w:w="2140" w:type="dxa"/>
            <w:vAlign w:val="bottom"/>
          </w:tcPr>
          <w:p>
            <w:pPr>
              <w:ind w:left="180"/>
              <w:spacing w:after="0" w:line="112" w:lineRule="exact"/>
              <w:rPr>
                <w:sz w:val="20"/>
                <w:szCs w:val="20"/>
                <w:color w:val="auto"/>
              </w:rPr>
            </w:pPr>
            <w:r>
              <w:rPr>
                <w:rFonts w:ascii="Arial" w:cs="Arial" w:eastAsia="Arial" w:hAnsi="Arial"/>
                <w:sz w:val="11"/>
                <w:szCs w:val="11"/>
                <w:color w:val="auto"/>
              </w:rPr>
              <w:t>K. R. Westbrooks</w:t>
            </w:r>
          </w:p>
        </w:tc>
        <w:tc>
          <w:tcPr>
            <w:tcW w:w="9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09/24/2018</w:t>
            </w:r>
          </w:p>
        </w:tc>
        <w:tc>
          <w:tcPr>
            <w:tcW w:w="7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5,280</w:t>
            </w:r>
          </w:p>
        </w:tc>
        <w:tc>
          <w:tcPr>
            <w:tcW w:w="860" w:type="dxa"/>
            <w:vAlign w:val="bottom"/>
          </w:tcPr>
          <w:p>
            <w:pPr>
              <w:jc w:val="right"/>
              <w:ind w:right="286"/>
              <w:spacing w:after="0" w:line="112" w:lineRule="exact"/>
              <w:rPr>
                <w:sz w:val="20"/>
                <w:szCs w:val="20"/>
                <w:color w:val="auto"/>
              </w:rPr>
            </w:pPr>
            <w:r>
              <w:rPr>
                <w:rFonts w:ascii="Arial" w:cs="Arial" w:eastAsia="Arial" w:hAnsi="Arial"/>
                <w:sz w:val="11"/>
                <w:szCs w:val="11"/>
                <w:color w:val="auto"/>
              </w:rPr>
              <w:t>1,760</w:t>
            </w:r>
          </w:p>
        </w:tc>
        <w:tc>
          <w:tcPr>
            <w:tcW w:w="120" w:type="dxa"/>
            <w:vAlign w:val="bottom"/>
          </w:tcPr>
          <w:p>
            <w:pPr>
              <w:ind w:left="60"/>
              <w:spacing w:after="0" w:line="112" w:lineRule="exact"/>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14.34</w:t>
            </w:r>
          </w:p>
        </w:tc>
        <w:tc>
          <w:tcPr>
            <w:tcW w:w="940" w:type="dxa"/>
            <w:vAlign w:val="bottom"/>
          </w:tcPr>
          <w:p>
            <w:pPr>
              <w:ind w:left="220"/>
              <w:spacing w:after="0" w:line="112" w:lineRule="exact"/>
              <w:rPr>
                <w:sz w:val="20"/>
                <w:szCs w:val="20"/>
                <w:color w:val="auto"/>
              </w:rPr>
            </w:pPr>
            <w:r>
              <w:rPr>
                <w:rFonts w:ascii="Arial" w:cs="Arial" w:eastAsia="Arial" w:hAnsi="Arial"/>
                <w:sz w:val="11"/>
                <w:szCs w:val="11"/>
                <w:color w:val="auto"/>
              </w:rPr>
              <w:t>09/24/2028</w:t>
            </w:r>
          </w:p>
        </w:tc>
        <w:tc>
          <w:tcPr>
            <w:tcW w:w="9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03/01/2019</w:t>
            </w:r>
          </w:p>
        </w:tc>
        <w:tc>
          <w:tcPr>
            <w:tcW w:w="76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22,000</w:t>
            </w:r>
          </w:p>
        </w:tc>
        <w:tc>
          <w:tcPr>
            <w:tcW w:w="260" w:type="dxa"/>
            <w:vAlign w:val="bottom"/>
          </w:tcPr>
          <w:p>
            <w:pPr>
              <w:jc w:val="right"/>
              <w:spacing w:after="0" w:line="11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363,000</w:t>
            </w:r>
          </w:p>
        </w:tc>
        <w:tc>
          <w:tcPr>
            <w:tcW w:w="7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60" w:type="dxa"/>
            <w:vAlign w:val="bottom"/>
          </w:tcPr>
          <w:p>
            <w:pPr>
              <w:spacing w:after="0"/>
              <w:rPr>
                <w:sz w:val="9"/>
                <w:szCs w:val="9"/>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03/01/2019</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16,550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16,550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12.45</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03/01/2029</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63,200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1,042,800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34,950</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576,675</w:t>
            </w: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5,750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62,250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5.26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03/02/2030</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08/05/2020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9,450</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155,925</w:t>
            </w:r>
          </w:p>
        </w:tc>
      </w:tr>
      <w:tr>
        <w:trPr>
          <w:trHeight w:val="131"/>
        </w:trPr>
        <w:tc>
          <w:tcPr>
            <w:tcW w:w="214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900" w:type="dxa"/>
            <w:vAlign w:val="bottom"/>
          </w:tcPr>
          <w:p>
            <w:pPr>
              <w:jc w:val="right"/>
              <w:ind w:right="146"/>
              <w:spacing w:after="0"/>
              <w:rPr>
                <w:sz w:val="20"/>
                <w:szCs w:val="20"/>
                <w:color w:val="auto"/>
              </w:rPr>
            </w:pPr>
            <w:r>
              <w:rPr>
                <w:rFonts w:ascii="Arial" w:cs="Arial" w:eastAsia="Arial" w:hAnsi="Arial"/>
                <w:sz w:val="11"/>
                <w:szCs w:val="11"/>
                <w:color w:val="auto"/>
              </w:rPr>
              <w:t>03/01/2021</w:t>
            </w:r>
          </w:p>
        </w:tc>
        <w:tc>
          <w:tcPr>
            <w:tcW w:w="760" w:type="dxa"/>
            <w:vAlign w:val="bottom"/>
          </w:tcPr>
          <w:p>
            <w:pPr>
              <w:jc w:val="right"/>
              <w:ind w:right="146"/>
              <w:spacing w:after="0"/>
              <w:rPr>
                <w:sz w:val="20"/>
                <w:szCs w:val="20"/>
                <w:color w:val="auto"/>
              </w:rPr>
            </w:pPr>
            <w:r>
              <w:rPr>
                <w:rFonts w:ascii="Arial" w:cs="Arial" w:eastAsia="Arial" w:hAnsi="Arial"/>
                <w:sz w:val="11"/>
                <w:szCs w:val="11"/>
                <w:color w:val="auto"/>
              </w:rPr>
              <w:t>40,400</w:t>
            </w:r>
          </w:p>
        </w:tc>
        <w:tc>
          <w:tcPr>
            <w:tcW w:w="260" w:type="dxa"/>
            <w:vAlign w:val="bottom"/>
          </w:tcPr>
          <w:p>
            <w:pPr>
              <w:jc w:val="right"/>
              <w:spacing w:after="0"/>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rPr>
                <w:sz w:val="20"/>
                <w:szCs w:val="20"/>
                <w:color w:val="auto"/>
              </w:rPr>
            </w:pPr>
            <w:r>
              <w:rPr>
                <w:rFonts w:ascii="Arial" w:cs="Arial" w:eastAsia="Arial" w:hAnsi="Arial"/>
                <w:sz w:val="11"/>
                <w:szCs w:val="11"/>
                <w:color w:val="auto"/>
              </w:rPr>
              <w:t>666,600</w:t>
            </w:r>
          </w:p>
        </w:tc>
        <w:tc>
          <w:tcPr>
            <w:tcW w:w="780" w:type="dxa"/>
            <w:vAlign w:val="bottom"/>
          </w:tcPr>
          <w:p>
            <w:pPr>
              <w:jc w:val="right"/>
              <w:ind w:right="146"/>
              <w:spacing w:after="0"/>
              <w:rPr>
                <w:sz w:val="20"/>
                <w:szCs w:val="20"/>
                <w:color w:val="auto"/>
              </w:rPr>
            </w:pPr>
            <w:r>
              <w:rPr>
                <w:rFonts w:ascii="Arial" w:cs="Arial" w:eastAsia="Arial" w:hAnsi="Arial"/>
                <w:sz w:val="11"/>
                <w:szCs w:val="11"/>
                <w:color w:val="auto"/>
              </w:rPr>
              <w:t>60,600</w:t>
            </w:r>
          </w:p>
        </w:tc>
        <w:tc>
          <w:tcPr>
            <w:tcW w:w="240" w:type="dxa"/>
            <w:vAlign w:val="bottom"/>
          </w:tcPr>
          <w:p>
            <w:pPr>
              <w:jc w:val="right"/>
              <w:spacing w:after="0"/>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rPr>
                <w:sz w:val="20"/>
                <w:szCs w:val="20"/>
                <w:color w:val="auto"/>
              </w:rPr>
            </w:pPr>
            <w:r>
              <w:rPr>
                <w:rFonts w:ascii="Arial" w:cs="Arial" w:eastAsia="Arial" w:hAnsi="Arial"/>
                <w:sz w:val="11"/>
                <w:szCs w:val="11"/>
                <w:color w:val="auto"/>
              </w:rPr>
              <w:t>999,900</w:t>
            </w:r>
          </w:p>
        </w:tc>
      </w:tr>
      <w:tr>
        <w:trPr>
          <w:trHeight w:val="112"/>
        </w:trPr>
        <w:tc>
          <w:tcPr>
            <w:tcW w:w="2140" w:type="dxa"/>
            <w:vAlign w:val="bottom"/>
            <w:shd w:val="clear" w:color="auto" w:fill="D8D8D8"/>
          </w:tcPr>
          <w:p>
            <w:pPr>
              <w:ind w:left="180"/>
              <w:spacing w:after="0" w:line="112" w:lineRule="exact"/>
              <w:rPr>
                <w:sz w:val="20"/>
                <w:szCs w:val="20"/>
                <w:color w:val="auto"/>
              </w:rPr>
            </w:pPr>
            <w:r>
              <w:rPr>
                <w:rFonts w:ascii="Arial" w:cs="Arial" w:eastAsia="Arial" w:hAnsi="Arial"/>
                <w:sz w:val="11"/>
                <w:szCs w:val="11"/>
                <w:color w:val="auto"/>
              </w:rPr>
              <w:t>K. C. Syrvalin</w:t>
            </w:r>
          </w:p>
        </w:tc>
        <w:tc>
          <w:tcPr>
            <w:tcW w:w="94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01/29/2015</w:t>
            </w:r>
          </w:p>
        </w:tc>
        <w:tc>
          <w:tcPr>
            <w:tcW w:w="70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2,480</w:t>
            </w:r>
          </w:p>
        </w:tc>
        <w:tc>
          <w:tcPr>
            <w:tcW w:w="860" w:type="dxa"/>
            <w:vAlign w:val="bottom"/>
            <w:shd w:val="clear" w:color="auto" w:fill="D8D8D8"/>
          </w:tcPr>
          <w:p>
            <w:pPr>
              <w:jc w:val="right"/>
              <w:ind w:right="286"/>
              <w:spacing w:after="0" w:line="11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line="112" w:lineRule="exact"/>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29.00</w:t>
            </w:r>
          </w:p>
        </w:tc>
        <w:tc>
          <w:tcPr>
            <w:tcW w:w="940" w:type="dxa"/>
            <w:vAlign w:val="bottom"/>
            <w:shd w:val="clear" w:color="auto" w:fill="D8D8D8"/>
          </w:tcPr>
          <w:p>
            <w:pPr>
              <w:ind w:left="220"/>
              <w:spacing w:after="0" w:line="112" w:lineRule="exact"/>
              <w:rPr>
                <w:sz w:val="20"/>
                <w:szCs w:val="20"/>
                <w:color w:val="auto"/>
              </w:rPr>
            </w:pPr>
            <w:r>
              <w:rPr>
                <w:rFonts w:ascii="Arial" w:cs="Arial" w:eastAsia="Arial" w:hAnsi="Arial"/>
                <w:sz w:val="11"/>
                <w:szCs w:val="11"/>
                <w:color w:val="auto"/>
              </w:rPr>
              <w:t>01/29/2025</w:t>
            </w:r>
          </w:p>
        </w:tc>
        <w:tc>
          <w:tcPr>
            <w:tcW w:w="90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03/01/2019</w:t>
            </w:r>
          </w:p>
        </w:tc>
        <w:tc>
          <w:tcPr>
            <w:tcW w:w="76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3,880</w:t>
            </w:r>
          </w:p>
        </w:tc>
        <w:tc>
          <w:tcPr>
            <w:tcW w:w="260" w:type="dxa"/>
            <w:vAlign w:val="bottom"/>
            <w:shd w:val="clear" w:color="auto" w:fill="D8D8D8"/>
          </w:tcPr>
          <w:p>
            <w:pPr>
              <w:jc w:val="right"/>
              <w:spacing w:after="0" w:line="11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64,020</w:t>
            </w:r>
          </w:p>
        </w:tc>
        <w:tc>
          <w:tcPr>
            <w:tcW w:w="780" w:type="dxa"/>
            <w:vAlign w:val="bottom"/>
            <w:tcBorders>
              <w:right w:val="single" w:sz="8" w:color="D8D8D8"/>
            </w:tcBorders>
            <w:shd w:val="clear" w:color="auto" w:fill="D8D8D8"/>
          </w:tcPr>
          <w:p>
            <w:pPr>
              <w:spacing w:after="0"/>
              <w:rPr>
                <w:sz w:val="9"/>
                <w:szCs w:val="9"/>
                <w:color w:val="auto"/>
              </w:rPr>
            </w:pPr>
          </w:p>
        </w:tc>
        <w:tc>
          <w:tcPr>
            <w:tcW w:w="240" w:type="dxa"/>
            <w:vAlign w:val="bottom"/>
            <w:shd w:val="clear" w:color="auto" w:fill="D8D8D8"/>
          </w:tcPr>
          <w:p>
            <w:pPr>
              <w:spacing w:after="0"/>
              <w:rPr>
                <w:sz w:val="9"/>
                <w:szCs w:val="9"/>
                <w:color w:val="auto"/>
              </w:rPr>
            </w:pPr>
          </w:p>
        </w:tc>
        <w:tc>
          <w:tcPr>
            <w:tcW w:w="1060" w:type="dxa"/>
            <w:vAlign w:val="bottom"/>
            <w:shd w:val="clear" w:color="auto" w:fill="D8D8D8"/>
          </w:tcPr>
          <w:p>
            <w:pPr>
              <w:spacing w:after="0"/>
              <w:rPr>
                <w:sz w:val="9"/>
                <w:szCs w:val="9"/>
                <w:color w:val="auto"/>
              </w:rPr>
            </w:pP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02/15/2017</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4,452</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17.46</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02/15/2027</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9,400</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155,100</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6,180</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101,970</w:t>
            </w: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02/14/2018</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3,480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1,160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16.57</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02/14/2028</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08/05/2020</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1,680</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27,720</w:t>
            </w: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03/01/2019</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2,920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2,920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12.45</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03/01/2029</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03/01/2021</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22,400</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369,600</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33,600</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554,400</w:t>
            </w:r>
          </w:p>
        </w:tc>
      </w:tr>
      <w:tr>
        <w:trPr>
          <w:trHeight w:val="131"/>
        </w:trPr>
        <w:tc>
          <w:tcPr>
            <w:tcW w:w="2140" w:type="dxa"/>
            <w:vAlign w:val="bottom"/>
            <w:shd w:val="clear" w:color="auto" w:fill="D8D8D8"/>
          </w:tcPr>
          <w:p>
            <w:pPr>
              <w:spacing w:after="0"/>
              <w:rPr>
                <w:sz w:val="11"/>
                <w:szCs w:val="11"/>
                <w:color w:val="auto"/>
              </w:rPr>
            </w:pPr>
          </w:p>
        </w:tc>
        <w:tc>
          <w:tcPr>
            <w:tcW w:w="940" w:type="dxa"/>
            <w:vAlign w:val="bottom"/>
            <w:tcBorders>
              <w:right w:val="single" w:sz="8" w:color="D8D8D8"/>
            </w:tcBorders>
            <w:shd w:val="clear" w:color="auto" w:fill="D8D8D8"/>
          </w:tcPr>
          <w:p>
            <w:pPr>
              <w:jc w:val="right"/>
              <w:ind w:right="146"/>
              <w:spacing w:after="0"/>
              <w:rPr>
                <w:sz w:val="20"/>
                <w:szCs w:val="20"/>
                <w:color w:val="auto"/>
              </w:rPr>
            </w:pPr>
            <w:r>
              <w:rPr>
                <w:rFonts w:ascii="Arial" w:cs="Arial" w:eastAsia="Arial" w:hAnsi="Arial"/>
                <w:sz w:val="11"/>
                <w:szCs w:val="11"/>
                <w:color w:val="auto"/>
              </w:rPr>
              <w:t>03/02/2020</w:t>
            </w:r>
          </w:p>
        </w:tc>
        <w:tc>
          <w:tcPr>
            <w:tcW w:w="700" w:type="dxa"/>
            <w:vAlign w:val="bottom"/>
            <w:shd w:val="clear" w:color="auto" w:fill="D8D8D8"/>
          </w:tcPr>
          <w:p>
            <w:pPr>
              <w:jc w:val="right"/>
              <w:ind w:right="146"/>
              <w:spacing w:after="0"/>
              <w:rPr>
                <w:sz w:val="20"/>
                <w:szCs w:val="20"/>
                <w:color w:val="auto"/>
              </w:rPr>
            </w:pPr>
            <w:r>
              <w:rPr>
                <w:rFonts w:ascii="Arial" w:cs="Arial" w:eastAsia="Arial" w:hAnsi="Arial"/>
                <w:sz w:val="11"/>
                <w:szCs w:val="11"/>
                <w:color w:val="auto"/>
              </w:rPr>
              <w:t>0</w:t>
            </w:r>
          </w:p>
        </w:tc>
        <w:tc>
          <w:tcPr>
            <w:tcW w:w="860" w:type="dxa"/>
            <w:vAlign w:val="bottom"/>
            <w:shd w:val="clear" w:color="auto" w:fill="D8D8D8"/>
          </w:tcPr>
          <w:p>
            <w:pPr>
              <w:jc w:val="right"/>
              <w:ind w:right="286"/>
              <w:spacing w:after="0"/>
              <w:rPr>
                <w:sz w:val="20"/>
                <w:szCs w:val="20"/>
                <w:color w:val="auto"/>
              </w:rPr>
            </w:pPr>
            <w:r>
              <w:rPr>
                <w:rFonts w:ascii="Arial" w:cs="Arial" w:eastAsia="Arial" w:hAnsi="Arial"/>
                <w:sz w:val="11"/>
                <w:szCs w:val="11"/>
                <w:color w:val="auto"/>
              </w:rPr>
              <w:t>11,010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rPr>
                <w:sz w:val="20"/>
                <w:szCs w:val="20"/>
                <w:color w:val="auto"/>
              </w:rPr>
            </w:pPr>
            <w:r>
              <w:rPr>
                <w:rFonts w:ascii="Arial" w:cs="Arial" w:eastAsia="Arial" w:hAnsi="Arial"/>
                <w:sz w:val="11"/>
                <w:szCs w:val="11"/>
                <w:color w:val="auto"/>
              </w:rPr>
              <w:t>5.26</w:t>
            </w:r>
          </w:p>
        </w:tc>
        <w:tc>
          <w:tcPr>
            <w:tcW w:w="940" w:type="dxa"/>
            <w:vAlign w:val="bottom"/>
            <w:shd w:val="clear" w:color="auto" w:fill="D8D8D8"/>
          </w:tcPr>
          <w:p>
            <w:pPr>
              <w:ind w:left="220"/>
              <w:spacing w:after="0"/>
              <w:rPr>
                <w:sz w:val="20"/>
                <w:szCs w:val="20"/>
                <w:color w:val="auto"/>
              </w:rPr>
            </w:pPr>
            <w:r>
              <w:rPr>
                <w:rFonts w:ascii="Arial" w:cs="Arial" w:eastAsia="Arial" w:hAnsi="Arial"/>
                <w:sz w:val="11"/>
                <w:szCs w:val="11"/>
                <w:color w:val="auto"/>
              </w:rPr>
              <w:t>03/02/2030</w:t>
            </w:r>
          </w:p>
        </w:tc>
        <w:tc>
          <w:tcPr>
            <w:tcW w:w="900" w:type="dxa"/>
            <w:vAlign w:val="bottom"/>
            <w:tcBorders>
              <w:right w:val="single" w:sz="8" w:color="D8D8D8"/>
            </w:tcBorders>
            <w:shd w:val="clear" w:color="auto" w:fill="D8D8D8"/>
          </w:tcPr>
          <w:p>
            <w:pPr>
              <w:spacing w:after="0"/>
              <w:rPr>
                <w:sz w:val="11"/>
                <w:szCs w:val="11"/>
                <w:color w:val="auto"/>
              </w:rPr>
            </w:pPr>
          </w:p>
        </w:tc>
        <w:tc>
          <w:tcPr>
            <w:tcW w:w="760" w:type="dxa"/>
            <w:vAlign w:val="bottom"/>
            <w:shd w:val="clear" w:color="auto" w:fill="D8D8D8"/>
          </w:tcPr>
          <w:p>
            <w:pPr>
              <w:spacing w:after="0"/>
              <w:rPr>
                <w:sz w:val="11"/>
                <w:szCs w:val="11"/>
                <w:color w:val="auto"/>
              </w:rPr>
            </w:pPr>
          </w:p>
        </w:tc>
        <w:tc>
          <w:tcPr>
            <w:tcW w:w="260" w:type="dxa"/>
            <w:vAlign w:val="bottom"/>
            <w:shd w:val="clear" w:color="auto" w:fill="D8D8D8"/>
          </w:tcPr>
          <w:p>
            <w:pPr>
              <w:spacing w:after="0"/>
              <w:rPr>
                <w:sz w:val="11"/>
                <w:szCs w:val="11"/>
                <w:color w:val="auto"/>
              </w:rPr>
            </w:pPr>
          </w:p>
        </w:tc>
        <w:tc>
          <w:tcPr>
            <w:tcW w:w="780" w:type="dxa"/>
            <w:vAlign w:val="bottom"/>
            <w:shd w:val="clear" w:color="auto" w:fill="D8D8D8"/>
          </w:tcPr>
          <w:p>
            <w:pPr>
              <w:spacing w:after="0"/>
              <w:rPr>
                <w:sz w:val="11"/>
                <w:szCs w:val="11"/>
                <w:color w:val="auto"/>
              </w:rPr>
            </w:pPr>
          </w:p>
        </w:tc>
        <w:tc>
          <w:tcPr>
            <w:tcW w:w="780" w:type="dxa"/>
            <w:vAlign w:val="bottom"/>
            <w:tcBorders>
              <w:right w:val="single" w:sz="8" w:color="D8D8D8"/>
            </w:tcBorders>
            <w:shd w:val="clear" w:color="auto" w:fill="D8D8D8"/>
          </w:tcPr>
          <w:p>
            <w:pPr>
              <w:spacing w:after="0"/>
              <w:rPr>
                <w:sz w:val="11"/>
                <w:szCs w:val="11"/>
                <w:color w:val="auto"/>
              </w:rPr>
            </w:pPr>
          </w:p>
        </w:tc>
        <w:tc>
          <w:tcPr>
            <w:tcW w:w="240" w:type="dxa"/>
            <w:vAlign w:val="bottom"/>
            <w:shd w:val="clear" w:color="auto" w:fill="D8D8D8"/>
          </w:tcPr>
          <w:p>
            <w:pPr>
              <w:spacing w:after="0"/>
              <w:rPr>
                <w:sz w:val="11"/>
                <w:szCs w:val="11"/>
                <w:color w:val="auto"/>
              </w:rPr>
            </w:pPr>
          </w:p>
        </w:tc>
        <w:tc>
          <w:tcPr>
            <w:tcW w:w="1060" w:type="dxa"/>
            <w:vAlign w:val="bottom"/>
            <w:shd w:val="clear" w:color="auto" w:fill="D8D8D8"/>
          </w:tcPr>
          <w:p>
            <w:pPr>
              <w:spacing w:after="0"/>
              <w:rPr>
                <w:sz w:val="11"/>
                <w:szCs w:val="11"/>
                <w:color w:val="auto"/>
              </w:rPr>
            </w:pPr>
          </w:p>
        </w:tc>
      </w:tr>
      <w:tr>
        <w:trPr>
          <w:trHeight w:val="112"/>
        </w:trPr>
        <w:tc>
          <w:tcPr>
            <w:tcW w:w="2140" w:type="dxa"/>
            <w:vAlign w:val="bottom"/>
          </w:tcPr>
          <w:p>
            <w:pPr>
              <w:ind w:left="180"/>
              <w:spacing w:after="0" w:line="112" w:lineRule="exact"/>
              <w:rPr>
                <w:sz w:val="20"/>
                <w:szCs w:val="20"/>
                <w:color w:val="auto"/>
              </w:rPr>
            </w:pPr>
            <w:r>
              <w:rPr>
                <w:rFonts w:ascii="Arial" w:cs="Arial" w:eastAsia="Arial" w:hAnsi="Arial"/>
                <w:sz w:val="11"/>
                <w:szCs w:val="11"/>
                <w:color w:val="auto"/>
              </w:rPr>
              <w:t>K. A. Raketich</w:t>
            </w:r>
          </w:p>
        </w:tc>
        <w:tc>
          <w:tcPr>
            <w:tcW w:w="9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02/09/2012</w:t>
            </w:r>
          </w:p>
        </w:tc>
        <w:tc>
          <w:tcPr>
            <w:tcW w:w="7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800</w:t>
            </w:r>
          </w:p>
        </w:tc>
        <w:tc>
          <w:tcPr>
            <w:tcW w:w="860" w:type="dxa"/>
            <w:vAlign w:val="bottom"/>
          </w:tcPr>
          <w:p>
            <w:pPr>
              <w:jc w:val="right"/>
              <w:ind w:right="286"/>
              <w:spacing w:after="0" w:line="11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line="112" w:lineRule="exact"/>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31.06</w:t>
            </w:r>
          </w:p>
        </w:tc>
        <w:tc>
          <w:tcPr>
            <w:tcW w:w="940" w:type="dxa"/>
            <w:vAlign w:val="bottom"/>
          </w:tcPr>
          <w:p>
            <w:pPr>
              <w:ind w:left="220"/>
              <w:spacing w:after="0" w:line="112" w:lineRule="exact"/>
              <w:rPr>
                <w:sz w:val="20"/>
                <w:szCs w:val="20"/>
                <w:color w:val="auto"/>
              </w:rPr>
            </w:pPr>
            <w:r>
              <w:rPr>
                <w:rFonts w:ascii="Arial" w:cs="Arial" w:eastAsia="Arial" w:hAnsi="Arial"/>
                <w:sz w:val="11"/>
                <w:szCs w:val="11"/>
                <w:color w:val="auto"/>
              </w:rPr>
              <w:t>02/09/2022</w:t>
            </w:r>
          </w:p>
        </w:tc>
        <w:tc>
          <w:tcPr>
            <w:tcW w:w="9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02/14/2018</w:t>
            </w:r>
          </w:p>
        </w:tc>
        <w:tc>
          <w:tcPr>
            <w:tcW w:w="76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10,900</w:t>
            </w:r>
          </w:p>
        </w:tc>
        <w:tc>
          <w:tcPr>
            <w:tcW w:w="260" w:type="dxa"/>
            <w:vAlign w:val="bottom"/>
          </w:tcPr>
          <w:p>
            <w:pPr>
              <w:jc w:val="right"/>
              <w:spacing w:after="0" w:line="11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179,850</w:t>
            </w:r>
          </w:p>
        </w:tc>
        <w:tc>
          <w:tcPr>
            <w:tcW w:w="7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60" w:type="dxa"/>
            <w:vAlign w:val="bottom"/>
          </w:tcPr>
          <w:p>
            <w:pPr>
              <w:spacing w:after="0"/>
              <w:rPr>
                <w:sz w:val="9"/>
                <w:szCs w:val="9"/>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02/07/2013</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800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33.76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02/07/2023</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03/01/2019</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7,000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115,500</w:t>
            </w: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02/13/2014</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720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34.26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02/13/2024</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17,000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280,500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11,100</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183,150</w:t>
            </w:r>
          </w:p>
        </w:tc>
      </w:tr>
      <w:tr>
        <w:trPr>
          <w:trHeight w:val="121"/>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01/29/2015</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3,200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29.00</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01/29/2025</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08/05/2020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3,000</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49,500</w:t>
            </w: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02/17/2016</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8,200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7.46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02/17/2026</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03/01/2021</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12,900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212,850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19,350</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319,275</w:t>
            </w: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02/15/2017</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7,800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17.46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02/15/2027</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02/14/2018</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6,300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2,100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16.57</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02/14/2028</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03/01/2019</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5,300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5,300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12.45</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03/01/2029</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31"/>
        </w:trPr>
        <w:tc>
          <w:tcPr>
            <w:tcW w:w="2140" w:type="dxa"/>
            <w:vAlign w:val="bottom"/>
          </w:tcPr>
          <w:p>
            <w:pPr>
              <w:spacing w:after="0"/>
              <w:rPr>
                <w:sz w:val="11"/>
                <w:szCs w:val="11"/>
                <w:color w:val="auto"/>
              </w:rPr>
            </w:pPr>
          </w:p>
        </w:tc>
        <w:tc>
          <w:tcPr>
            <w:tcW w:w="940" w:type="dxa"/>
            <w:vAlign w:val="bottom"/>
          </w:tcPr>
          <w:p>
            <w:pPr>
              <w:jc w:val="right"/>
              <w:ind w:right="146"/>
              <w:spacing w:after="0"/>
              <w:rPr>
                <w:sz w:val="20"/>
                <w:szCs w:val="20"/>
                <w:color w:val="auto"/>
              </w:rPr>
            </w:pPr>
            <w:r>
              <w:rPr>
                <w:rFonts w:ascii="Arial" w:cs="Arial" w:eastAsia="Arial" w:hAnsi="Arial"/>
                <w:sz w:val="11"/>
                <w:szCs w:val="11"/>
                <w:color w:val="auto"/>
              </w:rPr>
              <w:t>03/02/2020</w:t>
            </w:r>
          </w:p>
        </w:tc>
        <w:tc>
          <w:tcPr>
            <w:tcW w:w="700" w:type="dxa"/>
            <w:vAlign w:val="bottom"/>
          </w:tcPr>
          <w:p>
            <w:pPr>
              <w:jc w:val="right"/>
              <w:ind w:right="146"/>
              <w:spacing w:after="0"/>
              <w:rPr>
                <w:sz w:val="20"/>
                <w:szCs w:val="20"/>
                <w:color w:val="auto"/>
              </w:rPr>
            </w:pPr>
            <w:r>
              <w:rPr>
                <w:rFonts w:ascii="Arial" w:cs="Arial" w:eastAsia="Arial" w:hAnsi="Arial"/>
                <w:sz w:val="11"/>
                <w:szCs w:val="11"/>
                <w:color w:val="auto"/>
              </w:rPr>
              <w:t>6,625</w:t>
            </w:r>
          </w:p>
        </w:tc>
        <w:tc>
          <w:tcPr>
            <w:tcW w:w="860" w:type="dxa"/>
            <w:vAlign w:val="bottom"/>
          </w:tcPr>
          <w:p>
            <w:pPr>
              <w:jc w:val="right"/>
              <w:ind w:right="286"/>
              <w:spacing w:after="0"/>
              <w:rPr>
                <w:sz w:val="20"/>
                <w:szCs w:val="20"/>
                <w:color w:val="auto"/>
              </w:rPr>
            </w:pPr>
            <w:r>
              <w:rPr>
                <w:rFonts w:ascii="Arial" w:cs="Arial" w:eastAsia="Arial" w:hAnsi="Arial"/>
                <w:sz w:val="11"/>
                <w:szCs w:val="11"/>
                <w:color w:val="auto"/>
              </w:rPr>
              <w:t>19,875</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rPr>
                <w:sz w:val="20"/>
                <w:szCs w:val="20"/>
                <w:color w:val="auto"/>
              </w:rPr>
            </w:pPr>
            <w:r>
              <w:rPr>
                <w:rFonts w:ascii="Arial" w:cs="Arial" w:eastAsia="Arial" w:hAnsi="Arial"/>
                <w:sz w:val="11"/>
                <w:szCs w:val="11"/>
                <w:color w:val="auto"/>
              </w:rPr>
              <w:t>5.26</w:t>
            </w:r>
          </w:p>
        </w:tc>
        <w:tc>
          <w:tcPr>
            <w:tcW w:w="940" w:type="dxa"/>
            <w:vAlign w:val="bottom"/>
          </w:tcPr>
          <w:p>
            <w:pPr>
              <w:ind w:left="220"/>
              <w:spacing w:after="0"/>
              <w:rPr>
                <w:sz w:val="20"/>
                <w:szCs w:val="20"/>
                <w:color w:val="auto"/>
              </w:rPr>
            </w:pPr>
            <w:r>
              <w:rPr>
                <w:rFonts w:ascii="Arial" w:cs="Arial" w:eastAsia="Arial" w:hAnsi="Arial"/>
                <w:sz w:val="11"/>
                <w:szCs w:val="11"/>
                <w:color w:val="auto"/>
              </w:rPr>
              <w:t>03/02/2030</w:t>
            </w:r>
          </w:p>
        </w:tc>
        <w:tc>
          <w:tcPr>
            <w:tcW w:w="9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60" w:type="dxa"/>
            <w:vAlign w:val="bottom"/>
          </w:tcPr>
          <w:p>
            <w:pPr>
              <w:spacing w:after="0"/>
              <w:rPr>
                <w:sz w:val="11"/>
                <w:szCs w:val="11"/>
                <w:color w:val="auto"/>
              </w:rPr>
            </w:pPr>
          </w:p>
        </w:tc>
      </w:tr>
      <w:tr>
        <w:trPr>
          <w:trHeight w:val="112"/>
        </w:trPr>
        <w:tc>
          <w:tcPr>
            <w:tcW w:w="2140" w:type="dxa"/>
            <w:vAlign w:val="bottom"/>
            <w:shd w:val="clear" w:color="auto" w:fill="D8D8D8"/>
          </w:tcPr>
          <w:p>
            <w:pPr>
              <w:ind w:left="180"/>
              <w:spacing w:after="0" w:line="112" w:lineRule="exact"/>
              <w:rPr>
                <w:sz w:val="20"/>
                <w:szCs w:val="20"/>
                <w:color w:val="auto"/>
              </w:rPr>
            </w:pPr>
            <w:r>
              <w:rPr>
                <w:rFonts w:ascii="Arial" w:cs="Arial" w:eastAsia="Arial" w:hAnsi="Arial"/>
                <w:sz w:val="11"/>
                <w:szCs w:val="11"/>
                <w:color w:val="auto"/>
              </w:rPr>
              <w:t>W. P. Bryan</w:t>
            </w:r>
            <w:r>
              <w:rPr>
                <w:rFonts w:ascii="Arial" w:cs="Arial" w:eastAsia="Arial" w:hAnsi="Arial"/>
                <w:sz w:val="9"/>
                <w:szCs w:val="9"/>
                <w:color w:val="auto"/>
              </w:rPr>
              <w:t>(3)</w:t>
            </w:r>
          </w:p>
        </w:tc>
        <w:tc>
          <w:tcPr>
            <w:tcW w:w="94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02/09/2012</w:t>
            </w:r>
          </w:p>
        </w:tc>
        <w:tc>
          <w:tcPr>
            <w:tcW w:w="70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1,800</w:t>
            </w:r>
          </w:p>
        </w:tc>
        <w:tc>
          <w:tcPr>
            <w:tcW w:w="860" w:type="dxa"/>
            <w:vAlign w:val="bottom"/>
            <w:shd w:val="clear" w:color="auto" w:fill="D8D8D8"/>
          </w:tcPr>
          <w:p>
            <w:pPr>
              <w:jc w:val="right"/>
              <w:ind w:right="286"/>
              <w:spacing w:after="0" w:line="11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line="112" w:lineRule="exact"/>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31.06</w:t>
            </w:r>
          </w:p>
        </w:tc>
        <w:tc>
          <w:tcPr>
            <w:tcW w:w="940" w:type="dxa"/>
            <w:vAlign w:val="bottom"/>
            <w:shd w:val="clear" w:color="auto" w:fill="D8D8D8"/>
          </w:tcPr>
          <w:p>
            <w:pPr>
              <w:ind w:left="220"/>
              <w:spacing w:after="0" w:line="112" w:lineRule="exact"/>
              <w:rPr>
                <w:sz w:val="20"/>
                <w:szCs w:val="20"/>
                <w:color w:val="auto"/>
              </w:rPr>
            </w:pPr>
            <w:r>
              <w:rPr>
                <w:rFonts w:ascii="Arial" w:cs="Arial" w:eastAsia="Arial" w:hAnsi="Arial"/>
                <w:sz w:val="11"/>
                <w:szCs w:val="11"/>
                <w:color w:val="auto"/>
              </w:rPr>
              <w:t>02/09/2022</w:t>
            </w:r>
          </w:p>
        </w:tc>
        <w:tc>
          <w:tcPr>
            <w:tcW w:w="900" w:type="dxa"/>
            <w:vAlign w:val="bottom"/>
            <w:tcBorders>
              <w:right w:val="single" w:sz="8" w:color="D8D8D8"/>
            </w:tcBorders>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03/01/2019</w:t>
            </w:r>
          </w:p>
        </w:tc>
        <w:tc>
          <w:tcPr>
            <w:tcW w:w="76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8,733</w:t>
            </w:r>
          </w:p>
        </w:tc>
        <w:tc>
          <w:tcPr>
            <w:tcW w:w="260" w:type="dxa"/>
            <w:vAlign w:val="bottom"/>
            <w:shd w:val="clear" w:color="auto" w:fill="D8D8D8"/>
          </w:tcPr>
          <w:p>
            <w:pPr>
              <w:jc w:val="right"/>
              <w:spacing w:after="0" w:line="11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12" w:lineRule="exact"/>
              <w:rPr>
                <w:sz w:val="20"/>
                <w:szCs w:val="20"/>
                <w:color w:val="auto"/>
              </w:rPr>
            </w:pPr>
            <w:r>
              <w:rPr>
                <w:rFonts w:ascii="Arial" w:cs="Arial" w:eastAsia="Arial" w:hAnsi="Arial"/>
                <w:sz w:val="11"/>
                <w:szCs w:val="11"/>
                <w:color w:val="auto"/>
              </w:rPr>
              <w:t>144,095</w:t>
            </w:r>
          </w:p>
        </w:tc>
        <w:tc>
          <w:tcPr>
            <w:tcW w:w="780" w:type="dxa"/>
            <w:vAlign w:val="bottom"/>
            <w:tcBorders>
              <w:right w:val="single" w:sz="8" w:color="D8D8D8"/>
            </w:tcBorders>
            <w:shd w:val="clear" w:color="auto" w:fill="D8D8D8"/>
          </w:tcPr>
          <w:p>
            <w:pPr>
              <w:spacing w:after="0"/>
              <w:rPr>
                <w:sz w:val="9"/>
                <w:szCs w:val="9"/>
                <w:color w:val="auto"/>
              </w:rPr>
            </w:pPr>
          </w:p>
        </w:tc>
        <w:tc>
          <w:tcPr>
            <w:tcW w:w="240" w:type="dxa"/>
            <w:vAlign w:val="bottom"/>
            <w:shd w:val="clear" w:color="auto" w:fill="D8D8D8"/>
          </w:tcPr>
          <w:p>
            <w:pPr>
              <w:spacing w:after="0"/>
              <w:rPr>
                <w:sz w:val="9"/>
                <w:szCs w:val="9"/>
                <w:color w:val="auto"/>
              </w:rPr>
            </w:pPr>
          </w:p>
        </w:tc>
        <w:tc>
          <w:tcPr>
            <w:tcW w:w="1060" w:type="dxa"/>
            <w:vAlign w:val="bottom"/>
            <w:shd w:val="clear" w:color="auto" w:fill="D8D8D8"/>
          </w:tcPr>
          <w:p>
            <w:pPr>
              <w:spacing w:after="0"/>
              <w:rPr>
                <w:sz w:val="9"/>
                <w:szCs w:val="9"/>
                <w:color w:val="auto"/>
              </w:rPr>
            </w:pP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02/07/2013</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1,800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33.76</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02/07/2023</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18,782</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309,903</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13,884</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229,086</w:t>
            </w: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02/13/2014</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1,600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34.26</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02/13/2024</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08/05/2020</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3,825</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63,113</w:t>
            </w: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01/29/2015</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5,500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29.00</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03/01/2021</w:t>
            </w:r>
          </w:p>
        </w:tc>
        <w:tc>
          <w:tcPr>
            <w:tcW w:w="7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8,921</w:t>
            </w:r>
          </w:p>
        </w:tc>
        <w:tc>
          <w:tcPr>
            <w:tcW w:w="26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147,197</w:t>
            </w:r>
          </w:p>
        </w:tc>
        <w:tc>
          <w:tcPr>
            <w:tcW w:w="78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15,675</w:t>
            </w:r>
          </w:p>
        </w:tc>
        <w:tc>
          <w:tcPr>
            <w:tcW w:w="240" w:type="dxa"/>
            <w:vAlign w:val="bottom"/>
            <w:shd w:val="clear" w:color="auto" w:fill="D8D8D8"/>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258,638</w:t>
            </w:r>
          </w:p>
        </w:tc>
      </w:tr>
      <w:tr>
        <w:trPr>
          <w:trHeight w:val="121"/>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02/15/2017</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7,800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17.46</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Borders>
              <w:right w:val="single" w:sz="8" w:color="D8D8D8"/>
            </w:tcBorders>
            <w:shd w:val="clear" w:color="auto" w:fill="D8D8D8"/>
          </w:tcPr>
          <w:p>
            <w:pPr>
              <w:spacing w:after="0"/>
              <w:rPr>
                <w:sz w:val="10"/>
                <w:szCs w:val="10"/>
                <w:color w:val="auto"/>
              </w:rPr>
            </w:pPr>
          </w:p>
        </w:tc>
        <w:tc>
          <w:tcPr>
            <w:tcW w:w="760" w:type="dxa"/>
            <w:vAlign w:val="bottom"/>
            <w:shd w:val="clear" w:color="auto" w:fill="D8D8D8"/>
          </w:tcPr>
          <w:p>
            <w:pPr>
              <w:spacing w:after="0"/>
              <w:rPr>
                <w:sz w:val="10"/>
                <w:szCs w:val="10"/>
                <w:color w:val="auto"/>
              </w:rPr>
            </w:pPr>
          </w:p>
        </w:tc>
        <w:tc>
          <w:tcPr>
            <w:tcW w:w="260" w:type="dxa"/>
            <w:vAlign w:val="bottom"/>
            <w:shd w:val="clear" w:color="auto" w:fill="D8D8D8"/>
          </w:tcPr>
          <w:p>
            <w:pPr>
              <w:spacing w:after="0"/>
              <w:rPr>
                <w:sz w:val="10"/>
                <w:szCs w:val="10"/>
                <w:color w:val="auto"/>
              </w:rPr>
            </w:pPr>
          </w:p>
        </w:tc>
        <w:tc>
          <w:tcPr>
            <w:tcW w:w="780" w:type="dxa"/>
            <w:vAlign w:val="bottom"/>
            <w:shd w:val="clear" w:color="auto" w:fill="D8D8D8"/>
          </w:tcPr>
          <w:p>
            <w:pPr>
              <w:spacing w:after="0"/>
              <w:rPr>
                <w:sz w:val="10"/>
                <w:szCs w:val="10"/>
                <w:color w:val="auto"/>
              </w:rPr>
            </w:pPr>
          </w:p>
        </w:tc>
        <w:tc>
          <w:tcPr>
            <w:tcW w:w="780" w:type="dxa"/>
            <w:vAlign w:val="bottom"/>
            <w:tcBorders>
              <w:right w:val="single" w:sz="8" w:color="D8D8D8"/>
            </w:tcBorders>
            <w:shd w:val="clear" w:color="auto" w:fill="D8D8D8"/>
          </w:tcPr>
          <w:p>
            <w:pPr>
              <w:spacing w:after="0"/>
              <w:rPr>
                <w:sz w:val="10"/>
                <w:szCs w:val="10"/>
                <w:color w:val="auto"/>
              </w:rPr>
            </w:pPr>
          </w:p>
        </w:tc>
        <w:tc>
          <w:tcPr>
            <w:tcW w:w="240" w:type="dxa"/>
            <w:vAlign w:val="bottom"/>
            <w:shd w:val="clear" w:color="auto" w:fill="D8D8D8"/>
          </w:tcPr>
          <w:p>
            <w:pPr>
              <w:spacing w:after="0"/>
              <w:rPr>
                <w:sz w:val="10"/>
                <w:szCs w:val="10"/>
                <w:color w:val="auto"/>
              </w:rPr>
            </w:pPr>
          </w:p>
        </w:tc>
        <w:tc>
          <w:tcPr>
            <w:tcW w:w="1060" w:type="dxa"/>
            <w:vAlign w:val="bottom"/>
            <w:shd w:val="clear" w:color="auto" w:fill="D8D8D8"/>
          </w:tcPr>
          <w:p>
            <w:pPr>
              <w:spacing w:after="0"/>
              <w:rPr>
                <w:sz w:val="10"/>
                <w:szCs w:val="10"/>
                <w:color w:val="auto"/>
              </w:rPr>
            </w:pPr>
          </w:p>
        </w:tc>
      </w:tr>
      <w:tr>
        <w:trPr>
          <w:trHeight w:val="122"/>
        </w:trPr>
        <w:tc>
          <w:tcPr>
            <w:tcW w:w="2140" w:type="dxa"/>
            <w:vAlign w:val="bottom"/>
            <w:shd w:val="clear" w:color="auto" w:fill="D8D8D8"/>
          </w:tcPr>
          <w:p>
            <w:pPr>
              <w:spacing w:after="0"/>
              <w:rPr>
                <w:sz w:val="10"/>
                <w:szCs w:val="10"/>
                <w:color w:val="auto"/>
              </w:rPr>
            </w:pPr>
          </w:p>
        </w:tc>
        <w:tc>
          <w:tcPr>
            <w:tcW w:w="9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02/14/2018</w:t>
            </w:r>
          </w:p>
        </w:tc>
        <w:tc>
          <w:tcPr>
            <w:tcW w:w="700" w:type="dxa"/>
            <w:vAlign w:val="bottom"/>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11,100</w:t>
            </w:r>
          </w:p>
        </w:tc>
        <w:tc>
          <w:tcPr>
            <w:tcW w:w="860" w:type="dxa"/>
            <w:vAlign w:val="bottom"/>
            <w:shd w:val="clear" w:color="auto" w:fill="D8D8D8"/>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line="122" w:lineRule="exact"/>
              <w:rPr>
                <w:sz w:val="20"/>
                <w:szCs w:val="20"/>
                <w:color w:val="auto"/>
              </w:rPr>
            </w:pPr>
            <w:r>
              <w:rPr>
                <w:rFonts w:ascii="Arial" w:cs="Arial" w:eastAsia="Arial" w:hAnsi="Arial"/>
                <w:sz w:val="11"/>
                <w:szCs w:val="11"/>
                <w:color w:val="auto"/>
              </w:rPr>
              <w:t>16.57</w:t>
            </w:r>
          </w:p>
        </w:tc>
        <w:tc>
          <w:tcPr>
            <w:tcW w:w="940" w:type="dxa"/>
            <w:vAlign w:val="bottom"/>
            <w:shd w:val="clear" w:color="auto" w:fill="D8D8D8"/>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Borders>
              <w:right w:val="single" w:sz="8" w:color="D8D8D8"/>
            </w:tcBorders>
            <w:shd w:val="clear" w:color="auto" w:fill="D8D8D8"/>
          </w:tcPr>
          <w:p>
            <w:pPr>
              <w:spacing w:after="0"/>
              <w:rPr>
                <w:sz w:val="10"/>
                <w:szCs w:val="10"/>
                <w:color w:val="auto"/>
              </w:rPr>
            </w:pPr>
          </w:p>
        </w:tc>
        <w:tc>
          <w:tcPr>
            <w:tcW w:w="760" w:type="dxa"/>
            <w:vAlign w:val="bottom"/>
            <w:shd w:val="clear" w:color="auto" w:fill="D8D8D8"/>
          </w:tcPr>
          <w:p>
            <w:pPr>
              <w:spacing w:after="0"/>
              <w:rPr>
                <w:sz w:val="10"/>
                <w:szCs w:val="10"/>
                <w:color w:val="auto"/>
              </w:rPr>
            </w:pPr>
          </w:p>
        </w:tc>
        <w:tc>
          <w:tcPr>
            <w:tcW w:w="260" w:type="dxa"/>
            <w:vAlign w:val="bottom"/>
            <w:shd w:val="clear" w:color="auto" w:fill="D8D8D8"/>
          </w:tcPr>
          <w:p>
            <w:pPr>
              <w:spacing w:after="0"/>
              <w:rPr>
                <w:sz w:val="10"/>
                <w:szCs w:val="10"/>
                <w:color w:val="auto"/>
              </w:rPr>
            </w:pPr>
          </w:p>
        </w:tc>
        <w:tc>
          <w:tcPr>
            <w:tcW w:w="780" w:type="dxa"/>
            <w:vAlign w:val="bottom"/>
            <w:shd w:val="clear" w:color="auto" w:fill="D8D8D8"/>
          </w:tcPr>
          <w:p>
            <w:pPr>
              <w:spacing w:after="0"/>
              <w:rPr>
                <w:sz w:val="10"/>
                <w:szCs w:val="10"/>
                <w:color w:val="auto"/>
              </w:rPr>
            </w:pPr>
          </w:p>
        </w:tc>
        <w:tc>
          <w:tcPr>
            <w:tcW w:w="780" w:type="dxa"/>
            <w:vAlign w:val="bottom"/>
            <w:tcBorders>
              <w:right w:val="single" w:sz="8" w:color="D8D8D8"/>
            </w:tcBorders>
            <w:shd w:val="clear" w:color="auto" w:fill="D8D8D8"/>
          </w:tcPr>
          <w:p>
            <w:pPr>
              <w:spacing w:after="0"/>
              <w:rPr>
                <w:sz w:val="10"/>
                <w:szCs w:val="10"/>
                <w:color w:val="auto"/>
              </w:rPr>
            </w:pPr>
          </w:p>
        </w:tc>
        <w:tc>
          <w:tcPr>
            <w:tcW w:w="240" w:type="dxa"/>
            <w:vAlign w:val="bottom"/>
            <w:shd w:val="clear" w:color="auto" w:fill="D8D8D8"/>
          </w:tcPr>
          <w:p>
            <w:pPr>
              <w:spacing w:after="0"/>
              <w:rPr>
                <w:sz w:val="10"/>
                <w:szCs w:val="10"/>
                <w:color w:val="auto"/>
              </w:rPr>
            </w:pPr>
          </w:p>
        </w:tc>
        <w:tc>
          <w:tcPr>
            <w:tcW w:w="1060" w:type="dxa"/>
            <w:vAlign w:val="bottom"/>
            <w:shd w:val="clear" w:color="auto" w:fill="D8D8D8"/>
          </w:tcPr>
          <w:p>
            <w:pPr>
              <w:spacing w:after="0"/>
              <w:rPr>
                <w:sz w:val="10"/>
                <w:szCs w:val="10"/>
                <w:color w:val="auto"/>
              </w:rPr>
            </w:pPr>
          </w:p>
        </w:tc>
      </w:tr>
      <w:tr>
        <w:trPr>
          <w:trHeight w:val="131"/>
        </w:trPr>
        <w:tc>
          <w:tcPr>
            <w:tcW w:w="2140" w:type="dxa"/>
            <w:vAlign w:val="bottom"/>
            <w:shd w:val="clear" w:color="auto" w:fill="D8D8D8"/>
          </w:tcPr>
          <w:p>
            <w:pPr>
              <w:spacing w:after="0"/>
              <w:rPr>
                <w:sz w:val="11"/>
                <w:szCs w:val="11"/>
                <w:color w:val="auto"/>
              </w:rPr>
            </w:pPr>
          </w:p>
        </w:tc>
        <w:tc>
          <w:tcPr>
            <w:tcW w:w="940" w:type="dxa"/>
            <w:vAlign w:val="bottom"/>
            <w:tcBorders>
              <w:right w:val="single" w:sz="8" w:color="D8D8D8"/>
            </w:tcBorders>
            <w:shd w:val="clear" w:color="auto" w:fill="D8D8D8"/>
          </w:tcPr>
          <w:p>
            <w:pPr>
              <w:jc w:val="right"/>
              <w:ind w:right="146"/>
              <w:spacing w:after="0"/>
              <w:rPr>
                <w:sz w:val="20"/>
                <w:szCs w:val="20"/>
                <w:color w:val="auto"/>
              </w:rPr>
            </w:pPr>
            <w:r>
              <w:rPr>
                <w:rFonts w:ascii="Arial" w:cs="Arial" w:eastAsia="Arial" w:hAnsi="Arial"/>
                <w:sz w:val="11"/>
                <w:szCs w:val="11"/>
                <w:color w:val="auto"/>
              </w:rPr>
              <w:t>03/01/2019</w:t>
            </w:r>
          </w:p>
        </w:tc>
        <w:tc>
          <w:tcPr>
            <w:tcW w:w="700" w:type="dxa"/>
            <w:vAlign w:val="bottom"/>
            <w:shd w:val="clear" w:color="auto" w:fill="D8D8D8"/>
          </w:tcPr>
          <w:p>
            <w:pPr>
              <w:jc w:val="right"/>
              <w:ind w:right="146"/>
              <w:spacing w:after="0"/>
              <w:rPr>
                <w:sz w:val="20"/>
                <w:szCs w:val="20"/>
                <w:color w:val="auto"/>
              </w:rPr>
            </w:pPr>
            <w:r>
              <w:rPr>
                <w:rFonts w:ascii="Arial" w:cs="Arial" w:eastAsia="Arial" w:hAnsi="Arial"/>
                <w:sz w:val="11"/>
                <w:szCs w:val="11"/>
                <w:color w:val="auto"/>
              </w:rPr>
              <w:t>10,500</w:t>
            </w:r>
          </w:p>
        </w:tc>
        <w:tc>
          <w:tcPr>
            <w:tcW w:w="860" w:type="dxa"/>
            <w:vAlign w:val="bottom"/>
            <w:shd w:val="clear" w:color="auto" w:fill="D8D8D8"/>
          </w:tcPr>
          <w:p>
            <w:pPr>
              <w:jc w:val="right"/>
              <w:ind w:right="286"/>
              <w:spacing w:after="0"/>
              <w:rPr>
                <w:sz w:val="20"/>
                <w:szCs w:val="20"/>
                <w:color w:val="auto"/>
              </w:rPr>
            </w:pPr>
            <w:r>
              <w:rPr>
                <w:rFonts w:ascii="Arial" w:cs="Arial" w:eastAsia="Arial" w:hAnsi="Arial"/>
                <w:sz w:val="11"/>
                <w:szCs w:val="11"/>
                <w:color w:val="auto"/>
              </w:rPr>
              <w:t>0</w:t>
            </w:r>
          </w:p>
        </w:tc>
        <w:tc>
          <w:tcPr>
            <w:tcW w:w="120" w:type="dxa"/>
            <w:vAlign w:val="bottom"/>
            <w:shd w:val="clear" w:color="auto" w:fill="D8D8D8"/>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Borders>
              <w:right w:val="single" w:sz="8" w:color="D8D8D8"/>
            </w:tcBorders>
            <w:shd w:val="clear" w:color="auto" w:fill="D8D8D8"/>
          </w:tcPr>
          <w:p>
            <w:pPr>
              <w:jc w:val="right"/>
              <w:ind w:right="146"/>
              <w:spacing w:after="0"/>
              <w:rPr>
                <w:sz w:val="20"/>
                <w:szCs w:val="20"/>
                <w:color w:val="auto"/>
              </w:rPr>
            </w:pPr>
            <w:r>
              <w:rPr>
                <w:rFonts w:ascii="Arial" w:cs="Arial" w:eastAsia="Arial" w:hAnsi="Arial"/>
                <w:sz w:val="11"/>
                <w:szCs w:val="11"/>
                <w:color w:val="auto"/>
              </w:rPr>
              <w:t>12.45</w:t>
            </w:r>
          </w:p>
        </w:tc>
        <w:tc>
          <w:tcPr>
            <w:tcW w:w="940" w:type="dxa"/>
            <w:vAlign w:val="bottom"/>
            <w:shd w:val="clear" w:color="auto" w:fill="D8D8D8"/>
          </w:tcPr>
          <w:p>
            <w:pPr>
              <w:ind w:left="220"/>
              <w:spacing w:after="0"/>
              <w:rPr>
                <w:sz w:val="20"/>
                <w:szCs w:val="20"/>
                <w:color w:val="auto"/>
              </w:rPr>
            </w:pPr>
            <w:r>
              <w:rPr>
                <w:rFonts w:ascii="Arial" w:cs="Arial" w:eastAsia="Arial" w:hAnsi="Arial"/>
                <w:sz w:val="11"/>
                <w:szCs w:val="11"/>
                <w:color w:val="auto"/>
              </w:rPr>
              <w:t>05/07/2024</w:t>
            </w:r>
          </w:p>
        </w:tc>
        <w:tc>
          <w:tcPr>
            <w:tcW w:w="900" w:type="dxa"/>
            <w:vAlign w:val="bottom"/>
            <w:tcBorders>
              <w:right w:val="single" w:sz="8" w:color="D8D8D8"/>
            </w:tcBorders>
            <w:shd w:val="clear" w:color="auto" w:fill="D8D8D8"/>
          </w:tcPr>
          <w:p>
            <w:pPr>
              <w:spacing w:after="0"/>
              <w:rPr>
                <w:sz w:val="11"/>
                <w:szCs w:val="11"/>
                <w:color w:val="auto"/>
              </w:rPr>
            </w:pPr>
          </w:p>
        </w:tc>
        <w:tc>
          <w:tcPr>
            <w:tcW w:w="760" w:type="dxa"/>
            <w:vAlign w:val="bottom"/>
            <w:shd w:val="clear" w:color="auto" w:fill="D8D8D8"/>
          </w:tcPr>
          <w:p>
            <w:pPr>
              <w:spacing w:after="0"/>
              <w:rPr>
                <w:sz w:val="11"/>
                <w:szCs w:val="11"/>
                <w:color w:val="auto"/>
              </w:rPr>
            </w:pPr>
          </w:p>
        </w:tc>
        <w:tc>
          <w:tcPr>
            <w:tcW w:w="260" w:type="dxa"/>
            <w:vAlign w:val="bottom"/>
            <w:shd w:val="clear" w:color="auto" w:fill="D8D8D8"/>
          </w:tcPr>
          <w:p>
            <w:pPr>
              <w:spacing w:after="0"/>
              <w:rPr>
                <w:sz w:val="11"/>
                <w:szCs w:val="11"/>
                <w:color w:val="auto"/>
              </w:rPr>
            </w:pPr>
          </w:p>
        </w:tc>
        <w:tc>
          <w:tcPr>
            <w:tcW w:w="780" w:type="dxa"/>
            <w:vAlign w:val="bottom"/>
            <w:shd w:val="clear" w:color="auto" w:fill="D8D8D8"/>
          </w:tcPr>
          <w:p>
            <w:pPr>
              <w:spacing w:after="0"/>
              <w:rPr>
                <w:sz w:val="11"/>
                <w:szCs w:val="11"/>
                <w:color w:val="auto"/>
              </w:rPr>
            </w:pPr>
          </w:p>
        </w:tc>
        <w:tc>
          <w:tcPr>
            <w:tcW w:w="780" w:type="dxa"/>
            <w:vAlign w:val="bottom"/>
            <w:tcBorders>
              <w:right w:val="single" w:sz="8" w:color="D8D8D8"/>
            </w:tcBorders>
            <w:shd w:val="clear" w:color="auto" w:fill="D8D8D8"/>
          </w:tcPr>
          <w:p>
            <w:pPr>
              <w:spacing w:after="0"/>
              <w:rPr>
                <w:sz w:val="11"/>
                <w:szCs w:val="11"/>
                <w:color w:val="auto"/>
              </w:rPr>
            </w:pPr>
          </w:p>
        </w:tc>
        <w:tc>
          <w:tcPr>
            <w:tcW w:w="240" w:type="dxa"/>
            <w:vAlign w:val="bottom"/>
            <w:shd w:val="clear" w:color="auto" w:fill="D8D8D8"/>
          </w:tcPr>
          <w:p>
            <w:pPr>
              <w:spacing w:after="0"/>
              <w:rPr>
                <w:sz w:val="11"/>
                <w:szCs w:val="11"/>
                <w:color w:val="auto"/>
              </w:rPr>
            </w:pPr>
          </w:p>
        </w:tc>
        <w:tc>
          <w:tcPr>
            <w:tcW w:w="1060" w:type="dxa"/>
            <w:vAlign w:val="bottom"/>
            <w:shd w:val="clear" w:color="auto" w:fill="D8D8D8"/>
          </w:tcPr>
          <w:p>
            <w:pPr>
              <w:spacing w:after="0"/>
              <w:rPr>
                <w:sz w:val="11"/>
                <w:szCs w:val="11"/>
                <w:color w:val="auto"/>
              </w:rPr>
            </w:pPr>
          </w:p>
        </w:tc>
      </w:tr>
      <w:tr>
        <w:trPr>
          <w:trHeight w:val="112"/>
        </w:trPr>
        <w:tc>
          <w:tcPr>
            <w:tcW w:w="2140" w:type="dxa"/>
            <w:vAlign w:val="bottom"/>
          </w:tcPr>
          <w:p>
            <w:pPr>
              <w:ind w:left="180"/>
              <w:spacing w:after="0" w:line="112" w:lineRule="exact"/>
              <w:rPr>
                <w:sz w:val="20"/>
                <w:szCs w:val="20"/>
                <w:color w:val="auto"/>
              </w:rPr>
            </w:pPr>
            <w:r>
              <w:rPr>
                <w:rFonts w:ascii="Arial" w:cs="Arial" w:eastAsia="Arial" w:hAnsi="Arial"/>
                <w:sz w:val="11"/>
                <w:szCs w:val="11"/>
                <w:color w:val="auto"/>
              </w:rPr>
              <w:t>T. D. Moline</w:t>
            </w:r>
            <w:r>
              <w:rPr>
                <w:rFonts w:ascii="Arial" w:cs="Arial" w:eastAsia="Arial" w:hAnsi="Arial"/>
                <w:sz w:val="9"/>
                <w:szCs w:val="9"/>
                <w:color w:val="auto"/>
              </w:rPr>
              <w:t>(3)</w:t>
            </w:r>
          </w:p>
        </w:tc>
        <w:tc>
          <w:tcPr>
            <w:tcW w:w="9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02/09/2012</w:t>
            </w:r>
          </w:p>
        </w:tc>
        <w:tc>
          <w:tcPr>
            <w:tcW w:w="7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2,150</w:t>
            </w:r>
          </w:p>
        </w:tc>
        <w:tc>
          <w:tcPr>
            <w:tcW w:w="860" w:type="dxa"/>
            <w:vAlign w:val="bottom"/>
          </w:tcPr>
          <w:p>
            <w:pPr>
              <w:jc w:val="right"/>
              <w:ind w:right="286"/>
              <w:spacing w:after="0" w:line="11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line="112" w:lineRule="exact"/>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31.06</w:t>
            </w:r>
          </w:p>
        </w:tc>
        <w:tc>
          <w:tcPr>
            <w:tcW w:w="940" w:type="dxa"/>
            <w:vAlign w:val="bottom"/>
          </w:tcPr>
          <w:p>
            <w:pPr>
              <w:ind w:left="220"/>
              <w:spacing w:after="0" w:line="112" w:lineRule="exact"/>
              <w:rPr>
                <w:sz w:val="20"/>
                <w:szCs w:val="20"/>
                <w:color w:val="auto"/>
              </w:rPr>
            </w:pPr>
            <w:r>
              <w:rPr>
                <w:rFonts w:ascii="Arial" w:cs="Arial" w:eastAsia="Arial" w:hAnsi="Arial"/>
                <w:sz w:val="11"/>
                <w:szCs w:val="11"/>
                <w:color w:val="auto"/>
              </w:rPr>
              <w:t>02/09/2022</w:t>
            </w:r>
          </w:p>
        </w:tc>
        <w:tc>
          <w:tcPr>
            <w:tcW w:w="90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03/01/2019</w:t>
            </w:r>
          </w:p>
        </w:tc>
        <w:tc>
          <w:tcPr>
            <w:tcW w:w="76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8,733</w:t>
            </w:r>
          </w:p>
        </w:tc>
        <w:tc>
          <w:tcPr>
            <w:tcW w:w="260" w:type="dxa"/>
            <w:vAlign w:val="bottom"/>
          </w:tcPr>
          <w:p>
            <w:pPr>
              <w:jc w:val="right"/>
              <w:spacing w:after="0" w:line="11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12" w:lineRule="exact"/>
              <w:rPr>
                <w:sz w:val="20"/>
                <w:szCs w:val="20"/>
                <w:color w:val="auto"/>
              </w:rPr>
            </w:pPr>
            <w:r>
              <w:rPr>
                <w:rFonts w:ascii="Arial" w:cs="Arial" w:eastAsia="Arial" w:hAnsi="Arial"/>
                <w:sz w:val="11"/>
                <w:szCs w:val="11"/>
                <w:color w:val="auto"/>
              </w:rPr>
              <w:t>144,095</w:t>
            </w:r>
          </w:p>
        </w:tc>
        <w:tc>
          <w:tcPr>
            <w:tcW w:w="7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60" w:type="dxa"/>
            <w:vAlign w:val="bottom"/>
          </w:tcPr>
          <w:p>
            <w:pPr>
              <w:spacing w:after="0"/>
              <w:rPr>
                <w:sz w:val="9"/>
                <w:szCs w:val="9"/>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02/07/2013</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2,250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33.76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02/07/2023</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03/02/2020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18,782</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309,903</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13,884</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229,086</w:t>
            </w: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02/13/2014</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1,750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34.26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02/13/2024</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08/05/2020</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3,825</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63,113</w:t>
            </w:r>
          </w:p>
        </w:tc>
      </w:tr>
      <w:tr>
        <w:trPr>
          <w:trHeight w:val="121"/>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01/29/2015</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5,500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29.00</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03/01/2021</w:t>
            </w:r>
          </w:p>
        </w:tc>
        <w:tc>
          <w:tcPr>
            <w:tcW w:w="7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8,921</w:t>
            </w:r>
          </w:p>
        </w:tc>
        <w:tc>
          <w:tcPr>
            <w:tcW w:w="26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147,197</w:t>
            </w:r>
          </w:p>
        </w:tc>
        <w:tc>
          <w:tcPr>
            <w:tcW w:w="78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15,675</w:t>
            </w:r>
          </w:p>
        </w:tc>
        <w:tc>
          <w:tcPr>
            <w:tcW w:w="240" w:type="dxa"/>
            <w:vAlign w:val="bottom"/>
          </w:tcPr>
          <w:p>
            <w:pPr>
              <w:jc w:val="right"/>
              <w:spacing w:after="0" w:line="122" w:lineRule="exact"/>
              <w:rPr>
                <w:sz w:val="20"/>
                <w:szCs w:val="20"/>
                <w:color w:val="auto"/>
              </w:rPr>
            </w:pPr>
            <w:r>
              <w:rPr>
                <w:rFonts w:ascii="Arial" w:cs="Arial" w:eastAsia="Arial" w:hAnsi="Arial"/>
                <w:sz w:val="11"/>
                <w:szCs w:val="11"/>
                <w:color w:val="auto"/>
              </w:rPr>
              <w:t>$</w:t>
            </w:r>
          </w:p>
        </w:tc>
        <w:tc>
          <w:tcPr>
            <w:tcW w:w="106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258,638</w:t>
            </w: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02/17/2016</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15,625</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7.46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1"/>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02/15/2017</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10,400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17.46</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2"/>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02/14/2018</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11,100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16.57</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21"/>
        </w:trPr>
        <w:tc>
          <w:tcPr>
            <w:tcW w:w="2140" w:type="dxa"/>
            <w:vAlign w:val="bottom"/>
          </w:tcPr>
          <w:p>
            <w:pPr>
              <w:spacing w:after="0"/>
              <w:rPr>
                <w:sz w:val="10"/>
                <w:szCs w:val="10"/>
                <w:color w:val="auto"/>
              </w:rPr>
            </w:pPr>
          </w:p>
        </w:tc>
        <w:tc>
          <w:tcPr>
            <w:tcW w:w="9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03/01/2019</w:t>
            </w:r>
          </w:p>
        </w:tc>
        <w:tc>
          <w:tcPr>
            <w:tcW w:w="70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10,500</w:t>
            </w:r>
          </w:p>
        </w:tc>
        <w:tc>
          <w:tcPr>
            <w:tcW w:w="860" w:type="dxa"/>
            <w:vAlign w:val="bottom"/>
          </w:tcPr>
          <w:p>
            <w:pPr>
              <w:jc w:val="right"/>
              <w:ind w:right="286"/>
              <w:spacing w:after="0" w:line="122" w:lineRule="exact"/>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line="122" w:lineRule="exact"/>
              <w:rPr>
                <w:sz w:val="20"/>
                <w:szCs w:val="20"/>
                <w:color w:val="auto"/>
              </w:rPr>
            </w:pPr>
            <w:r>
              <w:rPr>
                <w:rFonts w:ascii="Arial" w:cs="Arial" w:eastAsia="Arial" w:hAnsi="Arial"/>
                <w:sz w:val="11"/>
                <w:szCs w:val="11"/>
                <w:color w:val="auto"/>
              </w:rPr>
              <w:t>12.45</w:t>
            </w:r>
          </w:p>
        </w:tc>
        <w:tc>
          <w:tcPr>
            <w:tcW w:w="940" w:type="dxa"/>
            <w:vAlign w:val="bottom"/>
          </w:tcPr>
          <w:p>
            <w:pPr>
              <w:ind w:left="220"/>
              <w:spacing w:after="0" w:line="122" w:lineRule="exact"/>
              <w:rPr>
                <w:sz w:val="20"/>
                <w:szCs w:val="20"/>
                <w:color w:val="auto"/>
              </w:rPr>
            </w:pPr>
            <w:r>
              <w:rPr>
                <w:rFonts w:ascii="Arial" w:cs="Arial" w:eastAsia="Arial" w:hAnsi="Arial"/>
                <w:sz w:val="11"/>
                <w:szCs w:val="11"/>
                <w:color w:val="auto"/>
              </w:rPr>
              <w:t>05/07/2024</w:t>
            </w:r>
          </w:p>
        </w:tc>
        <w:tc>
          <w:tcPr>
            <w:tcW w:w="9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60" w:type="dxa"/>
            <w:vAlign w:val="bottom"/>
          </w:tcPr>
          <w:p>
            <w:pPr>
              <w:spacing w:after="0"/>
              <w:rPr>
                <w:sz w:val="10"/>
                <w:szCs w:val="10"/>
                <w:color w:val="auto"/>
              </w:rPr>
            </w:pPr>
          </w:p>
        </w:tc>
      </w:tr>
      <w:tr>
        <w:trPr>
          <w:trHeight w:val="136"/>
        </w:trPr>
        <w:tc>
          <w:tcPr>
            <w:tcW w:w="2140" w:type="dxa"/>
            <w:vAlign w:val="bottom"/>
          </w:tcPr>
          <w:p>
            <w:pPr>
              <w:spacing w:after="0"/>
              <w:rPr>
                <w:sz w:val="11"/>
                <w:szCs w:val="11"/>
                <w:color w:val="auto"/>
              </w:rPr>
            </w:pPr>
          </w:p>
        </w:tc>
        <w:tc>
          <w:tcPr>
            <w:tcW w:w="940" w:type="dxa"/>
            <w:vAlign w:val="bottom"/>
          </w:tcPr>
          <w:p>
            <w:pPr>
              <w:jc w:val="right"/>
              <w:ind w:right="146"/>
              <w:spacing w:after="0"/>
              <w:rPr>
                <w:sz w:val="20"/>
                <w:szCs w:val="20"/>
                <w:color w:val="auto"/>
              </w:rPr>
            </w:pPr>
            <w:r>
              <w:rPr>
                <w:rFonts w:ascii="Arial" w:cs="Arial" w:eastAsia="Arial" w:hAnsi="Arial"/>
                <w:sz w:val="11"/>
                <w:szCs w:val="11"/>
                <w:color w:val="auto"/>
              </w:rPr>
              <w:t>03/02/2020</w:t>
            </w:r>
          </w:p>
        </w:tc>
        <w:tc>
          <w:tcPr>
            <w:tcW w:w="700" w:type="dxa"/>
            <w:vAlign w:val="bottom"/>
          </w:tcPr>
          <w:p>
            <w:pPr>
              <w:jc w:val="right"/>
              <w:ind w:right="146"/>
              <w:spacing w:after="0"/>
              <w:rPr>
                <w:sz w:val="20"/>
                <w:szCs w:val="20"/>
                <w:color w:val="auto"/>
              </w:rPr>
            </w:pPr>
            <w:r>
              <w:rPr>
                <w:rFonts w:ascii="Arial" w:cs="Arial" w:eastAsia="Arial" w:hAnsi="Arial"/>
                <w:sz w:val="11"/>
                <w:szCs w:val="11"/>
                <w:color w:val="auto"/>
              </w:rPr>
              <w:t>17,550</w:t>
            </w:r>
          </w:p>
        </w:tc>
        <w:tc>
          <w:tcPr>
            <w:tcW w:w="860" w:type="dxa"/>
            <w:vAlign w:val="bottom"/>
          </w:tcPr>
          <w:p>
            <w:pPr>
              <w:jc w:val="right"/>
              <w:ind w:right="286"/>
              <w:spacing w:after="0"/>
              <w:rPr>
                <w:sz w:val="20"/>
                <w:szCs w:val="20"/>
                <w:color w:val="auto"/>
              </w:rPr>
            </w:pPr>
            <w:r>
              <w:rPr>
                <w:rFonts w:ascii="Arial" w:cs="Arial" w:eastAsia="Arial" w:hAnsi="Arial"/>
                <w:sz w:val="11"/>
                <w:szCs w:val="11"/>
                <w:color w:val="auto"/>
              </w:rPr>
              <w:t>0</w:t>
            </w:r>
          </w:p>
        </w:tc>
        <w:tc>
          <w:tcPr>
            <w:tcW w:w="120" w:type="dxa"/>
            <w:vAlign w:val="bottom"/>
          </w:tcPr>
          <w:p>
            <w:pPr>
              <w:ind w:left="60"/>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ind w:right="146"/>
              <w:spacing w:after="0"/>
              <w:rPr>
                <w:sz w:val="20"/>
                <w:szCs w:val="20"/>
                <w:color w:val="auto"/>
              </w:rPr>
            </w:pPr>
            <w:r>
              <w:rPr>
                <w:rFonts w:ascii="Arial" w:cs="Arial" w:eastAsia="Arial" w:hAnsi="Arial"/>
                <w:sz w:val="11"/>
                <w:szCs w:val="11"/>
                <w:color w:val="auto"/>
              </w:rPr>
              <w:t>5.26</w:t>
            </w:r>
          </w:p>
        </w:tc>
        <w:tc>
          <w:tcPr>
            <w:tcW w:w="940" w:type="dxa"/>
            <w:vAlign w:val="bottom"/>
          </w:tcPr>
          <w:p>
            <w:pPr>
              <w:ind w:left="220"/>
              <w:spacing w:after="0"/>
              <w:rPr>
                <w:sz w:val="20"/>
                <w:szCs w:val="20"/>
                <w:color w:val="auto"/>
              </w:rPr>
            </w:pPr>
            <w:r>
              <w:rPr>
                <w:rFonts w:ascii="Arial" w:cs="Arial" w:eastAsia="Arial" w:hAnsi="Arial"/>
                <w:sz w:val="11"/>
                <w:szCs w:val="11"/>
                <w:color w:val="auto"/>
              </w:rPr>
              <w:t>05/07/2024</w:t>
            </w:r>
          </w:p>
        </w:tc>
        <w:tc>
          <w:tcPr>
            <w:tcW w:w="9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60" w:type="dxa"/>
            <w:vAlign w:val="bottom"/>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1436370</wp:posOffset>
            </wp:positionH>
            <wp:positionV relativeFrom="paragraph">
              <wp:posOffset>-3336925</wp:posOffset>
            </wp:positionV>
            <wp:extent cx="8890" cy="63436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8890" cy="634365"/>
                    </a:xfrm>
                    <a:prstGeom prst="rect">
                      <a:avLst/>
                    </a:prstGeom>
                    <a:noFill/>
                  </pic:spPr>
                </pic:pic>
              </a:graphicData>
            </a:graphic>
          </wp:anchor>
        </w:drawing>
      </w:r>
    </w:p>
    <w:p>
      <w:pPr>
        <w:spacing w:after="0" w:line="78" w:lineRule="exact"/>
        <w:rPr>
          <w:sz w:val="20"/>
          <w:szCs w:val="20"/>
          <w:color w:val="auto"/>
        </w:rPr>
      </w:pPr>
    </w:p>
    <w:p>
      <w:pPr>
        <w:ind w:left="540" w:right="220" w:hanging="424"/>
        <w:spacing w:after="0" w:line="253" w:lineRule="auto"/>
        <w:tabs>
          <w:tab w:leader="none" w:pos="540" w:val="left"/>
        </w:tabs>
        <w:numPr>
          <w:ilvl w:val="0"/>
          <w:numId w:val="61"/>
        </w:numPr>
        <w:rPr>
          <w:rFonts w:ascii="Arial" w:cs="Arial" w:eastAsia="Arial" w:hAnsi="Arial"/>
          <w:sz w:val="12"/>
          <w:szCs w:val="12"/>
          <w:color w:val="auto"/>
        </w:rPr>
      </w:pPr>
      <w:r>
        <w:rPr>
          <w:rFonts w:ascii="Arial" w:cs="Arial" w:eastAsia="Arial" w:hAnsi="Arial"/>
          <w:sz w:val="14"/>
          <w:szCs w:val="14"/>
          <w:color w:val="auto"/>
        </w:rPr>
        <w:t>All option awards reported in this table are nonqualified stock options that generally vest ratably 25 percent per year over the four-year period from the date of grant. There were no stock options granted in 2021.</w:t>
      </w:r>
    </w:p>
    <w:p>
      <w:pPr>
        <w:spacing w:after="0" w:line="79" w:lineRule="exact"/>
        <w:rPr>
          <w:rFonts w:ascii="Arial" w:cs="Arial" w:eastAsia="Arial" w:hAnsi="Arial"/>
          <w:sz w:val="12"/>
          <w:szCs w:val="12"/>
          <w:color w:val="auto"/>
        </w:rPr>
      </w:pPr>
    </w:p>
    <w:p>
      <w:pPr>
        <w:ind w:left="540" w:hanging="424"/>
        <w:spacing w:after="0"/>
        <w:tabs>
          <w:tab w:leader="none" w:pos="540" w:val="left"/>
        </w:tabs>
        <w:numPr>
          <w:ilvl w:val="0"/>
          <w:numId w:val="61"/>
        </w:numPr>
        <w:rPr>
          <w:rFonts w:ascii="Arial" w:cs="Arial" w:eastAsia="Arial" w:hAnsi="Arial"/>
          <w:sz w:val="12"/>
          <w:szCs w:val="12"/>
          <w:color w:val="auto"/>
        </w:rPr>
      </w:pPr>
      <w:r>
        <w:rPr>
          <w:rFonts w:ascii="Arial" w:cs="Arial" w:eastAsia="Arial" w:hAnsi="Arial"/>
          <w:sz w:val="14"/>
          <w:szCs w:val="14"/>
          <w:color w:val="auto"/>
        </w:rPr>
        <w:t>Stock awards reported in this table include performance shares and restricted stock units.</w:t>
      </w:r>
    </w:p>
    <w:p>
      <w:pPr>
        <w:spacing w:after="0" w:line="95" w:lineRule="exact"/>
        <w:rPr>
          <w:rFonts w:ascii="Arial" w:cs="Arial" w:eastAsia="Arial" w:hAnsi="Arial"/>
          <w:sz w:val="12"/>
          <w:szCs w:val="12"/>
          <w:color w:val="auto"/>
        </w:rPr>
      </w:pPr>
    </w:p>
    <w:p>
      <w:pPr>
        <w:ind w:left="560" w:right="40"/>
        <w:spacing w:after="0" w:line="245" w:lineRule="auto"/>
        <w:rPr>
          <w:rFonts w:ascii="Arial" w:cs="Arial" w:eastAsia="Arial" w:hAnsi="Arial"/>
          <w:sz w:val="12"/>
          <w:szCs w:val="12"/>
          <w:color w:val="auto"/>
        </w:rPr>
      </w:pPr>
      <w:r>
        <w:rPr>
          <w:rFonts w:ascii="Arial" w:cs="Arial" w:eastAsia="Arial" w:hAnsi="Arial"/>
          <w:sz w:val="13"/>
          <w:szCs w:val="13"/>
          <w:color w:val="auto"/>
        </w:rPr>
        <w:t>Performance shares (reported under the Equity incentive plan awards columns) are performance-based restricted stock units earned based on average payout (determined under a Compensation Committee-approved matrix) for the company’s relative total shareholder return as compared to an identified peer group of steel companies. The overall vesting period is generally three years from January 1 of the first year in the performance cycle to December 31 in the third year of the performance cycle, with relative total shareholder return measured for the one-, two- and three-year periods beginning January 1 of the first year in the performance cycle and ending December 31 of the first, second and third years in the performance cycle, respectively, creating effectively a “nested” 1-year, 2-year, and 3-year plan to support rapid and sustained shareholder value creation. Relative total shareholder return is calculated for each nested performance period by taking the beginning and ending price points based off of a 20-trading day average closing stock price as of December 31. A payout will be calculated based on performance for each of the three nested performance periods. The average of the payouts calculated for each of the three “nested” performance periods will determine the number of performance shares earned and payable in shares at the conclusion of the three-year performance period.</w:t>
      </w:r>
    </w:p>
    <w:p>
      <w:pPr>
        <w:spacing w:after="0" w:line="75" w:lineRule="exact"/>
        <w:rPr>
          <w:rFonts w:ascii="Arial" w:cs="Arial" w:eastAsia="Arial" w:hAnsi="Arial"/>
          <w:sz w:val="12"/>
          <w:szCs w:val="12"/>
          <w:color w:val="auto"/>
        </w:rPr>
      </w:pPr>
    </w:p>
    <w:p>
      <w:pPr>
        <w:ind w:left="560" w:right="300"/>
        <w:spacing w:after="0" w:line="233" w:lineRule="auto"/>
        <w:rPr>
          <w:rFonts w:ascii="Arial" w:cs="Arial" w:eastAsia="Arial" w:hAnsi="Arial"/>
          <w:sz w:val="12"/>
          <w:szCs w:val="12"/>
          <w:color w:val="auto"/>
        </w:rPr>
      </w:pPr>
      <w:r>
        <w:rPr>
          <w:rFonts w:ascii="Arial" w:cs="Arial" w:eastAsia="Arial" w:hAnsi="Arial"/>
          <w:sz w:val="14"/>
          <w:szCs w:val="14"/>
          <w:color w:val="auto"/>
        </w:rPr>
        <w:t>For the performance shares awarded in 2020, average payout for the company’s relative total shareholder return as compared to an identified peer group of steel companies for the one-, two- and three-year periods beginning January 1, 2020 and ending December 31, 2020, 2021 and 2022, respectively, will be used to determine whether (and how many) performance shares are earned for the 2020–2022 performance cycle. Performance shares earned will vest following the conclusion of the three-year performance period on December 31, 2022, at such time as the</w:t>
      </w:r>
    </w:p>
    <w:p>
      <w:pPr>
        <w:spacing w:after="0" w:line="126"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60</w:t>
      </w:r>
    </w:p>
    <w:p>
      <w:pPr>
        <w:sectPr>
          <w:pgSz w:w="11900" w:h="16838" w:orient="portrait"/>
          <w:cols w:equalWidth="0" w:num="1">
            <w:col w:w="11140"/>
          </w:cols>
          <w:pgMar w:left="320" w:top="459" w:right="43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60" w:right="40"/>
        <w:spacing w:after="0" w:line="277" w:lineRule="auto"/>
        <w:rPr>
          <w:sz w:val="20"/>
          <w:szCs w:val="20"/>
          <w:color w:val="auto"/>
        </w:rPr>
      </w:pPr>
      <w:r>
        <w:rPr>
          <w:rFonts w:ascii="Arial" w:cs="Arial" w:eastAsia="Arial" w:hAnsi="Arial"/>
          <w:sz w:val="12"/>
          <w:szCs w:val="12"/>
          <w:color w:val="auto"/>
        </w:rPr>
        <w:t>Compensation Committee shall have determined the degree to which the performance metrics have been achieved and the resulting number of performance shares earned. For the performance shares awarded in 2021, average payout for the company’s relative total shareholder return as compared to an identified peer group of steel companies for the one-, two-and three-year periods beginning January 1, 2021 and ending December 31, 2021, 2022 and 2023, respectively, will be used to determine whether (and how many) performance shares are earned for the 2021–2023 performance cycle. Performance shares earned will vest following the conclusion of the three-year performance period on December 31, 2023, at such time as the Compensation Committee shall have determined the degree to which the performance metrics have been achieved and the resulting number of performance shares earned.</w:t>
      </w:r>
    </w:p>
    <w:p>
      <w:pPr>
        <w:spacing w:after="0" w:line="54" w:lineRule="exact"/>
        <w:rPr>
          <w:sz w:val="20"/>
          <w:szCs w:val="20"/>
          <w:color w:val="auto"/>
        </w:rPr>
      </w:pPr>
    </w:p>
    <w:p>
      <w:pPr>
        <w:jc w:val="both"/>
        <w:ind w:left="560" w:right="160"/>
        <w:spacing w:after="0" w:line="238" w:lineRule="auto"/>
        <w:rPr>
          <w:sz w:val="20"/>
          <w:szCs w:val="20"/>
          <w:color w:val="auto"/>
        </w:rPr>
      </w:pPr>
      <w:r>
        <w:rPr>
          <w:rFonts w:ascii="Arial" w:cs="Arial" w:eastAsia="Arial" w:hAnsi="Arial"/>
          <w:sz w:val="14"/>
          <w:szCs w:val="14"/>
          <w:color w:val="auto"/>
        </w:rPr>
        <w:t>The number of shares reported for the performance shares granted to Mr. Williams on January 5, 2021, and to the other NEOs on March 2, 2020, August 5, 2020 and March 1, 2021, reflects the number of shares that would be earned by each NEO assuming maximum performance is achieved under the established performance objectives. The settlement for any performance shares earned will be in shares.</w:t>
      </w:r>
    </w:p>
    <w:p>
      <w:pPr>
        <w:spacing w:after="0" w:line="75" w:lineRule="exact"/>
        <w:rPr>
          <w:sz w:val="20"/>
          <w:szCs w:val="20"/>
          <w:color w:val="auto"/>
        </w:rPr>
      </w:pPr>
    </w:p>
    <w:p>
      <w:pPr>
        <w:ind w:left="560" w:right="160"/>
        <w:spacing w:after="0" w:line="238" w:lineRule="auto"/>
        <w:rPr>
          <w:sz w:val="20"/>
          <w:szCs w:val="20"/>
          <w:color w:val="auto"/>
        </w:rPr>
      </w:pPr>
      <w:r>
        <w:rPr>
          <w:rFonts w:ascii="Arial" w:cs="Arial" w:eastAsia="Arial" w:hAnsi="Arial"/>
          <w:sz w:val="14"/>
          <w:szCs w:val="14"/>
          <w:color w:val="auto"/>
        </w:rPr>
        <w:t>Restricted stock units were granted to Mr. Williams on January 5, 2021, and to Messrs. Westbrooks, Raketich, Bryan and Moline and Ms. Syrvalin on March 1, 2019, March 2, 2020 and March 1, 2021. Each of these grants of restricted stock units generally vests on the third anniversary of their respective grant dates. On February 14, 2018, Mr. Raketich was awarded a special grant of 10,900 restricted stock units, which RSUs generally vest on the fifth anniversary of the grant date.</w:t>
      </w:r>
    </w:p>
    <w:p>
      <w:pPr>
        <w:spacing w:after="0" w:line="75" w:lineRule="exact"/>
        <w:rPr>
          <w:sz w:val="20"/>
          <w:szCs w:val="20"/>
          <w:color w:val="auto"/>
        </w:rPr>
      </w:pPr>
    </w:p>
    <w:p>
      <w:pPr>
        <w:ind w:left="560" w:right="80"/>
        <w:spacing w:after="0" w:line="253" w:lineRule="auto"/>
        <w:rPr>
          <w:sz w:val="20"/>
          <w:szCs w:val="20"/>
          <w:color w:val="auto"/>
        </w:rPr>
      </w:pPr>
      <w:r>
        <w:rPr>
          <w:rFonts w:ascii="Arial" w:cs="Arial" w:eastAsia="Arial" w:hAnsi="Arial"/>
          <w:sz w:val="14"/>
          <w:szCs w:val="14"/>
          <w:color w:val="auto"/>
        </w:rPr>
        <w:t>The market value of all shares and awards reported in this table was determined based upon the closing price of TimkenSteel’s common shares on December 31, 2021, the last trading day of the year, which was $16.50.</w:t>
      </w:r>
    </w:p>
    <w:p>
      <w:pPr>
        <w:spacing w:after="0" w:line="79" w:lineRule="exact"/>
        <w:rPr>
          <w:sz w:val="20"/>
          <w:szCs w:val="20"/>
          <w:color w:val="auto"/>
        </w:rPr>
      </w:pPr>
    </w:p>
    <w:p>
      <w:pPr>
        <w:ind w:left="540" w:hanging="424"/>
        <w:spacing w:after="0" w:line="225" w:lineRule="auto"/>
        <w:tabs>
          <w:tab w:leader="none" w:pos="540" w:val="left"/>
        </w:tabs>
        <w:numPr>
          <w:ilvl w:val="0"/>
          <w:numId w:val="62"/>
        </w:numPr>
        <w:rPr>
          <w:rFonts w:ascii="Arial" w:cs="Arial" w:eastAsia="Arial" w:hAnsi="Arial"/>
          <w:sz w:val="12"/>
          <w:szCs w:val="12"/>
          <w:color w:val="auto"/>
        </w:rPr>
      </w:pPr>
      <w:r>
        <w:rPr>
          <w:rFonts w:ascii="Arial" w:cs="Arial" w:eastAsia="Arial" w:hAnsi="Arial"/>
          <w:sz w:val="14"/>
          <w:szCs w:val="14"/>
          <w:color w:val="auto"/>
        </w:rPr>
        <w:t>As a result of the termination of employment of Messrs. Bryan and Moline on May 7, 2021, 17,550 options granted on March 2, 2020 and 3,500 options granted on March 1, 2019 were canceled and all remaining unvested options granted to them in 2018, 2019 and 2020 were vested. Further, all of their outstanding options will remain exercisable for three years, rather than the original 10-year term stated in the table above. Also as a result of the termination of employment of Messrs. Bryan and Moline, 7,600 of the 17,100 restricted stock units awarded to each of them in 2021 were canceled, 2,500 of the 22,500 restricted stock units awarded in 2020 were canceled, and 567, 1,218 and 579 of the restricted stock units awarded to each of them in 2019, 2020 and 2021, respectively, were withheld to satisfy tax withholding requirements as the awards are no longer subject to a substantial risk of forfeiture. The remaining restricted stock units will vest on the third anniversary of the respective grant dates. Finally, 544 of the 9,800 performance shares awarded on March 2, 2020, 150 of the 2,700 performance shares awarded on August 5, 2020 and 6,650 of the 17,100 performance shares awarded on March 1, 2021 were canceled. Any portion of the remaining 10,450 and 11,806 performance shares awarded to each of Messrs. Bryan and Moline in 2021 and 2020 that are earned based on achievement of the established performance objectives for the 2020-2022 and 2021-2023 performance periods, will vest following the conclusion of the three-year performance periods on December 31, 2022 and December 31, 2023, respectively, at such time as the Compensation Committee shall have determined the degree to which the performance metrics have been achieved and the resulting number of performance shares earned.</w:t>
      </w:r>
    </w:p>
    <w:p>
      <w:pPr>
        <w:spacing w:after="0" w:line="131"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61</w:t>
      </w:r>
    </w:p>
    <w:p>
      <w:pPr>
        <w:sectPr>
          <w:pgSz w:w="11900" w:h="16838" w:orient="portrait"/>
          <w:cols w:equalWidth="0" w:num="1">
            <w:col w:w="11120"/>
          </w:cols>
          <w:pgMar w:left="320" w:top="459" w:right="45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Option exercises and stock vested table</w:t>
      </w:r>
    </w:p>
    <w:p>
      <w:pPr>
        <w:spacing w:after="0" w:line="207"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The following table sets forth information with respect to the exercise of stock options by and vesting of other stock-based awards for our NEOs during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4728210</wp:posOffset>
            </wp:positionH>
            <wp:positionV relativeFrom="paragraph">
              <wp:posOffset>117475</wp:posOffset>
            </wp:positionV>
            <wp:extent cx="8890" cy="47180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8890" cy="471805"/>
                    </a:xfrm>
                    <a:prstGeom prst="rect">
                      <a:avLst/>
                    </a:prstGeom>
                    <a:noFill/>
                  </pic:spPr>
                </pic:pic>
              </a:graphicData>
            </a:graphic>
          </wp:anchor>
        </w:drawing>
        <w:drawing>
          <wp:anchor simplePos="0" relativeHeight="251657728" behindDoc="1" locked="0" layoutInCell="0" allowOverlap="1">
            <wp:simplePos x="0" y="0"/>
            <wp:positionH relativeFrom="column">
              <wp:posOffset>2310765</wp:posOffset>
            </wp:positionH>
            <wp:positionV relativeFrom="paragraph">
              <wp:posOffset>117475</wp:posOffset>
            </wp:positionV>
            <wp:extent cx="8890" cy="4718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8890" cy="471805"/>
                    </a:xfrm>
                    <a:prstGeom prst="rect">
                      <a:avLst/>
                    </a:prstGeom>
                    <a:noFill/>
                  </pic:spPr>
                </pic:pic>
              </a:graphicData>
            </a:graphic>
          </wp:anchor>
        </w:drawing>
      </w:r>
    </w:p>
    <w:p>
      <w:pPr>
        <w:spacing w:after="0" w:line="165" w:lineRule="exact"/>
        <w:rPr>
          <w:sz w:val="20"/>
          <w:szCs w:val="20"/>
          <w:color w:val="auto"/>
        </w:rPr>
      </w:pPr>
    </w:p>
    <w:tbl>
      <w:tblPr>
        <w:tblLayout w:type="fixed"/>
        <w:tblInd w:w="120" w:type="dxa"/>
        <w:tblCellMar>
          <w:top w:w="0" w:type="dxa"/>
          <w:left w:w="0" w:type="dxa"/>
          <w:bottom w:w="0" w:type="dxa"/>
          <w:right w:w="0" w:type="dxa"/>
        </w:tblCellMar>
      </w:tblPr>
      <w:tr>
        <w:trPr>
          <w:trHeight w:val="284"/>
        </w:trPr>
        <w:tc>
          <w:tcPr>
            <w:tcW w:w="3520" w:type="dxa"/>
            <w:vAlign w:val="bottom"/>
            <w:shd w:val="clear" w:color="auto" w:fill="7F7F7F"/>
          </w:tcPr>
          <w:p>
            <w:pPr>
              <w:spacing w:after="0"/>
              <w:rPr>
                <w:sz w:val="24"/>
                <w:szCs w:val="24"/>
                <w:color w:val="auto"/>
              </w:rPr>
            </w:pPr>
          </w:p>
        </w:tc>
        <w:tc>
          <w:tcPr>
            <w:tcW w:w="3940" w:type="dxa"/>
            <w:vAlign w:val="bottom"/>
            <w:gridSpan w:val="3"/>
            <w:shd w:val="clear" w:color="auto" w:fill="7F7F7F"/>
          </w:tcPr>
          <w:p>
            <w:pPr>
              <w:jc w:val="right"/>
              <w:ind w:right="1215"/>
              <w:spacing w:after="0"/>
              <w:rPr>
                <w:sz w:val="20"/>
                <w:szCs w:val="20"/>
                <w:color w:val="auto"/>
              </w:rPr>
            </w:pPr>
            <w:r>
              <w:rPr>
                <w:rFonts w:ascii="Arial" w:cs="Arial" w:eastAsia="Arial" w:hAnsi="Arial"/>
                <w:sz w:val="17"/>
                <w:szCs w:val="17"/>
                <w:b w:val="1"/>
                <w:bCs w:val="1"/>
                <w:color w:val="FFFFFF"/>
              </w:rPr>
              <w:t xml:space="preserve">Option awards </w:t>
            </w:r>
            <w:r>
              <w:rPr>
                <w:rFonts w:ascii="Arial" w:cs="Arial" w:eastAsia="Arial" w:hAnsi="Arial"/>
                <w:sz w:val="14"/>
                <w:szCs w:val="14"/>
                <w:b w:val="1"/>
                <w:bCs w:val="1"/>
                <w:color w:val="FFFFFF"/>
              </w:rPr>
              <w:t>(1)</w:t>
            </w:r>
          </w:p>
        </w:tc>
        <w:tc>
          <w:tcPr>
            <w:tcW w:w="3560" w:type="dxa"/>
            <w:vAlign w:val="bottom"/>
            <w:gridSpan w:val="3"/>
            <w:shd w:val="clear" w:color="auto" w:fill="7F7F7F"/>
          </w:tcPr>
          <w:p>
            <w:pPr>
              <w:jc w:val="right"/>
              <w:ind w:right="1095"/>
              <w:spacing w:after="0"/>
              <w:rPr>
                <w:sz w:val="20"/>
                <w:szCs w:val="20"/>
                <w:color w:val="auto"/>
              </w:rPr>
            </w:pPr>
            <w:r>
              <w:rPr>
                <w:rFonts w:ascii="Arial" w:cs="Arial" w:eastAsia="Arial" w:hAnsi="Arial"/>
                <w:sz w:val="17"/>
                <w:szCs w:val="17"/>
                <w:b w:val="1"/>
                <w:bCs w:val="1"/>
                <w:color w:val="FFFFFF"/>
              </w:rPr>
              <w:t xml:space="preserve">Stock awards </w:t>
            </w:r>
            <w:r>
              <w:rPr>
                <w:rFonts w:ascii="Arial" w:cs="Arial" w:eastAsia="Arial" w:hAnsi="Arial"/>
                <w:sz w:val="14"/>
                <w:szCs w:val="14"/>
                <w:b w:val="1"/>
                <w:bCs w:val="1"/>
                <w:color w:val="FFFFFF"/>
              </w:rPr>
              <w:t>(2)</w:t>
            </w:r>
          </w:p>
        </w:tc>
      </w:tr>
      <w:tr>
        <w:trPr>
          <w:trHeight w:val="221"/>
        </w:trPr>
        <w:tc>
          <w:tcPr>
            <w:tcW w:w="3520" w:type="dxa"/>
            <w:vAlign w:val="bottom"/>
            <w:shd w:val="clear" w:color="auto" w:fill="333333"/>
          </w:tcPr>
          <w:p>
            <w:pPr>
              <w:spacing w:after="0"/>
              <w:rPr>
                <w:sz w:val="19"/>
                <w:szCs w:val="19"/>
                <w:color w:val="auto"/>
              </w:rPr>
            </w:pPr>
          </w:p>
        </w:tc>
        <w:tc>
          <w:tcPr>
            <w:tcW w:w="2060" w:type="dxa"/>
            <w:vAlign w:val="bottom"/>
            <w:tcBorders>
              <w:right w:val="single" w:sz="8" w:color="B2B2B2"/>
            </w:tcBorders>
            <w:shd w:val="clear" w:color="auto" w:fill="333333"/>
          </w:tcPr>
          <w:p>
            <w:pPr>
              <w:jc w:val="right"/>
              <w:ind w:right="275"/>
              <w:spacing w:after="0"/>
              <w:rPr>
                <w:sz w:val="20"/>
                <w:szCs w:val="20"/>
                <w:color w:val="auto"/>
              </w:rPr>
            </w:pPr>
            <w:r>
              <w:rPr>
                <w:rFonts w:ascii="Arial" w:cs="Arial" w:eastAsia="Arial" w:hAnsi="Arial"/>
                <w:sz w:val="17"/>
                <w:szCs w:val="17"/>
                <w:b w:val="1"/>
                <w:bCs w:val="1"/>
                <w:color w:val="FFFFFF"/>
              </w:rPr>
              <w:t>Number of shares</w:t>
            </w:r>
          </w:p>
        </w:tc>
        <w:tc>
          <w:tcPr>
            <w:tcW w:w="360" w:type="dxa"/>
            <w:vAlign w:val="bottom"/>
            <w:shd w:val="clear" w:color="auto" w:fill="333333"/>
          </w:tcPr>
          <w:p>
            <w:pPr>
              <w:spacing w:after="0"/>
              <w:rPr>
                <w:sz w:val="19"/>
                <w:szCs w:val="19"/>
                <w:color w:val="auto"/>
              </w:rPr>
            </w:pPr>
          </w:p>
        </w:tc>
        <w:tc>
          <w:tcPr>
            <w:tcW w:w="1520" w:type="dxa"/>
            <w:vAlign w:val="bottom"/>
            <w:shd w:val="clear" w:color="auto" w:fill="333333"/>
          </w:tcPr>
          <w:p>
            <w:pPr>
              <w:jc w:val="right"/>
              <w:ind w:right="335"/>
              <w:spacing w:after="0"/>
              <w:rPr>
                <w:sz w:val="20"/>
                <w:szCs w:val="20"/>
                <w:color w:val="auto"/>
              </w:rPr>
            </w:pPr>
            <w:r>
              <w:rPr>
                <w:rFonts w:ascii="Arial" w:cs="Arial" w:eastAsia="Arial" w:hAnsi="Arial"/>
                <w:sz w:val="17"/>
                <w:szCs w:val="17"/>
                <w:b w:val="1"/>
                <w:bCs w:val="1"/>
                <w:color w:val="FFFFFF"/>
                <w:w w:val="95"/>
              </w:rPr>
              <w:t>Value realized</w:t>
            </w:r>
          </w:p>
        </w:tc>
        <w:tc>
          <w:tcPr>
            <w:tcW w:w="2000" w:type="dxa"/>
            <w:vAlign w:val="bottom"/>
            <w:shd w:val="clear" w:color="auto" w:fill="333333"/>
          </w:tcPr>
          <w:p>
            <w:pPr>
              <w:jc w:val="right"/>
              <w:ind w:right="355"/>
              <w:spacing w:after="0"/>
              <w:rPr>
                <w:sz w:val="20"/>
                <w:szCs w:val="20"/>
                <w:color w:val="auto"/>
              </w:rPr>
            </w:pPr>
            <w:r>
              <w:rPr>
                <w:rFonts w:ascii="Arial" w:cs="Arial" w:eastAsia="Arial" w:hAnsi="Arial"/>
                <w:sz w:val="17"/>
                <w:szCs w:val="17"/>
                <w:b w:val="1"/>
                <w:bCs w:val="1"/>
                <w:color w:val="FFFFFF"/>
              </w:rPr>
              <w:t>Number of shares</w:t>
            </w:r>
          </w:p>
        </w:tc>
        <w:tc>
          <w:tcPr>
            <w:tcW w:w="280" w:type="dxa"/>
            <w:vAlign w:val="bottom"/>
            <w:shd w:val="clear" w:color="auto" w:fill="333333"/>
          </w:tcPr>
          <w:p>
            <w:pPr>
              <w:spacing w:after="0"/>
              <w:rPr>
                <w:sz w:val="19"/>
                <w:szCs w:val="19"/>
                <w:color w:val="auto"/>
              </w:rPr>
            </w:pPr>
          </w:p>
        </w:tc>
        <w:tc>
          <w:tcPr>
            <w:tcW w:w="1280" w:type="dxa"/>
            <w:vAlign w:val="bottom"/>
            <w:shd w:val="clear" w:color="auto" w:fill="333333"/>
          </w:tcPr>
          <w:p>
            <w:pPr>
              <w:jc w:val="right"/>
              <w:ind w:right="175"/>
              <w:spacing w:after="0"/>
              <w:rPr>
                <w:sz w:val="20"/>
                <w:szCs w:val="20"/>
                <w:color w:val="auto"/>
              </w:rPr>
            </w:pPr>
            <w:r>
              <w:rPr>
                <w:rFonts w:ascii="Arial" w:cs="Arial" w:eastAsia="Arial" w:hAnsi="Arial"/>
                <w:sz w:val="17"/>
                <w:szCs w:val="17"/>
                <w:b w:val="1"/>
                <w:bCs w:val="1"/>
                <w:color w:val="FFFFFF"/>
                <w:w w:val="88"/>
              </w:rPr>
              <w:t>Value realized</w:t>
            </w:r>
          </w:p>
        </w:tc>
      </w:tr>
      <w:tr>
        <w:trPr>
          <w:trHeight w:val="238"/>
        </w:trPr>
        <w:tc>
          <w:tcPr>
            <w:tcW w:w="3520" w:type="dxa"/>
            <w:vAlign w:val="bottom"/>
            <w:shd w:val="clear" w:color="auto" w:fill="333333"/>
          </w:tcPr>
          <w:p>
            <w:pPr>
              <w:ind w:left="220"/>
              <w:spacing w:after="0"/>
              <w:rPr>
                <w:sz w:val="20"/>
                <w:szCs w:val="20"/>
                <w:color w:val="auto"/>
              </w:rPr>
            </w:pPr>
            <w:r>
              <w:rPr>
                <w:rFonts w:ascii="Arial" w:cs="Arial" w:eastAsia="Arial" w:hAnsi="Arial"/>
                <w:sz w:val="17"/>
                <w:szCs w:val="17"/>
                <w:b w:val="1"/>
                <w:bCs w:val="1"/>
                <w:color w:val="FFFFFF"/>
              </w:rPr>
              <w:t>Name</w:t>
            </w:r>
          </w:p>
        </w:tc>
        <w:tc>
          <w:tcPr>
            <w:tcW w:w="2060" w:type="dxa"/>
            <w:vAlign w:val="bottom"/>
            <w:tcBorders>
              <w:right w:val="single" w:sz="8" w:color="B2B2B2"/>
            </w:tcBorders>
            <w:shd w:val="clear" w:color="auto" w:fill="333333"/>
          </w:tcPr>
          <w:p>
            <w:pPr>
              <w:jc w:val="right"/>
              <w:ind w:right="175"/>
              <w:spacing w:after="0"/>
              <w:rPr>
                <w:sz w:val="20"/>
                <w:szCs w:val="20"/>
                <w:color w:val="auto"/>
              </w:rPr>
            </w:pPr>
            <w:r>
              <w:rPr>
                <w:rFonts w:ascii="Arial" w:cs="Arial" w:eastAsia="Arial" w:hAnsi="Arial"/>
                <w:sz w:val="17"/>
                <w:szCs w:val="17"/>
                <w:b w:val="1"/>
                <w:bCs w:val="1"/>
                <w:color w:val="FFFFFF"/>
              </w:rPr>
              <w:t>acquired on exercise</w:t>
            </w:r>
          </w:p>
        </w:tc>
        <w:tc>
          <w:tcPr>
            <w:tcW w:w="360" w:type="dxa"/>
            <w:vAlign w:val="bottom"/>
            <w:shd w:val="clear" w:color="auto" w:fill="333333"/>
          </w:tcPr>
          <w:p>
            <w:pPr>
              <w:spacing w:after="0"/>
              <w:rPr>
                <w:sz w:val="20"/>
                <w:szCs w:val="20"/>
                <w:color w:val="auto"/>
              </w:rPr>
            </w:pPr>
          </w:p>
        </w:tc>
        <w:tc>
          <w:tcPr>
            <w:tcW w:w="1520" w:type="dxa"/>
            <w:vAlign w:val="bottom"/>
            <w:shd w:val="clear" w:color="auto" w:fill="333333"/>
          </w:tcPr>
          <w:p>
            <w:pPr>
              <w:jc w:val="right"/>
              <w:ind w:right="455"/>
              <w:spacing w:after="0"/>
              <w:rPr>
                <w:sz w:val="20"/>
                <w:szCs w:val="20"/>
                <w:color w:val="auto"/>
              </w:rPr>
            </w:pPr>
            <w:r>
              <w:rPr>
                <w:rFonts w:ascii="Arial" w:cs="Arial" w:eastAsia="Arial" w:hAnsi="Arial"/>
                <w:sz w:val="17"/>
                <w:szCs w:val="17"/>
                <w:b w:val="1"/>
                <w:bCs w:val="1"/>
                <w:color w:val="FFFFFF"/>
              </w:rPr>
              <w:t>on exercise</w:t>
            </w:r>
          </w:p>
        </w:tc>
        <w:tc>
          <w:tcPr>
            <w:tcW w:w="2000" w:type="dxa"/>
            <w:vAlign w:val="bottom"/>
            <w:shd w:val="clear" w:color="auto" w:fill="333333"/>
          </w:tcPr>
          <w:p>
            <w:pPr>
              <w:jc w:val="right"/>
              <w:ind w:right="295"/>
              <w:spacing w:after="0"/>
              <w:rPr>
                <w:sz w:val="20"/>
                <w:szCs w:val="20"/>
                <w:color w:val="auto"/>
              </w:rPr>
            </w:pPr>
            <w:r>
              <w:rPr>
                <w:rFonts w:ascii="Arial" w:cs="Arial" w:eastAsia="Arial" w:hAnsi="Arial"/>
                <w:sz w:val="17"/>
                <w:szCs w:val="17"/>
                <w:b w:val="1"/>
                <w:bCs w:val="1"/>
                <w:color w:val="FFFFFF"/>
                <w:w w:val="99"/>
              </w:rPr>
              <w:t>acquired on vesting</w:t>
            </w:r>
          </w:p>
        </w:tc>
        <w:tc>
          <w:tcPr>
            <w:tcW w:w="280" w:type="dxa"/>
            <w:vAlign w:val="bottom"/>
            <w:shd w:val="clear" w:color="auto" w:fill="333333"/>
          </w:tcPr>
          <w:p>
            <w:pPr>
              <w:spacing w:after="0"/>
              <w:rPr>
                <w:sz w:val="20"/>
                <w:szCs w:val="20"/>
                <w:color w:val="auto"/>
              </w:rPr>
            </w:pPr>
          </w:p>
        </w:tc>
        <w:tc>
          <w:tcPr>
            <w:tcW w:w="1280" w:type="dxa"/>
            <w:vAlign w:val="bottom"/>
            <w:shd w:val="clear" w:color="auto" w:fill="333333"/>
          </w:tcPr>
          <w:p>
            <w:pPr>
              <w:jc w:val="right"/>
              <w:ind w:right="315"/>
              <w:spacing w:after="0"/>
              <w:rPr>
                <w:sz w:val="20"/>
                <w:szCs w:val="20"/>
                <w:color w:val="auto"/>
              </w:rPr>
            </w:pPr>
            <w:r>
              <w:rPr>
                <w:rFonts w:ascii="Arial" w:cs="Arial" w:eastAsia="Arial" w:hAnsi="Arial"/>
                <w:sz w:val="17"/>
                <w:szCs w:val="17"/>
                <w:b w:val="1"/>
                <w:bCs w:val="1"/>
                <w:color w:val="FFFFFF"/>
              </w:rPr>
              <w:t>on vesting</w:t>
            </w:r>
          </w:p>
        </w:tc>
      </w:tr>
      <w:tr>
        <w:trPr>
          <w:trHeight w:val="257"/>
        </w:trPr>
        <w:tc>
          <w:tcPr>
            <w:tcW w:w="3520" w:type="dxa"/>
            <w:vAlign w:val="bottom"/>
            <w:shd w:val="clear" w:color="auto" w:fill="D8D8D8"/>
          </w:tcPr>
          <w:p>
            <w:pPr>
              <w:ind w:left="80"/>
              <w:spacing w:after="0"/>
              <w:rPr>
                <w:sz w:val="20"/>
                <w:szCs w:val="20"/>
                <w:color w:val="auto"/>
              </w:rPr>
            </w:pPr>
            <w:r>
              <w:rPr>
                <w:rFonts w:ascii="Arial" w:cs="Arial" w:eastAsia="Arial" w:hAnsi="Arial"/>
                <w:sz w:val="17"/>
                <w:szCs w:val="17"/>
                <w:color w:val="auto"/>
              </w:rPr>
              <w:t>Michael S. Williams</w:t>
            </w:r>
          </w:p>
        </w:tc>
        <w:tc>
          <w:tcPr>
            <w:tcW w:w="2060" w:type="dxa"/>
            <w:vAlign w:val="bottom"/>
            <w:tcBorders>
              <w:right w:val="single" w:sz="8" w:color="D8D8D8"/>
            </w:tcBorders>
            <w:shd w:val="clear" w:color="auto" w:fill="D8D8D8"/>
          </w:tcPr>
          <w:p>
            <w:pPr>
              <w:jc w:val="right"/>
              <w:spacing w:after="0"/>
              <w:rPr>
                <w:sz w:val="20"/>
                <w:szCs w:val="20"/>
                <w:color w:val="auto"/>
              </w:rPr>
            </w:pPr>
            <w:r>
              <w:rPr>
                <w:rFonts w:ascii="Arial" w:cs="Arial" w:eastAsia="Arial" w:hAnsi="Arial"/>
                <w:sz w:val="17"/>
                <w:szCs w:val="17"/>
                <w:color w:val="auto"/>
              </w:rPr>
              <w:t>0</w:t>
            </w:r>
          </w:p>
        </w:tc>
        <w:tc>
          <w:tcPr>
            <w:tcW w:w="36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52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0</w:t>
            </w:r>
          </w:p>
        </w:tc>
        <w:tc>
          <w:tcPr>
            <w:tcW w:w="200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0</w:t>
            </w:r>
          </w:p>
        </w:tc>
        <w:tc>
          <w:tcPr>
            <w:tcW w:w="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0</w:t>
            </w:r>
          </w:p>
        </w:tc>
      </w:tr>
      <w:tr>
        <w:trPr>
          <w:trHeight w:val="255"/>
        </w:trPr>
        <w:tc>
          <w:tcPr>
            <w:tcW w:w="3520" w:type="dxa"/>
            <w:vAlign w:val="bottom"/>
          </w:tcPr>
          <w:p>
            <w:pPr>
              <w:ind w:left="80"/>
              <w:spacing w:after="0"/>
              <w:rPr>
                <w:sz w:val="20"/>
                <w:szCs w:val="20"/>
                <w:color w:val="auto"/>
              </w:rPr>
            </w:pPr>
            <w:r>
              <w:rPr>
                <w:rFonts w:ascii="Arial" w:cs="Arial" w:eastAsia="Arial" w:hAnsi="Arial"/>
                <w:sz w:val="17"/>
                <w:szCs w:val="17"/>
                <w:color w:val="auto"/>
              </w:rPr>
              <w:t>Kristopher R. Westbrooks</w:t>
            </w:r>
          </w:p>
        </w:tc>
        <w:tc>
          <w:tcPr>
            <w:tcW w:w="2060" w:type="dxa"/>
            <w:vAlign w:val="bottom"/>
          </w:tcPr>
          <w:p>
            <w:pPr>
              <w:jc w:val="right"/>
              <w:spacing w:after="0"/>
              <w:rPr>
                <w:sz w:val="20"/>
                <w:szCs w:val="20"/>
                <w:color w:val="auto"/>
              </w:rPr>
            </w:pPr>
            <w:r>
              <w:rPr>
                <w:rFonts w:ascii="Arial" w:cs="Arial" w:eastAsia="Arial" w:hAnsi="Arial"/>
                <w:sz w:val="17"/>
                <w:szCs w:val="17"/>
                <w:color w:val="auto"/>
              </w:rPr>
              <w:t>15,000</w:t>
            </w:r>
          </w:p>
        </w:tc>
        <w:tc>
          <w:tcPr>
            <w:tcW w:w="360" w:type="dxa"/>
            <w:vAlign w:val="bottom"/>
          </w:tcPr>
          <w:p>
            <w:pPr>
              <w:jc w:val="right"/>
              <w:spacing w:after="0"/>
              <w:rPr>
                <w:sz w:val="20"/>
                <w:szCs w:val="20"/>
                <w:color w:val="auto"/>
              </w:rPr>
            </w:pPr>
            <w:r>
              <w:rPr>
                <w:rFonts w:ascii="Arial" w:cs="Arial" w:eastAsia="Arial" w:hAnsi="Arial"/>
                <w:sz w:val="17"/>
                <w:szCs w:val="17"/>
                <w:color w:val="auto"/>
              </w:rPr>
              <w:t>$</w:t>
            </w:r>
          </w:p>
        </w:tc>
        <w:tc>
          <w:tcPr>
            <w:tcW w:w="1520" w:type="dxa"/>
            <w:vAlign w:val="bottom"/>
          </w:tcPr>
          <w:p>
            <w:pPr>
              <w:jc w:val="right"/>
              <w:ind w:right="95"/>
              <w:spacing w:after="0"/>
              <w:rPr>
                <w:sz w:val="20"/>
                <w:szCs w:val="20"/>
                <w:color w:val="auto"/>
              </w:rPr>
            </w:pPr>
            <w:r>
              <w:rPr>
                <w:rFonts w:ascii="Arial" w:cs="Arial" w:eastAsia="Arial" w:hAnsi="Arial"/>
                <w:sz w:val="17"/>
                <w:szCs w:val="17"/>
                <w:color w:val="auto"/>
              </w:rPr>
              <w:t>172,489</w:t>
            </w:r>
          </w:p>
        </w:tc>
        <w:tc>
          <w:tcPr>
            <w:tcW w:w="2000" w:type="dxa"/>
            <w:vAlign w:val="bottom"/>
          </w:tcPr>
          <w:p>
            <w:pPr>
              <w:jc w:val="right"/>
              <w:ind w:right="95"/>
              <w:spacing w:after="0"/>
              <w:rPr>
                <w:sz w:val="20"/>
                <w:szCs w:val="20"/>
                <w:color w:val="auto"/>
              </w:rPr>
            </w:pPr>
            <w:r>
              <w:rPr>
                <w:rFonts w:ascii="Arial" w:cs="Arial" w:eastAsia="Arial" w:hAnsi="Arial"/>
                <w:sz w:val="17"/>
                <w:szCs w:val="17"/>
                <w:color w:val="auto"/>
              </w:rPr>
              <w:t>7,400</w:t>
            </w:r>
          </w:p>
        </w:tc>
        <w:tc>
          <w:tcPr>
            <w:tcW w:w="280" w:type="dxa"/>
            <w:vAlign w:val="bottom"/>
          </w:tcPr>
          <w:p>
            <w:pPr>
              <w:jc w:val="right"/>
              <w:spacing w:after="0"/>
              <w:rPr>
                <w:sz w:val="20"/>
                <w:szCs w:val="20"/>
                <w:color w:val="auto"/>
              </w:rPr>
            </w:pPr>
            <w:r>
              <w:rPr>
                <w:rFonts w:ascii="Arial" w:cs="Arial" w:eastAsia="Arial" w:hAnsi="Arial"/>
                <w:sz w:val="17"/>
                <w:szCs w:val="17"/>
                <w:color w:val="auto"/>
              </w:rPr>
              <w:t>$</w:t>
            </w:r>
          </w:p>
        </w:tc>
        <w:tc>
          <w:tcPr>
            <w:tcW w:w="1280" w:type="dxa"/>
            <w:vAlign w:val="bottom"/>
          </w:tcPr>
          <w:p>
            <w:pPr>
              <w:jc w:val="right"/>
              <w:spacing w:after="0"/>
              <w:rPr>
                <w:sz w:val="20"/>
                <w:szCs w:val="20"/>
                <w:color w:val="auto"/>
              </w:rPr>
            </w:pPr>
            <w:r>
              <w:rPr>
                <w:rFonts w:ascii="Arial" w:cs="Arial" w:eastAsia="Arial" w:hAnsi="Arial"/>
                <w:sz w:val="17"/>
                <w:szCs w:val="17"/>
                <w:color w:val="auto"/>
              </w:rPr>
              <w:t>97,162</w:t>
            </w:r>
          </w:p>
        </w:tc>
      </w:tr>
      <w:tr>
        <w:trPr>
          <w:trHeight w:val="258"/>
        </w:trPr>
        <w:tc>
          <w:tcPr>
            <w:tcW w:w="3520" w:type="dxa"/>
            <w:vAlign w:val="bottom"/>
            <w:shd w:val="clear" w:color="auto" w:fill="D8D8D8"/>
          </w:tcPr>
          <w:p>
            <w:pPr>
              <w:ind w:left="80"/>
              <w:spacing w:after="0"/>
              <w:rPr>
                <w:sz w:val="20"/>
                <w:szCs w:val="20"/>
                <w:color w:val="auto"/>
              </w:rPr>
            </w:pPr>
            <w:r>
              <w:rPr>
                <w:rFonts w:ascii="Arial" w:cs="Arial" w:eastAsia="Arial" w:hAnsi="Arial"/>
                <w:sz w:val="17"/>
                <w:szCs w:val="17"/>
                <w:color w:val="auto"/>
              </w:rPr>
              <w:t>Kristine C. Syrvalin</w:t>
            </w:r>
          </w:p>
        </w:tc>
        <w:tc>
          <w:tcPr>
            <w:tcW w:w="2060" w:type="dxa"/>
            <w:vAlign w:val="bottom"/>
            <w:tcBorders>
              <w:right w:val="single" w:sz="8" w:color="D8D8D8"/>
            </w:tcBorders>
            <w:shd w:val="clear" w:color="auto" w:fill="D8D8D8"/>
          </w:tcPr>
          <w:p>
            <w:pPr>
              <w:jc w:val="right"/>
              <w:spacing w:after="0"/>
              <w:rPr>
                <w:sz w:val="20"/>
                <w:szCs w:val="20"/>
                <w:color w:val="auto"/>
              </w:rPr>
            </w:pPr>
            <w:r>
              <w:rPr>
                <w:rFonts w:ascii="Arial" w:cs="Arial" w:eastAsia="Arial" w:hAnsi="Arial"/>
                <w:sz w:val="17"/>
                <w:szCs w:val="17"/>
                <w:color w:val="auto"/>
              </w:rPr>
              <w:t>7,030</w:t>
            </w:r>
          </w:p>
        </w:tc>
        <w:tc>
          <w:tcPr>
            <w:tcW w:w="36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52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64,650</w:t>
            </w:r>
          </w:p>
        </w:tc>
        <w:tc>
          <w:tcPr>
            <w:tcW w:w="200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10,740</w:t>
            </w:r>
          </w:p>
        </w:tc>
        <w:tc>
          <w:tcPr>
            <w:tcW w:w="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63,018</w:t>
            </w:r>
          </w:p>
        </w:tc>
      </w:tr>
      <w:tr>
        <w:trPr>
          <w:trHeight w:val="254"/>
        </w:trPr>
        <w:tc>
          <w:tcPr>
            <w:tcW w:w="3520" w:type="dxa"/>
            <w:vAlign w:val="bottom"/>
          </w:tcPr>
          <w:p>
            <w:pPr>
              <w:ind w:left="80"/>
              <w:spacing w:after="0"/>
              <w:rPr>
                <w:sz w:val="20"/>
                <w:szCs w:val="20"/>
                <w:color w:val="auto"/>
              </w:rPr>
            </w:pPr>
            <w:r>
              <w:rPr>
                <w:rFonts w:ascii="Arial" w:cs="Arial" w:eastAsia="Arial" w:hAnsi="Arial"/>
                <w:sz w:val="17"/>
                <w:szCs w:val="17"/>
                <w:color w:val="auto"/>
              </w:rPr>
              <w:t>Kevin A. Raketich</w:t>
            </w:r>
          </w:p>
        </w:tc>
        <w:tc>
          <w:tcPr>
            <w:tcW w:w="2060" w:type="dxa"/>
            <w:vAlign w:val="bottom"/>
          </w:tcPr>
          <w:p>
            <w:pPr>
              <w:jc w:val="right"/>
              <w:spacing w:after="0"/>
              <w:rPr>
                <w:sz w:val="20"/>
                <w:szCs w:val="20"/>
                <w:color w:val="auto"/>
              </w:rPr>
            </w:pPr>
            <w:r>
              <w:rPr>
                <w:rFonts w:ascii="Arial" w:cs="Arial" w:eastAsia="Arial" w:hAnsi="Arial"/>
                <w:sz w:val="17"/>
                <w:szCs w:val="17"/>
                <w:color w:val="auto"/>
              </w:rPr>
              <w:t>0</w:t>
            </w:r>
          </w:p>
        </w:tc>
        <w:tc>
          <w:tcPr>
            <w:tcW w:w="360" w:type="dxa"/>
            <w:vAlign w:val="bottom"/>
          </w:tcPr>
          <w:p>
            <w:pPr>
              <w:jc w:val="right"/>
              <w:spacing w:after="0"/>
              <w:rPr>
                <w:sz w:val="20"/>
                <w:szCs w:val="20"/>
                <w:color w:val="auto"/>
              </w:rPr>
            </w:pPr>
            <w:r>
              <w:rPr>
                <w:rFonts w:ascii="Arial" w:cs="Arial" w:eastAsia="Arial" w:hAnsi="Arial"/>
                <w:sz w:val="17"/>
                <w:szCs w:val="17"/>
                <w:color w:val="auto"/>
              </w:rPr>
              <w:t>$</w:t>
            </w:r>
          </w:p>
        </w:tc>
        <w:tc>
          <w:tcPr>
            <w:tcW w:w="1520" w:type="dxa"/>
            <w:vAlign w:val="bottom"/>
          </w:tcPr>
          <w:p>
            <w:pPr>
              <w:jc w:val="right"/>
              <w:ind w:right="95"/>
              <w:spacing w:after="0"/>
              <w:rPr>
                <w:sz w:val="20"/>
                <w:szCs w:val="20"/>
                <w:color w:val="auto"/>
              </w:rPr>
            </w:pPr>
            <w:r>
              <w:rPr>
                <w:rFonts w:ascii="Arial" w:cs="Arial" w:eastAsia="Arial" w:hAnsi="Arial"/>
                <w:sz w:val="17"/>
                <w:szCs w:val="17"/>
                <w:color w:val="auto"/>
              </w:rPr>
              <w:t>0</w:t>
            </w:r>
          </w:p>
        </w:tc>
        <w:tc>
          <w:tcPr>
            <w:tcW w:w="2000" w:type="dxa"/>
            <w:vAlign w:val="bottom"/>
          </w:tcPr>
          <w:p>
            <w:pPr>
              <w:jc w:val="right"/>
              <w:ind w:right="95"/>
              <w:spacing w:after="0"/>
              <w:rPr>
                <w:sz w:val="20"/>
                <w:szCs w:val="20"/>
                <w:color w:val="auto"/>
              </w:rPr>
            </w:pPr>
            <w:r>
              <w:rPr>
                <w:rFonts w:ascii="Arial" w:cs="Arial" w:eastAsia="Arial" w:hAnsi="Arial"/>
                <w:sz w:val="17"/>
                <w:szCs w:val="17"/>
                <w:color w:val="auto"/>
              </w:rPr>
              <w:t>5,800</w:t>
            </w:r>
          </w:p>
        </w:tc>
        <w:tc>
          <w:tcPr>
            <w:tcW w:w="280" w:type="dxa"/>
            <w:vAlign w:val="bottom"/>
          </w:tcPr>
          <w:p>
            <w:pPr>
              <w:jc w:val="right"/>
              <w:spacing w:after="0"/>
              <w:rPr>
                <w:sz w:val="20"/>
                <w:szCs w:val="20"/>
                <w:color w:val="auto"/>
              </w:rPr>
            </w:pPr>
            <w:r>
              <w:rPr>
                <w:rFonts w:ascii="Arial" w:cs="Arial" w:eastAsia="Arial" w:hAnsi="Arial"/>
                <w:sz w:val="17"/>
                <w:szCs w:val="17"/>
                <w:color w:val="auto"/>
              </w:rPr>
              <w:t>$</w:t>
            </w:r>
          </w:p>
        </w:tc>
        <w:tc>
          <w:tcPr>
            <w:tcW w:w="1280" w:type="dxa"/>
            <w:vAlign w:val="bottom"/>
          </w:tcPr>
          <w:p>
            <w:pPr>
              <w:jc w:val="right"/>
              <w:spacing w:after="0"/>
              <w:rPr>
                <w:sz w:val="20"/>
                <w:szCs w:val="20"/>
                <w:color w:val="auto"/>
              </w:rPr>
            </w:pPr>
            <w:r>
              <w:rPr>
                <w:rFonts w:ascii="Arial" w:cs="Arial" w:eastAsia="Arial" w:hAnsi="Arial"/>
                <w:sz w:val="17"/>
                <w:szCs w:val="17"/>
                <w:color w:val="auto"/>
              </w:rPr>
              <w:t>33,060</w:t>
            </w:r>
          </w:p>
        </w:tc>
      </w:tr>
      <w:tr>
        <w:trPr>
          <w:trHeight w:val="258"/>
        </w:trPr>
        <w:tc>
          <w:tcPr>
            <w:tcW w:w="3520" w:type="dxa"/>
            <w:vAlign w:val="bottom"/>
            <w:shd w:val="clear" w:color="auto" w:fill="D8D8D8"/>
          </w:tcPr>
          <w:p>
            <w:pPr>
              <w:ind w:left="80"/>
              <w:spacing w:after="0"/>
              <w:rPr>
                <w:sz w:val="20"/>
                <w:szCs w:val="20"/>
                <w:color w:val="auto"/>
              </w:rPr>
            </w:pPr>
            <w:r>
              <w:rPr>
                <w:rFonts w:ascii="Arial" w:cs="Arial" w:eastAsia="Arial" w:hAnsi="Arial"/>
                <w:sz w:val="17"/>
                <w:szCs w:val="17"/>
                <w:color w:val="auto"/>
              </w:rPr>
              <w:t>William P. Bryan</w:t>
            </w:r>
          </w:p>
        </w:tc>
        <w:tc>
          <w:tcPr>
            <w:tcW w:w="2060" w:type="dxa"/>
            <w:vAlign w:val="bottom"/>
            <w:tcBorders>
              <w:right w:val="single" w:sz="8" w:color="D8D8D8"/>
            </w:tcBorders>
            <w:shd w:val="clear" w:color="auto" w:fill="D8D8D8"/>
          </w:tcPr>
          <w:p>
            <w:pPr>
              <w:jc w:val="right"/>
              <w:spacing w:after="0"/>
              <w:rPr>
                <w:sz w:val="20"/>
                <w:szCs w:val="20"/>
                <w:color w:val="auto"/>
              </w:rPr>
            </w:pPr>
            <w:r>
              <w:rPr>
                <w:rFonts w:ascii="Arial" w:cs="Arial" w:eastAsia="Arial" w:hAnsi="Arial"/>
                <w:sz w:val="17"/>
                <w:szCs w:val="17"/>
                <w:color w:val="auto"/>
              </w:rPr>
              <w:t>29,810</w:t>
            </w:r>
          </w:p>
        </w:tc>
        <w:tc>
          <w:tcPr>
            <w:tcW w:w="36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52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280,273</w:t>
            </w:r>
          </w:p>
        </w:tc>
        <w:tc>
          <w:tcPr>
            <w:tcW w:w="2000" w:type="dxa"/>
            <w:vAlign w:val="bottom"/>
            <w:shd w:val="clear" w:color="auto" w:fill="D8D8D8"/>
          </w:tcPr>
          <w:p>
            <w:pPr>
              <w:jc w:val="right"/>
              <w:ind w:right="95"/>
              <w:spacing w:after="0"/>
              <w:rPr>
                <w:sz w:val="20"/>
                <w:szCs w:val="20"/>
                <w:color w:val="auto"/>
              </w:rPr>
            </w:pPr>
            <w:r>
              <w:rPr>
                <w:rFonts w:ascii="Arial" w:cs="Arial" w:eastAsia="Arial" w:hAnsi="Arial"/>
                <w:sz w:val="17"/>
                <w:szCs w:val="17"/>
                <w:color w:val="auto"/>
              </w:rPr>
              <w:t>10,064</w:t>
            </w:r>
          </w:p>
        </w:tc>
        <w:tc>
          <w:tcPr>
            <w:tcW w:w="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2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74,717</w:t>
            </w:r>
          </w:p>
        </w:tc>
      </w:tr>
      <w:tr>
        <w:trPr>
          <w:trHeight w:val="253"/>
        </w:trPr>
        <w:tc>
          <w:tcPr>
            <w:tcW w:w="3520" w:type="dxa"/>
            <w:vAlign w:val="bottom"/>
          </w:tcPr>
          <w:p>
            <w:pPr>
              <w:ind w:left="80"/>
              <w:spacing w:after="0"/>
              <w:rPr>
                <w:sz w:val="20"/>
                <w:szCs w:val="20"/>
                <w:color w:val="auto"/>
              </w:rPr>
            </w:pPr>
            <w:r>
              <w:rPr>
                <w:rFonts w:ascii="Arial" w:cs="Arial" w:eastAsia="Arial" w:hAnsi="Arial"/>
                <w:sz w:val="17"/>
                <w:szCs w:val="17"/>
                <w:color w:val="auto"/>
              </w:rPr>
              <w:t>Thomas D. Moline</w:t>
            </w:r>
          </w:p>
        </w:tc>
        <w:tc>
          <w:tcPr>
            <w:tcW w:w="2060" w:type="dxa"/>
            <w:vAlign w:val="bottom"/>
          </w:tcPr>
          <w:p>
            <w:pPr>
              <w:jc w:val="right"/>
              <w:spacing w:after="0"/>
              <w:rPr>
                <w:sz w:val="20"/>
                <w:szCs w:val="20"/>
                <w:color w:val="auto"/>
              </w:rPr>
            </w:pPr>
            <w:r>
              <w:rPr>
                <w:rFonts w:ascii="Arial" w:cs="Arial" w:eastAsia="Arial" w:hAnsi="Arial"/>
                <w:sz w:val="17"/>
                <w:szCs w:val="17"/>
                <w:color w:val="auto"/>
              </w:rPr>
              <w:t>0</w:t>
            </w:r>
          </w:p>
        </w:tc>
        <w:tc>
          <w:tcPr>
            <w:tcW w:w="360" w:type="dxa"/>
            <w:vAlign w:val="bottom"/>
          </w:tcPr>
          <w:p>
            <w:pPr>
              <w:jc w:val="right"/>
              <w:spacing w:after="0"/>
              <w:rPr>
                <w:sz w:val="20"/>
                <w:szCs w:val="20"/>
                <w:color w:val="auto"/>
              </w:rPr>
            </w:pPr>
            <w:r>
              <w:rPr>
                <w:rFonts w:ascii="Arial" w:cs="Arial" w:eastAsia="Arial" w:hAnsi="Arial"/>
                <w:sz w:val="17"/>
                <w:szCs w:val="17"/>
                <w:color w:val="auto"/>
              </w:rPr>
              <w:t>$</w:t>
            </w:r>
          </w:p>
        </w:tc>
        <w:tc>
          <w:tcPr>
            <w:tcW w:w="1520" w:type="dxa"/>
            <w:vAlign w:val="bottom"/>
          </w:tcPr>
          <w:p>
            <w:pPr>
              <w:jc w:val="right"/>
              <w:ind w:right="95"/>
              <w:spacing w:after="0"/>
              <w:rPr>
                <w:sz w:val="20"/>
                <w:szCs w:val="20"/>
                <w:color w:val="auto"/>
              </w:rPr>
            </w:pPr>
            <w:r>
              <w:rPr>
                <w:rFonts w:ascii="Arial" w:cs="Arial" w:eastAsia="Arial" w:hAnsi="Arial"/>
                <w:sz w:val="17"/>
                <w:szCs w:val="17"/>
                <w:color w:val="auto"/>
              </w:rPr>
              <w:t>0</w:t>
            </w:r>
          </w:p>
        </w:tc>
        <w:tc>
          <w:tcPr>
            <w:tcW w:w="2000" w:type="dxa"/>
            <w:vAlign w:val="bottom"/>
          </w:tcPr>
          <w:p>
            <w:pPr>
              <w:jc w:val="right"/>
              <w:ind w:right="95"/>
              <w:spacing w:after="0"/>
              <w:rPr>
                <w:sz w:val="20"/>
                <w:szCs w:val="20"/>
                <w:color w:val="auto"/>
              </w:rPr>
            </w:pPr>
            <w:r>
              <w:rPr>
                <w:rFonts w:ascii="Arial" w:cs="Arial" w:eastAsia="Arial" w:hAnsi="Arial"/>
                <w:sz w:val="17"/>
                <w:szCs w:val="17"/>
                <w:color w:val="auto"/>
              </w:rPr>
              <w:t>10,064</w:t>
            </w:r>
          </w:p>
        </w:tc>
        <w:tc>
          <w:tcPr>
            <w:tcW w:w="280" w:type="dxa"/>
            <w:vAlign w:val="bottom"/>
          </w:tcPr>
          <w:p>
            <w:pPr>
              <w:jc w:val="right"/>
              <w:spacing w:after="0"/>
              <w:rPr>
                <w:sz w:val="20"/>
                <w:szCs w:val="20"/>
                <w:color w:val="auto"/>
              </w:rPr>
            </w:pPr>
            <w:r>
              <w:rPr>
                <w:rFonts w:ascii="Arial" w:cs="Arial" w:eastAsia="Arial" w:hAnsi="Arial"/>
                <w:sz w:val="17"/>
                <w:szCs w:val="17"/>
                <w:color w:val="auto"/>
              </w:rPr>
              <w:t>$</w:t>
            </w:r>
          </w:p>
        </w:tc>
        <w:tc>
          <w:tcPr>
            <w:tcW w:w="1280" w:type="dxa"/>
            <w:vAlign w:val="bottom"/>
          </w:tcPr>
          <w:p>
            <w:pPr>
              <w:jc w:val="right"/>
              <w:spacing w:after="0"/>
              <w:rPr>
                <w:sz w:val="20"/>
                <w:szCs w:val="20"/>
                <w:color w:val="auto"/>
              </w:rPr>
            </w:pPr>
            <w:r>
              <w:rPr>
                <w:rFonts w:ascii="Arial" w:cs="Arial" w:eastAsia="Arial" w:hAnsi="Arial"/>
                <w:sz w:val="17"/>
                <w:szCs w:val="17"/>
                <w:color w:val="auto"/>
              </w:rPr>
              <w:t>74,717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5996940</wp:posOffset>
            </wp:positionH>
            <wp:positionV relativeFrom="paragraph">
              <wp:posOffset>-1265555</wp:posOffset>
            </wp:positionV>
            <wp:extent cx="8255" cy="29146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8255" cy="291465"/>
                    </a:xfrm>
                    <a:prstGeom prst="rect">
                      <a:avLst/>
                    </a:prstGeom>
                    <a:noFill/>
                  </pic:spPr>
                </pic:pic>
              </a:graphicData>
            </a:graphic>
          </wp:anchor>
        </w:drawing>
      </w:r>
    </w:p>
    <w:p>
      <w:pPr>
        <w:spacing w:after="0" w:line="46" w:lineRule="exact"/>
        <w:rPr>
          <w:sz w:val="20"/>
          <w:szCs w:val="20"/>
          <w:color w:val="auto"/>
        </w:rPr>
      </w:pPr>
    </w:p>
    <w:p>
      <w:pPr>
        <w:ind w:left="540" w:right="300" w:hanging="424"/>
        <w:spacing w:after="0" w:line="253" w:lineRule="auto"/>
        <w:tabs>
          <w:tab w:leader="none" w:pos="540" w:val="left"/>
        </w:tabs>
        <w:numPr>
          <w:ilvl w:val="0"/>
          <w:numId w:val="63"/>
        </w:numPr>
        <w:rPr>
          <w:rFonts w:ascii="Arial" w:cs="Arial" w:eastAsia="Arial" w:hAnsi="Arial"/>
          <w:sz w:val="12"/>
          <w:szCs w:val="12"/>
          <w:color w:val="auto"/>
        </w:rPr>
      </w:pPr>
      <w:r>
        <w:rPr>
          <w:rFonts w:ascii="Arial" w:cs="Arial" w:eastAsia="Arial" w:hAnsi="Arial"/>
          <w:sz w:val="14"/>
          <w:szCs w:val="14"/>
          <w:color w:val="auto"/>
        </w:rPr>
        <w:t>The value realized on the exercise of options is the difference between exercise price and the fair market value of our common shares on the date of exercise. For this purpose, fair market value is determined by a real-time trading quote from the New York Stock Exchange at the time of exercise.</w:t>
      </w:r>
    </w:p>
    <w:p>
      <w:pPr>
        <w:spacing w:after="0" w:line="38" w:lineRule="exact"/>
        <w:rPr>
          <w:rFonts w:ascii="Arial" w:cs="Arial" w:eastAsia="Arial" w:hAnsi="Arial"/>
          <w:sz w:val="12"/>
          <w:szCs w:val="12"/>
          <w:color w:val="auto"/>
        </w:rPr>
      </w:pPr>
    </w:p>
    <w:p>
      <w:pPr>
        <w:ind w:left="540" w:right="220" w:hanging="424"/>
        <w:spacing w:after="0" w:line="290" w:lineRule="auto"/>
        <w:tabs>
          <w:tab w:leader="none" w:pos="540" w:val="left"/>
        </w:tabs>
        <w:numPr>
          <w:ilvl w:val="0"/>
          <w:numId w:val="63"/>
        </w:numPr>
        <w:rPr>
          <w:rFonts w:ascii="Arial" w:cs="Arial" w:eastAsia="Arial" w:hAnsi="Arial"/>
          <w:sz w:val="11"/>
          <w:szCs w:val="11"/>
          <w:color w:val="auto"/>
        </w:rPr>
      </w:pPr>
      <w:r>
        <w:rPr>
          <w:rFonts w:ascii="Arial" w:cs="Arial" w:eastAsia="Arial" w:hAnsi="Arial"/>
          <w:sz w:val="13"/>
          <w:szCs w:val="13"/>
          <w:color w:val="auto"/>
        </w:rPr>
        <w:t>The value realized on vesting for stock awards is calculated by multiplying the number of shares acquired on vesting by the fair market value of TimkenSteel common shares on the vesting date. For purposes of this calculation, the fair market value of restricted stock units that vest is equal to the closing price of our common shares on the vesting date.</w:t>
      </w:r>
    </w:p>
    <w:p>
      <w:pPr>
        <w:spacing w:after="0" w:line="93"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62</w:t>
      </w:r>
    </w:p>
    <w:p>
      <w:pPr>
        <w:sectPr>
          <w:pgSz w:w="11900" w:h="16838" w:orient="portrait"/>
          <w:cols w:equalWidth="0" w:num="1">
            <w:col w:w="11140"/>
          </w:cols>
          <w:pgMar w:left="320" w:top="459" w:right="4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Pension benefits</w:t>
      </w:r>
    </w:p>
    <w:p>
      <w:pPr>
        <w:spacing w:after="0" w:line="34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Qualified Plan</w:t>
      </w:r>
    </w:p>
    <w:p>
      <w:pPr>
        <w:spacing w:after="0" w:line="117" w:lineRule="exact"/>
        <w:rPr>
          <w:sz w:val="20"/>
          <w:szCs w:val="20"/>
          <w:color w:val="auto"/>
        </w:rPr>
      </w:pPr>
    </w:p>
    <w:p>
      <w:pPr>
        <w:ind w:left="120"/>
        <w:spacing w:after="0" w:line="259" w:lineRule="auto"/>
        <w:rPr>
          <w:sz w:val="20"/>
          <w:szCs w:val="20"/>
          <w:color w:val="auto"/>
        </w:rPr>
      </w:pPr>
      <w:r>
        <w:rPr>
          <w:rFonts w:ascii="Arial" w:cs="Arial" w:eastAsia="Arial" w:hAnsi="Arial"/>
          <w:sz w:val="18"/>
          <w:szCs w:val="18"/>
          <w:color w:val="auto"/>
        </w:rPr>
        <w:t>In connection with the spinoff of TimkenSteel from The Timken Company in 2014, TimkenSteel adopted a tax-qualified defined benefit retirement plan (the “Qualified Plan”) which is substantially similar to the defined benefit retirement plan maintained by The Timken Company prior to spinoff. Years of service with The Timken Company prior to spinoff count toward years of service under the Qualified Plan. As noted below, benefit accruals under the Qualified Plan were frozen as of December 31, 2020.</w:t>
      </w:r>
    </w:p>
    <w:p>
      <w:pPr>
        <w:spacing w:after="0" w:line="187" w:lineRule="exact"/>
        <w:rPr>
          <w:sz w:val="20"/>
          <w:szCs w:val="20"/>
          <w:color w:val="auto"/>
        </w:rPr>
      </w:pPr>
    </w:p>
    <w:p>
      <w:pPr>
        <w:ind w:left="120" w:right="80"/>
        <w:spacing w:after="0" w:line="257" w:lineRule="auto"/>
        <w:rPr>
          <w:sz w:val="20"/>
          <w:szCs w:val="20"/>
          <w:color w:val="auto"/>
        </w:rPr>
      </w:pPr>
      <w:r>
        <w:rPr>
          <w:rFonts w:ascii="Arial" w:cs="Arial" w:eastAsia="Arial" w:hAnsi="Arial"/>
          <w:sz w:val="18"/>
          <w:szCs w:val="18"/>
          <w:color w:val="auto"/>
        </w:rPr>
        <w:t>Pursuant to the Qualified Plan, salaried employees whose age plus years of service equaled or exceeded 50 as of December 31, 2003, participate in a defined benefit plan with a formula of 0.75 percent per year of service times average earnings, including base salary and cash annual incentive compensation, for the highest five non-consecutive years of the ten years preceding retirement (“Final Average Earnings”). For all employees in a defined benefit plan as of December 31, 2003, the formula in effect at the time of service, using Final Average Earnings at retirement, is applied to such service.</w:t>
      </w:r>
    </w:p>
    <w:p>
      <w:pPr>
        <w:spacing w:after="0" w:line="188" w:lineRule="exact"/>
        <w:rPr>
          <w:sz w:val="20"/>
          <w:szCs w:val="20"/>
          <w:color w:val="auto"/>
        </w:rPr>
      </w:pPr>
    </w:p>
    <w:p>
      <w:pPr>
        <w:ind w:left="120" w:right="300"/>
        <w:spacing w:after="0" w:line="263" w:lineRule="auto"/>
        <w:rPr>
          <w:sz w:val="20"/>
          <w:szCs w:val="20"/>
          <w:color w:val="auto"/>
        </w:rPr>
      </w:pPr>
      <w:r>
        <w:rPr>
          <w:rFonts w:ascii="Arial" w:cs="Arial" w:eastAsia="Arial" w:hAnsi="Arial"/>
          <w:sz w:val="18"/>
          <w:szCs w:val="18"/>
          <w:color w:val="auto"/>
        </w:rPr>
        <w:t>The benefit is generally payable beginning at age 65 for the lifetime of the employee, with alternative forms of payment available with actuarial adjustments. Participants may retire early for purposes of the Qualified Plan if they meet any of the following eligibility requirements: age 62 and 15 years of service; age 60 and 25 years of service; or any age and 30 years of service.</w:t>
      </w:r>
    </w:p>
    <w:p>
      <w:pPr>
        <w:spacing w:after="0" w:line="184" w:lineRule="exact"/>
        <w:rPr>
          <w:sz w:val="20"/>
          <w:szCs w:val="20"/>
          <w:color w:val="auto"/>
        </w:rPr>
      </w:pPr>
    </w:p>
    <w:p>
      <w:pPr>
        <w:ind w:left="120" w:right="180"/>
        <w:spacing w:after="0" w:line="277" w:lineRule="auto"/>
        <w:rPr>
          <w:sz w:val="20"/>
          <w:szCs w:val="20"/>
          <w:color w:val="auto"/>
        </w:rPr>
      </w:pPr>
      <w:r>
        <w:rPr>
          <w:rFonts w:ascii="Arial" w:cs="Arial" w:eastAsia="Arial" w:hAnsi="Arial"/>
          <w:sz w:val="18"/>
          <w:szCs w:val="18"/>
          <w:color w:val="auto"/>
        </w:rPr>
        <w:t>In addition, participants age 55 with at least 15 years of service may retire and receive the portion of their Qualified Plan benefit attributable to service earned after 2003.</w:t>
      </w:r>
    </w:p>
    <w:p>
      <w:pPr>
        <w:spacing w:after="0" w:line="170"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auto"/>
        </w:rPr>
        <w:t>Benefits for service after December 31, 1991, are reduced for early commencement at a rate of 3 percent per year before the age of 60 for the portion of the benefit attributable to service earned between 1992 and 2003, and 4 percent per year before age 62 for the portion of the benefit attributable to service earned after 2003.</w:t>
      </w:r>
    </w:p>
    <w:p>
      <w:pPr>
        <w:spacing w:after="0" w:line="184" w:lineRule="exact"/>
        <w:rPr>
          <w:sz w:val="20"/>
          <w:szCs w:val="20"/>
          <w:color w:val="auto"/>
        </w:rPr>
      </w:pPr>
    </w:p>
    <w:p>
      <w:pPr>
        <w:jc w:val="both"/>
        <w:ind w:left="120" w:right="100"/>
        <w:spacing w:after="0" w:line="287" w:lineRule="auto"/>
        <w:rPr>
          <w:sz w:val="20"/>
          <w:szCs w:val="20"/>
          <w:color w:val="auto"/>
        </w:rPr>
      </w:pPr>
      <w:r>
        <w:rPr>
          <w:rFonts w:ascii="Arial" w:cs="Arial" w:eastAsia="Arial" w:hAnsi="Arial"/>
          <w:sz w:val="16"/>
          <w:szCs w:val="16"/>
          <w:color w:val="auto"/>
        </w:rPr>
        <w:t>Benefits for an NEO who dies while actively employed are payable to the surviving spouse from the defined benefit pension plans at the NEO’s normal retirement date (or on a reduced basis at an early retirement date) if the NEO had at least five years of service. The benefit is equal to 50 percent of the benefit payable if the NEO had terminated employment on the date of his death, survived to the payment date (as elected by his spouse), elected the</w:t>
      </w:r>
    </w:p>
    <w:p>
      <w:pPr>
        <w:spacing w:after="0" w:line="2" w:lineRule="exact"/>
        <w:rPr>
          <w:sz w:val="20"/>
          <w:szCs w:val="20"/>
          <w:color w:val="auto"/>
        </w:rPr>
      </w:pPr>
    </w:p>
    <w:p>
      <w:pPr>
        <w:ind w:left="120" w:right="240"/>
        <w:spacing w:after="0" w:line="323" w:lineRule="auto"/>
        <w:rPr>
          <w:sz w:val="20"/>
          <w:szCs w:val="20"/>
          <w:color w:val="auto"/>
        </w:rPr>
      </w:pPr>
      <w:r>
        <w:rPr>
          <w:rFonts w:ascii="Arial" w:cs="Arial" w:eastAsia="Arial" w:hAnsi="Arial"/>
          <w:sz w:val="16"/>
          <w:szCs w:val="16"/>
          <w:color w:val="auto"/>
        </w:rPr>
        <w:t>50 percent joint and survivor form of payment and died the next day. If the NEO had at least 15 years of service at the time of his death, the benefit is equal to 50 percent of the accrued benefit at time of death payable immediately, but with any applicable early commencement reduction.</w:t>
      </w:r>
    </w:p>
    <w:p>
      <w:pPr>
        <w:spacing w:after="0" w:line="138" w:lineRule="exact"/>
        <w:rPr>
          <w:sz w:val="20"/>
          <w:szCs w:val="20"/>
          <w:color w:val="auto"/>
        </w:rPr>
      </w:pPr>
    </w:p>
    <w:p>
      <w:pPr>
        <w:ind w:left="120" w:right="60"/>
        <w:spacing w:after="0" w:line="277" w:lineRule="auto"/>
        <w:rPr>
          <w:sz w:val="20"/>
          <w:szCs w:val="20"/>
          <w:color w:val="auto"/>
        </w:rPr>
      </w:pPr>
      <w:r>
        <w:rPr>
          <w:rFonts w:ascii="Arial" w:cs="Arial" w:eastAsia="Arial" w:hAnsi="Arial"/>
          <w:sz w:val="18"/>
          <w:szCs w:val="18"/>
          <w:color w:val="auto"/>
        </w:rPr>
        <w:t>Only actual years of service with TimkenSteel and, prior to the spinoff, The Timken Company, are counted in calculating pension benefits, except in the case of involuntary termination without cause, in which case up to two additional years of service were credited.</w:t>
      </w:r>
    </w:p>
    <w:p>
      <w:pPr>
        <w:spacing w:after="0" w:line="170"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color w:val="auto"/>
        </w:rPr>
        <w:t>In November 2019, the Qualified Plan was amended to provide that additional benefit accruals for any remaining active participants (including any NEOs participating in the Qualified Plan) would cease as of December 31, 2020.</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Supplemental Pension Plan</w:t>
      </w:r>
    </w:p>
    <w:p>
      <w:pPr>
        <w:spacing w:after="0" w:line="117" w:lineRule="exact"/>
        <w:rPr>
          <w:sz w:val="20"/>
          <w:szCs w:val="20"/>
          <w:color w:val="auto"/>
        </w:rPr>
      </w:pPr>
    </w:p>
    <w:p>
      <w:pPr>
        <w:jc w:val="both"/>
        <w:ind w:left="120" w:right="160"/>
        <w:spacing w:after="0" w:line="263" w:lineRule="auto"/>
        <w:rPr>
          <w:sz w:val="20"/>
          <w:szCs w:val="20"/>
          <w:color w:val="auto"/>
        </w:rPr>
      </w:pPr>
      <w:r>
        <w:rPr>
          <w:rFonts w:ascii="Arial" w:cs="Arial" w:eastAsia="Arial" w:hAnsi="Arial"/>
          <w:sz w:val="18"/>
          <w:szCs w:val="18"/>
          <w:color w:val="auto"/>
        </w:rPr>
        <w:t>In connection with the spinoff, the company also adopted the Supplemental Pension Plan of TimkenSteel Corporation (effective June 30, 2014), or the TimkenSteel SERP, which is substantially similar to the supplemental pension plan maintained by The Timken Company prior to the spinoff. As noted below, benefit accruals under the SERP were frozen as of December 31, 2020.</w:t>
      </w:r>
    </w:p>
    <w:p>
      <w:pPr>
        <w:spacing w:after="0" w:line="184" w:lineRule="exact"/>
        <w:rPr>
          <w:sz w:val="20"/>
          <w:szCs w:val="20"/>
          <w:color w:val="auto"/>
        </w:rPr>
      </w:pPr>
    </w:p>
    <w:p>
      <w:pPr>
        <w:jc w:val="both"/>
        <w:ind w:left="120" w:right="60"/>
        <w:spacing w:after="0" w:line="263" w:lineRule="auto"/>
        <w:rPr>
          <w:sz w:val="20"/>
          <w:szCs w:val="20"/>
          <w:color w:val="auto"/>
        </w:rPr>
      </w:pPr>
      <w:r>
        <w:rPr>
          <w:rFonts w:ascii="Arial" w:cs="Arial" w:eastAsia="Arial" w:hAnsi="Arial"/>
          <w:sz w:val="18"/>
          <w:szCs w:val="18"/>
          <w:color w:val="auto"/>
        </w:rPr>
        <w:t>Supplemental retirement income benefits under the TimkenSteel SERP are calculated using a target benefit of 60% of Final Average Earnings, offset by any defined benefit plan payments provided by the company and the aggregate earnings opportunity provided by any company contributions under the core defined contribution program (the</w:t>
      </w:r>
    </w:p>
    <w:p>
      <w:pPr>
        <w:spacing w:after="0" w:line="121"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63</w:t>
      </w:r>
    </w:p>
    <w:p>
      <w:pPr>
        <w:sectPr>
          <w:pgSz w:w="11900" w:h="16838" w:orient="portrait"/>
          <w:cols w:equalWidth="0" w:num="1">
            <w:col w:w="11120"/>
          </w:cols>
          <w:pgMar w:left="320" w:top="459" w:right="45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80"/>
        <w:spacing w:after="0" w:line="311" w:lineRule="auto"/>
        <w:rPr>
          <w:sz w:val="20"/>
          <w:szCs w:val="20"/>
          <w:color w:val="auto"/>
        </w:rPr>
      </w:pPr>
      <w:r>
        <w:rPr>
          <w:rFonts w:ascii="Arial" w:cs="Arial" w:eastAsia="Arial" w:hAnsi="Arial"/>
          <w:sz w:val="16"/>
          <w:szCs w:val="16"/>
          <w:color w:val="auto"/>
        </w:rPr>
        <w:t>TimkenSteel Corporation Savings and Investment Pension Plan) and the post-tax savings benefit. The supplemental benefit will vest after five years of service as an officer of the company, with normal retirement being considered as of age 62. Early retirement at age 55 with at least 15 years of company service is available, but if benefits are commenced early, they will be reduced by 4% per year for each year of early commencement prior to age 62.</w:t>
      </w:r>
    </w:p>
    <w:p>
      <w:pPr>
        <w:spacing w:after="0" w:line="149" w:lineRule="exact"/>
        <w:rPr>
          <w:sz w:val="20"/>
          <w:szCs w:val="20"/>
          <w:color w:val="auto"/>
        </w:rPr>
      </w:pPr>
    </w:p>
    <w:p>
      <w:pPr>
        <w:ind w:left="120" w:right="200"/>
        <w:spacing w:after="0" w:line="263" w:lineRule="auto"/>
        <w:rPr>
          <w:sz w:val="20"/>
          <w:szCs w:val="20"/>
          <w:color w:val="auto"/>
        </w:rPr>
      </w:pPr>
      <w:r>
        <w:rPr>
          <w:rFonts w:ascii="Arial" w:cs="Arial" w:eastAsia="Arial" w:hAnsi="Arial"/>
          <w:sz w:val="18"/>
          <w:szCs w:val="18"/>
          <w:color w:val="auto"/>
        </w:rPr>
        <w:t>As with the Qualified Plan, only actual years of service with TimkenSteel and, prior to the spinoff, The Timken Company, are counted in calculating pension benefits under the TimkenSteel SERP, except in the case of involuntary termination without cause, in which case up to two additional years of service were credited.</w:t>
      </w:r>
    </w:p>
    <w:p>
      <w:pPr>
        <w:spacing w:after="0" w:line="184" w:lineRule="exact"/>
        <w:rPr>
          <w:sz w:val="20"/>
          <w:szCs w:val="20"/>
          <w:color w:val="auto"/>
        </w:rPr>
      </w:pPr>
    </w:p>
    <w:p>
      <w:pPr>
        <w:ind w:left="120" w:right="820"/>
        <w:spacing w:after="0" w:line="277" w:lineRule="auto"/>
        <w:rPr>
          <w:sz w:val="20"/>
          <w:szCs w:val="20"/>
          <w:color w:val="auto"/>
        </w:rPr>
      </w:pPr>
      <w:r>
        <w:rPr>
          <w:rFonts w:ascii="Arial" w:cs="Arial" w:eastAsia="Arial" w:hAnsi="Arial"/>
          <w:sz w:val="18"/>
          <w:szCs w:val="18"/>
          <w:color w:val="auto"/>
        </w:rPr>
        <w:t>In November 2019, the SERP was amended to provide that additional benefit accruals for any remaining active participants would cease as of December 31, 2020.</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2021 Pension benefits table</w:t>
      </w:r>
    </w:p>
    <w:p>
      <w:pPr>
        <w:spacing w:after="0" w:line="117" w:lineRule="exact"/>
        <w:rPr>
          <w:sz w:val="20"/>
          <w:szCs w:val="20"/>
          <w:color w:val="auto"/>
        </w:rPr>
      </w:pPr>
    </w:p>
    <w:p>
      <w:pPr>
        <w:ind w:left="120"/>
        <w:spacing w:after="0"/>
        <w:rPr>
          <w:sz w:val="20"/>
          <w:szCs w:val="20"/>
          <w:color w:val="auto"/>
        </w:rPr>
      </w:pPr>
      <w:r>
        <w:rPr>
          <w:rFonts w:ascii="Arial" w:cs="Arial" w:eastAsia="Arial" w:hAnsi="Arial"/>
          <w:sz w:val="17"/>
          <w:szCs w:val="17"/>
          <w:color w:val="auto"/>
        </w:rPr>
        <w:t>The following table sets forth the number of years of credited service and actuarial value of the defined benefit pension plans for our NEOs as of</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5105400</wp:posOffset>
            </wp:positionH>
            <wp:positionV relativeFrom="paragraph">
              <wp:posOffset>160020</wp:posOffset>
            </wp:positionV>
            <wp:extent cx="8255" cy="54864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8255" cy="548640"/>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160020</wp:posOffset>
            </wp:positionV>
            <wp:extent cx="8890" cy="54864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8890" cy="548640"/>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160020</wp:posOffset>
            </wp:positionV>
            <wp:extent cx="8890" cy="54864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8890" cy="548640"/>
                    </a:xfrm>
                    <a:prstGeom prst="rect">
                      <a:avLst/>
                    </a:prstGeom>
                    <a:noFill/>
                  </pic:spPr>
                </pic:pic>
              </a:graphicData>
            </a:graphic>
          </wp:anchor>
        </w:drawing>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229"/>
        </w:trPr>
        <w:tc>
          <w:tcPr>
            <w:tcW w:w="3400" w:type="dxa"/>
            <w:vAlign w:val="bottom"/>
            <w:shd w:val="clear" w:color="auto" w:fill="333333"/>
          </w:tcPr>
          <w:p>
            <w:pPr>
              <w:spacing w:after="0"/>
              <w:rPr>
                <w:sz w:val="19"/>
                <w:szCs w:val="19"/>
                <w:color w:val="auto"/>
              </w:rPr>
            </w:pPr>
          </w:p>
        </w:tc>
        <w:tc>
          <w:tcPr>
            <w:tcW w:w="2800" w:type="dxa"/>
            <w:vAlign w:val="bottom"/>
            <w:shd w:val="clear" w:color="auto" w:fill="333333"/>
          </w:tcPr>
          <w:p>
            <w:pPr>
              <w:spacing w:after="0"/>
              <w:rPr>
                <w:sz w:val="19"/>
                <w:szCs w:val="19"/>
                <w:color w:val="auto"/>
              </w:rPr>
            </w:pPr>
          </w:p>
        </w:tc>
        <w:tc>
          <w:tcPr>
            <w:tcW w:w="1780" w:type="dxa"/>
            <w:vAlign w:val="bottom"/>
            <w:shd w:val="clear" w:color="auto" w:fill="333333"/>
          </w:tcPr>
          <w:p>
            <w:pPr>
              <w:jc w:val="center"/>
              <w:ind w:left="467"/>
              <w:spacing w:after="0"/>
              <w:rPr>
                <w:sz w:val="20"/>
                <w:szCs w:val="20"/>
                <w:color w:val="auto"/>
              </w:rPr>
            </w:pPr>
            <w:r>
              <w:rPr>
                <w:rFonts w:ascii="Arial" w:cs="Arial" w:eastAsia="Arial" w:hAnsi="Arial"/>
                <w:sz w:val="16"/>
                <w:szCs w:val="16"/>
                <w:b w:val="1"/>
                <w:bCs w:val="1"/>
                <w:color w:val="FFFFFF"/>
                <w:w w:val="94"/>
              </w:rPr>
              <w:t>Number of</w:t>
            </w:r>
          </w:p>
        </w:tc>
        <w:tc>
          <w:tcPr>
            <w:tcW w:w="820" w:type="dxa"/>
            <w:vAlign w:val="bottom"/>
            <w:shd w:val="clear" w:color="auto" w:fill="333333"/>
          </w:tcPr>
          <w:p>
            <w:pPr>
              <w:spacing w:after="0"/>
              <w:rPr>
                <w:sz w:val="19"/>
                <w:szCs w:val="19"/>
                <w:color w:val="auto"/>
              </w:rPr>
            </w:pPr>
          </w:p>
        </w:tc>
        <w:tc>
          <w:tcPr>
            <w:tcW w:w="2220" w:type="dxa"/>
            <w:vAlign w:val="bottom"/>
            <w:shd w:val="clear" w:color="auto" w:fill="333333"/>
          </w:tcPr>
          <w:p>
            <w:pPr>
              <w:spacing w:after="0"/>
              <w:rPr>
                <w:sz w:val="19"/>
                <w:szCs w:val="19"/>
                <w:color w:val="auto"/>
              </w:rPr>
            </w:pPr>
          </w:p>
        </w:tc>
      </w:tr>
      <w:tr>
        <w:trPr>
          <w:trHeight w:val="203"/>
        </w:trPr>
        <w:tc>
          <w:tcPr>
            <w:tcW w:w="3400" w:type="dxa"/>
            <w:vAlign w:val="bottom"/>
            <w:shd w:val="clear" w:color="auto" w:fill="333333"/>
          </w:tcPr>
          <w:p>
            <w:pPr>
              <w:spacing w:after="0"/>
              <w:rPr>
                <w:sz w:val="17"/>
                <w:szCs w:val="17"/>
                <w:color w:val="auto"/>
              </w:rPr>
            </w:pPr>
          </w:p>
        </w:tc>
        <w:tc>
          <w:tcPr>
            <w:tcW w:w="2800" w:type="dxa"/>
            <w:vAlign w:val="bottom"/>
            <w:shd w:val="clear" w:color="auto" w:fill="333333"/>
          </w:tcPr>
          <w:p>
            <w:pPr>
              <w:spacing w:after="0"/>
              <w:rPr>
                <w:sz w:val="17"/>
                <w:szCs w:val="17"/>
                <w:color w:val="auto"/>
              </w:rPr>
            </w:pPr>
          </w:p>
        </w:tc>
        <w:tc>
          <w:tcPr>
            <w:tcW w:w="1780" w:type="dxa"/>
            <w:vAlign w:val="bottom"/>
            <w:shd w:val="clear" w:color="auto" w:fill="333333"/>
          </w:tcPr>
          <w:p>
            <w:pPr>
              <w:jc w:val="center"/>
              <w:ind w:left="467"/>
              <w:spacing w:after="0"/>
              <w:rPr>
                <w:sz w:val="20"/>
                <w:szCs w:val="20"/>
                <w:color w:val="auto"/>
              </w:rPr>
            </w:pPr>
            <w:r>
              <w:rPr>
                <w:rFonts w:ascii="Arial" w:cs="Arial" w:eastAsia="Arial" w:hAnsi="Arial"/>
                <w:sz w:val="16"/>
                <w:szCs w:val="16"/>
                <w:b w:val="1"/>
                <w:bCs w:val="1"/>
                <w:color w:val="FFFFFF"/>
                <w:w w:val="91"/>
              </w:rPr>
              <w:t>years of</w:t>
            </w:r>
          </w:p>
        </w:tc>
        <w:tc>
          <w:tcPr>
            <w:tcW w:w="820" w:type="dxa"/>
            <w:vAlign w:val="bottom"/>
            <w:shd w:val="clear" w:color="auto" w:fill="333333"/>
          </w:tcPr>
          <w:p>
            <w:pPr>
              <w:spacing w:after="0"/>
              <w:rPr>
                <w:sz w:val="17"/>
                <w:szCs w:val="17"/>
                <w:color w:val="auto"/>
              </w:rPr>
            </w:pPr>
          </w:p>
        </w:tc>
        <w:tc>
          <w:tcPr>
            <w:tcW w:w="2220" w:type="dxa"/>
            <w:vAlign w:val="bottom"/>
            <w:shd w:val="clear" w:color="auto" w:fill="333333"/>
          </w:tcPr>
          <w:p>
            <w:pPr>
              <w:spacing w:after="0"/>
              <w:rPr>
                <w:sz w:val="17"/>
                <w:szCs w:val="17"/>
                <w:color w:val="auto"/>
              </w:rPr>
            </w:pPr>
          </w:p>
        </w:tc>
      </w:tr>
      <w:tr>
        <w:trPr>
          <w:trHeight w:val="203"/>
        </w:trPr>
        <w:tc>
          <w:tcPr>
            <w:tcW w:w="3400" w:type="dxa"/>
            <w:vAlign w:val="bottom"/>
            <w:shd w:val="clear" w:color="auto" w:fill="333333"/>
          </w:tcPr>
          <w:p>
            <w:pPr>
              <w:spacing w:after="0"/>
              <w:rPr>
                <w:sz w:val="17"/>
                <w:szCs w:val="17"/>
                <w:color w:val="auto"/>
              </w:rPr>
            </w:pPr>
          </w:p>
        </w:tc>
        <w:tc>
          <w:tcPr>
            <w:tcW w:w="2800" w:type="dxa"/>
            <w:vAlign w:val="bottom"/>
            <w:shd w:val="clear" w:color="auto" w:fill="333333"/>
          </w:tcPr>
          <w:p>
            <w:pPr>
              <w:spacing w:after="0"/>
              <w:rPr>
                <w:sz w:val="17"/>
                <w:szCs w:val="17"/>
                <w:color w:val="auto"/>
              </w:rPr>
            </w:pPr>
          </w:p>
        </w:tc>
        <w:tc>
          <w:tcPr>
            <w:tcW w:w="1780" w:type="dxa"/>
            <w:vAlign w:val="bottom"/>
            <w:shd w:val="clear" w:color="auto" w:fill="333333"/>
          </w:tcPr>
          <w:p>
            <w:pPr>
              <w:jc w:val="center"/>
              <w:ind w:left="467"/>
              <w:spacing w:after="0"/>
              <w:rPr>
                <w:sz w:val="20"/>
                <w:szCs w:val="20"/>
                <w:color w:val="auto"/>
              </w:rPr>
            </w:pPr>
            <w:r>
              <w:rPr>
                <w:rFonts w:ascii="Arial" w:cs="Arial" w:eastAsia="Arial" w:hAnsi="Arial"/>
                <w:sz w:val="16"/>
                <w:szCs w:val="16"/>
                <w:b w:val="1"/>
                <w:bCs w:val="1"/>
                <w:color w:val="FFFFFF"/>
                <w:w w:val="89"/>
              </w:rPr>
              <w:t>credited</w:t>
            </w:r>
          </w:p>
        </w:tc>
        <w:tc>
          <w:tcPr>
            <w:tcW w:w="820" w:type="dxa"/>
            <w:vAlign w:val="bottom"/>
            <w:shd w:val="clear" w:color="auto" w:fill="333333"/>
          </w:tcPr>
          <w:p>
            <w:pPr>
              <w:spacing w:after="0"/>
              <w:rPr>
                <w:sz w:val="17"/>
                <w:szCs w:val="17"/>
                <w:color w:val="auto"/>
              </w:rPr>
            </w:pPr>
          </w:p>
        </w:tc>
        <w:tc>
          <w:tcPr>
            <w:tcW w:w="2220" w:type="dxa"/>
            <w:vAlign w:val="bottom"/>
            <w:shd w:val="clear" w:color="auto" w:fill="333333"/>
          </w:tcPr>
          <w:p>
            <w:pPr>
              <w:jc w:val="right"/>
              <w:ind w:right="328"/>
              <w:spacing w:after="0"/>
              <w:rPr>
                <w:sz w:val="20"/>
                <w:szCs w:val="20"/>
                <w:color w:val="auto"/>
              </w:rPr>
            </w:pPr>
            <w:r>
              <w:rPr>
                <w:rFonts w:ascii="Arial" w:cs="Arial" w:eastAsia="Arial" w:hAnsi="Arial"/>
                <w:sz w:val="16"/>
                <w:szCs w:val="16"/>
                <w:b w:val="1"/>
                <w:bCs w:val="1"/>
                <w:color w:val="FFFFFF"/>
              </w:rPr>
              <w:t>Present value of</w:t>
            </w:r>
          </w:p>
        </w:tc>
      </w:tr>
      <w:tr>
        <w:trPr>
          <w:trHeight w:val="230"/>
        </w:trPr>
        <w:tc>
          <w:tcPr>
            <w:tcW w:w="3400" w:type="dxa"/>
            <w:vAlign w:val="bottom"/>
            <w:shd w:val="clear" w:color="auto" w:fill="333333"/>
          </w:tcPr>
          <w:p>
            <w:pPr>
              <w:ind w:left="120"/>
              <w:spacing w:after="0"/>
              <w:rPr>
                <w:sz w:val="20"/>
                <w:szCs w:val="20"/>
                <w:color w:val="auto"/>
              </w:rPr>
            </w:pPr>
            <w:r>
              <w:rPr>
                <w:rFonts w:ascii="Arial" w:cs="Arial" w:eastAsia="Arial" w:hAnsi="Arial"/>
                <w:sz w:val="16"/>
                <w:szCs w:val="16"/>
                <w:b w:val="1"/>
                <w:bCs w:val="1"/>
                <w:color w:val="FFFFFF"/>
              </w:rPr>
              <w:t>Name</w:t>
            </w:r>
          </w:p>
        </w:tc>
        <w:tc>
          <w:tcPr>
            <w:tcW w:w="2800" w:type="dxa"/>
            <w:vAlign w:val="bottom"/>
            <w:shd w:val="clear" w:color="auto" w:fill="333333"/>
          </w:tcPr>
          <w:p>
            <w:pPr>
              <w:ind w:left="1280"/>
              <w:spacing w:after="0"/>
              <w:rPr>
                <w:sz w:val="20"/>
                <w:szCs w:val="20"/>
                <w:color w:val="auto"/>
              </w:rPr>
            </w:pPr>
            <w:r>
              <w:rPr>
                <w:rFonts w:ascii="Arial" w:cs="Arial" w:eastAsia="Arial" w:hAnsi="Arial"/>
                <w:sz w:val="16"/>
                <w:szCs w:val="16"/>
                <w:b w:val="1"/>
                <w:bCs w:val="1"/>
                <w:color w:val="FFFFFF"/>
              </w:rPr>
              <w:t>Plan name</w:t>
            </w:r>
          </w:p>
        </w:tc>
        <w:tc>
          <w:tcPr>
            <w:tcW w:w="1780" w:type="dxa"/>
            <w:vAlign w:val="bottom"/>
            <w:shd w:val="clear" w:color="auto" w:fill="333333"/>
          </w:tcPr>
          <w:p>
            <w:pPr>
              <w:jc w:val="center"/>
              <w:ind w:left="467"/>
              <w:spacing w:after="0"/>
              <w:rPr>
                <w:sz w:val="20"/>
                <w:szCs w:val="20"/>
                <w:color w:val="auto"/>
              </w:rPr>
            </w:pPr>
            <w:r>
              <w:rPr>
                <w:rFonts w:ascii="Arial" w:cs="Arial" w:eastAsia="Arial" w:hAnsi="Arial"/>
                <w:sz w:val="16"/>
                <w:szCs w:val="16"/>
                <w:b w:val="1"/>
                <w:bCs w:val="1"/>
                <w:color w:val="FFFFFF"/>
                <w:w w:val="86"/>
              </w:rPr>
              <w:t>service</w:t>
            </w:r>
          </w:p>
        </w:tc>
        <w:tc>
          <w:tcPr>
            <w:tcW w:w="820" w:type="dxa"/>
            <w:vAlign w:val="bottom"/>
            <w:shd w:val="clear" w:color="auto" w:fill="333333"/>
          </w:tcPr>
          <w:p>
            <w:pPr>
              <w:spacing w:after="0"/>
              <w:rPr>
                <w:sz w:val="19"/>
                <w:szCs w:val="19"/>
                <w:color w:val="auto"/>
              </w:rPr>
            </w:pPr>
          </w:p>
        </w:tc>
        <w:tc>
          <w:tcPr>
            <w:tcW w:w="2220" w:type="dxa"/>
            <w:vAlign w:val="bottom"/>
            <w:shd w:val="clear" w:color="auto" w:fill="333333"/>
          </w:tcPr>
          <w:p>
            <w:pPr>
              <w:jc w:val="right"/>
              <w:ind w:right="88"/>
              <w:spacing w:after="0" w:line="230" w:lineRule="exact"/>
              <w:rPr>
                <w:sz w:val="20"/>
                <w:szCs w:val="20"/>
                <w:color w:val="auto"/>
              </w:rPr>
            </w:pPr>
            <w:r>
              <w:rPr>
                <w:rFonts w:ascii="Arial" w:cs="Arial" w:eastAsia="Arial" w:hAnsi="Arial"/>
                <w:sz w:val="16"/>
                <w:szCs w:val="16"/>
                <w:b w:val="1"/>
                <w:bCs w:val="1"/>
                <w:color w:val="FFFFFF"/>
              </w:rPr>
              <w:t xml:space="preserve">accumulated benefit </w:t>
            </w:r>
            <w:r>
              <w:rPr>
                <w:rFonts w:ascii="Arial" w:cs="Arial" w:eastAsia="Arial" w:hAnsi="Arial"/>
                <w:sz w:val="26"/>
                <w:szCs w:val="26"/>
                <w:b w:val="1"/>
                <w:bCs w:val="1"/>
                <w:color w:val="FFFFFF"/>
                <w:vertAlign w:val="superscript"/>
              </w:rPr>
              <w:t>(1)</w:t>
            </w:r>
          </w:p>
        </w:tc>
      </w:tr>
      <w:tr>
        <w:trPr>
          <w:trHeight w:val="6"/>
        </w:trPr>
        <w:tc>
          <w:tcPr>
            <w:tcW w:w="3400" w:type="dxa"/>
            <w:vAlign w:val="bottom"/>
            <w:shd w:val="clear" w:color="auto" w:fill="D8D8D8"/>
          </w:tcPr>
          <w:p>
            <w:pPr>
              <w:ind w:left="120"/>
              <w:spacing w:after="0" w:line="6" w:lineRule="exact"/>
              <w:rPr>
                <w:sz w:val="20"/>
                <w:szCs w:val="20"/>
                <w:color w:val="auto"/>
              </w:rPr>
            </w:pPr>
            <w:r>
              <w:rPr>
                <w:rFonts w:ascii="Arial" w:cs="Arial" w:eastAsia="Arial" w:hAnsi="Arial"/>
                <w:sz w:val="1"/>
                <w:szCs w:val="1"/>
                <w:color w:val="auto"/>
              </w:rPr>
              <w:t>Michael S. Williams</w:t>
            </w:r>
          </w:p>
        </w:tc>
        <w:tc>
          <w:tcPr>
            <w:tcW w:w="2800" w:type="dxa"/>
            <w:vAlign w:val="bottom"/>
            <w:shd w:val="clear" w:color="auto" w:fill="D8D8D8"/>
          </w:tcPr>
          <w:p>
            <w:pPr>
              <w:ind w:left="100"/>
              <w:spacing w:after="0" w:line="6" w:lineRule="exact"/>
              <w:rPr>
                <w:sz w:val="20"/>
                <w:szCs w:val="20"/>
                <w:color w:val="auto"/>
              </w:rPr>
            </w:pPr>
            <w:r>
              <w:rPr>
                <w:rFonts w:ascii="Arial" w:cs="Arial" w:eastAsia="Arial" w:hAnsi="Arial"/>
                <w:sz w:val="1"/>
                <w:szCs w:val="1"/>
                <w:color w:val="auto"/>
              </w:rPr>
              <w:t>Supplemental Plan</w:t>
            </w:r>
          </w:p>
        </w:tc>
        <w:tc>
          <w:tcPr>
            <w:tcW w:w="1780" w:type="dxa"/>
            <w:vAlign w:val="bottom"/>
            <w:shd w:val="clear" w:color="auto" w:fill="D8D8D8"/>
          </w:tcPr>
          <w:p>
            <w:pPr>
              <w:jc w:val="center"/>
              <w:ind w:left="447"/>
              <w:spacing w:after="0" w:line="6" w:lineRule="exact"/>
              <w:rPr>
                <w:sz w:val="20"/>
                <w:szCs w:val="20"/>
                <w:color w:val="auto"/>
              </w:rPr>
            </w:pPr>
            <w:r>
              <w:rPr>
                <w:rFonts w:ascii="Arial" w:cs="Arial" w:eastAsia="Arial" w:hAnsi="Arial"/>
                <w:sz w:val="1"/>
                <w:szCs w:val="1"/>
                <w:color w:val="auto"/>
              </w:rPr>
              <w:t>N/A</w:t>
            </w:r>
          </w:p>
        </w:tc>
        <w:tc>
          <w:tcPr>
            <w:tcW w:w="820" w:type="dxa"/>
            <w:vAlign w:val="bottom"/>
            <w:shd w:val="clear" w:color="auto" w:fill="D8D8D8"/>
          </w:tcPr>
          <w:p>
            <w:pPr>
              <w:jc w:val="right"/>
              <w:ind w:right="389"/>
              <w:spacing w:after="0" w:line="6" w:lineRule="exact"/>
              <w:rPr>
                <w:sz w:val="20"/>
                <w:szCs w:val="20"/>
                <w:color w:val="auto"/>
              </w:rPr>
            </w:pPr>
            <w:r>
              <w:rPr>
                <w:rFonts w:ascii="Arial" w:cs="Arial" w:eastAsia="Arial" w:hAnsi="Arial"/>
                <w:sz w:val="1"/>
                <w:szCs w:val="1"/>
                <w:color w:val="auto"/>
              </w:rPr>
              <w:t>$</w:t>
            </w:r>
          </w:p>
        </w:tc>
        <w:tc>
          <w:tcPr>
            <w:tcW w:w="2220" w:type="dxa"/>
            <w:vAlign w:val="bottom"/>
            <w:shd w:val="clear" w:color="auto" w:fill="D8D8D8"/>
          </w:tcPr>
          <w:p>
            <w:pPr>
              <w:jc w:val="right"/>
              <w:ind w:right="208"/>
              <w:spacing w:after="0" w:line="6" w:lineRule="exact"/>
              <w:rPr>
                <w:sz w:val="20"/>
                <w:szCs w:val="20"/>
                <w:color w:val="auto"/>
              </w:rPr>
            </w:pPr>
            <w:r>
              <w:rPr>
                <w:rFonts w:ascii="Arial" w:cs="Arial" w:eastAsia="Arial" w:hAnsi="Arial"/>
                <w:sz w:val="1"/>
                <w:szCs w:val="1"/>
                <w:color w:val="auto"/>
              </w:rPr>
              <w:t>0</w:t>
            </w:r>
          </w:p>
        </w:tc>
      </w:tr>
      <w:tr>
        <w:trPr>
          <w:trHeight w:val="179"/>
        </w:trPr>
        <w:tc>
          <w:tcPr>
            <w:tcW w:w="3400" w:type="dxa"/>
            <w:vAlign w:val="bottom"/>
            <w:shd w:val="clear" w:color="auto" w:fill="D8D8D8"/>
          </w:tcPr>
          <w:p>
            <w:pPr>
              <w:ind w:left="1520"/>
              <w:spacing w:after="0"/>
              <w:rPr>
                <w:sz w:val="20"/>
                <w:szCs w:val="20"/>
                <w:color w:val="auto"/>
              </w:rPr>
            </w:pPr>
            <w:r>
              <w:rPr>
                <w:rFonts w:ascii="Arial" w:cs="Arial" w:eastAsia="Arial" w:hAnsi="Arial"/>
                <w:sz w:val="15"/>
                <w:szCs w:val="15"/>
                <w:color w:val="auto"/>
              </w:rPr>
              <w:t>(2)</w:t>
            </w:r>
          </w:p>
        </w:tc>
        <w:tc>
          <w:tcPr>
            <w:tcW w:w="2800" w:type="dxa"/>
            <w:vAlign w:val="bottom"/>
            <w:shd w:val="clear" w:color="auto" w:fill="D8D8D8"/>
          </w:tcPr>
          <w:p>
            <w:pPr>
              <w:spacing w:after="0"/>
              <w:rPr>
                <w:sz w:val="15"/>
                <w:szCs w:val="15"/>
                <w:color w:val="auto"/>
              </w:rPr>
            </w:pPr>
          </w:p>
        </w:tc>
        <w:tc>
          <w:tcPr>
            <w:tcW w:w="1780" w:type="dxa"/>
            <w:vAlign w:val="bottom"/>
            <w:shd w:val="clear" w:color="auto" w:fill="D8D8D8"/>
          </w:tcPr>
          <w:p>
            <w:pPr>
              <w:spacing w:after="0"/>
              <w:rPr>
                <w:sz w:val="15"/>
                <w:szCs w:val="15"/>
                <w:color w:val="auto"/>
              </w:rPr>
            </w:pPr>
          </w:p>
        </w:tc>
        <w:tc>
          <w:tcPr>
            <w:tcW w:w="820" w:type="dxa"/>
            <w:vAlign w:val="bottom"/>
            <w:shd w:val="clear" w:color="auto" w:fill="D8D8D8"/>
          </w:tcPr>
          <w:p>
            <w:pPr>
              <w:spacing w:after="0"/>
              <w:rPr>
                <w:sz w:val="15"/>
                <w:szCs w:val="15"/>
                <w:color w:val="auto"/>
              </w:rPr>
            </w:pPr>
          </w:p>
        </w:tc>
        <w:tc>
          <w:tcPr>
            <w:tcW w:w="2220" w:type="dxa"/>
            <w:vAlign w:val="bottom"/>
            <w:shd w:val="clear" w:color="auto" w:fill="D8D8D8"/>
          </w:tcPr>
          <w:p>
            <w:pPr>
              <w:spacing w:after="0"/>
              <w:rPr>
                <w:sz w:val="15"/>
                <w:szCs w:val="15"/>
                <w:color w:val="auto"/>
              </w:rPr>
            </w:pPr>
          </w:p>
        </w:tc>
      </w:tr>
      <w:tr>
        <w:trPr>
          <w:trHeight w:val="220"/>
        </w:trPr>
        <w:tc>
          <w:tcPr>
            <w:tcW w:w="3400" w:type="dxa"/>
            <w:vAlign w:val="bottom"/>
            <w:shd w:val="clear" w:color="auto" w:fill="D8D8D8"/>
          </w:tcPr>
          <w:p>
            <w:pPr>
              <w:spacing w:after="0"/>
              <w:rPr>
                <w:sz w:val="19"/>
                <w:szCs w:val="19"/>
                <w:color w:val="auto"/>
              </w:rPr>
            </w:pPr>
          </w:p>
        </w:tc>
        <w:tc>
          <w:tcPr>
            <w:tcW w:w="2800" w:type="dxa"/>
            <w:vAlign w:val="bottom"/>
            <w:shd w:val="clear" w:color="auto" w:fill="D8D8D8"/>
          </w:tcPr>
          <w:p>
            <w:pPr>
              <w:ind w:left="100"/>
              <w:spacing w:after="0"/>
              <w:rPr>
                <w:sz w:val="20"/>
                <w:szCs w:val="20"/>
                <w:color w:val="auto"/>
              </w:rPr>
            </w:pPr>
            <w:r>
              <w:rPr>
                <w:rFonts w:ascii="Arial" w:cs="Arial" w:eastAsia="Arial" w:hAnsi="Arial"/>
                <w:sz w:val="17"/>
                <w:szCs w:val="17"/>
                <w:color w:val="auto"/>
              </w:rPr>
              <w:t>Qualified Plan</w:t>
            </w:r>
          </w:p>
        </w:tc>
        <w:tc>
          <w:tcPr>
            <w:tcW w:w="1780" w:type="dxa"/>
            <w:vAlign w:val="bottom"/>
            <w:shd w:val="clear" w:color="auto" w:fill="D8D8D8"/>
          </w:tcPr>
          <w:p>
            <w:pPr>
              <w:jc w:val="center"/>
              <w:ind w:left="447"/>
              <w:spacing w:after="0"/>
              <w:rPr>
                <w:sz w:val="20"/>
                <w:szCs w:val="20"/>
                <w:color w:val="auto"/>
              </w:rPr>
            </w:pPr>
            <w:r>
              <w:rPr>
                <w:rFonts w:ascii="Arial" w:cs="Arial" w:eastAsia="Arial" w:hAnsi="Arial"/>
                <w:sz w:val="17"/>
                <w:szCs w:val="17"/>
                <w:color w:val="auto"/>
              </w:rPr>
              <w:t>N/A</w:t>
            </w:r>
          </w:p>
        </w:tc>
        <w:tc>
          <w:tcPr>
            <w:tcW w:w="820" w:type="dxa"/>
            <w:vAlign w:val="bottom"/>
            <w:shd w:val="clear" w:color="auto" w:fill="D8D8D8"/>
          </w:tcPr>
          <w:p>
            <w:pPr>
              <w:jc w:val="right"/>
              <w:ind w:right="389"/>
              <w:spacing w:after="0"/>
              <w:rPr>
                <w:sz w:val="20"/>
                <w:szCs w:val="20"/>
                <w:color w:val="auto"/>
              </w:rPr>
            </w:pPr>
            <w:r>
              <w:rPr>
                <w:rFonts w:ascii="Arial" w:cs="Arial" w:eastAsia="Arial" w:hAnsi="Arial"/>
                <w:sz w:val="17"/>
                <w:szCs w:val="17"/>
                <w:color w:val="auto"/>
              </w:rPr>
              <w:t>$</w:t>
            </w:r>
          </w:p>
        </w:tc>
        <w:tc>
          <w:tcPr>
            <w:tcW w:w="2220" w:type="dxa"/>
            <w:vAlign w:val="bottom"/>
            <w:shd w:val="clear" w:color="auto" w:fill="D8D8D8"/>
          </w:tcPr>
          <w:p>
            <w:pPr>
              <w:jc w:val="right"/>
              <w:ind w:right="208"/>
              <w:spacing w:after="0"/>
              <w:rPr>
                <w:sz w:val="20"/>
                <w:szCs w:val="20"/>
                <w:color w:val="auto"/>
              </w:rPr>
            </w:pPr>
            <w:r>
              <w:rPr>
                <w:rFonts w:ascii="Arial" w:cs="Arial" w:eastAsia="Arial" w:hAnsi="Arial"/>
                <w:sz w:val="17"/>
                <w:szCs w:val="17"/>
                <w:color w:val="auto"/>
              </w:rPr>
              <w:t>0</w:t>
            </w:r>
          </w:p>
        </w:tc>
      </w:tr>
      <w:tr>
        <w:trPr>
          <w:trHeight w:val="185"/>
        </w:trPr>
        <w:tc>
          <w:tcPr>
            <w:tcW w:w="3400" w:type="dxa"/>
            <w:vAlign w:val="bottom"/>
          </w:tcPr>
          <w:p>
            <w:pPr>
              <w:ind w:left="120"/>
              <w:spacing w:after="0" w:line="185" w:lineRule="exact"/>
              <w:rPr>
                <w:sz w:val="20"/>
                <w:szCs w:val="20"/>
                <w:color w:val="auto"/>
              </w:rPr>
            </w:pPr>
            <w:r>
              <w:rPr>
                <w:rFonts w:ascii="Arial" w:cs="Arial" w:eastAsia="Arial" w:hAnsi="Arial"/>
                <w:sz w:val="17"/>
                <w:szCs w:val="17"/>
                <w:color w:val="auto"/>
              </w:rPr>
              <w:t>Kristopher R. Westbrooks</w:t>
            </w:r>
            <w:r>
              <w:rPr>
                <w:rFonts w:ascii="Arial" w:cs="Arial" w:eastAsia="Arial" w:hAnsi="Arial"/>
                <w:sz w:val="14"/>
                <w:szCs w:val="14"/>
                <w:color w:val="auto"/>
              </w:rPr>
              <w:t>(2)</w:t>
            </w:r>
          </w:p>
        </w:tc>
        <w:tc>
          <w:tcPr>
            <w:tcW w:w="2800" w:type="dxa"/>
            <w:vAlign w:val="bottom"/>
          </w:tcPr>
          <w:p>
            <w:pPr>
              <w:ind w:left="100"/>
              <w:spacing w:after="0" w:line="185" w:lineRule="exact"/>
              <w:rPr>
                <w:sz w:val="20"/>
                <w:szCs w:val="20"/>
                <w:color w:val="auto"/>
              </w:rPr>
            </w:pPr>
            <w:r>
              <w:rPr>
                <w:rFonts w:ascii="Arial" w:cs="Arial" w:eastAsia="Arial" w:hAnsi="Arial"/>
                <w:sz w:val="17"/>
                <w:szCs w:val="17"/>
                <w:color w:val="auto"/>
              </w:rPr>
              <w:t>Supplemental Plan</w:t>
            </w:r>
          </w:p>
        </w:tc>
        <w:tc>
          <w:tcPr>
            <w:tcW w:w="1780" w:type="dxa"/>
            <w:vAlign w:val="bottom"/>
          </w:tcPr>
          <w:p>
            <w:pPr>
              <w:jc w:val="center"/>
              <w:ind w:left="447"/>
              <w:spacing w:after="0" w:line="185" w:lineRule="exact"/>
              <w:rPr>
                <w:sz w:val="20"/>
                <w:szCs w:val="20"/>
                <w:color w:val="auto"/>
              </w:rPr>
            </w:pPr>
            <w:r>
              <w:rPr>
                <w:rFonts w:ascii="Arial" w:cs="Arial" w:eastAsia="Arial" w:hAnsi="Arial"/>
                <w:sz w:val="17"/>
                <w:szCs w:val="17"/>
                <w:color w:val="auto"/>
              </w:rPr>
              <w:t>N/A</w:t>
            </w:r>
          </w:p>
        </w:tc>
        <w:tc>
          <w:tcPr>
            <w:tcW w:w="820" w:type="dxa"/>
            <w:vAlign w:val="bottom"/>
          </w:tcPr>
          <w:p>
            <w:pPr>
              <w:jc w:val="right"/>
              <w:ind w:right="389"/>
              <w:spacing w:after="0" w:line="185" w:lineRule="exact"/>
              <w:rPr>
                <w:sz w:val="20"/>
                <w:szCs w:val="20"/>
                <w:color w:val="auto"/>
              </w:rPr>
            </w:pPr>
            <w:r>
              <w:rPr>
                <w:rFonts w:ascii="Arial" w:cs="Arial" w:eastAsia="Arial" w:hAnsi="Arial"/>
                <w:sz w:val="17"/>
                <w:szCs w:val="17"/>
                <w:color w:val="auto"/>
              </w:rPr>
              <w:t>$</w:t>
            </w:r>
          </w:p>
        </w:tc>
        <w:tc>
          <w:tcPr>
            <w:tcW w:w="2220" w:type="dxa"/>
            <w:vAlign w:val="bottom"/>
          </w:tcPr>
          <w:p>
            <w:pPr>
              <w:jc w:val="right"/>
              <w:ind w:right="208"/>
              <w:spacing w:after="0" w:line="185" w:lineRule="exact"/>
              <w:rPr>
                <w:sz w:val="20"/>
                <w:szCs w:val="20"/>
                <w:color w:val="auto"/>
              </w:rPr>
            </w:pPr>
            <w:r>
              <w:rPr>
                <w:rFonts w:ascii="Arial" w:cs="Arial" w:eastAsia="Arial" w:hAnsi="Arial"/>
                <w:sz w:val="17"/>
                <w:szCs w:val="17"/>
                <w:color w:val="auto"/>
              </w:rPr>
              <w:t>0</w:t>
            </w:r>
          </w:p>
        </w:tc>
      </w:tr>
      <w:tr>
        <w:trPr>
          <w:trHeight w:val="218"/>
        </w:trPr>
        <w:tc>
          <w:tcPr>
            <w:tcW w:w="3400" w:type="dxa"/>
            <w:vAlign w:val="bottom"/>
          </w:tcPr>
          <w:p>
            <w:pPr>
              <w:spacing w:after="0"/>
              <w:rPr>
                <w:sz w:val="18"/>
                <w:szCs w:val="18"/>
                <w:color w:val="auto"/>
              </w:rPr>
            </w:pPr>
          </w:p>
        </w:tc>
        <w:tc>
          <w:tcPr>
            <w:tcW w:w="2800" w:type="dxa"/>
            <w:vAlign w:val="bottom"/>
          </w:tcPr>
          <w:p>
            <w:pPr>
              <w:ind w:left="100"/>
              <w:spacing w:after="0"/>
              <w:rPr>
                <w:sz w:val="20"/>
                <w:szCs w:val="20"/>
                <w:color w:val="auto"/>
              </w:rPr>
            </w:pPr>
            <w:r>
              <w:rPr>
                <w:rFonts w:ascii="Arial" w:cs="Arial" w:eastAsia="Arial" w:hAnsi="Arial"/>
                <w:sz w:val="17"/>
                <w:szCs w:val="17"/>
                <w:color w:val="auto"/>
              </w:rPr>
              <w:t>Qualified Plan</w:t>
            </w:r>
          </w:p>
        </w:tc>
        <w:tc>
          <w:tcPr>
            <w:tcW w:w="1780" w:type="dxa"/>
            <w:vAlign w:val="bottom"/>
          </w:tcPr>
          <w:p>
            <w:pPr>
              <w:jc w:val="center"/>
              <w:ind w:left="447"/>
              <w:spacing w:after="0"/>
              <w:rPr>
                <w:sz w:val="20"/>
                <w:szCs w:val="20"/>
                <w:color w:val="auto"/>
              </w:rPr>
            </w:pPr>
            <w:r>
              <w:rPr>
                <w:rFonts w:ascii="Arial" w:cs="Arial" w:eastAsia="Arial" w:hAnsi="Arial"/>
                <w:sz w:val="17"/>
                <w:szCs w:val="17"/>
                <w:color w:val="auto"/>
              </w:rPr>
              <w:t>N/A</w:t>
            </w:r>
          </w:p>
        </w:tc>
        <w:tc>
          <w:tcPr>
            <w:tcW w:w="820" w:type="dxa"/>
            <w:vAlign w:val="bottom"/>
          </w:tcPr>
          <w:p>
            <w:pPr>
              <w:jc w:val="right"/>
              <w:ind w:right="389"/>
              <w:spacing w:after="0"/>
              <w:rPr>
                <w:sz w:val="20"/>
                <w:szCs w:val="20"/>
                <w:color w:val="auto"/>
              </w:rPr>
            </w:pPr>
            <w:r>
              <w:rPr>
                <w:rFonts w:ascii="Arial" w:cs="Arial" w:eastAsia="Arial" w:hAnsi="Arial"/>
                <w:sz w:val="17"/>
                <w:szCs w:val="17"/>
                <w:color w:val="auto"/>
              </w:rPr>
              <w:t>$</w:t>
            </w:r>
          </w:p>
        </w:tc>
        <w:tc>
          <w:tcPr>
            <w:tcW w:w="2220" w:type="dxa"/>
            <w:vAlign w:val="bottom"/>
          </w:tcPr>
          <w:p>
            <w:pPr>
              <w:jc w:val="right"/>
              <w:ind w:right="208"/>
              <w:spacing w:after="0"/>
              <w:rPr>
                <w:sz w:val="20"/>
                <w:szCs w:val="20"/>
                <w:color w:val="auto"/>
              </w:rPr>
            </w:pPr>
            <w:r>
              <w:rPr>
                <w:rFonts w:ascii="Arial" w:cs="Arial" w:eastAsia="Arial" w:hAnsi="Arial"/>
                <w:sz w:val="17"/>
                <w:szCs w:val="17"/>
                <w:color w:val="auto"/>
              </w:rPr>
              <w:t>0</w:t>
            </w:r>
          </w:p>
        </w:tc>
      </w:tr>
      <w:tr>
        <w:trPr>
          <w:trHeight w:val="8"/>
        </w:trPr>
        <w:tc>
          <w:tcPr>
            <w:tcW w:w="3400" w:type="dxa"/>
            <w:vAlign w:val="bottom"/>
            <w:shd w:val="clear" w:color="auto" w:fill="D8D8D8"/>
          </w:tcPr>
          <w:p>
            <w:pPr>
              <w:ind w:left="120"/>
              <w:spacing w:after="0" w:line="8" w:lineRule="exact"/>
              <w:rPr>
                <w:sz w:val="20"/>
                <w:szCs w:val="20"/>
                <w:color w:val="auto"/>
              </w:rPr>
            </w:pPr>
            <w:r>
              <w:rPr>
                <w:rFonts w:ascii="Arial" w:cs="Arial" w:eastAsia="Arial" w:hAnsi="Arial"/>
                <w:sz w:val="1"/>
                <w:szCs w:val="1"/>
                <w:color w:val="auto"/>
              </w:rPr>
              <w:t>Kristine C. Syrvalin</w:t>
            </w:r>
          </w:p>
        </w:tc>
        <w:tc>
          <w:tcPr>
            <w:tcW w:w="2800" w:type="dxa"/>
            <w:vAlign w:val="bottom"/>
            <w:shd w:val="clear" w:color="auto" w:fill="D8D8D8"/>
          </w:tcPr>
          <w:p>
            <w:pPr>
              <w:ind w:left="100"/>
              <w:spacing w:after="0" w:line="8" w:lineRule="exact"/>
              <w:rPr>
                <w:sz w:val="20"/>
                <w:szCs w:val="20"/>
                <w:color w:val="auto"/>
              </w:rPr>
            </w:pPr>
            <w:r>
              <w:rPr>
                <w:rFonts w:ascii="Arial" w:cs="Arial" w:eastAsia="Arial" w:hAnsi="Arial"/>
                <w:sz w:val="1"/>
                <w:szCs w:val="1"/>
                <w:color w:val="auto"/>
              </w:rPr>
              <w:t>Supplemental Plan</w:t>
            </w:r>
          </w:p>
        </w:tc>
        <w:tc>
          <w:tcPr>
            <w:tcW w:w="1780" w:type="dxa"/>
            <w:vAlign w:val="bottom"/>
            <w:shd w:val="clear" w:color="auto" w:fill="D8D8D8"/>
          </w:tcPr>
          <w:p>
            <w:pPr>
              <w:jc w:val="center"/>
              <w:ind w:left="427"/>
              <w:spacing w:after="0" w:line="8" w:lineRule="exact"/>
              <w:rPr>
                <w:sz w:val="20"/>
                <w:szCs w:val="20"/>
                <w:color w:val="auto"/>
              </w:rPr>
            </w:pPr>
            <w:r>
              <w:rPr>
                <w:rFonts w:ascii="Arial" w:cs="Arial" w:eastAsia="Arial" w:hAnsi="Arial"/>
                <w:sz w:val="1"/>
                <w:szCs w:val="1"/>
                <w:color w:val="auto"/>
              </w:rPr>
              <w:t>N/A</w:t>
            </w:r>
          </w:p>
        </w:tc>
        <w:tc>
          <w:tcPr>
            <w:tcW w:w="820" w:type="dxa"/>
            <w:vAlign w:val="bottom"/>
            <w:shd w:val="clear" w:color="auto" w:fill="D8D8D8"/>
          </w:tcPr>
          <w:p>
            <w:pPr>
              <w:jc w:val="right"/>
              <w:ind w:right="409"/>
              <w:spacing w:after="0" w:line="8" w:lineRule="exact"/>
              <w:rPr>
                <w:sz w:val="20"/>
                <w:szCs w:val="20"/>
                <w:color w:val="auto"/>
              </w:rPr>
            </w:pPr>
            <w:r>
              <w:rPr>
                <w:rFonts w:ascii="Arial" w:cs="Arial" w:eastAsia="Arial" w:hAnsi="Arial"/>
                <w:sz w:val="1"/>
                <w:szCs w:val="1"/>
                <w:color w:val="auto"/>
              </w:rPr>
              <w:t>$</w:t>
            </w:r>
          </w:p>
        </w:tc>
        <w:tc>
          <w:tcPr>
            <w:tcW w:w="2220" w:type="dxa"/>
            <w:vAlign w:val="bottom"/>
            <w:shd w:val="clear" w:color="auto" w:fill="D8D8D8"/>
          </w:tcPr>
          <w:p>
            <w:pPr>
              <w:jc w:val="right"/>
              <w:ind w:right="208"/>
              <w:spacing w:after="0" w:line="8" w:lineRule="exact"/>
              <w:rPr>
                <w:sz w:val="20"/>
                <w:szCs w:val="20"/>
                <w:color w:val="auto"/>
              </w:rPr>
            </w:pPr>
            <w:r>
              <w:rPr>
                <w:rFonts w:ascii="Arial" w:cs="Arial" w:eastAsia="Arial" w:hAnsi="Arial"/>
                <w:sz w:val="1"/>
                <w:szCs w:val="1"/>
                <w:color w:val="auto"/>
              </w:rPr>
              <w:t>0</w:t>
            </w:r>
          </w:p>
        </w:tc>
      </w:tr>
      <w:tr>
        <w:trPr>
          <w:trHeight w:val="183"/>
        </w:trPr>
        <w:tc>
          <w:tcPr>
            <w:tcW w:w="3400" w:type="dxa"/>
            <w:vAlign w:val="bottom"/>
            <w:shd w:val="clear" w:color="auto" w:fill="D8D8D8"/>
          </w:tcPr>
          <w:p>
            <w:pPr>
              <w:ind w:left="1500"/>
              <w:spacing w:after="0"/>
              <w:rPr>
                <w:sz w:val="20"/>
                <w:szCs w:val="20"/>
                <w:color w:val="auto"/>
              </w:rPr>
            </w:pPr>
            <w:r>
              <w:rPr>
                <w:rFonts w:ascii="Arial" w:cs="Arial" w:eastAsia="Arial" w:hAnsi="Arial"/>
                <w:sz w:val="15"/>
                <w:szCs w:val="15"/>
                <w:color w:val="auto"/>
              </w:rPr>
              <w:t>(2)</w:t>
            </w:r>
          </w:p>
        </w:tc>
        <w:tc>
          <w:tcPr>
            <w:tcW w:w="2800" w:type="dxa"/>
            <w:vAlign w:val="bottom"/>
            <w:shd w:val="clear" w:color="auto" w:fill="D8D8D8"/>
          </w:tcPr>
          <w:p>
            <w:pPr>
              <w:spacing w:after="0"/>
              <w:rPr>
                <w:sz w:val="15"/>
                <w:szCs w:val="15"/>
                <w:color w:val="auto"/>
              </w:rPr>
            </w:pPr>
          </w:p>
        </w:tc>
        <w:tc>
          <w:tcPr>
            <w:tcW w:w="1780" w:type="dxa"/>
            <w:vAlign w:val="bottom"/>
            <w:shd w:val="clear" w:color="auto" w:fill="D8D8D8"/>
          </w:tcPr>
          <w:p>
            <w:pPr>
              <w:spacing w:after="0"/>
              <w:rPr>
                <w:sz w:val="15"/>
                <w:szCs w:val="15"/>
                <w:color w:val="auto"/>
              </w:rPr>
            </w:pPr>
          </w:p>
        </w:tc>
        <w:tc>
          <w:tcPr>
            <w:tcW w:w="820" w:type="dxa"/>
            <w:vAlign w:val="bottom"/>
            <w:shd w:val="clear" w:color="auto" w:fill="D8D8D8"/>
          </w:tcPr>
          <w:p>
            <w:pPr>
              <w:spacing w:after="0"/>
              <w:rPr>
                <w:sz w:val="15"/>
                <w:szCs w:val="15"/>
                <w:color w:val="auto"/>
              </w:rPr>
            </w:pPr>
          </w:p>
        </w:tc>
        <w:tc>
          <w:tcPr>
            <w:tcW w:w="2220" w:type="dxa"/>
            <w:vAlign w:val="bottom"/>
            <w:shd w:val="clear" w:color="auto" w:fill="D8D8D8"/>
          </w:tcPr>
          <w:p>
            <w:pPr>
              <w:spacing w:after="0"/>
              <w:rPr>
                <w:sz w:val="15"/>
                <w:szCs w:val="15"/>
                <w:color w:val="auto"/>
              </w:rPr>
            </w:pPr>
          </w:p>
        </w:tc>
      </w:tr>
      <w:tr>
        <w:trPr>
          <w:trHeight w:val="216"/>
        </w:trPr>
        <w:tc>
          <w:tcPr>
            <w:tcW w:w="3400" w:type="dxa"/>
            <w:vAlign w:val="bottom"/>
            <w:shd w:val="clear" w:color="auto" w:fill="D8D8D8"/>
          </w:tcPr>
          <w:p>
            <w:pPr>
              <w:spacing w:after="0"/>
              <w:rPr>
                <w:sz w:val="18"/>
                <w:szCs w:val="18"/>
                <w:color w:val="auto"/>
              </w:rPr>
            </w:pPr>
          </w:p>
        </w:tc>
        <w:tc>
          <w:tcPr>
            <w:tcW w:w="2800" w:type="dxa"/>
            <w:vAlign w:val="bottom"/>
            <w:shd w:val="clear" w:color="auto" w:fill="D8D8D8"/>
          </w:tcPr>
          <w:p>
            <w:pPr>
              <w:ind w:left="100"/>
              <w:spacing w:after="0"/>
              <w:rPr>
                <w:sz w:val="20"/>
                <w:szCs w:val="20"/>
                <w:color w:val="auto"/>
              </w:rPr>
            </w:pPr>
            <w:r>
              <w:rPr>
                <w:rFonts w:ascii="Arial" w:cs="Arial" w:eastAsia="Arial" w:hAnsi="Arial"/>
                <w:sz w:val="16"/>
                <w:szCs w:val="16"/>
                <w:color w:val="auto"/>
              </w:rPr>
              <w:t>Qualified Plan</w:t>
            </w:r>
          </w:p>
        </w:tc>
        <w:tc>
          <w:tcPr>
            <w:tcW w:w="1780" w:type="dxa"/>
            <w:vAlign w:val="bottom"/>
            <w:shd w:val="clear" w:color="auto" w:fill="D8D8D8"/>
          </w:tcPr>
          <w:p>
            <w:pPr>
              <w:jc w:val="center"/>
              <w:ind w:left="427"/>
              <w:spacing w:after="0"/>
              <w:rPr>
                <w:sz w:val="20"/>
                <w:szCs w:val="20"/>
                <w:color w:val="auto"/>
              </w:rPr>
            </w:pPr>
            <w:r>
              <w:rPr>
                <w:rFonts w:ascii="Arial" w:cs="Arial" w:eastAsia="Arial" w:hAnsi="Arial"/>
                <w:sz w:val="16"/>
                <w:szCs w:val="16"/>
                <w:color w:val="auto"/>
              </w:rPr>
              <w:t>N/A</w:t>
            </w:r>
          </w:p>
        </w:tc>
        <w:tc>
          <w:tcPr>
            <w:tcW w:w="820" w:type="dxa"/>
            <w:vAlign w:val="bottom"/>
            <w:shd w:val="clear" w:color="auto" w:fill="D8D8D8"/>
          </w:tcPr>
          <w:p>
            <w:pPr>
              <w:jc w:val="right"/>
              <w:ind w:right="409"/>
              <w:spacing w:after="0"/>
              <w:rPr>
                <w:sz w:val="20"/>
                <w:szCs w:val="20"/>
                <w:color w:val="auto"/>
              </w:rPr>
            </w:pPr>
            <w:r>
              <w:rPr>
                <w:rFonts w:ascii="Arial" w:cs="Arial" w:eastAsia="Arial" w:hAnsi="Arial"/>
                <w:sz w:val="16"/>
                <w:szCs w:val="16"/>
                <w:color w:val="auto"/>
              </w:rPr>
              <w:t>$</w:t>
            </w:r>
          </w:p>
        </w:tc>
        <w:tc>
          <w:tcPr>
            <w:tcW w:w="2220" w:type="dxa"/>
            <w:vAlign w:val="bottom"/>
            <w:shd w:val="clear" w:color="auto" w:fill="D8D8D8"/>
          </w:tcPr>
          <w:p>
            <w:pPr>
              <w:jc w:val="right"/>
              <w:ind w:right="208"/>
              <w:spacing w:after="0"/>
              <w:rPr>
                <w:sz w:val="20"/>
                <w:szCs w:val="20"/>
                <w:color w:val="auto"/>
              </w:rPr>
            </w:pPr>
            <w:r>
              <w:rPr>
                <w:rFonts w:ascii="Arial" w:cs="Arial" w:eastAsia="Arial" w:hAnsi="Arial"/>
                <w:sz w:val="16"/>
                <w:szCs w:val="16"/>
                <w:color w:val="auto"/>
              </w:rPr>
              <w:t>0</w:t>
            </w:r>
          </w:p>
        </w:tc>
      </w:tr>
      <w:tr>
        <w:trPr>
          <w:trHeight w:val="185"/>
        </w:trPr>
        <w:tc>
          <w:tcPr>
            <w:tcW w:w="3400" w:type="dxa"/>
            <w:vAlign w:val="bottom"/>
          </w:tcPr>
          <w:p>
            <w:pPr>
              <w:ind w:left="120"/>
              <w:spacing w:after="0" w:line="185" w:lineRule="exact"/>
              <w:rPr>
                <w:sz w:val="20"/>
                <w:szCs w:val="20"/>
                <w:color w:val="auto"/>
              </w:rPr>
            </w:pPr>
            <w:r>
              <w:rPr>
                <w:rFonts w:ascii="Arial" w:cs="Arial" w:eastAsia="Arial" w:hAnsi="Arial"/>
                <w:sz w:val="17"/>
                <w:szCs w:val="17"/>
                <w:color w:val="auto"/>
              </w:rPr>
              <w:t>Kevin A. Raketich</w:t>
            </w:r>
          </w:p>
        </w:tc>
        <w:tc>
          <w:tcPr>
            <w:tcW w:w="2800" w:type="dxa"/>
            <w:vAlign w:val="bottom"/>
          </w:tcPr>
          <w:p>
            <w:pPr>
              <w:ind w:left="100"/>
              <w:spacing w:after="0"/>
              <w:rPr>
                <w:sz w:val="20"/>
                <w:szCs w:val="20"/>
                <w:color w:val="auto"/>
              </w:rPr>
            </w:pPr>
            <w:r>
              <w:rPr>
                <w:rFonts w:ascii="Arial" w:cs="Arial" w:eastAsia="Arial" w:hAnsi="Arial"/>
                <w:sz w:val="16"/>
                <w:szCs w:val="16"/>
                <w:color w:val="auto"/>
              </w:rPr>
              <w:t>Supplemental Plan</w:t>
            </w:r>
          </w:p>
        </w:tc>
        <w:tc>
          <w:tcPr>
            <w:tcW w:w="1780" w:type="dxa"/>
            <w:vAlign w:val="bottom"/>
          </w:tcPr>
          <w:p>
            <w:pPr>
              <w:jc w:val="right"/>
              <w:ind w:right="427"/>
              <w:spacing w:after="0"/>
              <w:rPr>
                <w:sz w:val="20"/>
                <w:szCs w:val="20"/>
                <w:color w:val="auto"/>
              </w:rPr>
            </w:pPr>
            <w:r>
              <w:rPr>
                <w:rFonts w:ascii="Arial" w:cs="Arial" w:eastAsia="Arial" w:hAnsi="Arial"/>
                <w:sz w:val="16"/>
                <w:szCs w:val="16"/>
                <w:color w:val="auto"/>
              </w:rPr>
              <w:t>30.8</w:t>
            </w:r>
          </w:p>
        </w:tc>
        <w:tc>
          <w:tcPr>
            <w:tcW w:w="820" w:type="dxa"/>
            <w:vAlign w:val="bottom"/>
          </w:tcPr>
          <w:p>
            <w:pPr>
              <w:jc w:val="right"/>
              <w:ind w:right="409"/>
              <w:spacing w:after="0"/>
              <w:rPr>
                <w:sz w:val="20"/>
                <w:szCs w:val="20"/>
                <w:color w:val="auto"/>
              </w:rPr>
            </w:pPr>
            <w:r>
              <w:rPr>
                <w:rFonts w:ascii="Arial" w:cs="Arial" w:eastAsia="Arial" w:hAnsi="Arial"/>
                <w:sz w:val="16"/>
                <w:szCs w:val="16"/>
                <w:color w:val="auto"/>
              </w:rPr>
              <w:t>$</w:t>
            </w:r>
          </w:p>
        </w:tc>
        <w:tc>
          <w:tcPr>
            <w:tcW w:w="2220" w:type="dxa"/>
            <w:vAlign w:val="bottom"/>
          </w:tcPr>
          <w:p>
            <w:pPr>
              <w:jc w:val="right"/>
              <w:ind w:right="208"/>
              <w:spacing w:after="0"/>
              <w:rPr>
                <w:sz w:val="20"/>
                <w:szCs w:val="20"/>
                <w:color w:val="auto"/>
              </w:rPr>
            </w:pPr>
            <w:r>
              <w:rPr>
                <w:rFonts w:ascii="Arial" w:cs="Arial" w:eastAsia="Arial" w:hAnsi="Arial"/>
                <w:sz w:val="16"/>
                <w:szCs w:val="16"/>
                <w:color w:val="auto"/>
              </w:rPr>
              <w:t>246,000</w:t>
            </w:r>
          </w:p>
        </w:tc>
      </w:tr>
      <w:tr>
        <w:trPr>
          <w:trHeight w:val="218"/>
        </w:trPr>
        <w:tc>
          <w:tcPr>
            <w:tcW w:w="3400" w:type="dxa"/>
            <w:vAlign w:val="bottom"/>
          </w:tcPr>
          <w:p>
            <w:pPr>
              <w:spacing w:after="0"/>
              <w:rPr>
                <w:sz w:val="18"/>
                <w:szCs w:val="18"/>
                <w:color w:val="auto"/>
              </w:rPr>
            </w:pPr>
          </w:p>
        </w:tc>
        <w:tc>
          <w:tcPr>
            <w:tcW w:w="2800" w:type="dxa"/>
            <w:vAlign w:val="bottom"/>
          </w:tcPr>
          <w:p>
            <w:pPr>
              <w:ind w:left="100"/>
              <w:spacing w:after="0"/>
              <w:rPr>
                <w:sz w:val="20"/>
                <w:szCs w:val="20"/>
                <w:color w:val="auto"/>
              </w:rPr>
            </w:pPr>
            <w:r>
              <w:rPr>
                <w:rFonts w:ascii="Arial" w:cs="Arial" w:eastAsia="Arial" w:hAnsi="Arial"/>
                <w:sz w:val="17"/>
                <w:szCs w:val="17"/>
                <w:color w:val="auto"/>
              </w:rPr>
              <w:t>Qualified Plan</w:t>
            </w:r>
          </w:p>
        </w:tc>
        <w:tc>
          <w:tcPr>
            <w:tcW w:w="1780" w:type="dxa"/>
            <w:vAlign w:val="bottom"/>
          </w:tcPr>
          <w:p>
            <w:pPr>
              <w:jc w:val="right"/>
              <w:ind w:right="427"/>
              <w:spacing w:after="0"/>
              <w:rPr>
                <w:sz w:val="20"/>
                <w:szCs w:val="20"/>
                <w:color w:val="auto"/>
              </w:rPr>
            </w:pPr>
            <w:r>
              <w:rPr>
                <w:rFonts w:ascii="Arial" w:cs="Arial" w:eastAsia="Arial" w:hAnsi="Arial"/>
                <w:sz w:val="17"/>
                <w:szCs w:val="17"/>
                <w:color w:val="auto"/>
              </w:rPr>
              <w:t>30.8</w:t>
            </w:r>
          </w:p>
        </w:tc>
        <w:tc>
          <w:tcPr>
            <w:tcW w:w="820" w:type="dxa"/>
            <w:vAlign w:val="bottom"/>
          </w:tcPr>
          <w:p>
            <w:pPr>
              <w:jc w:val="right"/>
              <w:ind w:right="389"/>
              <w:spacing w:after="0"/>
              <w:rPr>
                <w:sz w:val="20"/>
                <w:szCs w:val="20"/>
                <w:color w:val="auto"/>
              </w:rPr>
            </w:pPr>
            <w:r>
              <w:rPr>
                <w:rFonts w:ascii="Arial" w:cs="Arial" w:eastAsia="Arial" w:hAnsi="Arial"/>
                <w:sz w:val="17"/>
                <w:szCs w:val="17"/>
                <w:color w:val="auto"/>
              </w:rPr>
              <w:t>$</w:t>
            </w:r>
          </w:p>
        </w:tc>
        <w:tc>
          <w:tcPr>
            <w:tcW w:w="2220" w:type="dxa"/>
            <w:vAlign w:val="bottom"/>
          </w:tcPr>
          <w:p>
            <w:pPr>
              <w:jc w:val="right"/>
              <w:ind w:right="208"/>
              <w:spacing w:after="0"/>
              <w:rPr>
                <w:sz w:val="20"/>
                <w:szCs w:val="20"/>
                <w:color w:val="auto"/>
              </w:rPr>
            </w:pPr>
            <w:r>
              <w:rPr>
                <w:rFonts w:ascii="Arial" w:cs="Arial" w:eastAsia="Arial" w:hAnsi="Arial"/>
                <w:sz w:val="17"/>
                <w:szCs w:val="17"/>
                <w:color w:val="auto"/>
              </w:rPr>
              <w:t>1,074,000</w:t>
            </w:r>
          </w:p>
        </w:tc>
      </w:tr>
      <w:tr>
        <w:trPr>
          <w:trHeight w:val="205"/>
        </w:trPr>
        <w:tc>
          <w:tcPr>
            <w:tcW w:w="3400" w:type="dxa"/>
            <w:vAlign w:val="bottom"/>
            <w:shd w:val="clear" w:color="auto" w:fill="D8D8D8"/>
          </w:tcPr>
          <w:p>
            <w:pPr>
              <w:ind w:left="120"/>
              <w:spacing w:after="0"/>
              <w:rPr>
                <w:sz w:val="20"/>
                <w:szCs w:val="20"/>
                <w:color w:val="auto"/>
              </w:rPr>
            </w:pPr>
            <w:r>
              <w:rPr>
                <w:rFonts w:ascii="Arial" w:cs="Arial" w:eastAsia="Arial" w:hAnsi="Arial"/>
                <w:sz w:val="17"/>
                <w:szCs w:val="17"/>
                <w:color w:val="auto"/>
              </w:rPr>
              <w:t>William P. Bryan</w:t>
            </w:r>
            <w:r>
              <w:rPr>
                <w:rFonts w:ascii="Arial" w:cs="Arial" w:eastAsia="Arial" w:hAnsi="Arial"/>
                <w:sz w:val="14"/>
                <w:szCs w:val="14"/>
                <w:color w:val="auto"/>
              </w:rPr>
              <w:t>(3)</w:t>
            </w:r>
          </w:p>
        </w:tc>
        <w:tc>
          <w:tcPr>
            <w:tcW w:w="2800" w:type="dxa"/>
            <w:vAlign w:val="bottom"/>
            <w:shd w:val="clear" w:color="auto" w:fill="D8D8D8"/>
          </w:tcPr>
          <w:p>
            <w:pPr>
              <w:ind w:left="100"/>
              <w:spacing w:after="0"/>
              <w:rPr>
                <w:sz w:val="20"/>
                <w:szCs w:val="20"/>
                <w:color w:val="auto"/>
              </w:rPr>
            </w:pPr>
            <w:r>
              <w:rPr>
                <w:rFonts w:ascii="Arial" w:cs="Arial" w:eastAsia="Arial" w:hAnsi="Arial"/>
                <w:sz w:val="16"/>
                <w:szCs w:val="16"/>
                <w:color w:val="auto"/>
              </w:rPr>
              <w:t>Supplemental Plan</w:t>
            </w:r>
          </w:p>
        </w:tc>
        <w:tc>
          <w:tcPr>
            <w:tcW w:w="1780" w:type="dxa"/>
            <w:vAlign w:val="bottom"/>
            <w:shd w:val="clear" w:color="auto" w:fill="D8D8D8"/>
          </w:tcPr>
          <w:p>
            <w:pPr>
              <w:jc w:val="right"/>
              <w:ind w:right="427"/>
              <w:spacing w:after="0"/>
              <w:rPr>
                <w:sz w:val="20"/>
                <w:szCs w:val="20"/>
                <w:color w:val="auto"/>
              </w:rPr>
            </w:pPr>
            <w:r>
              <w:rPr>
                <w:rFonts w:ascii="Arial" w:cs="Arial" w:eastAsia="Arial" w:hAnsi="Arial"/>
                <w:sz w:val="16"/>
                <w:szCs w:val="16"/>
                <w:color w:val="auto"/>
              </w:rPr>
              <w:t>44.0</w:t>
            </w:r>
          </w:p>
        </w:tc>
        <w:tc>
          <w:tcPr>
            <w:tcW w:w="820" w:type="dxa"/>
            <w:vAlign w:val="bottom"/>
            <w:shd w:val="clear" w:color="auto" w:fill="D8D8D8"/>
          </w:tcPr>
          <w:p>
            <w:pPr>
              <w:jc w:val="right"/>
              <w:ind w:right="409"/>
              <w:spacing w:after="0"/>
              <w:rPr>
                <w:sz w:val="20"/>
                <w:szCs w:val="20"/>
                <w:color w:val="auto"/>
              </w:rPr>
            </w:pPr>
            <w:r>
              <w:rPr>
                <w:rFonts w:ascii="Arial" w:cs="Arial" w:eastAsia="Arial" w:hAnsi="Arial"/>
                <w:sz w:val="16"/>
                <w:szCs w:val="16"/>
                <w:color w:val="auto"/>
              </w:rPr>
              <w:t>$</w:t>
            </w:r>
          </w:p>
        </w:tc>
        <w:tc>
          <w:tcPr>
            <w:tcW w:w="2220" w:type="dxa"/>
            <w:vAlign w:val="bottom"/>
            <w:shd w:val="clear" w:color="auto" w:fill="D8D8D8"/>
          </w:tcPr>
          <w:p>
            <w:pPr>
              <w:jc w:val="right"/>
              <w:ind w:right="248"/>
              <w:spacing w:after="0"/>
              <w:rPr>
                <w:sz w:val="20"/>
                <w:szCs w:val="20"/>
                <w:color w:val="auto"/>
              </w:rPr>
            </w:pPr>
            <w:r>
              <w:rPr>
                <w:rFonts w:ascii="Arial" w:cs="Arial" w:eastAsia="Arial" w:hAnsi="Arial"/>
                <w:sz w:val="16"/>
                <w:szCs w:val="16"/>
                <w:color w:val="auto"/>
              </w:rPr>
              <w:t>371,000</w:t>
            </w:r>
          </w:p>
        </w:tc>
      </w:tr>
      <w:tr>
        <w:trPr>
          <w:trHeight w:val="203"/>
        </w:trPr>
        <w:tc>
          <w:tcPr>
            <w:tcW w:w="3400" w:type="dxa"/>
            <w:vAlign w:val="bottom"/>
            <w:shd w:val="clear" w:color="auto" w:fill="D8D8D8"/>
          </w:tcPr>
          <w:p>
            <w:pPr>
              <w:spacing w:after="0"/>
              <w:rPr>
                <w:sz w:val="17"/>
                <w:szCs w:val="17"/>
                <w:color w:val="auto"/>
              </w:rPr>
            </w:pPr>
          </w:p>
        </w:tc>
        <w:tc>
          <w:tcPr>
            <w:tcW w:w="2800" w:type="dxa"/>
            <w:vAlign w:val="bottom"/>
            <w:shd w:val="clear" w:color="auto" w:fill="D8D8D8"/>
          </w:tcPr>
          <w:p>
            <w:pPr>
              <w:ind w:left="100"/>
              <w:spacing w:after="0"/>
              <w:rPr>
                <w:sz w:val="20"/>
                <w:szCs w:val="20"/>
                <w:color w:val="auto"/>
              </w:rPr>
            </w:pPr>
            <w:r>
              <w:rPr>
                <w:rFonts w:ascii="Arial" w:cs="Arial" w:eastAsia="Arial" w:hAnsi="Arial"/>
                <w:sz w:val="16"/>
                <w:szCs w:val="16"/>
                <w:color w:val="auto"/>
              </w:rPr>
              <w:t>Qualified Plan</w:t>
            </w:r>
          </w:p>
        </w:tc>
        <w:tc>
          <w:tcPr>
            <w:tcW w:w="1780" w:type="dxa"/>
            <w:vAlign w:val="bottom"/>
            <w:shd w:val="clear" w:color="auto" w:fill="D8D8D8"/>
          </w:tcPr>
          <w:p>
            <w:pPr>
              <w:jc w:val="right"/>
              <w:ind w:right="427"/>
              <w:spacing w:after="0"/>
              <w:rPr>
                <w:sz w:val="20"/>
                <w:szCs w:val="20"/>
                <w:color w:val="auto"/>
              </w:rPr>
            </w:pPr>
            <w:r>
              <w:rPr>
                <w:rFonts w:ascii="Arial" w:cs="Arial" w:eastAsia="Arial" w:hAnsi="Arial"/>
                <w:sz w:val="16"/>
                <w:szCs w:val="16"/>
                <w:color w:val="auto"/>
              </w:rPr>
              <w:t>44.0</w:t>
            </w:r>
          </w:p>
        </w:tc>
        <w:tc>
          <w:tcPr>
            <w:tcW w:w="820" w:type="dxa"/>
            <w:vAlign w:val="bottom"/>
            <w:shd w:val="clear" w:color="auto" w:fill="D8D8D8"/>
          </w:tcPr>
          <w:p>
            <w:pPr>
              <w:jc w:val="right"/>
              <w:ind w:right="409"/>
              <w:spacing w:after="0"/>
              <w:rPr>
                <w:sz w:val="20"/>
                <w:szCs w:val="20"/>
                <w:color w:val="auto"/>
              </w:rPr>
            </w:pPr>
            <w:r>
              <w:rPr>
                <w:rFonts w:ascii="Arial" w:cs="Arial" w:eastAsia="Arial" w:hAnsi="Arial"/>
                <w:sz w:val="16"/>
                <w:szCs w:val="16"/>
                <w:color w:val="auto"/>
              </w:rPr>
              <w:t>$</w:t>
            </w:r>
          </w:p>
        </w:tc>
        <w:tc>
          <w:tcPr>
            <w:tcW w:w="2220" w:type="dxa"/>
            <w:vAlign w:val="bottom"/>
            <w:shd w:val="clear" w:color="auto" w:fill="D8D8D8"/>
          </w:tcPr>
          <w:p>
            <w:pPr>
              <w:jc w:val="right"/>
              <w:ind w:right="208"/>
              <w:spacing w:after="0"/>
              <w:rPr>
                <w:sz w:val="20"/>
                <w:szCs w:val="20"/>
                <w:color w:val="auto"/>
              </w:rPr>
            </w:pPr>
            <w:r>
              <w:rPr>
                <w:rFonts w:ascii="Arial" w:cs="Arial" w:eastAsia="Arial" w:hAnsi="Arial"/>
                <w:sz w:val="16"/>
                <w:szCs w:val="16"/>
                <w:color w:val="auto"/>
              </w:rPr>
              <w:t>0</w:t>
            </w:r>
          </w:p>
        </w:tc>
      </w:tr>
      <w:tr>
        <w:trPr>
          <w:trHeight w:val="185"/>
        </w:trPr>
        <w:tc>
          <w:tcPr>
            <w:tcW w:w="3400" w:type="dxa"/>
            <w:vAlign w:val="bottom"/>
          </w:tcPr>
          <w:p>
            <w:pPr>
              <w:ind w:left="120"/>
              <w:spacing w:after="0" w:line="185" w:lineRule="exact"/>
              <w:rPr>
                <w:sz w:val="20"/>
                <w:szCs w:val="20"/>
                <w:color w:val="auto"/>
              </w:rPr>
            </w:pPr>
            <w:r>
              <w:rPr>
                <w:rFonts w:ascii="Arial" w:cs="Arial" w:eastAsia="Arial" w:hAnsi="Arial"/>
                <w:sz w:val="17"/>
                <w:szCs w:val="17"/>
                <w:color w:val="auto"/>
              </w:rPr>
              <w:t>Thomas D. Moline</w:t>
            </w:r>
          </w:p>
        </w:tc>
        <w:tc>
          <w:tcPr>
            <w:tcW w:w="2800" w:type="dxa"/>
            <w:vAlign w:val="bottom"/>
          </w:tcPr>
          <w:p>
            <w:pPr>
              <w:ind w:left="100"/>
              <w:spacing w:after="0" w:line="185" w:lineRule="exact"/>
              <w:rPr>
                <w:sz w:val="20"/>
                <w:szCs w:val="20"/>
                <w:color w:val="auto"/>
              </w:rPr>
            </w:pPr>
            <w:r>
              <w:rPr>
                <w:rFonts w:ascii="Arial" w:cs="Arial" w:eastAsia="Arial" w:hAnsi="Arial"/>
                <w:sz w:val="17"/>
                <w:szCs w:val="17"/>
                <w:color w:val="auto"/>
              </w:rPr>
              <w:t>Supplemental Plan</w:t>
            </w:r>
          </w:p>
        </w:tc>
        <w:tc>
          <w:tcPr>
            <w:tcW w:w="1780" w:type="dxa"/>
            <w:vAlign w:val="bottom"/>
          </w:tcPr>
          <w:p>
            <w:pPr>
              <w:jc w:val="right"/>
              <w:ind w:right="427"/>
              <w:spacing w:after="0" w:line="185" w:lineRule="exact"/>
              <w:rPr>
                <w:sz w:val="20"/>
                <w:szCs w:val="20"/>
                <w:color w:val="auto"/>
              </w:rPr>
            </w:pPr>
            <w:r>
              <w:rPr>
                <w:rFonts w:ascii="Arial" w:cs="Arial" w:eastAsia="Arial" w:hAnsi="Arial"/>
                <w:sz w:val="17"/>
                <w:szCs w:val="17"/>
                <w:color w:val="auto"/>
              </w:rPr>
              <w:t>37.0</w:t>
            </w:r>
          </w:p>
        </w:tc>
        <w:tc>
          <w:tcPr>
            <w:tcW w:w="820" w:type="dxa"/>
            <w:vAlign w:val="bottom"/>
          </w:tcPr>
          <w:p>
            <w:pPr>
              <w:jc w:val="right"/>
              <w:ind w:right="389"/>
              <w:spacing w:after="0" w:line="185" w:lineRule="exact"/>
              <w:rPr>
                <w:sz w:val="20"/>
                <w:szCs w:val="20"/>
                <w:color w:val="auto"/>
              </w:rPr>
            </w:pPr>
            <w:r>
              <w:rPr>
                <w:rFonts w:ascii="Arial" w:cs="Arial" w:eastAsia="Arial" w:hAnsi="Arial"/>
                <w:sz w:val="17"/>
                <w:szCs w:val="17"/>
                <w:color w:val="auto"/>
              </w:rPr>
              <w:t>$</w:t>
            </w:r>
          </w:p>
        </w:tc>
        <w:tc>
          <w:tcPr>
            <w:tcW w:w="2220" w:type="dxa"/>
            <w:vAlign w:val="bottom"/>
          </w:tcPr>
          <w:p>
            <w:pPr>
              <w:jc w:val="right"/>
              <w:ind w:right="268"/>
              <w:spacing w:after="0" w:line="185" w:lineRule="exact"/>
              <w:rPr>
                <w:sz w:val="20"/>
                <w:szCs w:val="20"/>
                <w:color w:val="auto"/>
              </w:rPr>
            </w:pPr>
            <w:r>
              <w:rPr>
                <w:rFonts w:ascii="Arial" w:cs="Arial" w:eastAsia="Arial" w:hAnsi="Arial"/>
                <w:sz w:val="17"/>
                <w:szCs w:val="17"/>
                <w:color w:val="auto"/>
              </w:rPr>
              <w:t>346,000</w:t>
            </w:r>
          </w:p>
        </w:tc>
      </w:tr>
      <w:tr>
        <w:trPr>
          <w:trHeight w:val="216"/>
        </w:trPr>
        <w:tc>
          <w:tcPr>
            <w:tcW w:w="3400" w:type="dxa"/>
            <w:vAlign w:val="bottom"/>
          </w:tcPr>
          <w:p>
            <w:pPr>
              <w:spacing w:after="0"/>
              <w:rPr>
                <w:sz w:val="18"/>
                <w:szCs w:val="18"/>
                <w:color w:val="auto"/>
              </w:rPr>
            </w:pPr>
          </w:p>
        </w:tc>
        <w:tc>
          <w:tcPr>
            <w:tcW w:w="2800" w:type="dxa"/>
            <w:vAlign w:val="bottom"/>
          </w:tcPr>
          <w:p>
            <w:pPr>
              <w:ind w:left="100"/>
              <w:spacing w:after="0"/>
              <w:rPr>
                <w:sz w:val="20"/>
                <w:szCs w:val="20"/>
                <w:color w:val="auto"/>
              </w:rPr>
            </w:pPr>
            <w:r>
              <w:rPr>
                <w:rFonts w:ascii="Arial" w:cs="Arial" w:eastAsia="Arial" w:hAnsi="Arial"/>
                <w:sz w:val="17"/>
                <w:szCs w:val="17"/>
                <w:color w:val="auto"/>
              </w:rPr>
              <w:t>Qualified Plan</w:t>
            </w:r>
          </w:p>
        </w:tc>
        <w:tc>
          <w:tcPr>
            <w:tcW w:w="1780" w:type="dxa"/>
            <w:vAlign w:val="bottom"/>
          </w:tcPr>
          <w:p>
            <w:pPr>
              <w:jc w:val="right"/>
              <w:ind w:right="427"/>
              <w:spacing w:after="0"/>
              <w:rPr>
                <w:sz w:val="20"/>
                <w:szCs w:val="20"/>
                <w:color w:val="auto"/>
              </w:rPr>
            </w:pPr>
            <w:r>
              <w:rPr>
                <w:rFonts w:ascii="Arial" w:cs="Arial" w:eastAsia="Arial" w:hAnsi="Arial"/>
                <w:sz w:val="17"/>
                <w:szCs w:val="17"/>
                <w:color w:val="auto"/>
              </w:rPr>
              <w:t>37.0</w:t>
            </w:r>
          </w:p>
        </w:tc>
        <w:tc>
          <w:tcPr>
            <w:tcW w:w="820" w:type="dxa"/>
            <w:vAlign w:val="bottom"/>
          </w:tcPr>
          <w:p>
            <w:pPr>
              <w:jc w:val="right"/>
              <w:ind w:right="389"/>
              <w:spacing w:after="0"/>
              <w:rPr>
                <w:sz w:val="20"/>
                <w:szCs w:val="20"/>
                <w:color w:val="auto"/>
              </w:rPr>
            </w:pPr>
            <w:r>
              <w:rPr>
                <w:rFonts w:ascii="Arial" w:cs="Arial" w:eastAsia="Arial" w:hAnsi="Arial"/>
                <w:sz w:val="17"/>
                <w:szCs w:val="17"/>
                <w:color w:val="auto"/>
              </w:rPr>
              <w:t>$</w:t>
            </w:r>
          </w:p>
        </w:tc>
        <w:tc>
          <w:tcPr>
            <w:tcW w:w="2220" w:type="dxa"/>
            <w:vAlign w:val="bottom"/>
          </w:tcPr>
          <w:p>
            <w:pPr>
              <w:jc w:val="right"/>
              <w:ind w:right="268"/>
              <w:spacing w:after="0"/>
              <w:rPr>
                <w:sz w:val="20"/>
                <w:szCs w:val="20"/>
                <w:color w:val="auto"/>
              </w:rPr>
            </w:pPr>
            <w:r>
              <w:rPr>
                <w:rFonts w:ascii="Arial" w:cs="Arial" w:eastAsia="Arial" w:hAnsi="Arial"/>
                <w:sz w:val="17"/>
                <w:szCs w:val="17"/>
                <w:color w:val="auto"/>
              </w:rPr>
              <w:t>1,183,000</w:t>
            </w:r>
          </w:p>
        </w:tc>
      </w:tr>
    </w:tbl>
    <w:p>
      <w:pPr>
        <w:spacing w:after="0" w:line="107" w:lineRule="exact"/>
        <w:rPr>
          <w:sz w:val="20"/>
          <w:szCs w:val="20"/>
          <w:color w:val="auto"/>
        </w:rPr>
      </w:pPr>
    </w:p>
    <w:p>
      <w:pPr>
        <w:ind w:left="540" w:right="80" w:hanging="424"/>
        <w:spacing w:after="0" w:line="238" w:lineRule="auto"/>
        <w:tabs>
          <w:tab w:leader="none" w:pos="540" w:val="left"/>
        </w:tabs>
        <w:numPr>
          <w:ilvl w:val="0"/>
          <w:numId w:val="64"/>
        </w:numPr>
        <w:rPr>
          <w:rFonts w:ascii="Arial" w:cs="Arial" w:eastAsia="Arial" w:hAnsi="Arial"/>
          <w:sz w:val="12"/>
          <w:szCs w:val="12"/>
          <w:color w:val="auto"/>
        </w:rPr>
      </w:pPr>
      <w:r>
        <w:rPr>
          <w:rFonts w:ascii="Arial" w:cs="Arial" w:eastAsia="Arial" w:hAnsi="Arial"/>
          <w:sz w:val="14"/>
          <w:szCs w:val="14"/>
          <w:color w:val="auto"/>
        </w:rPr>
        <w:t>The “Present Value of Accumulated Benefit” is the present value as of December 31, 2021. Age 62 is the earliest age an unreduced benefit is payable from the plans. The assumptions used to determine the present value include a 3.04% discount rate and updated mortality statistics consistent with the 2021 Society of Actuaries revised mortality projection scale. Benefits for the applicable NEOs were determined assuming no probability of termination, retirement, death or disability before age 62.</w:t>
      </w:r>
    </w:p>
    <w:p>
      <w:pPr>
        <w:spacing w:after="0" w:line="88" w:lineRule="exact"/>
        <w:rPr>
          <w:rFonts w:ascii="Arial" w:cs="Arial" w:eastAsia="Arial" w:hAnsi="Arial"/>
          <w:sz w:val="12"/>
          <w:szCs w:val="12"/>
          <w:color w:val="auto"/>
        </w:rPr>
      </w:pPr>
    </w:p>
    <w:p>
      <w:pPr>
        <w:ind w:left="540" w:hanging="424"/>
        <w:spacing w:after="0"/>
        <w:tabs>
          <w:tab w:leader="none" w:pos="540" w:val="left"/>
        </w:tabs>
        <w:numPr>
          <w:ilvl w:val="0"/>
          <w:numId w:val="64"/>
        </w:numPr>
        <w:rPr>
          <w:rFonts w:ascii="Arial" w:cs="Arial" w:eastAsia="Arial" w:hAnsi="Arial"/>
          <w:sz w:val="11"/>
          <w:szCs w:val="11"/>
          <w:color w:val="auto"/>
        </w:rPr>
      </w:pPr>
      <w:r>
        <w:rPr>
          <w:rFonts w:ascii="Arial" w:cs="Arial" w:eastAsia="Arial" w:hAnsi="Arial"/>
          <w:sz w:val="13"/>
          <w:szCs w:val="13"/>
          <w:color w:val="auto"/>
        </w:rPr>
        <w:t>Because Messrs. Williams and Westbrooks and Ms. Syrvalin were hired after January 1, 2004, they do not accumulate any service under either the Supplemental or Qualified Plan.</w:t>
      </w:r>
    </w:p>
    <w:p>
      <w:pPr>
        <w:spacing w:after="0" w:line="120" w:lineRule="exact"/>
        <w:rPr>
          <w:rFonts w:ascii="Arial" w:cs="Arial" w:eastAsia="Arial" w:hAnsi="Arial"/>
          <w:sz w:val="11"/>
          <w:szCs w:val="11"/>
          <w:color w:val="auto"/>
        </w:rPr>
      </w:pPr>
    </w:p>
    <w:p>
      <w:pPr>
        <w:ind w:left="540" w:right="400" w:hanging="424"/>
        <w:spacing w:after="0" w:line="253" w:lineRule="auto"/>
        <w:tabs>
          <w:tab w:leader="none" w:pos="540" w:val="left"/>
        </w:tabs>
        <w:numPr>
          <w:ilvl w:val="0"/>
          <w:numId w:val="64"/>
        </w:numPr>
        <w:rPr>
          <w:rFonts w:ascii="Arial" w:cs="Arial" w:eastAsia="Arial" w:hAnsi="Arial"/>
          <w:sz w:val="12"/>
          <w:szCs w:val="12"/>
          <w:color w:val="auto"/>
        </w:rPr>
      </w:pPr>
      <w:r>
        <w:rPr>
          <w:rFonts w:ascii="Arial" w:cs="Arial" w:eastAsia="Arial" w:hAnsi="Arial"/>
          <w:sz w:val="14"/>
          <w:szCs w:val="14"/>
          <w:color w:val="auto"/>
        </w:rPr>
        <w:t>Following separation from employment on May 7, 2021, Mr. Bryan chose to take a lump sum payment of his Qualified Plan benefit in the amount of $1,587,860. As a result, the present value of his accumulated benefit as of December 31, 2021 was zero.</w:t>
      </w:r>
    </w:p>
    <w:p>
      <w:pPr>
        <w:spacing w:after="0" w:line="115"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64</w:t>
      </w:r>
    </w:p>
    <w:p>
      <w:pPr>
        <w:sectPr>
          <w:pgSz w:w="11900" w:h="16838" w:orient="portrait"/>
          <w:cols w:equalWidth="0" w:num="1">
            <w:col w:w="11140"/>
          </w:cols>
          <w:pgMar w:left="320" w:top="459" w:right="4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2021 Nonqualified deferred compensation table</w:t>
      </w:r>
    </w:p>
    <w:p>
      <w:pPr>
        <w:spacing w:after="0" w:line="234" w:lineRule="exact"/>
        <w:rPr>
          <w:sz w:val="20"/>
          <w:szCs w:val="20"/>
          <w:color w:val="auto"/>
        </w:rPr>
      </w:pPr>
    </w:p>
    <w:p>
      <w:pPr>
        <w:ind w:left="120" w:right="60"/>
        <w:spacing w:after="0" w:line="257" w:lineRule="auto"/>
        <w:rPr>
          <w:sz w:val="20"/>
          <w:szCs w:val="20"/>
          <w:color w:val="auto"/>
        </w:rPr>
      </w:pPr>
      <w:r>
        <w:rPr>
          <w:rFonts w:ascii="Arial" w:cs="Arial" w:eastAsia="Arial" w:hAnsi="Arial"/>
          <w:sz w:val="18"/>
          <w:szCs w:val="18"/>
          <w:color w:val="auto"/>
        </w:rPr>
        <w:t>Through December 31, 2021, the company maintained a deferred compensation plan that allowed certain employees, including the NEOs, to elect to defer receipt of all or a portion of their salary, employee contributions and company matching contributions that would otherwise be paid out post-tax, and incentive compensation payable in cash, until a specified point in the future. Cash deferrals earn interest quarterly at a rate based on the prime rate plus one percent. Effective December 31, 2021, the deferred compensation plan was frozen, and no deferrals will be credited under the plan with respect to any compensation earned on or after January 1, 2022.</w:t>
      </w:r>
    </w:p>
    <w:p>
      <w:pPr>
        <w:spacing w:after="0" w:line="188"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color w:val="auto"/>
        </w:rPr>
        <w:t>The table below sets forth information regarding contributions, earnings and withdrawals during 2021 and the account balances as of December 31, 2021, for the NEOs under the TimkenSteel Corporation Deferred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6177280</wp:posOffset>
            </wp:positionH>
            <wp:positionV relativeFrom="paragraph">
              <wp:posOffset>134620</wp:posOffset>
            </wp:positionV>
            <wp:extent cx="8890" cy="56578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8890" cy="565785"/>
                    </a:xfrm>
                    <a:prstGeom prst="rect">
                      <a:avLst/>
                    </a:prstGeom>
                    <a:noFill/>
                  </pic:spPr>
                </pic:pic>
              </a:graphicData>
            </a:graphic>
          </wp:anchor>
        </w:drawing>
        <w:drawing>
          <wp:anchor simplePos="0" relativeHeight="251657728" behindDoc="1" locked="0" layoutInCell="0" allowOverlap="1">
            <wp:simplePos x="0" y="0"/>
            <wp:positionH relativeFrom="column">
              <wp:posOffset>5200015</wp:posOffset>
            </wp:positionH>
            <wp:positionV relativeFrom="paragraph">
              <wp:posOffset>134620</wp:posOffset>
            </wp:positionV>
            <wp:extent cx="8255" cy="56578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8255" cy="56578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134620</wp:posOffset>
            </wp:positionV>
            <wp:extent cx="8255" cy="5657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8255" cy="565785"/>
                    </a:xfrm>
                    <a:prstGeom prst="rect">
                      <a:avLst/>
                    </a:prstGeom>
                    <a:noFill/>
                  </pic:spPr>
                </pic:pic>
              </a:graphicData>
            </a:graphic>
          </wp:anchor>
        </w:drawing>
        <w:drawing>
          <wp:anchor simplePos="0" relativeHeight="251657728" behindDoc="1" locked="0" layoutInCell="0" allowOverlap="1">
            <wp:simplePos x="0" y="0"/>
            <wp:positionH relativeFrom="column">
              <wp:posOffset>3390900</wp:posOffset>
            </wp:positionH>
            <wp:positionV relativeFrom="paragraph">
              <wp:posOffset>134620</wp:posOffset>
            </wp:positionV>
            <wp:extent cx="8890" cy="5657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8890" cy="56578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134620</wp:posOffset>
            </wp:positionV>
            <wp:extent cx="8890" cy="56578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8890" cy="565785"/>
                    </a:xfrm>
                    <a:prstGeom prst="rect">
                      <a:avLst/>
                    </a:prstGeom>
                    <a:noFill/>
                  </pic:spPr>
                </pic:pic>
              </a:graphicData>
            </a:graphic>
          </wp:anchor>
        </w:drawing>
      </w:r>
    </w:p>
    <w:p>
      <w:pPr>
        <w:spacing w:after="0" w:line="192" w:lineRule="exact"/>
        <w:rPr>
          <w:sz w:val="20"/>
          <w:szCs w:val="20"/>
          <w:color w:val="auto"/>
        </w:rPr>
      </w:pPr>
    </w:p>
    <w:tbl>
      <w:tblPr>
        <w:tblLayout w:type="fixed"/>
        <w:tblInd w:w="120" w:type="dxa"/>
        <w:tblCellMar>
          <w:top w:w="0" w:type="dxa"/>
          <w:left w:w="0" w:type="dxa"/>
          <w:bottom w:w="0" w:type="dxa"/>
          <w:right w:w="0" w:type="dxa"/>
        </w:tblCellMar>
      </w:tblPr>
      <w:tr>
        <w:trPr>
          <w:trHeight w:val="248"/>
        </w:trPr>
        <w:tc>
          <w:tcPr>
            <w:tcW w:w="3640" w:type="dxa"/>
            <w:vAlign w:val="bottom"/>
            <w:shd w:val="clear" w:color="auto" w:fill="333333"/>
          </w:tcPr>
          <w:p>
            <w:pPr>
              <w:spacing w:after="0"/>
              <w:rPr>
                <w:sz w:val="21"/>
                <w:szCs w:val="21"/>
                <w:color w:val="auto"/>
              </w:rPr>
            </w:pPr>
          </w:p>
        </w:tc>
        <w:tc>
          <w:tcPr>
            <w:tcW w:w="400" w:type="dxa"/>
            <w:vAlign w:val="bottom"/>
            <w:shd w:val="clear" w:color="auto" w:fill="333333"/>
          </w:tcPr>
          <w:p>
            <w:pPr>
              <w:spacing w:after="0"/>
              <w:rPr>
                <w:sz w:val="21"/>
                <w:szCs w:val="21"/>
                <w:color w:val="auto"/>
              </w:rPr>
            </w:pPr>
          </w:p>
        </w:tc>
        <w:tc>
          <w:tcPr>
            <w:tcW w:w="1180" w:type="dxa"/>
            <w:vAlign w:val="bottom"/>
            <w:shd w:val="clear" w:color="auto" w:fill="333333"/>
          </w:tcPr>
          <w:p>
            <w:pPr>
              <w:spacing w:after="0"/>
              <w:rPr>
                <w:sz w:val="21"/>
                <w:szCs w:val="21"/>
                <w:color w:val="auto"/>
              </w:rPr>
            </w:pPr>
          </w:p>
        </w:tc>
        <w:tc>
          <w:tcPr>
            <w:tcW w:w="400" w:type="dxa"/>
            <w:vAlign w:val="bottom"/>
            <w:shd w:val="clear" w:color="auto" w:fill="333333"/>
          </w:tcPr>
          <w:p>
            <w:pPr>
              <w:spacing w:after="0"/>
              <w:rPr>
                <w:sz w:val="21"/>
                <w:szCs w:val="21"/>
                <w:color w:val="auto"/>
              </w:rPr>
            </w:pPr>
          </w:p>
        </w:tc>
        <w:tc>
          <w:tcPr>
            <w:tcW w:w="1180" w:type="dxa"/>
            <w:vAlign w:val="bottom"/>
            <w:shd w:val="clear" w:color="auto" w:fill="333333"/>
          </w:tcPr>
          <w:p>
            <w:pPr>
              <w:spacing w:after="0"/>
              <w:rPr>
                <w:sz w:val="21"/>
                <w:szCs w:val="21"/>
                <w:color w:val="auto"/>
              </w:rPr>
            </w:pPr>
          </w:p>
        </w:tc>
        <w:tc>
          <w:tcPr>
            <w:tcW w:w="340" w:type="dxa"/>
            <w:vAlign w:val="bottom"/>
            <w:shd w:val="clear" w:color="auto" w:fill="333333"/>
          </w:tcPr>
          <w:p>
            <w:pPr>
              <w:spacing w:after="0"/>
              <w:rPr>
                <w:sz w:val="21"/>
                <w:szCs w:val="21"/>
                <w:color w:val="auto"/>
              </w:rPr>
            </w:pPr>
          </w:p>
        </w:tc>
        <w:tc>
          <w:tcPr>
            <w:tcW w:w="940" w:type="dxa"/>
            <w:vAlign w:val="bottom"/>
            <w:shd w:val="clear" w:color="auto" w:fill="333333"/>
          </w:tcPr>
          <w:p>
            <w:pPr>
              <w:spacing w:after="0"/>
              <w:rPr>
                <w:sz w:val="21"/>
                <w:szCs w:val="21"/>
                <w:color w:val="auto"/>
              </w:rPr>
            </w:pPr>
          </w:p>
        </w:tc>
        <w:tc>
          <w:tcPr>
            <w:tcW w:w="380" w:type="dxa"/>
            <w:vAlign w:val="bottom"/>
            <w:shd w:val="clear" w:color="auto" w:fill="333333"/>
          </w:tcPr>
          <w:p>
            <w:pPr>
              <w:spacing w:after="0"/>
              <w:rPr>
                <w:sz w:val="21"/>
                <w:szCs w:val="21"/>
                <w:color w:val="auto"/>
              </w:rPr>
            </w:pPr>
          </w:p>
        </w:tc>
        <w:tc>
          <w:tcPr>
            <w:tcW w:w="1180" w:type="dxa"/>
            <w:vAlign w:val="bottom"/>
            <w:shd w:val="clear" w:color="auto" w:fill="333333"/>
          </w:tcPr>
          <w:p>
            <w:pPr>
              <w:jc w:val="center"/>
              <w:ind w:right="355"/>
              <w:spacing w:after="0"/>
              <w:rPr>
                <w:sz w:val="20"/>
                <w:szCs w:val="20"/>
                <w:color w:val="auto"/>
              </w:rPr>
            </w:pPr>
            <w:r>
              <w:rPr>
                <w:rFonts w:ascii="Arial" w:cs="Arial" w:eastAsia="Arial" w:hAnsi="Arial"/>
                <w:sz w:val="17"/>
                <w:szCs w:val="17"/>
                <w:b w:val="1"/>
                <w:bCs w:val="1"/>
                <w:color w:val="FFFFFF"/>
                <w:w w:val="87"/>
              </w:rPr>
              <w:t>Aggregate</w:t>
            </w:r>
          </w:p>
        </w:tc>
        <w:tc>
          <w:tcPr>
            <w:tcW w:w="13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87"/>
              </w:rPr>
              <w:t>Aggregate</w:t>
            </w:r>
          </w:p>
        </w:tc>
      </w:tr>
      <w:tr>
        <w:trPr>
          <w:trHeight w:val="203"/>
        </w:trPr>
        <w:tc>
          <w:tcPr>
            <w:tcW w:w="3640" w:type="dxa"/>
            <w:vAlign w:val="bottom"/>
            <w:shd w:val="clear" w:color="auto" w:fill="333333"/>
          </w:tcPr>
          <w:p>
            <w:pPr>
              <w:spacing w:after="0"/>
              <w:rPr>
                <w:sz w:val="17"/>
                <w:szCs w:val="17"/>
                <w:color w:val="auto"/>
              </w:rPr>
            </w:pPr>
          </w:p>
        </w:tc>
        <w:tc>
          <w:tcPr>
            <w:tcW w:w="400" w:type="dxa"/>
            <w:vAlign w:val="bottom"/>
            <w:shd w:val="clear" w:color="auto" w:fill="333333"/>
          </w:tcPr>
          <w:p>
            <w:pPr>
              <w:spacing w:after="0"/>
              <w:rPr>
                <w:sz w:val="17"/>
                <w:szCs w:val="17"/>
                <w:color w:val="auto"/>
              </w:rPr>
            </w:pPr>
          </w:p>
        </w:tc>
        <w:tc>
          <w:tcPr>
            <w:tcW w:w="1180" w:type="dxa"/>
            <w:vAlign w:val="bottom"/>
            <w:shd w:val="clear" w:color="auto" w:fill="333333"/>
          </w:tcPr>
          <w:p>
            <w:pPr>
              <w:jc w:val="right"/>
              <w:ind w:right="355"/>
              <w:spacing w:after="0"/>
              <w:rPr>
                <w:sz w:val="20"/>
                <w:szCs w:val="20"/>
                <w:color w:val="auto"/>
              </w:rPr>
            </w:pPr>
            <w:r>
              <w:rPr>
                <w:rFonts w:ascii="Arial" w:cs="Arial" w:eastAsia="Arial" w:hAnsi="Arial"/>
                <w:sz w:val="17"/>
                <w:szCs w:val="17"/>
                <w:b w:val="1"/>
                <w:bCs w:val="1"/>
                <w:color w:val="FFFFFF"/>
                <w:w w:val="90"/>
              </w:rPr>
              <w:t>Executive</w:t>
            </w:r>
          </w:p>
        </w:tc>
        <w:tc>
          <w:tcPr>
            <w:tcW w:w="400" w:type="dxa"/>
            <w:vAlign w:val="bottom"/>
            <w:shd w:val="clear" w:color="auto" w:fill="333333"/>
          </w:tcPr>
          <w:p>
            <w:pPr>
              <w:spacing w:after="0"/>
              <w:rPr>
                <w:sz w:val="17"/>
                <w:szCs w:val="17"/>
                <w:color w:val="auto"/>
              </w:rPr>
            </w:pPr>
          </w:p>
        </w:tc>
        <w:tc>
          <w:tcPr>
            <w:tcW w:w="1180" w:type="dxa"/>
            <w:vAlign w:val="bottom"/>
            <w:shd w:val="clear" w:color="auto" w:fill="333333"/>
          </w:tcPr>
          <w:p>
            <w:pPr>
              <w:jc w:val="center"/>
              <w:ind w:right="315"/>
              <w:spacing w:after="0"/>
              <w:rPr>
                <w:sz w:val="20"/>
                <w:szCs w:val="20"/>
                <w:color w:val="auto"/>
              </w:rPr>
            </w:pPr>
            <w:r>
              <w:rPr>
                <w:rFonts w:ascii="Arial" w:cs="Arial" w:eastAsia="Arial" w:hAnsi="Arial"/>
                <w:sz w:val="17"/>
                <w:szCs w:val="17"/>
                <w:b w:val="1"/>
                <w:bCs w:val="1"/>
                <w:color w:val="FFFFFF"/>
                <w:w w:val="90"/>
              </w:rPr>
              <w:t>Company</w:t>
            </w:r>
          </w:p>
        </w:tc>
        <w:tc>
          <w:tcPr>
            <w:tcW w:w="12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87"/>
              </w:rPr>
              <w:t>Aggregate</w:t>
            </w:r>
          </w:p>
        </w:tc>
        <w:tc>
          <w:tcPr>
            <w:tcW w:w="1560" w:type="dxa"/>
            <w:vAlign w:val="bottom"/>
            <w:gridSpan w:val="2"/>
            <w:shd w:val="clear" w:color="auto" w:fill="333333"/>
          </w:tcPr>
          <w:p>
            <w:pPr>
              <w:ind w:left="280"/>
              <w:spacing w:after="0"/>
              <w:rPr>
                <w:sz w:val="20"/>
                <w:szCs w:val="20"/>
                <w:color w:val="auto"/>
              </w:rPr>
            </w:pPr>
            <w:r>
              <w:rPr>
                <w:rFonts w:ascii="Arial" w:cs="Arial" w:eastAsia="Arial" w:hAnsi="Arial"/>
                <w:sz w:val="17"/>
                <w:szCs w:val="17"/>
                <w:b w:val="1"/>
                <w:bCs w:val="1"/>
                <w:color w:val="FFFFFF"/>
              </w:rPr>
              <w:t>withdrawals/</w:t>
            </w:r>
          </w:p>
        </w:tc>
        <w:tc>
          <w:tcPr>
            <w:tcW w:w="13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88"/>
              </w:rPr>
              <w:t>balance at</w:t>
            </w:r>
          </w:p>
        </w:tc>
      </w:tr>
      <w:tr>
        <w:trPr>
          <w:trHeight w:val="203"/>
        </w:trPr>
        <w:tc>
          <w:tcPr>
            <w:tcW w:w="3640" w:type="dxa"/>
            <w:vAlign w:val="bottom"/>
            <w:shd w:val="clear" w:color="auto" w:fill="333333"/>
          </w:tcPr>
          <w:p>
            <w:pPr>
              <w:spacing w:after="0"/>
              <w:rPr>
                <w:sz w:val="17"/>
                <w:szCs w:val="17"/>
                <w:color w:val="auto"/>
              </w:rPr>
            </w:pPr>
          </w:p>
        </w:tc>
        <w:tc>
          <w:tcPr>
            <w:tcW w:w="1580" w:type="dxa"/>
            <w:vAlign w:val="bottom"/>
            <w:gridSpan w:val="2"/>
            <w:shd w:val="clear" w:color="auto" w:fill="333333"/>
          </w:tcPr>
          <w:p>
            <w:pPr>
              <w:jc w:val="right"/>
              <w:ind w:right="115"/>
              <w:spacing w:after="0"/>
              <w:rPr>
                <w:sz w:val="20"/>
                <w:szCs w:val="20"/>
                <w:color w:val="auto"/>
              </w:rPr>
            </w:pPr>
            <w:r>
              <w:rPr>
                <w:rFonts w:ascii="Arial" w:cs="Arial" w:eastAsia="Arial" w:hAnsi="Arial"/>
                <w:sz w:val="17"/>
                <w:szCs w:val="17"/>
                <w:b w:val="1"/>
                <w:bCs w:val="1"/>
                <w:color w:val="FFFFFF"/>
              </w:rPr>
              <w:t>contributions in</w:t>
            </w:r>
          </w:p>
        </w:tc>
        <w:tc>
          <w:tcPr>
            <w:tcW w:w="15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91"/>
              </w:rPr>
              <w:t>contributions in</w:t>
            </w:r>
          </w:p>
        </w:tc>
        <w:tc>
          <w:tcPr>
            <w:tcW w:w="12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90"/>
              </w:rPr>
              <w:t>earnings in</w:t>
            </w:r>
          </w:p>
        </w:tc>
        <w:tc>
          <w:tcPr>
            <w:tcW w:w="156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89"/>
              </w:rPr>
              <w:t>distributions in</w:t>
            </w:r>
          </w:p>
        </w:tc>
        <w:tc>
          <w:tcPr>
            <w:tcW w:w="1380" w:type="dxa"/>
            <w:vAlign w:val="bottom"/>
            <w:gridSpan w:val="2"/>
            <w:shd w:val="clear" w:color="auto" w:fill="333333"/>
          </w:tcPr>
          <w:p>
            <w:pPr>
              <w:jc w:val="center"/>
              <w:spacing w:after="0"/>
              <w:rPr>
                <w:sz w:val="20"/>
                <w:szCs w:val="20"/>
                <w:color w:val="auto"/>
              </w:rPr>
            </w:pPr>
            <w:r>
              <w:rPr>
                <w:rFonts w:ascii="Arial" w:cs="Arial" w:eastAsia="Arial" w:hAnsi="Arial"/>
                <w:sz w:val="17"/>
                <w:szCs w:val="17"/>
                <w:b w:val="1"/>
                <w:bCs w:val="1"/>
                <w:color w:val="FFFFFF"/>
                <w:w w:val="88"/>
              </w:rPr>
              <w:t>December 31,</w:t>
            </w:r>
          </w:p>
        </w:tc>
      </w:tr>
      <w:tr>
        <w:trPr>
          <w:trHeight w:val="238"/>
        </w:trPr>
        <w:tc>
          <w:tcPr>
            <w:tcW w:w="3640" w:type="dxa"/>
            <w:vAlign w:val="bottom"/>
            <w:shd w:val="clear" w:color="auto" w:fill="333333"/>
          </w:tcPr>
          <w:p>
            <w:pPr>
              <w:ind w:left="160"/>
              <w:spacing w:after="0"/>
              <w:rPr>
                <w:sz w:val="20"/>
                <w:szCs w:val="20"/>
                <w:color w:val="auto"/>
              </w:rPr>
            </w:pPr>
            <w:r>
              <w:rPr>
                <w:rFonts w:ascii="Arial" w:cs="Arial" w:eastAsia="Arial" w:hAnsi="Arial"/>
                <w:sz w:val="17"/>
                <w:szCs w:val="17"/>
                <w:b w:val="1"/>
                <w:bCs w:val="1"/>
                <w:color w:val="FFFFFF"/>
              </w:rPr>
              <w:t>Name</w:t>
            </w:r>
          </w:p>
        </w:tc>
        <w:tc>
          <w:tcPr>
            <w:tcW w:w="400" w:type="dxa"/>
            <w:vAlign w:val="bottom"/>
            <w:shd w:val="clear" w:color="auto" w:fill="333333"/>
          </w:tcPr>
          <w:p>
            <w:pPr>
              <w:spacing w:after="0"/>
              <w:rPr>
                <w:sz w:val="20"/>
                <w:szCs w:val="20"/>
                <w:color w:val="auto"/>
              </w:rPr>
            </w:pPr>
          </w:p>
        </w:tc>
        <w:tc>
          <w:tcPr>
            <w:tcW w:w="1180" w:type="dxa"/>
            <w:vAlign w:val="bottom"/>
            <w:shd w:val="clear" w:color="auto" w:fill="333333"/>
          </w:tcPr>
          <w:p>
            <w:pPr>
              <w:jc w:val="right"/>
              <w:ind w:right="455"/>
              <w:spacing w:after="0"/>
              <w:rPr>
                <w:sz w:val="20"/>
                <w:szCs w:val="20"/>
                <w:color w:val="auto"/>
              </w:rPr>
            </w:pPr>
            <w:r>
              <w:rPr>
                <w:rFonts w:ascii="Arial" w:cs="Arial" w:eastAsia="Arial" w:hAnsi="Arial"/>
                <w:sz w:val="17"/>
                <w:szCs w:val="17"/>
                <w:b w:val="1"/>
                <w:bCs w:val="1"/>
                <w:color w:val="FFFFFF"/>
              </w:rPr>
              <w:t>2021</w:t>
            </w:r>
            <w:r>
              <w:rPr>
                <w:rFonts w:ascii="Arial" w:cs="Arial" w:eastAsia="Arial" w:hAnsi="Arial"/>
                <w:sz w:val="14"/>
                <w:szCs w:val="14"/>
                <w:b w:val="1"/>
                <w:bCs w:val="1"/>
                <w:color w:val="FFFFFF"/>
              </w:rPr>
              <w:t>(1)</w:t>
            </w:r>
          </w:p>
        </w:tc>
        <w:tc>
          <w:tcPr>
            <w:tcW w:w="400" w:type="dxa"/>
            <w:vAlign w:val="bottom"/>
            <w:shd w:val="clear" w:color="auto" w:fill="333333"/>
          </w:tcPr>
          <w:p>
            <w:pPr>
              <w:spacing w:after="0"/>
              <w:rPr>
                <w:sz w:val="20"/>
                <w:szCs w:val="20"/>
                <w:color w:val="auto"/>
              </w:rPr>
            </w:pPr>
          </w:p>
        </w:tc>
        <w:tc>
          <w:tcPr>
            <w:tcW w:w="1180" w:type="dxa"/>
            <w:vAlign w:val="bottom"/>
            <w:shd w:val="clear" w:color="auto" w:fill="333333"/>
          </w:tcPr>
          <w:p>
            <w:pPr>
              <w:jc w:val="center"/>
              <w:ind w:right="315"/>
              <w:spacing w:after="0"/>
              <w:rPr>
                <w:sz w:val="20"/>
                <w:szCs w:val="20"/>
                <w:color w:val="auto"/>
              </w:rPr>
            </w:pPr>
            <w:r>
              <w:rPr>
                <w:rFonts w:ascii="Arial" w:cs="Arial" w:eastAsia="Arial" w:hAnsi="Arial"/>
                <w:sz w:val="17"/>
                <w:szCs w:val="17"/>
                <w:b w:val="1"/>
                <w:bCs w:val="1"/>
                <w:color w:val="FFFFFF"/>
                <w:w w:val="90"/>
              </w:rPr>
              <w:t>2021</w:t>
            </w:r>
            <w:r>
              <w:rPr>
                <w:rFonts w:ascii="Arial" w:cs="Arial" w:eastAsia="Arial" w:hAnsi="Arial"/>
                <w:sz w:val="14"/>
                <w:szCs w:val="14"/>
                <w:b w:val="1"/>
                <w:bCs w:val="1"/>
                <w:color w:val="FFFFFF"/>
                <w:w w:val="90"/>
              </w:rPr>
              <w:t>(1)</w:t>
            </w:r>
          </w:p>
        </w:tc>
        <w:tc>
          <w:tcPr>
            <w:tcW w:w="340" w:type="dxa"/>
            <w:vAlign w:val="bottom"/>
            <w:shd w:val="clear" w:color="auto" w:fill="333333"/>
          </w:tcPr>
          <w:p>
            <w:pPr>
              <w:spacing w:after="0"/>
              <w:rPr>
                <w:sz w:val="20"/>
                <w:szCs w:val="20"/>
                <w:color w:val="auto"/>
              </w:rPr>
            </w:pPr>
          </w:p>
        </w:tc>
        <w:tc>
          <w:tcPr>
            <w:tcW w:w="940" w:type="dxa"/>
            <w:vAlign w:val="bottom"/>
            <w:shd w:val="clear" w:color="auto" w:fill="333333"/>
          </w:tcPr>
          <w:p>
            <w:pPr>
              <w:jc w:val="center"/>
              <w:ind w:right="255"/>
              <w:spacing w:after="0"/>
              <w:rPr>
                <w:sz w:val="20"/>
                <w:szCs w:val="20"/>
                <w:color w:val="auto"/>
              </w:rPr>
            </w:pPr>
            <w:r>
              <w:rPr>
                <w:rFonts w:ascii="Arial" w:cs="Arial" w:eastAsia="Arial" w:hAnsi="Arial"/>
                <w:sz w:val="17"/>
                <w:szCs w:val="17"/>
                <w:b w:val="1"/>
                <w:bCs w:val="1"/>
                <w:color w:val="FFFFFF"/>
                <w:w w:val="94"/>
              </w:rPr>
              <w:t>2021</w:t>
            </w:r>
            <w:r>
              <w:rPr>
                <w:rFonts w:ascii="Arial" w:cs="Arial" w:eastAsia="Arial" w:hAnsi="Arial"/>
                <w:sz w:val="14"/>
                <w:szCs w:val="14"/>
                <w:b w:val="1"/>
                <w:bCs w:val="1"/>
                <w:color w:val="FFFFFF"/>
                <w:w w:val="94"/>
              </w:rPr>
              <w:t>(2)</w:t>
            </w:r>
          </w:p>
        </w:tc>
        <w:tc>
          <w:tcPr>
            <w:tcW w:w="380" w:type="dxa"/>
            <w:vAlign w:val="bottom"/>
            <w:shd w:val="clear" w:color="auto" w:fill="333333"/>
          </w:tcPr>
          <w:p>
            <w:pPr>
              <w:spacing w:after="0"/>
              <w:rPr>
                <w:sz w:val="20"/>
                <w:szCs w:val="20"/>
                <w:color w:val="auto"/>
              </w:rPr>
            </w:pPr>
          </w:p>
        </w:tc>
        <w:tc>
          <w:tcPr>
            <w:tcW w:w="1180" w:type="dxa"/>
            <w:vAlign w:val="bottom"/>
            <w:shd w:val="clear" w:color="auto" w:fill="333333"/>
          </w:tcPr>
          <w:p>
            <w:pPr>
              <w:jc w:val="center"/>
              <w:ind w:right="355"/>
              <w:spacing w:after="0"/>
              <w:rPr>
                <w:sz w:val="20"/>
                <w:szCs w:val="20"/>
                <w:color w:val="auto"/>
              </w:rPr>
            </w:pPr>
            <w:r>
              <w:rPr>
                <w:rFonts w:ascii="Arial" w:cs="Arial" w:eastAsia="Arial" w:hAnsi="Arial"/>
                <w:sz w:val="17"/>
                <w:szCs w:val="17"/>
                <w:b w:val="1"/>
                <w:bCs w:val="1"/>
                <w:color w:val="FFFFFF"/>
                <w:w w:val="89"/>
              </w:rPr>
              <w:t>2021</w:t>
            </w:r>
          </w:p>
        </w:tc>
        <w:tc>
          <w:tcPr>
            <w:tcW w:w="380" w:type="dxa"/>
            <w:vAlign w:val="bottom"/>
            <w:shd w:val="clear" w:color="auto" w:fill="333333"/>
          </w:tcPr>
          <w:p>
            <w:pPr>
              <w:spacing w:after="0"/>
              <w:rPr>
                <w:sz w:val="20"/>
                <w:szCs w:val="20"/>
                <w:color w:val="auto"/>
              </w:rPr>
            </w:pPr>
          </w:p>
        </w:tc>
        <w:tc>
          <w:tcPr>
            <w:tcW w:w="1000" w:type="dxa"/>
            <w:vAlign w:val="bottom"/>
            <w:shd w:val="clear" w:color="auto" w:fill="333333"/>
          </w:tcPr>
          <w:p>
            <w:pPr>
              <w:jc w:val="center"/>
              <w:ind w:right="335"/>
              <w:spacing w:after="0"/>
              <w:rPr>
                <w:sz w:val="20"/>
                <w:szCs w:val="20"/>
                <w:color w:val="auto"/>
              </w:rPr>
            </w:pPr>
            <w:r>
              <w:rPr>
                <w:rFonts w:ascii="Arial" w:cs="Arial" w:eastAsia="Arial" w:hAnsi="Arial"/>
                <w:sz w:val="17"/>
                <w:szCs w:val="17"/>
                <w:b w:val="1"/>
                <w:bCs w:val="1"/>
                <w:color w:val="FFFFFF"/>
                <w:w w:val="90"/>
              </w:rPr>
              <w:t>2021</w:t>
            </w:r>
            <w:r>
              <w:rPr>
                <w:rFonts w:ascii="Arial" w:cs="Arial" w:eastAsia="Arial" w:hAnsi="Arial"/>
                <w:sz w:val="14"/>
                <w:szCs w:val="14"/>
                <w:b w:val="1"/>
                <w:bCs w:val="1"/>
                <w:color w:val="FFFFFF"/>
                <w:w w:val="90"/>
              </w:rPr>
              <w:t>(3)</w:t>
            </w:r>
          </w:p>
        </w:tc>
      </w:tr>
      <w:tr>
        <w:trPr>
          <w:trHeight w:val="268"/>
        </w:trPr>
        <w:tc>
          <w:tcPr>
            <w:tcW w:w="3640" w:type="dxa"/>
            <w:vAlign w:val="bottom"/>
          </w:tcPr>
          <w:p>
            <w:pPr>
              <w:ind w:left="160"/>
              <w:spacing w:after="0"/>
              <w:rPr>
                <w:sz w:val="20"/>
                <w:szCs w:val="20"/>
                <w:color w:val="auto"/>
              </w:rPr>
            </w:pPr>
            <w:r>
              <w:rPr>
                <w:rFonts w:ascii="Arial" w:cs="Arial" w:eastAsia="Arial" w:hAnsi="Arial"/>
                <w:sz w:val="17"/>
                <w:szCs w:val="17"/>
                <w:color w:val="auto"/>
              </w:rPr>
              <w:t>Michael S. Williams</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340" w:type="dxa"/>
            <w:vAlign w:val="bottom"/>
          </w:tcPr>
          <w:p>
            <w:pPr>
              <w:jc w:val="right"/>
              <w:spacing w:after="0"/>
              <w:rPr>
                <w:sz w:val="20"/>
                <w:szCs w:val="20"/>
                <w:color w:val="auto"/>
              </w:rPr>
            </w:pPr>
            <w:r>
              <w:rPr>
                <w:rFonts w:ascii="Arial" w:cs="Arial" w:eastAsia="Arial" w:hAnsi="Arial"/>
                <w:sz w:val="17"/>
                <w:szCs w:val="17"/>
                <w:color w:val="auto"/>
              </w:rPr>
              <w:t>$</w:t>
            </w:r>
          </w:p>
        </w:tc>
        <w:tc>
          <w:tcPr>
            <w:tcW w:w="940" w:type="dxa"/>
            <w:vAlign w:val="bottom"/>
          </w:tcPr>
          <w:p>
            <w:pPr>
              <w:jc w:val="right"/>
              <w:ind w:right="135"/>
              <w:spacing w:after="0"/>
              <w:rPr>
                <w:sz w:val="20"/>
                <w:szCs w:val="20"/>
                <w:color w:val="auto"/>
              </w:rPr>
            </w:pPr>
            <w:r>
              <w:rPr>
                <w:rFonts w:ascii="Arial" w:cs="Arial" w:eastAsia="Arial" w:hAnsi="Arial"/>
                <w:sz w:val="17"/>
                <w:szCs w:val="17"/>
                <w:color w:val="auto"/>
              </w:rPr>
              <w:t>0</w:t>
            </w:r>
          </w:p>
        </w:tc>
        <w:tc>
          <w:tcPr>
            <w:tcW w:w="380" w:type="dxa"/>
            <w:vAlign w:val="bottom"/>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tcPr>
          <w:p>
            <w:pPr>
              <w:jc w:val="right"/>
              <w:ind w:right="155"/>
              <w:spacing w:after="0"/>
              <w:rPr>
                <w:sz w:val="20"/>
                <w:szCs w:val="20"/>
                <w:color w:val="auto"/>
              </w:rPr>
            </w:pPr>
            <w:r>
              <w:rPr>
                <w:rFonts w:ascii="Arial" w:cs="Arial" w:eastAsia="Arial" w:hAnsi="Arial"/>
                <w:sz w:val="17"/>
                <w:szCs w:val="17"/>
                <w:color w:val="auto"/>
              </w:rPr>
              <w:t>0</w:t>
            </w:r>
          </w:p>
        </w:tc>
        <w:tc>
          <w:tcPr>
            <w:tcW w:w="380" w:type="dxa"/>
            <w:vAlign w:val="bottom"/>
          </w:tcPr>
          <w:p>
            <w:pPr>
              <w:jc w:val="right"/>
              <w:spacing w:after="0"/>
              <w:rPr>
                <w:sz w:val="20"/>
                <w:szCs w:val="20"/>
                <w:color w:val="auto"/>
              </w:rPr>
            </w:pPr>
            <w:r>
              <w:rPr>
                <w:rFonts w:ascii="Arial" w:cs="Arial" w:eastAsia="Arial" w:hAnsi="Arial"/>
                <w:sz w:val="17"/>
                <w:szCs w:val="17"/>
                <w:color w:val="auto"/>
              </w:rPr>
              <w:t>$</w:t>
            </w:r>
          </w:p>
        </w:tc>
        <w:tc>
          <w:tcPr>
            <w:tcW w:w="1000" w:type="dxa"/>
            <w:vAlign w:val="bottom"/>
          </w:tcPr>
          <w:p>
            <w:pPr>
              <w:jc w:val="right"/>
              <w:ind w:right="135"/>
              <w:spacing w:after="0"/>
              <w:rPr>
                <w:sz w:val="20"/>
                <w:szCs w:val="20"/>
                <w:color w:val="auto"/>
              </w:rPr>
            </w:pPr>
            <w:r>
              <w:rPr>
                <w:rFonts w:ascii="Arial" w:cs="Arial" w:eastAsia="Arial" w:hAnsi="Arial"/>
                <w:sz w:val="17"/>
                <w:szCs w:val="17"/>
                <w:color w:val="auto"/>
              </w:rPr>
              <w:t>0</w:t>
            </w:r>
          </w:p>
        </w:tc>
      </w:tr>
      <w:tr>
        <w:trPr>
          <w:trHeight w:val="272"/>
        </w:trPr>
        <w:tc>
          <w:tcPr>
            <w:tcW w:w="3640" w:type="dxa"/>
            <w:vAlign w:val="bottom"/>
            <w:shd w:val="clear" w:color="auto" w:fill="D8D8D8"/>
          </w:tcPr>
          <w:p>
            <w:pPr>
              <w:ind w:left="160"/>
              <w:spacing w:after="0"/>
              <w:rPr>
                <w:sz w:val="20"/>
                <w:szCs w:val="20"/>
                <w:color w:val="auto"/>
              </w:rPr>
            </w:pPr>
            <w:r>
              <w:rPr>
                <w:rFonts w:ascii="Arial" w:cs="Arial" w:eastAsia="Arial" w:hAnsi="Arial"/>
                <w:sz w:val="17"/>
                <w:szCs w:val="17"/>
                <w:color w:val="auto"/>
              </w:rPr>
              <w:t>Kristopher R. Westbrooks</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1,851</w:t>
            </w:r>
          </w:p>
        </w:tc>
        <w:tc>
          <w:tcPr>
            <w:tcW w:w="34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94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167</w:t>
            </w:r>
          </w:p>
        </w:tc>
        <w:tc>
          <w:tcPr>
            <w:tcW w:w="380" w:type="dxa"/>
            <w:vAlign w:val="bottom"/>
            <w:shd w:val="clear" w:color="auto" w:fill="D8D8D8"/>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shd w:val="clear" w:color="auto" w:fill="D8D8D8"/>
          </w:tcPr>
          <w:p>
            <w:pPr>
              <w:jc w:val="right"/>
              <w:ind w:right="155"/>
              <w:spacing w:after="0"/>
              <w:rPr>
                <w:sz w:val="20"/>
                <w:szCs w:val="20"/>
                <w:color w:val="auto"/>
              </w:rPr>
            </w:pPr>
            <w:r>
              <w:rPr>
                <w:rFonts w:ascii="Arial" w:cs="Arial" w:eastAsia="Arial" w:hAnsi="Arial"/>
                <w:sz w:val="17"/>
                <w:szCs w:val="17"/>
                <w:color w:val="auto"/>
              </w:rPr>
              <w:t>0</w:t>
            </w:r>
          </w:p>
        </w:tc>
        <w:tc>
          <w:tcPr>
            <w:tcW w:w="3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5,483</w:t>
            </w:r>
          </w:p>
        </w:tc>
      </w:tr>
      <w:tr>
        <w:trPr>
          <w:trHeight w:val="268"/>
        </w:trPr>
        <w:tc>
          <w:tcPr>
            <w:tcW w:w="3640" w:type="dxa"/>
            <w:vAlign w:val="bottom"/>
          </w:tcPr>
          <w:p>
            <w:pPr>
              <w:ind w:left="160"/>
              <w:spacing w:after="0"/>
              <w:rPr>
                <w:sz w:val="20"/>
                <w:szCs w:val="20"/>
                <w:color w:val="auto"/>
              </w:rPr>
            </w:pPr>
            <w:r>
              <w:rPr>
                <w:rFonts w:ascii="Arial" w:cs="Arial" w:eastAsia="Arial" w:hAnsi="Arial"/>
                <w:sz w:val="17"/>
                <w:szCs w:val="17"/>
                <w:color w:val="auto"/>
              </w:rPr>
              <w:t>Kristine C. Syrvalin</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340" w:type="dxa"/>
            <w:vAlign w:val="bottom"/>
          </w:tcPr>
          <w:p>
            <w:pPr>
              <w:jc w:val="right"/>
              <w:spacing w:after="0"/>
              <w:rPr>
                <w:sz w:val="20"/>
                <w:szCs w:val="20"/>
                <w:color w:val="auto"/>
              </w:rPr>
            </w:pPr>
            <w:r>
              <w:rPr>
                <w:rFonts w:ascii="Arial" w:cs="Arial" w:eastAsia="Arial" w:hAnsi="Arial"/>
                <w:sz w:val="17"/>
                <w:szCs w:val="17"/>
                <w:color w:val="auto"/>
              </w:rPr>
              <w:t>$</w:t>
            </w:r>
          </w:p>
        </w:tc>
        <w:tc>
          <w:tcPr>
            <w:tcW w:w="940" w:type="dxa"/>
            <w:vAlign w:val="bottom"/>
          </w:tcPr>
          <w:p>
            <w:pPr>
              <w:jc w:val="right"/>
              <w:ind w:right="135"/>
              <w:spacing w:after="0"/>
              <w:rPr>
                <w:sz w:val="20"/>
                <w:szCs w:val="20"/>
                <w:color w:val="auto"/>
              </w:rPr>
            </w:pPr>
            <w:r>
              <w:rPr>
                <w:rFonts w:ascii="Arial" w:cs="Arial" w:eastAsia="Arial" w:hAnsi="Arial"/>
                <w:sz w:val="17"/>
                <w:szCs w:val="17"/>
                <w:color w:val="auto"/>
              </w:rPr>
              <w:t>0</w:t>
            </w:r>
          </w:p>
        </w:tc>
        <w:tc>
          <w:tcPr>
            <w:tcW w:w="380" w:type="dxa"/>
            <w:vAlign w:val="bottom"/>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tcPr>
          <w:p>
            <w:pPr>
              <w:jc w:val="right"/>
              <w:ind w:right="155"/>
              <w:spacing w:after="0"/>
              <w:rPr>
                <w:sz w:val="20"/>
                <w:szCs w:val="20"/>
                <w:color w:val="auto"/>
              </w:rPr>
            </w:pPr>
            <w:r>
              <w:rPr>
                <w:rFonts w:ascii="Arial" w:cs="Arial" w:eastAsia="Arial" w:hAnsi="Arial"/>
                <w:sz w:val="17"/>
                <w:szCs w:val="17"/>
                <w:color w:val="auto"/>
              </w:rPr>
              <w:t>0</w:t>
            </w:r>
          </w:p>
        </w:tc>
        <w:tc>
          <w:tcPr>
            <w:tcW w:w="380" w:type="dxa"/>
            <w:vAlign w:val="bottom"/>
          </w:tcPr>
          <w:p>
            <w:pPr>
              <w:jc w:val="right"/>
              <w:spacing w:after="0"/>
              <w:rPr>
                <w:sz w:val="20"/>
                <w:szCs w:val="20"/>
                <w:color w:val="auto"/>
              </w:rPr>
            </w:pPr>
            <w:r>
              <w:rPr>
                <w:rFonts w:ascii="Arial" w:cs="Arial" w:eastAsia="Arial" w:hAnsi="Arial"/>
                <w:sz w:val="17"/>
                <w:szCs w:val="17"/>
                <w:color w:val="auto"/>
              </w:rPr>
              <w:t>$</w:t>
            </w:r>
          </w:p>
        </w:tc>
        <w:tc>
          <w:tcPr>
            <w:tcW w:w="1000" w:type="dxa"/>
            <w:vAlign w:val="bottom"/>
          </w:tcPr>
          <w:p>
            <w:pPr>
              <w:jc w:val="right"/>
              <w:ind w:right="135"/>
              <w:spacing w:after="0"/>
              <w:rPr>
                <w:sz w:val="20"/>
                <w:szCs w:val="20"/>
                <w:color w:val="auto"/>
              </w:rPr>
            </w:pPr>
            <w:r>
              <w:rPr>
                <w:rFonts w:ascii="Arial" w:cs="Arial" w:eastAsia="Arial" w:hAnsi="Arial"/>
                <w:sz w:val="17"/>
                <w:szCs w:val="17"/>
                <w:color w:val="auto"/>
              </w:rPr>
              <w:t>0</w:t>
            </w:r>
          </w:p>
        </w:tc>
      </w:tr>
      <w:tr>
        <w:trPr>
          <w:trHeight w:val="272"/>
        </w:trPr>
        <w:tc>
          <w:tcPr>
            <w:tcW w:w="3640" w:type="dxa"/>
            <w:vAlign w:val="bottom"/>
            <w:shd w:val="clear" w:color="auto" w:fill="D8D8D8"/>
          </w:tcPr>
          <w:p>
            <w:pPr>
              <w:ind w:left="160"/>
              <w:spacing w:after="0"/>
              <w:rPr>
                <w:sz w:val="20"/>
                <w:szCs w:val="20"/>
                <w:color w:val="auto"/>
              </w:rPr>
            </w:pPr>
            <w:r>
              <w:rPr>
                <w:rFonts w:ascii="Arial" w:cs="Arial" w:eastAsia="Arial" w:hAnsi="Arial"/>
                <w:sz w:val="17"/>
                <w:szCs w:val="17"/>
                <w:color w:val="auto"/>
              </w:rPr>
              <w:t>Kevin A. Raketich</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0</w:t>
            </w:r>
          </w:p>
        </w:tc>
        <w:tc>
          <w:tcPr>
            <w:tcW w:w="34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94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12,166</w:t>
            </w:r>
          </w:p>
        </w:tc>
        <w:tc>
          <w:tcPr>
            <w:tcW w:w="380" w:type="dxa"/>
            <w:vAlign w:val="bottom"/>
            <w:shd w:val="clear" w:color="auto" w:fill="D8D8D8"/>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(50,369)</w:t>
            </w:r>
          </w:p>
        </w:tc>
        <w:tc>
          <w:tcPr>
            <w:tcW w:w="3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261,981</w:t>
            </w:r>
          </w:p>
        </w:tc>
      </w:tr>
      <w:tr>
        <w:trPr>
          <w:trHeight w:val="268"/>
        </w:trPr>
        <w:tc>
          <w:tcPr>
            <w:tcW w:w="3640" w:type="dxa"/>
            <w:vAlign w:val="bottom"/>
          </w:tcPr>
          <w:p>
            <w:pPr>
              <w:ind w:left="160"/>
              <w:spacing w:after="0"/>
              <w:rPr>
                <w:sz w:val="20"/>
                <w:szCs w:val="20"/>
                <w:color w:val="auto"/>
              </w:rPr>
            </w:pPr>
            <w:r>
              <w:rPr>
                <w:rFonts w:ascii="Arial" w:cs="Arial" w:eastAsia="Arial" w:hAnsi="Arial"/>
                <w:sz w:val="17"/>
                <w:szCs w:val="17"/>
                <w:color w:val="auto"/>
              </w:rPr>
              <w:t>William P. Bryan</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tcPr>
          <w:p>
            <w:pPr>
              <w:jc w:val="right"/>
              <w:spacing w:after="0"/>
              <w:rPr>
                <w:sz w:val="20"/>
                <w:szCs w:val="20"/>
                <w:color w:val="auto"/>
              </w:rPr>
            </w:pPr>
            <w:r>
              <w:rPr>
                <w:rFonts w:ascii="Arial" w:cs="Arial" w:eastAsia="Arial" w:hAnsi="Arial"/>
                <w:sz w:val="17"/>
                <w:szCs w:val="17"/>
                <w:color w:val="auto"/>
              </w:rPr>
              <w:t>$</w:t>
            </w:r>
          </w:p>
        </w:tc>
        <w:tc>
          <w:tcPr>
            <w:tcW w:w="1180" w:type="dxa"/>
            <w:vAlign w:val="bottom"/>
          </w:tcPr>
          <w:p>
            <w:pPr>
              <w:jc w:val="right"/>
              <w:ind w:right="115"/>
              <w:spacing w:after="0"/>
              <w:rPr>
                <w:sz w:val="20"/>
                <w:szCs w:val="20"/>
                <w:color w:val="auto"/>
              </w:rPr>
            </w:pPr>
            <w:r>
              <w:rPr>
                <w:rFonts w:ascii="Arial" w:cs="Arial" w:eastAsia="Arial" w:hAnsi="Arial"/>
                <w:sz w:val="17"/>
                <w:szCs w:val="17"/>
                <w:color w:val="auto"/>
              </w:rPr>
              <w:t>0</w:t>
            </w:r>
          </w:p>
        </w:tc>
        <w:tc>
          <w:tcPr>
            <w:tcW w:w="340" w:type="dxa"/>
            <w:vAlign w:val="bottom"/>
          </w:tcPr>
          <w:p>
            <w:pPr>
              <w:jc w:val="right"/>
              <w:spacing w:after="0"/>
              <w:rPr>
                <w:sz w:val="20"/>
                <w:szCs w:val="20"/>
                <w:color w:val="auto"/>
              </w:rPr>
            </w:pPr>
            <w:r>
              <w:rPr>
                <w:rFonts w:ascii="Arial" w:cs="Arial" w:eastAsia="Arial" w:hAnsi="Arial"/>
                <w:sz w:val="17"/>
                <w:szCs w:val="17"/>
                <w:color w:val="auto"/>
              </w:rPr>
              <w:t>$</w:t>
            </w:r>
          </w:p>
        </w:tc>
        <w:tc>
          <w:tcPr>
            <w:tcW w:w="940" w:type="dxa"/>
            <w:vAlign w:val="bottom"/>
          </w:tcPr>
          <w:p>
            <w:pPr>
              <w:jc w:val="right"/>
              <w:ind w:right="135"/>
              <w:spacing w:after="0"/>
              <w:rPr>
                <w:sz w:val="20"/>
                <w:szCs w:val="20"/>
                <w:color w:val="auto"/>
              </w:rPr>
            </w:pPr>
            <w:r>
              <w:rPr>
                <w:rFonts w:ascii="Arial" w:cs="Arial" w:eastAsia="Arial" w:hAnsi="Arial"/>
                <w:sz w:val="17"/>
                <w:szCs w:val="17"/>
                <w:color w:val="auto"/>
              </w:rPr>
              <w:t>0</w:t>
            </w:r>
          </w:p>
        </w:tc>
        <w:tc>
          <w:tcPr>
            <w:tcW w:w="380" w:type="dxa"/>
            <w:vAlign w:val="bottom"/>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tcPr>
          <w:p>
            <w:pPr>
              <w:jc w:val="right"/>
              <w:ind w:right="155"/>
              <w:spacing w:after="0"/>
              <w:rPr>
                <w:sz w:val="20"/>
                <w:szCs w:val="20"/>
                <w:color w:val="auto"/>
              </w:rPr>
            </w:pPr>
            <w:r>
              <w:rPr>
                <w:rFonts w:ascii="Arial" w:cs="Arial" w:eastAsia="Arial" w:hAnsi="Arial"/>
                <w:sz w:val="17"/>
                <w:szCs w:val="17"/>
                <w:color w:val="auto"/>
              </w:rPr>
              <w:t>0</w:t>
            </w:r>
          </w:p>
        </w:tc>
        <w:tc>
          <w:tcPr>
            <w:tcW w:w="380" w:type="dxa"/>
            <w:vAlign w:val="bottom"/>
          </w:tcPr>
          <w:p>
            <w:pPr>
              <w:jc w:val="right"/>
              <w:spacing w:after="0"/>
              <w:rPr>
                <w:sz w:val="20"/>
                <w:szCs w:val="20"/>
                <w:color w:val="auto"/>
              </w:rPr>
            </w:pPr>
            <w:r>
              <w:rPr>
                <w:rFonts w:ascii="Arial" w:cs="Arial" w:eastAsia="Arial" w:hAnsi="Arial"/>
                <w:sz w:val="17"/>
                <w:szCs w:val="17"/>
                <w:color w:val="auto"/>
              </w:rPr>
              <w:t>$</w:t>
            </w:r>
          </w:p>
        </w:tc>
        <w:tc>
          <w:tcPr>
            <w:tcW w:w="1000" w:type="dxa"/>
            <w:vAlign w:val="bottom"/>
          </w:tcPr>
          <w:p>
            <w:pPr>
              <w:jc w:val="right"/>
              <w:ind w:right="135"/>
              <w:spacing w:after="0"/>
              <w:rPr>
                <w:sz w:val="20"/>
                <w:szCs w:val="20"/>
                <w:color w:val="auto"/>
              </w:rPr>
            </w:pPr>
            <w:r>
              <w:rPr>
                <w:rFonts w:ascii="Arial" w:cs="Arial" w:eastAsia="Arial" w:hAnsi="Arial"/>
                <w:sz w:val="17"/>
                <w:szCs w:val="17"/>
                <w:color w:val="auto"/>
              </w:rPr>
              <w:t>0</w:t>
            </w:r>
          </w:p>
        </w:tc>
      </w:tr>
      <w:tr>
        <w:trPr>
          <w:trHeight w:val="272"/>
        </w:trPr>
        <w:tc>
          <w:tcPr>
            <w:tcW w:w="3640" w:type="dxa"/>
            <w:vAlign w:val="bottom"/>
            <w:shd w:val="clear" w:color="auto" w:fill="D8D8D8"/>
          </w:tcPr>
          <w:p>
            <w:pPr>
              <w:ind w:left="160"/>
              <w:spacing w:after="0"/>
              <w:rPr>
                <w:sz w:val="20"/>
                <w:szCs w:val="20"/>
                <w:color w:val="auto"/>
              </w:rPr>
            </w:pPr>
            <w:r>
              <w:rPr>
                <w:rFonts w:ascii="Arial" w:cs="Arial" w:eastAsia="Arial" w:hAnsi="Arial"/>
                <w:sz w:val="17"/>
                <w:szCs w:val="17"/>
                <w:color w:val="auto"/>
              </w:rPr>
              <w:t>Thomas D. Moline</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0</w:t>
            </w:r>
          </w:p>
        </w:tc>
        <w:tc>
          <w:tcPr>
            <w:tcW w:w="40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180" w:type="dxa"/>
            <w:vAlign w:val="bottom"/>
            <w:shd w:val="clear" w:color="auto" w:fill="D8D8D8"/>
          </w:tcPr>
          <w:p>
            <w:pPr>
              <w:jc w:val="right"/>
              <w:ind w:right="115"/>
              <w:spacing w:after="0"/>
              <w:rPr>
                <w:sz w:val="20"/>
                <w:szCs w:val="20"/>
                <w:color w:val="auto"/>
              </w:rPr>
            </w:pPr>
            <w:r>
              <w:rPr>
                <w:rFonts w:ascii="Arial" w:cs="Arial" w:eastAsia="Arial" w:hAnsi="Arial"/>
                <w:sz w:val="17"/>
                <w:szCs w:val="17"/>
                <w:color w:val="auto"/>
              </w:rPr>
              <w:t>0</w:t>
            </w:r>
          </w:p>
        </w:tc>
        <w:tc>
          <w:tcPr>
            <w:tcW w:w="34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94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0</w:t>
            </w:r>
          </w:p>
        </w:tc>
        <w:tc>
          <w:tcPr>
            <w:tcW w:w="380" w:type="dxa"/>
            <w:vAlign w:val="bottom"/>
            <w:shd w:val="clear" w:color="auto" w:fill="D8D8D8"/>
          </w:tcPr>
          <w:p>
            <w:pPr>
              <w:ind w:left="280"/>
              <w:spacing w:after="0"/>
              <w:rPr>
                <w:sz w:val="20"/>
                <w:szCs w:val="20"/>
                <w:color w:val="auto"/>
              </w:rPr>
            </w:pPr>
            <w:r>
              <w:rPr>
                <w:rFonts w:ascii="Arial" w:cs="Arial" w:eastAsia="Arial" w:hAnsi="Arial"/>
                <w:sz w:val="17"/>
                <w:szCs w:val="17"/>
                <w:color w:val="auto"/>
                <w:w w:val="84"/>
              </w:rPr>
              <w:t>$</w:t>
            </w:r>
          </w:p>
        </w:tc>
        <w:tc>
          <w:tcPr>
            <w:tcW w:w="1180" w:type="dxa"/>
            <w:vAlign w:val="bottom"/>
            <w:shd w:val="clear" w:color="auto" w:fill="D8D8D8"/>
          </w:tcPr>
          <w:p>
            <w:pPr>
              <w:jc w:val="right"/>
              <w:ind w:right="155"/>
              <w:spacing w:after="0"/>
              <w:rPr>
                <w:sz w:val="20"/>
                <w:szCs w:val="20"/>
                <w:color w:val="auto"/>
              </w:rPr>
            </w:pPr>
            <w:r>
              <w:rPr>
                <w:rFonts w:ascii="Arial" w:cs="Arial" w:eastAsia="Arial" w:hAnsi="Arial"/>
                <w:sz w:val="17"/>
                <w:szCs w:val="17"/>
                <w:color w:val="auto"/>
              </w:rPr>
              <w:t>0</w:t>
            </w:r>
          </w:p>
        </w:tc>
        <w:tc>
          <w:tcPr>
            <w:tcW w:w="380" w:type="dxa"/>
            <w:vAlign w:val="bottom"/>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0" w:type="dxa"/>
            <w:vAlign w:val="bottom"/>
            <w:shd w:val="clear" w:color="auto" w:fill="D8D8D8"/>
          </w:tcPr>
          <w:p>
            <w:pPr>
              <w:jc w:val="right"/>
              <w:ind w:right="135"/>
              <w:spacing w:after="0"/>
              <w:rPr>
                <w:sz w:val="20"/>
                <w:szCs w:val="20"/>
                <w:color w:val="auto"/>
              </w:rPr>
            </w:pPr>
            <w:r>
              <w:rPr>
                <w:rFonts w:ascii="Arial" w:cs="Arial" w:eastAsia="Arial" w:hAnsi="Arial"/>
                <w:sz w:val="17"/>
                <w:szCs w:val="17"/>
                <w:color w:val="auto"/>
              </w:rPr>
              <w:t>0</w:t>
            </w:r>
          </w:p>
        </w:tc>
      </w:tr>
    </w:tbl>
    <w:p>
      <w:pPr>
        <w:spacing w:after="0" w:line="103" w:lineRule="exact"/>
        <w:rPr>
          <w:sz w:val="20"/>
          <w:szCs w:val="20"/>
          <w:color w:val="auto"/>
        </w:rPr>
      </w:pPr>
    </w:p>
    <w:p>
      <w:pPr>
        <w:ind w:left="340" w:right="360" w:hanging="224"/>
        <w:spacing w:after="0" w:line="253" w:lineRule="auto"/>
        <w:tabs>
          <w:tab w:leader="none" w:pos="340" w:val="left"/>
        </w:tabs>
        <w:numPr>
          <w:ilvl w:val="0"/>
          <w:numId w:val="65"/>
        </w:numPr>
        <w:rPr>
          <w:rFonts w:ascii="Arial" w:cs="Arial" w:eastAsia="Arial" w:hAnsi="Arial"/>
          <w:sz w:val="12"/>
          <w:szCs w:val="12"/>
          <w:color w:val="auto"/>
        </w:rPr>
      </w:pPr>
      <w:r>
        <w:rPr>
          <w:rFonts w:ascii="Arial" w:cs="Arial" w:eastAsia="Arial" w:hAnsi="Arial"/>
          <w:sz w:val="14"/>
          <w:szCs w:val="14"/>
          <w:color w:val="auto"/>
        </w:rPr>
        <w:t>Amounts shown as executive contributions or company contributions in 2021 are reported in the “Salary” and “All other compensation” columns, respectively, of the 2021 Summary compensation table.</w:t>
      </w:r>
    </w:p>
    <w:p>
      <w:pPr>
        <w:spacing w:after="0" w:line="79" w:lineRule="exact"/>
        <w:rPr>
          <w:rFonts w:ascii="Arial" w:cs="Arial" w:eastAsia="Arial" w:hAnsi="Arial"/>
          <w:sz w:val="12"/>
          <w:szCs w:val="12"/>
          <w:color w:val="auto"/>
        </w:rPr>
      </w:pPr>
    </w:p>
    <w:p>
      <w:pPr>
        <w:ind w:left="340" w:right="100" w:hanging="224"/>
        <w:spacing w:after="0" w:line="253" w:lineRule="auto"/>
        <w:tabs>
          <w:tab w:leader="none" w:pos="340" w:val="left"/>
        </w:tabs>
        <w:numPr>
          <w:ilvl w:val="0"/>
          <w:numId w:val="65"/>
        </w:numPr>
        <w:rPr>
          <w:rFonts w:ascii="Arial" w:cs="Arial" w:eastAsia="Arial" w:hAnsi="Arial"/>
          <w:sz w:val="12"/>
          <w:szCs w:val="12"/>
          <w:color w:val="auto"/>
        </w:rPr>
      </w:pPr>
      <w:r>
        <w:rPr>
          <w:rFonts w:ascii="Arial" w:cs="Arial" w:eastAsia="Arial" w:hAnsi="Arial"/>
          <w:sz w:val="14"/>
          <w:szCs w:val="14"/>
          <w:color w:val="auto"/>
        </w:rPr>
        <w:t>This amount includes interest earned from cash deferrals. Earnings during this year and previous years were not above market or preferential; therefore, these amounts are not included in the 2021 Summary compensation table.</w:t>
      </w:r>
    </w:p>
    <w:p>
      <w:pPr>
        <w:spacing w:after="0" w:line="79" w:lineRule="exact"/>
        <w:rPr>
          <w:rFonts w:ascii="Arial" w:cs="Arial" w:eastAsia="Arial" w:hAnsi="Arial"/>
          <w:sz w:val="12"/>
          <w:szCs w:val="12"/>
          <w:color w:val="auto"/>
        </w:rPr>
      </w:pPr>
    </w:p>
    <w:p>
      <w:pPr>
        <w:ind w:left="340" w:right="500" w:hanging="224"/>
        <w:spacing w:after="0" w:line="253" w:lineRule="auto"/>
        <w:tabs>
          <w:tab w:leader="none" w:pos="340" w:val="left"/>
        </w:tabs>
        <w:numPr>
          <w:ilvl w:val="0"/>
          <w:numId w:val="65"/>
        </w:numPr>
        <w:rPr>
          <w:rFonts w:ascii="Arial" w:cs="Arial" w:eastAsia="Arial" w:hAnsi="Arial"/>
          <w:sz w:val="12"/>
          <w:szCs w:val="12"/>
          <w:color w:val="auto"/>
        </w:rPr>
      </w:pPr>
      <w:r>
        <w:rPr>
          <w:rFonts w:ascii="Arial" w:cs="Arial" w:eastAsia="Arial" w:hAnsi="Arial"/>
          <w:sz w:val="14"/>
          <w:szCs w:val="14"/>
          <w:color w:val="auto"/>
        </w:rPr>
        <w:t>Amounts included in the aggregate balances that were reported as compensation in the Summary compensation table for previous years (or would have been had the recipient been identified as a NEO for such years) are as follows: Mr. Westbrooks, $3,465 and Mr. Raketich, $300,184.</w:t>
      </w:r>
    </w:p>
    <w:p>
      <w:pPr>
        <w:spacing w:after="0" w:line="115"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65</w:t>
      </w:r>
    </w:p>
    <w:p>
      <w:pPr>
        <w:sectPr>
          <w:pgSz w:w="11900" w:h="16838" w:orient="portrait"/>
          <w:cols w:equalWidth="0" w:num="1">
            <w:col w:w="11140"/>
          </w:cols>
          <w:pgMar w:left="320" w:top="459" w:right="43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Potential payments upon termination or change in control</w:t>
      </w:r>
    </w:p>
    <w:p>
      <w:pPr>
        <w:spacing w:after="0" w:line="234" w:lineRule="exact"/>
        <w:rPr>
          <w:sz w:val="20"/>
          <w:szCs w:val="20"/>
          <w:color w:val="auto"/>
        </w:rPr>
      </w:pPr>
    </w:p>
    <w:p>
      <w:pPr>
        <w:ind w:left="120" w:right="40"/>
        <w:spacing w:after="0" w:line="290" w:lineRule="auto"/>
        <w:rPr>
          <w:sz w:val="20"/>
          <w:szCs w:val="20"/>
          <w:color w:val="auto"/>
        </w:rPr>
      </w:pPr>
      <w:r>
        <w:rPr>
          <w:rFonts w:ascii="Arial" w:cs="Arial" w:eastAsia="Arial" w:hAnsi="Arial"/>
          <w:sz w:val="16"/>
          <w:szCs w:val="16"/>
          <w:color w:val="auto"/>
        </w:rPr>
        <w:t>The company has entered into severance agreements with each of its NEOs that provide for compensation in the event of termination of employment under certain circumstances (the “Severance Agreements”). In addition, our NEOs are entitled to post-termination payments or benefits under award agreements entered into under the TimkenSteel Corporation Amended and Restated 2014 Equity and Incentive Compensation Plan, the TimkenSteel Corporation Amended and Restated 2020 Equity and Incentive Compensation Plan and, under certain circumstances, under our retirement and benefit plans. The following circumstances would trigger post-termination payments to our named executive officers: change in control followed by certain events described below; involuntary termination without cause; retirement; permanent disability; and death. For purposes of calculating the payments that would be due to each of our NEOs, the termination scenarios described below assume a December 31, 2021 termination date, except with respect to Messrs. Bryan and Moline, whose employment terminated on May 7, 2021.</w:t>
      </w:r>
    </w:p>
    <w:p>
      <w:pPr>
        <w:spacing w:after="0" w:line="16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Change in control</w:t>
      </w:r>
    </w:p>
    <w:p>
      <w:pPr>
        <w:spacing w:after="0" w:line="117" w:lineRule="exact"/>
        <w:rPr>
          <w:sz w:val="20"/>
          <w:szCs w:val="20"/>
          <w:color w:val="auto"/>
        </w:rPr>
      </w:pPr>
    </w:p>
    <w:p>
      <w:pPr>
        <w:ind w:left="120" w:right="80"/>
        <w:spacing w:after="0" w:line="284" w:lineRule="auto"/>
        <w:rPr>
          <w:sz w:val="20"/>
          <w:szCs w:val="20"/>
          <w:color w:val="auto"/>
        </w:rPr>
      </w:pPr>
      <w:r>
        <w:rPr>
          <w:rFonts w:ascii="Arial" w:cs="Arial" w:eastAsia="Arial" w:hAnsi="Arial"/>
          <w:sz w:val="16"/>
          <w:szCs w:val="16"/>
          <w:color w:val="auto"/>
        </w:rPr>
        <w:t>Under the Severance Agreements with our NEOs, when certain events occur, such as a reduction in responsibilities or termination of employment without cause, following a change in control of the company (as defined in the Severance Agreements), the NEO is entitled to receive a cash severance payment in an amount equal to a specified multiple of the sum of his or her annual base salary and the greater of: (1) his or her target annual amount of incentive compensation for the year in which he or she terminates employment; or (2) his or her target annual amount of incentive compensation for the year in which the change in control occurs. In late 2020, the Compensation Committee adopted a new standard form of severance agreement, reducing the multiple of pay applicable in a change in control from three times to two and one-half times for the CEO and two times for other executive officers of the company. As such, a multiple of two and one-half times is specified in the Severance Agreement for Mr. Williams and a multiple of two times is specified in the Severance Agreements for Ms. Syrvalin and Mr. Raketich. A multiple of three times is specified in the Severance Agreement for</w:t>
      </w:r>
    </w:p>
    <w:p>
      <w:pPr>
        <w:spacing w:after="0" w:line="1" w:lineRule="exact"/>
        <w:rPr>
          <w:sz w:val="20"/>
          <w:szCs w:val="20"/>
          <w:color w:val="auto"/>
        </w:rPr>
      </w:pPr>
    </w:p>
    <w:p>
      <w:pPr>
        <w:ind w:left="120"/>
        <w:spacing w:after="0" w:line="255" w:lineRule="auto"/>
        <w:rPr>
          <w:sz w:val="20"/>
          <w:szCs w:val="20"/>
          <w:color w:val="auto"/>
        </w:rPr>
      </w:pPr>
      <w:r>
        <w:rPr>
          <w:rFonts w:ascii="Arial" w:cs="Arial" w:eastAsia="Arial" w:hAnsi="Arial"/>
          <w:sz w:val="18"/>
          <w:szCs w:val="18"/>
          <w:color w:val="auto"/>
        </w:rPr>
        <w:t>Mr. Westbrooks as the Severance Agreement between Mr. Westbrooks and the company was entered into at the time he was hired in 2018. The Severance Agreements for Messrs. Bryan and Moline also specified a multiple of three times; however, due to the termination of employment of Messrs. Bryan and Moline on May 7, 2021, these agreements are no longer in effect.</w:t>
      </w:r>
    </w:p>
    <w:p>
      <w:pPr>
        <w:spacing w:after="0" w:line="190" w:lineRule="exact"/>
        <w:rPr>
          <w:sz w:val="20"/>
          <w:szCs w:val="20"/>
          <w:color w:val="auto"/>
        </w:rPr>
      </w:pPr>
    </w:p>
    <w:p>
      <w:pPr>
        <w:ind w:left="120" w:right="100"/>
        <w:spacing w:after="0" w:line="259" w:lineRule="auto"/>
        <w:rPr>
          <w:sz w:val="20"/>
          <w:szCs w:val="20"/>
          <w:color w:val="auto"/>
        </w:rPr>
      </w:pPr>
      <w:r>
        <w:rPr>
          <w:rFonts w:ascii="Arial" w:cs="Arial" w:eastAsia="Arial" w:hAnsi="Arial"/>
          <w:sz w:val="18"/>
          <w:szCs w:val="18"/>
          <w:color w:val="auto"/>
        </w:rPr>
        <w:t>None of the Severance Agreements contains an excise tax gross-up provision. Rather, the agreements provide that the NEO can choose the “best net” benefit of either: (1) paying all excise taxes incurred with respect to the change in control benefits, without a gross-up by the company; or (2) accepting aggregate change in control benefits that do not exceed the excise tax threshold. In the event of a change in control, the amounts payable under the Severance Agreements would become secured by a trust arrangement.</w:t>
      </w:r>
    </w:p>
    <w:p>
      <w:pPr>
        <w:spacing w:after="0" w:line="187" w:lineRule="exact"/>
        <w:rPr>
          <w:sz w:val="20"/>
          <w:szCs w:val="20"/>
          <w:color w:val="auto"/>
        </w:rPr>
      </w:pPr>
    </w:p>
    <w:p>
      <w:pPr>
        <w:ind w:left="120" w:right="20"/>
        <w:spacing w:after="0" w:line="257" w:lineRule="auto"/>
        <w:rPr>
          <w:sz w:val="20"/>
          <w:szCs w:val="20"/>
          <w:color w:val="auto"/>
        </w:rPr>
      </w:pPr>
      <w:r>
        <w:rPr>
          <w:rFonts w:ascii="Arial" w:cs="Arial" w:eastAsia="Arial" w:hAnsi="Arial"/>
          <w:sz w:val="18"/>
          <w:szCs w:val="18"/>
          <w:color w:val="auto"/>
        </w:rPr>
        <w:t>Under the terms of the agreements pursuant to which equity is awarded to our NEOs, if following a change in control there would be a loss of equity by the NEO because (a) the equity of the company is not continued and the value of the equity award is not replaced with an equivalent equity instrument of the surviving entity or (b) the NEO’s employment is involuntarily terminated or voluntarily terminated with good cause (as defined in the agreement), then in those circumstances any unvested equity-based grants would vest and become nonforfeitable and the NEO would have three years to exercise all stock options.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7"/>
          <w:szCs w:val="17"/>
          <w:color w:val="auto"/>
        </w:rPr>
        <w:t>Finally, the NEO would be entitled to continuation of health and welfare benefits for the severance period and career outplacement services.</w:t>
      </w:r>
    </w:p>
    <w:p>
      <w:pPr>
        <w:spacing w:after="0" w:line="23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Voluntary termination</w:t>
      </w:r>
    </w:p>
    <w:p>
      <w:pPr>
        <w:spacing w:after="0" w:line="117"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In the case of a voluntary termination of employment by an NEO, the NEO is not entitled to receive, and the company will not make any cash severance, retirement benefits or other perquisite payments, and unvested equity-based grants will not vest.</w:t>
      </w:r>
    </w:p>
    <w:p>
      <w:pPr>
        <w:spacing w:after="0" w:line="107"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66</w:t>
      </w:r>
    </w:p>
    <w:p>
      <w:pPr>
        <w:sectPr>
          <w:pgSz w:w="11900" w:h="16838" w:orient="portrait"/>
          <w:cols w:equalWidth="0" w:num="1">
            <w:col w:w="11120"/>
          </w:cols>
          <w:pgMar w:left="320" w:top="459" w:right="45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Involuntary termination with cause</w:t>
      </w:r>
    </w:p>
    <w:p>
      <w:pPr>
        <w:spacing w:after="0" w:line="117" w:lineRule="exact"/>
        <w:rPr>
          <w:sz w:val="20"/>
          <w:szCs w:val="20"/>
          <w:color w:val="auto"/>
        </w:rPr>
      </w:pPr>
    </w:p>
    <w:p>
      <w:pPr>
        <w:ind w:left="120" w:right="100"/>
        <w:spacing w:after="0" w:line="275" w:lineRule="auto"/>
        <w:rPr>
          <w:sz w:val="20"/>
          <w:szCs w:val="20"/>
          <w:color w:val="auto"/>
        </w:rPr>
      </w:pPr>
      <w:r>
        <w:rPr>
          <w:rFonts w:ascii="Arial" w:cs="Arial" w:eastAsia="Arial" w:hAnsi="Arial"/>
          <w:sz w:val="17"/>
          <w:szCs w:val="17"/>
          <w:color w:val="auto"/>
        </w:rPr>
        <w:t>The company provides no cash severance, retirement benefits, other perquisite payments or vesting of any equity-based grants when an NEO is terminated by the company with cause. As used in the Severance Agreements, termination with “cause” means the commission of an intentional act of fraud, embezzlement or theft in connection with the NEO’s duties with the company; an intentional wrongful disclosure of secret processes or confidential information of the company or a company subsidiary; or an intentional wrongful engagement in any competitive activity (as defined in the Severance Agreements) which would constitute a material breach of the officer’s duty of loyalty to the company.</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If the company terminates the NEO’s employment for cause, any benefit payable from a qualified plan is forfeited.</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Involuntary termination without cause (not in connection with a change in control)</w:t>
      </w:r>
    </w:p>
    <w:p>
      <w:pPr>
        <w:spacing w:after="0" w:line="117"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The Severance Agreements with our NEOs (other than the agreements with Messrs. Westbrooks, Bryan and Moline) provide that, in the case of an involuntary termination without cause (other than termination without cause in connection with a change in control, as described above), the NEO is entitled to severance equal to 1.5 times the sum of his or her base salary and target annual incentive opportunity. For Messrs. Westbrooks, Bryan and Moline, their Severance Agreements provide that in the case of an involuntary termination without cause, each is entitled to severance equal to 1.5 times the sum of his base salary and highest annual incentive compensation during the preceding five years (not to exceed target). Each NEO also is entitled to continuation of health and welfare benefits through the severance period and career outplacement services. In consideration for providing severance benefits, the company receives confidentiality and non-compete covenants from the NEOs, as well as a release of liability for all claims against the company.</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Retirement</w:t>
      </w:r>
    </w:p>
    <w:p>
      <w:pPr>
        <w:spacing w:after="0" w:line="117" w:lineRule="exact"/>
        <w:rPr>
          <w:sz w:val="20"/>
          <w:szCs w:val="20"/>
          <w:color w:val="auto"/>
        </w:rPr>
      </w:pPr>
    </w:p>
    <w:p>
      <w:pPr>
        <w:ind w:left="120" w:right="240"/>
        <w:spacing w:after="0" w:line="277" w:lineRule="auto"/>
        <w:rPr>
          <w:sz w:val="20"/>
          <w:szCs w:val="20"/>
          <w:color w:val="auto"/>
        </w:rPr>
      </w:pPr>
      <w:r>
        <w:rPr>
          <w:rFonts w:ascii="Arial" w:cs="Arial" w:eastAsia="Arial" w:hAnsi="Arial"/>
          <w:sz w:val="18"/>
          <w:szCs w:val="18"/>
          <w:color w:val="auto"/>
        </w:rPr>
        <w:t>“Retirement” means either: (1) retirement of the NEO prior to age 62, if the Compensation Committee of the Board of Directors determines that such retirement is for the convenience of the company; or (2) retirement of the NEO on or after age 62.</w:t>
      </w:r>
    </w:p>
    <w:p>
      <w:pPr>
        <w:spacing w:after="0" w:line="170" w:lineRule="exact"/>
        <w:rPr>
          <w:sz w:val="20"/>
          <w:szCs w:val="20"/>
          <w:color w:val="auto"/>
        </w:rPr>
      </w:pPr>
    </w:p>
    <w:p>
      <w:pPr>
        <w:ind w:left="120" w:right="60"/>
        <w:spacing w:after="0" w:line="311" w:lineRule="auto"/>
        <w:rPr>
          <w:sz w:val="20"/>
          <w:szCs w:val="20"/>
          <w:color w:val="auto"/>
        </w:rPr>
      </w:pPr>
      <w:r>
        <w:rPr>
          <w:rFonts w:ascii="Arial" w:cs="Arial" w:eastAsia="Arial" w:hAnsi="Arial"/>
          <w:sz w:val="16"/>
          <w:szCs w:val="16"/>
          <w:color w:val="auto"/>
        </w:rPr>
        <w:t>In addition to retirement benefits shown in the “2021 Pension benefits table” (which are not shown in the following table of termination scenarios), NEOs who retire under the circumstances described above will be entitled to receive prorated payouts of performance shares and continued normal vesting of other unvested equity awards as if the officer had remained in the continuous employ of the company for the remainder of the vesting period.</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Death or permanent disability</w:t>
      </w:r>
    </w:p>
    <w:p>
      <w:pPr>
        <w:spacing w:after="0" w:line="117" w:lineRule="exact"/>
        <w:rPr>
          <w:sz w:val="20"/>
          <w:szCs w:val="20"/>
          <w:color w:val="auto"/>
        </w:rPr>
      </w:pPr>
    </w:p>
    <w:p>
      <w:pPr>
        <w:ind w:left="120" w:right="560"/>
        <w:spacing w:after="0" w:line="277" w:lineRule="auto"/>
        <w:rPr>
          <w:sz w:val="20"/>
          <w:szCs w:val="20"/>
          <w:color w:val="auto"/>
        </w:rPr>
      </w:pPr>
      <w:r>
        <w:rPr>
          <w:rFonts w:ascii="Arial" w:cs="Arial" w:eastAsia="Arial" w:hAnsi="Arial"/>
          <w:sz w:val="18"/>
          <w:szCs w:val="18"/>
          <w:color w:val="auto"/>
        </w:rPr>
        <w:t>“Permanent Disability” occurs if the NEO qualifies for permanent disability benefits under a disability plan or program of the company or, in the absence of a disability plan or program of the company, under a government-sponsored disability program.</w:t>
      </w:r>
    </w:p>
    <w:p>
      <w:pPr>
        <w:spacing w:after="0" w:line="170" w:lineRule="exact"/>
        <w:rPr>
          <w:sz w:val="20"/>
          <w:szCs w:val="20"/>
          <w:color w:val="auto"/>
        </w:rPr>
      </w:pPr>
    </w:p>
    <w:p>
      <w:pPr>
        <w:jc w:val="both"/>
        <w:ind w:left="120" w:right="160"/>
        <w:spacing w:after="0" w:line="263" w:lineRule="auto"/>
        <w:rPr>
          <w:sz w:val="20"/>
          <w:szCs w:val="20"/>
          <w:color w:val="auto"/>
        </w:rPr>
      </w:pPr>
      <w:r>
        <w:rPr>
          <w:rFonts w:ascii="Arial" w:cs="Arial" w:eastAsia="Arial" w:hAnsi="Arial"/>
          <w:sz w:val="18"/>
          <w:szCs w:val="18"/>
          <w:color w:val="auto"/>
        </w:rPr>
        <w:t>All equity-based awards immediately vest in the event of death or permanent disability except performance shares, which are prorated and then vest at the end of the performance period. In the case of disability, the NEO has up to five years to exercise stock options. In the case of the NEO’s death, the NEO’s beneficiary will have one year following the death to exercise stock options.</w:t>
      </w:r>
    </w:p>
    <w:p>
      <w:pPr>
        <w:spacing w:after="0" w:line="121"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67</w:t>
      </w:r>
    </w:p>
    <w:p>
      <w:pPr>
        <w:sectPr>
          <w:pgSz w:w="11900" w:h="16838" w:orient="portrait"/>
          <w:cols w:equalWidth="0" w:num="1">
            <w:col w:w="11100"/>
          </w:cols>
          <w:pgMar w:left="320" w:top="459" w:right="47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Termination scenarios for NEOs</w:t>
      </w:r>
    </w:p>
    <w:p>
      <w:pPr>
        <w:spacing w:after="0" w:line="253"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FFFFFF"/>
        </w:rPr>
        <w:t>Mr. Williams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-107315</wp:posOffset>
            </wp:positionV>
            <wp:extent cx="6995160" cy="3511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6995160" cy="351155"/>
                    </a:xfrm>
                    <a:prstGeom prst="rect">
                      <a:avLst/>
                    </a:prstGeom>
                    <a:noFill/>
                  </pic:spPr>
                </pic:pic>
              </a:graphicData>
            </a:graphic>
          </wp:anchor>
        </w:drawing>
      </w:r>
    </w:p>
    <w:tbl>
      <w:tblPr>
        <w:tblLayout w:type="fixed"/>
        <w:tblInd w:w="120" w:type="dxa"/>
        <w:tblCellMar>
          <w:top w:w="0" w:type="dxa"/>
          <w:left w:w="0" w:type="dxa"/>
          <w:bottom w:w="0" w:type="dxa"/>
          <w:right w:w="0" w:type="dxa"/>
        </w:tblCellMar>
      </w:tblPr>
      <w:tr>
        <w:trPr>
          <w:trHeight w:val="172"/>
        </w:trPr>
        <w:tc>
          <w:tcPr>
            <w:tcW w:w="2940" w:type="dxa"/>
            <w:vAlign w:val="bottom"/>
            <w:shd w:val="clear" w:color="auto" w:fill="333333"/>
          </w:tcPr>
          <w:p>
            <w:pPr>
              <w:spacing w:after="0"/>
              <w:rPr>
                <w:sz w:val="14"/>
                <w:szCs w:val="14"/>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92"/>
              </w:rPr>
              <w:t>Voluntary</w:t>
            </w:r>
          </w:p>
        </w:tc>
        <w:tc>
          <w:tcPr>
            <w:tcW w:w="110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95"/>
              </w:rPr>
              <w:t>Termination</w:t>
            </w:r>
          </w:p>
        </w:tc>
        <w:tc>
          <w:tcPr>
            <w:tcW w:w="380" w:type="dxa"/>
            <w:vAlign w:val="bottom"/>
            <w:shd w:val="clear" w:color="auto" w:fill="333333"/>
          </w:tcPr>
          <w:p>
            <w:pPr>
              <w:spacing w:after="0"/>
              <w:rPr>
                <w:sz w:val="14"/>
                <w:szCs w:val="14"/>
                <w:color w:val="auto"/>
              </w:rPr>
            </w:pPr>
          </w:p>
        </w:tc>
        <w:tc>
          <w:tcPr>
            <w:tcW w:w="820" w:type="dxa"/>
            <w:vAlign w:val="bottom"/>
            <w:shd w:val="clear" w:color="auto" w:fill="333333"/>
          </w:tcPr>
          <w:p>
            <w:pPr>
              <w:spacing w:after="0"/>
              <w:rPr>
                <w:sz w:val="14"/>
                <w:szCs w:val="14"/>
                <w:color w:val="auto"/>
              </w:rPr>
            </w:pPr>
          </w:p>
        </w:tc>
        <w:tc>
          <w:tcPr>
            <w:tcW w:w="220" w:type="dxa"/>
            <w:vAlign w:val="bottom"/>
            <w:shd w:val="clear" w:color="auto" w:fill="333333"/>
          </w:tcPr>
          <w:p>
            <w:pPr>
              <w:spacing w:after="0"/>
              <w:rPr>
                <w:sz w:val="14"/>
                <w:szCs w:val="14"/>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Death &amp;</w:t>
            </w:r>
          </w:p>
        </w:tc>
        <w:tc>
          <w:tcPr>
            <w:tcW w:w="200" w:type="dxa"/>
            <w:vAlign w:val="bottom"/>
            <w:shd w:val="clear" w:color="auto" w:fill="333333"/>
          </w:tcPr>
          <w:p>
            <w:pPr>
              <w:spacing w:after="0"/>
              <w:rPr>
                <w:sz w:val="14"/>
                <w:szCs w:val="14"/>
                <w:color w:val="auto"/>
              </w:rPr>
            </w:pPr>
          </w:p>
        </w:tc>
        <w:tc>
          <w:tcPr>
            <w:tcW w:w="1020" w:type="dxa"/>
            <w:vAlign w:val="bottom"/>
            <w:shd w:val="clear" w:color="auto" w:fill="333333"/>
          </w:tcPr>
          <w:p>
            <w:pPr>
              <w:jc w:val="center"/>
              <w:ind w:right="120"/>
              <w:spacing w:after="0"/>
              <w:rPr>
                <w:sz w:val="20"/>
                <w:szCs w:val="20"/>
                <w:color w:val="auto"/>
              </w:rPr>
            </w:pPr>
            <w:r>
              <w:rPr>
                <w:rFonts w:ascii="Arial" w:cs="Arial" w:eastAsia="Arial" w:hAnsi="Arial"/>
                <w:sz w:val="15"/>
                <w:szCs w:val="15"/>
                <w:b w:val="1"/>
                <w:bCs w:val="1"/>
                <w:color w:val="FFFFFF"/>
                <w:w w:val="95"/>
              </w:rPr>
              <w:t>Termination</w:t>
            </w:r>
          </w:p>
        </w:tc>
        <w:tc>
          <w:tcPr>
            <w:tcW w:w="220" w:type="dxa"/>
            <w:vAlign w:val="bottom"/>
            <w:shd w:val="clear" w:color="auto" w:fill="333333"/>
          </w:tcPr>
          <w:p>
            <w:pPr>
              <w:spacing w:after="0"/>
              <w:rPr>
                <w:sz w:val="14"/>
                <w:szCs w:val="14"/>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Change in</w:t>
            </w:r>
          </w:p>
        </w:tc>
      </w:tr>
      <w:tr>
        <w:trPr>
          <w:trHeight w:val="193"/>
        </w:trPr>
        <w:tc>
          <w:tcPr>
            <w:tcW w:w="2940" w:type="dxa"/>
            <w:vAlign w:val="bottom"/>
            <w:shd w:val="clear" w:color="auto" w:fill="333333"/>
          </w:tcPr>
          <w:p>
            <w:pPr>
              <w:spacing w:after="0"/>
              <w:rPr>
                <w:sz w:val="16"/>
                <w:szCs w:val="16"/>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88"/>
              </w:rPr>
              <w:t>resignation</w:t>
            </w:r>
          </w:p>
        </w:tc>
        <w:tc>
          <w:tcPr>
            <w:tcW w:w="900" w:type="dxa"/>
            <w:vAlign w:val="bottom"/>
            <w:shd w:val="clear" w:color="auto" w:fill="333333"/>
          </w:tcPr>
          <w:p>
            <w:pPr>
              <w:jc w:val="center"/>
              <w:ind w:left="140"/>
              <w:spacing w:after="0"/>
              <w:rPr>
                <w:sz w:val="20"/>
                <w:szCs w:val="20"/>
                <w:color w:val="auto"/>
              </w:rPr>
            </w:pPr>
            <w:r>
              <w:rPr>
                <w:rFonts w:ascii="Arial" w:cs="Arial" w:eastAsia="Arial" w:hAnsi="Arial"/>
                <w:sz w:val="15"/>
                <w:szCs w:val="15"/>
                <w:b w:val="1"/>
                <w:bCs w:val="1"/>
                <w:color w:val="FFFFFF"/>
                <w:w w:val="88"/>
              </w:rPr>
              <w:t>with cause</w:t>
            </w:r>
          </w:p>
        </w:tc>
        <w:tc>
          <w:tcPr>
            <w:tcW w:w="200" w:type="dxa"/>
            <w:vAlign w:val="bottom"/>
            <w:shd w:val="clear" w:color="auto" w:fill="333333"/>
          </w:tcPr>
          <w:p>
            <w:pPr>
              <w:spacing w:after="0"/>
              <w:rPr>
                <w:sz w:val="16"/>
                <w:szCs w:val="16"/>
                <w:color w:val="auto"/>
              </w:rPr>
            </w:pPr>
          </w:p>
        </w:tc>
        <w:tc>
          <w:tcPr>
            <w:tcW w:w="1200" w:type="dxa"/>
            <w:vAlign w:val="bottom"/>
            <w:gridSpan w:val="2"/>
            <w:shd w:val="clear" w:color="auto" w:fill="333333"/>
          </w:tcPr>
          <w:p>
            <w:pPr>
              <w:jc w:val="right"/>
              <w:ind w:right="7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220" w:type="dxa"/>
            <w:vAlign w:val="bottom"/>
            <w:shd w:val="clear" w:color="auto" w:fill="333333"/>
          </w:tcPr>
          <w:p>
            <w:pPr>
              <w:spacing w:after="0"/>
              <w:rPr>
                <w:sz w:val="16"/>
                <w:szCs w:val="16"/>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disability</w:t>
            </w:r>
          </w:p>
        </w:tc>
        <w:tc>
          <w:tcPr>
            <w:tcW w:w="122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89"/>
              </w:rPr>
              <w:t>without cause</w:t>
            </w:r>
          </w:p>
        </w:tc>
        <w:tc>
          <w:tcPr>
            <w:tcW w:w="220" w:type="dxa"/>
            <w:vAlign w:val="bottom"/>
            <w:shd w:val="clear" w:color="auto" w:fill="333333"/>
          </w:tcPr>
          <w:p>
            <w:pPr>
              <w:spacing w:after="0"/>
              <w:rPr>
                <w:sz w:val="16"/>
                <w:szCs w:val="16"/>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4,072,001</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5,672,001</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9,314,800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11,643,489</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13,972,200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42,500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57,500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170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90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10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rPr>
                <w:sz w:val="20"/>
                <w:szCs w:val="20"/>
                <w:color w:val="auto"/>
              </w:rPr>
            </w:pPr>
            <w:r>
              <w:rPr>
                <w:rFonts w:ascii="Arial" w:cs="Arial" w:eastAsia="Arial" w:hAnsi="Arial"/>
                <w:sz w:val="16"/>
                <w:szCs w:val="16"/>
                <w:color w:val="auto"/>
              </w:rPr>
              <w:t>Total</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9,314,800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15,757,990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19,701,701</w:t>
            </w:r>
          </w:p>
        </w:tc>
      </w:tr>
      <w:tr>
        <w:trPr>
          <w:trHeight w:val="203"/>
        </w:trPr>
        <w:tc>
          <w:tcPr>
            <w:tcW w:w="2940" w:type="dxa"/>
            <w:vAlign w:val="bottom"/>
            <w:shd w:val="clear" w:color="auto" w:fill="999999"/>
          </w:tcPr>
          <w:p>
            <w:pPr>
              <w:spacing w:after="0"/>
              <w:rPr>
                <w:sz w:val="17"/>
                <w:szCs w:val="17"/>
                <w:color w:val="auto"/>
              </w:rPr>
            </w:pPr>
          </w:p>
        </w:tc>
        <w:tc>
          <w:tcPr>
            <w:tcW w:w="1700" w:type="dxa"/>
            <w:vAlign w:val="bottom"/>
            <w:shd w:val="clear" w:color="auto" w:fill="999999"/>
          </w:tcPr>
          <w:p>
            <w:pPr>
              <w:spacing w:after="0"/>
              <w:rPr>
                <w:sz w:val="17"/>
                <w:szCs w:val="17"/>
                <w:color w:val="auto"/>
              </w:rPr>
            </w:pPr>
          </w:p>
        </w:tc>
        <w:tc>
          <w:tcPr>
            <w:tcW w:w="1440" w:type="dxa"/>
            <w:vAlign w:val="bottom"/>
            <w:gridSpan w:val="2"/>
            <w:shd w:val="clear" w:color="auto" w:fill="999999"/>
          </w:tcPr>
          <w:p>
            <w:pPr>
              <w:ind w:left="260"/>
              <w:spacing w:after="0"/>
              <w:rPr>
                <w:sz w:val="20"/>
                <w:szCs w:val="20"/>
                <w:color w:val="auto"/>
              </w:rPr>
            </w:pPr>
            <w:r>
              <w:rPr>
                <w:rFonts w:ascii="Arial" w:cs="Arial" w:eastAsia="Arial" w:hAnsi="Arial"/>
                <w:sz w:val="16"/>
                <w:szCs w:val="16"/>
                <w:b w:val="1"/>
                <w:bCs w:val="1"/>
                <w:color w:val="FFFFFF"/>
                <w:w w:val="96"/>
              </w:rPr>
              <w:t>Mr. Westbrooks</w:t>
            </w:r>
          </w:p>
        </w:tc>
        <w:tc>
          <w:tcPr>
            <w:tcW w:w="200" w:type="dxa"/>
            <w:vAlign w:val="bottom"/>
            <w:shd w:val="clear" w:color="auto" w:fill="999999"/>
          </w:tcPr>
          <w:p>
            <w:pPr>
              <w:spacing w:after="0"/>
              <w:rPr>
                <w:sz w:val="17"/>
                <w:szCs w:val="17"/>
                <w:color w:val="auto"/>
              </w:rPr>
            </w:pPr>
          </w:p>
        </w:tc>
        <w:tc>
          <w:tcPr>
            <w:tcW w:w="380" w:type="dxa"/>
            <w:vAlign w:val="bottom"/>
            <w:shd w:val="clear" w:color="auto" w:fill="999999"/>
          </w:tcPr>
          <w:p>
            <w:pPr>
              <w:spacing w:after="0"/>
              <w:rPr>
                <w:sz w:val="17"/>
                <w:szCs w:val="17"/>
                <w:color w:val="auto"/>
              </w:rPr>
            </w:pPr>
          </w:p>
        </w:tc>
        <w:tc>
          <w:tcPr>
            <w:tcW w:w="8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880" w:type="dxa"/>
            <w:vAlign w:val="bottom"/>
            <w:shd w:val="clear" w:color="auto" w:fill="999999"/>
          </w:tcPr>
          <w:p>
            <w:pPr>
              <w:spacing w:after="0"/>
              <w:rPr>
                <w:sz w:val="17"/>
                <w:szCs w:val="17"/>
                <w:color w:val="auto"/>
              </w:rPr>
            </w:pPr>
          </w:p>
        </w:tc>
        <w:tc>
          <w:tcPr>
            <w:tcW w:w="200" w:type="dxa"/>
            <w:vAlign w:val="bottom"/>
            <w:shd w:val="clear" w:color="auto" w:fill="999999"/>
          </w:tcPr>
          <w:p>
            <w:pPr>
              <w:spacing w:after="0"/>
              <w:rPr>
                <w:sz w:val="17"/>
                <w:szCs w:val="17"/>
                <w:color w:val="auto"/>
              </w:rPr>
            </w:pPr>
          </w:p>
        </w:tc>
        <w:tc>
          <w:tcPr>
            <w:tcW w:w="10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1000" w:type="dxa"/>
            <w:vAlign w:val="bottom"/>
            <w:shd w:val="clear" w:color="auto" w:fill="999999"/>
          </w:tcPr>
          <w:p>
            <w:pPr>
              <w:spacing w:after="0"/>
              <w:rPr>
                <w:sz w:val="17"/>
                <w:szCs w:val="17"/>
                <w:color w:val="auto"/>
              </w:rPr>
            </w:pPr>
          </w:p>
        </w:tc>
      </w:tr>
      <w:tr>
        <w:trPr>
          <w:trHeight w:val="158"/>
        </w:trPr>
        <w:tc>
          <w:tcPr>
            <w:tcW w:w="2940" w:type="dxa"/>
            <w:vAlign w:val="bottom"/>
            <w:shd w:val="clear" w:color="auto" w:fill="333333"/>
          </w:tcPr>
          <w:p>
            <w:pPr>
              <w:spacing w:after="0"/>
              <w:rPr>
                <w:sz w:val="13"/>
                <w:szCs w:val="13"/>
                <w:color w:val="auto"/>
              </w:rPr>
            </w:pPr>
          </w:p>
        </w:tc>
        <w:tc>
          <w:tcPr>
            <w:tcW w:w="2240" w:type="dxa"/>
            <w:vAlign w:val="bottom"/>
            <w:gridSpan w:val="2"/>
            <w:shd w:val="clear" w:color="auto" w:fill="333333"/>
          </w:tcPr>
          <w:p>
            <w:pPr>
              <w:jc w:val="center"/>
              <w:ind w:left="1160"/>
              <w:spacing w:after="0" w:line="159" w:lineRule="exact"/>
              <w:rPr>
                <w:sz w:val="20"/>
                <w:szCs w:val="20"/>
                <w:color w:val="auto"/>
              </w:rPr>
            </w:pPr>
            <w:r>
              <w:rPr>
                <w:rFonts w:ascii="Arial" w:cs="Arial" w:eastAsia="Arial" w:hAnsi="Arial"/>
                <w:sz w:val="15"/>
                <w:szCs w:val="15"/>
                <w:b w:val="1"/>
                <w:bCs w:val="1"/>
                <w:color w:val="FFFFFF"/>
                <w:w w:val="92"/>
              </w:rPr>
              <w:t>Voluntary</w:t>
            </w:r>
          </w:p>
        </w:tc>
        <w:tc>
          <w:tcPr>
            <w:tcW w:w="1100" w:type="dxa"/>
            <w:vAlign w:val="bottom"/>
            <w:gridSpan w:val="2"/>
            <w:shd w:val="clear" w:color="auto" w:fill="333333"/>
          </w:tcPr>
          <w:p>
            <w:pPr>
              <w:jc w:val="center"/>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380" w:type="dxa"/>
            <w:vAlign w:val="bottom"/>
            <w:shd w:val="clear" w:color="auto" w:fill="333333"/>
          </w:tcPr>
          <w:p>
            <w:pPr>
              <w:spacing w:after="0"/>
              <w:rPr>
                <w:sz w:val="13"/>
                <w:szCs w:val="13"/>
                <w:color w:val="auto"/>
              </w:rPr>
            </w:pPr>
          </w:p>
        </w:tc>
        <w:tc>
          <w:tcPr>
            <w:tcW w:w="820" w:type="dxa"/>
            <w:vAlign w:val="bottom"/>
            <w:shd w:val="clear" w:color="auto" w:fill="333333"/>
          </w:tcPr>
          <w:p>
            <w:pPr>
              <w:spacing w:after="0"/>
              <w:rPr>
                <w:sz w:val="13"/>
                <w:szCs w:val="13"/>
                <w:color w:val="auto"/>
              </w:rPr>
            </w:pPr>
          </w:p>
        </w:tc>
        <w:tc>
          <w:tcPr>
            <w:tcW w:w="220" w:type="dxa"/>
            <w:vAlign w:val="bottom"/>
            <w:shd w:val="clear" w:color="auto" w:fill="333333"/>
          </w:tcPr>
          <w:p>
            <w:pPr>
              <w:spacing w:after="0"/>
              <w:rPr>
                <w:sz w:val="13"/>
                <w:szCs w:val="13"/>
                <w:color w:val="auto"/>
              </w:rPr>
            </w:pPr>
          </w:p>
        </w:tc>
        <w:tc>
          <w:tcPr>
            <w:tcW w:w="88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5"/>
              </w:rPr>
              <w:t>Death &amp;</w:t>
            </w:r>
          </w:p>
        </w:tc>
        <w:tc>
          <w:tcPr>
            <w:tcW w:w="200" w:type="dxa"/>
            <w:vAlign w:val="bottom"/>
            <w:shd w:val="clear" w:color="auto" w:fill="333333"/>
          </w:tcPr>
          <w:p>
            <w:pPr>
              <w:spacing w:after="0"/>
              <w:rPr>
                <w:sz w:val="13"/>
                <w:szCs w:val="13"/>
                <w:color w:val="auto"/>
              </w:rPr>
            </w:pPr>
          </w:p>
        </w:tc>
        <w:tc>
          <w:tcPr>
            <w:tcW w:w="1020" w:type="dxa"/>
            <w:vAlign w:val="bottom"/>
            <w:shd w:val="clear" w:color="auto" w:fill="333333"/>
          </w:tcPr>
          <w:p>
            <w:pPr>
              <w:jc w:val="center"/>
              <w:ind w:right="120"/>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220" w:type="dxa"/>
            <w:vAlign w:val="bottom"/>
            <w:shd w:val="clear" w:color="auto" w:fill="333333"/>
          </w:tcPr>
          <w:p>
            <w:pPr>
              <w:spacing w:after="0"/>
              <w:rPr>
                <w:sz w:val="13"/>
                <w:szCs w:val="13"/>
                <w:color w:val="auto"/>
              </w:rPr>
            </w:pPr>
          </w:p>
        </w:tc>
        <w:tc>
          <w:tcPr>
            <w:tcW w:w="100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0"/>
              </w:rPr>
              <w:t>Change in</w:t>
            </w:r>
          </w:p>
        </w:tc>
      </w:tr>
      <w:tr>
        <w:trPr>
          <w:trHeight w:val="193"/>
        </w:trPr>
        <w:tc>
          <w:tcPr>
            <w:tcW w:w="2940" w:type="dxa"/>
            <w:vAlign w:val="bottom"/>
            <w:shd w:val="clear" w:color="auto" w:fill="333333"/>
          </w:tcPr>
          <w:p>
            <w:pPr>
              <w:spacing w:after="0"/>
              <w:rPr>
                <w:sz w:val="16"/>
                <w:szCs w:val="16"/>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88"/>
              </w:rPr>
              <w:t>resignation</w:t>
            </w:r>
          </w:p>
        </w:tc>
        <w:tc>
          <w:tcPr>
            <w:tcW w:w="900" w:type="dxa"/>
            <w:vAlign w:val="bottom"/>
            <w:shd w:val="clear" w:color="auto" w:fill="333333"/>
          </w:tcPr>
          <w:p>
            <w:pPr>
              <w:jc w:val="center"/>
              <w:ind w:left="140"/>
              <w:spacing w:after="0"/>
              <w:rPr>
                <w:sz w:val="20"/>
                <w:szCs w:val="20"/>
                <w:color w:val="auto"/>
              </w:rPr>
            </w:pPr>
            <w:r>
              <w:rPr>
                <w:rFonts w:ascii="Arial" w:cs="Arial" w:eastAsia="Arial" w:hAnsi="Arial"/>
                <w:sz w:val="15"/>
                <w:szCs w:val="15"/>
                <w:b w:val="1"/>
                <w:bCs w:val="1"/>
                <w:color w:val="FFFFFF"/>
                <w:w w:val="88"/>
              </w:rPr>
              <w:t>with cause</w:t>
            </w:r>
          </w:p>
        </w:tc>
        <w:tc>
          <w:tcPr>
            <w:tcW w:w="200" w:type="dxa"/>
            <w:vAlign w:val="bottom"/>
            <w:shd w:val="clear" w:color="auto" w:fill="333333"/>
          </w:tcPr>
          <w:p>
            <w:pPr>
              <w:spacing w:after="0"/>
              <w:rPr>
                <w:sz w:val="16"/>
                <w:szCs w:val="16"/>
                <w:color w:val="auto"/>
              </w:rPr>
            </w:pPr>
          </w:p>
        </w:tc>
        <w:tc>
          <w:tcPr>
            <w:tcW w:w="1200" w:type="dxa"/>
            <w:vAlign w:val="bottom"/>
            <w:gridSpan w:val="2"/>
            <w:shd w:val="clear" w:color="auto" w:fill="333333"/>
          </w:tcPr>
          <w:p>
            <w:pPr>
              <w:jc w:val="right"/>
              <w:ind w:right="7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220" w:type="dxa"/>
            <w:vAlign w:val="bottom"/>
            <w:shd w:val="clear" w:color="auto" w:fill="333333"/>
          </w:tcPr>
          <w:p>
            <w:pPr>
              <w:spacing w:after="0"/>
              <w:rPr>
                <w:sz w:val="16"/>
                <w:szCs w:val="16"/>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disability</w:t>
            </w:r>
          </w:p>
        </w:tc>
        <w:tc>
          <w:tcPr>
            <w:tcW w:w="122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89"/>
              </w:rPr>
              <w:t>without cause</w:t>
            </w:r>
          </w:p>
        </w:tc>
        <w:tc>
          <w:tcPr>
            <w:tcW w:w="220" w:type="dxa"/>
            <w:vAlign w:val="bottom"/>
            <w:shd w:val="clear" w:color="auto" w:fill="333333"/>
          </w:tcPr>
          <w:p>
            <w:pPr>
              <w:spacing w:after="0"/>
              <w:rPr>
                <w:sz w:val="16"/>
                <w:szCs w:val="16"/>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1,799,508</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2,947,008</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3,390,719</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3,505,458</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3,997,919</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137,000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42,500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65,000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170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90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10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rPr>
                <w:sz w:val="20"/>
                <w:szCs w:val="20"/>
                <w:color w:val="auto"/>
              </w:rPr>
            </w:pPr>
            <w:r>
              <w:rPr>
                <w:rFonts w:ascii="Arial" w:cs="Arial" w:eastAsia="Arial" w:hAnsi="Arial"/>
                <w:sz w:val="16"/>
                <w:szCs w:val="16"/>
                <w:color w:val="auto"/>
              </w:rPr>
              <w:t>Total</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3,390,719</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5,347,466</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7,146,927</w:t>
            </w:r>
          </w:p>
        </w:tc>
      </w:tr>
      <w:tr>
        <w:trPr>
          <w:trHeight w:val="202"/>
        </w:trPr>
        <w:tc>
          <w:tcPr>
            <w:tcW w:w="2940" w:type="dxa"/>
            <w:vAlign w:val="bottom"/>
            <w:shd w:val="clear" w:color="auto" w:fill="999999"/>
          </w:tcPr>
          <w:p>
            <w:pPr>
              <w:spacing w:after="0"/>
              <w:rPr>
                <w:sz w:val="17"/>
                <w:szCs w:val="17"/>
                <w:color w:val="auto"/>
              </w:rPr>
            </w:pPr>
          </w:p>
        </w:tc>
        <w:tc>
          <w:tcPr>
            <w:tcW w:w="1700" w:type="dxa"/>
            <w:vAlign w:val="bottom"/>
            <w:shd w:val="clear" w:color="auto" w:fill="999999"/>
          </w:tcPr>
          <w:p>
            <w:pPr>
              <w:spacing w:after="0"/>
              <w:rPr>
                <w:sz w:val="17"/>
                <w:szCs w:val="17"/>
                <w:color w:val="auto"/>
              </w:rPr>
            </w:pPr>
          </w:p>
        </w:tc>
        <w:tc>
          <w:tcPr>
            <w:tcW w:w="1440" w:type="dxa"/>
            <w:vAlign w:val="bottom"/>
            <w:gridSpan w:val="2"/>
            <w:shd w:val="clear" w:color="auto" w:fill="999999"/>
          </w:tcPr>
          <w:p>
            <w:pPr>
              <w:ind w:left="360"/>
              <w:spacing w:after="0"/>
              <w:rPr>
                <w:sz w:val="20"/>
                <w:szCs w:val="20"/>
                <w:color w:val="auto"/>
              </w:rPr>
            </w:pPr>
            <w:r>
              <w:rPr>
                <w:rFonts w:ascii="Arial" w:cs="Arial" w:eastAsia="Arial" w:hAnsi="Arial"/>
                <w:sz w:val="16"/>
                <w:szCs w:val="16"/>
                <w:b w:val="1"/>
                <w:bCs w:val="1"/>
                <w:color w:val="FFFFFF"/>
              </w:rPr>
              <w:t>Ms. Syrvalin</w:t>
            </w:r>
          </w:p>
        </w:tc>
        <w:tc>
          <w:tcPr>
            <w:tcW w:w="200" w:type="dxa"/>
            <w:vAlign w:val="bottom"/>
            <w:shd w:val="clear" w:color="auto" w:fill="999999"/>
          </w:tcPr>
          <w:p>
            <w:pPr>
              <w:spacing w:after="0"/>
              <w:rPr>
                <w:sz w:val="17"/>
                <w:szCs w:val="17"/>
                <w:color w:val="auto"/>
              </w:rPr>
            </w:pPr>
          </w:p>
        </w:tc>
        <w:tc>
          <w:tcPr>
            <w:tcW w:w="380" w:type="dxa"/>
            <w:vAlign w:val="bottom"/>
            <w:shd w:val="clear" w:color="auto" w:fill="999999"/>
          </w:tcPr>
          <w:p>
            <w:pPr>
              <w:spacing w:after="0"/>
              <w:rPr>
                <w:sz w:val="17"/>
                <w:szCs w:val="17"/>
                <w:color w:val="auto"/>
              </w:rPr>
            </w:pPr>
          </w:p>
        </w:tc>
        <w:tc>
          <w:tcPr>
            <w:tcW w:w="8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880" w:type="dxa"/>
            <w:vAlign w:val="bottom"/>
            <w:shd w:val="clear" w:color="auto" w:fill="999999"/>
          </w:tcPr>
          <w:p>
            <w:pPr>
              <w:spacing w:after="0"/>
              <w:rPr>
                <w:sz w:val="17"/>
                <w:szCs w:val="17"/>
                <w:color w:val="auto"/>
              </w:rPr>
            </w:pPr>
          </w:p>
        </w:tc>
        <w:tc>
          <w:tcPr>
            <w:tcW w:w="200" w:type="dxa"/>
            <w:vAlign w:val="bottom"/>
            <w:shd w:val="clear" w:color="auto" w:fill="999999"/>
          </w:tcPr>
          <w:p>
            <w:pPr>
              <w:spacing w:after="0"/>
              <w:rPr>
                <w:sz w:val="17"/>
                <w:szCs w:val="17"/>
                <w:color w:val="auto"/>
              </w:rPr>
            </w:pPr>
          </w:p>
        </w:tc>
        <w:tc>
          <w:tcPr>
            <w:tcW w:w="10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1000" w:type="dxa"/>
            <w:vAlign w:val="bottom"/>
            <w:shd w:val="clear" w:color="auto" w:fill="999999"/>
          </w:tcPr>
          <w:p>
            <w:pPr>
              <w:spacing w:after="0"/>
              <w:rPr>
                <w:sz w:val="17"/>
                <w:szCs w:val="17"/>
                <w:color w:val="auto"/>
              </w:rPr>
            </w:pPr>
          </w:p>
        </w:tc>
      </w:tr>
      <w:tr>
        <w:trPr>
          <w:trHeight w:val="158"/>
        </w:trPr>
        <w:tc>
          <w:tcPr>
            <w:tcW w:w="2940" w:type="dxa"/>
            <w:vAlign w:val="bottom"/>
            <w:shd w:val="clear" w:color="auto" w:fill="333333"/>
          </w:tcPr>
          <w:p>
            <w:pPr>
              <w:spacing w:after="0"/>
              <w:rPr>
                <w:sz w:val="13"/>
                <w:szCs w:val="13"/>
                <w:color w:val="auto"/>
              </w:rPr>
            </w:pPr>
          </w:p>
        </w:tc>
        <w:tc>
          <w:tcPr>
            <w:tcW w:w="2240" w:type="dxa"/>
            <w:vAlign w:val="bottom"/>
            <w:gridSpan w:val="2"/>
            <w:shd w:val="clear" w:color="auto" w:fill="333333"/>
          </w:tcPr>
          <w:p>
            <w:pPr>
              <w:jc w:val="center"/>
              <w:ind w:left="1160"/>
              <w:spacing w:after="0" w:line="159" w:lineRule="exact"/>
              <w:rPr>
                <w:sz w:val="20"/>
                <w:szCs w:val="20"/>
                <w:color w:val="auto"/>
              </w:rPr>
            </w:pPr>
            <w:r>
              <w:rPr>
                <w:rFonts w:ascii="Arial" w:cs="Arial" w:eastAsia="Arial" w:hAnsi="Arial"/>
                <w:sz w:val="15"/>
                <w:szCs w:val="15"/>
                <w:b w:val="1"/>
                <w:bCs w:val="1"/>
                <w:color w:val="FFFFFF"/>
                <w:w w:val="92"/>
              </w:rPr>
              <w:t>Voluntary</w:t>
            </w:r>
          </w:p>
        </w:tc>
        <w:tc>
          <w:tcPr>
            <w:tcW w:w="1100" w:type="dxa"/>
            <w:vAlign w:val="bottom"/>
            <w:gridSpan w:val="2"/>
            <w:shd w:val="clear" w:color="auto" w:fill="333333"/>
          </w:tcPr>
          <w:p>
            <w:pPr>
              <w:jc w:val="center"/>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380" w:type="dxa"/>
            <w:vAlign w:val="bottom"/>
            <w:shd w:val="clear" w:color="auto" w:fill="333333"/>
          </w:tcPr>
          <w:p>
            <w:pPr>
              <w:spacing w:after="0"/>
              <w:rPr>
                <w:sz w:val="13"/>
                <w:szCs w:val="13"/>
                <w:color w:val="auto"/>
              </w:rPr>
            </w:pPr>
          </w:p>
        </w:tc>
        <w:tc>
          <w:tcPr>
            <w:tcW w:w="820" w:type="dxa"/>
            <w:vAlign w:val="bottom"/>
            <w:shd w:val="clear" w:color="auto" w:fill="333333"/>
          </w:tcPr>
          <w:p>
            <w:pPr>
              <w:spacing w:after="0"/>
              <w:rPr>
                <w:sz w:val="13"/>
                <w:szCs w:val="13"/>
                <w:color w:val="auto"/>
              </w:rPr>
            </w:pPr>
          </w:p>
        </w:tc>
        <w:tc>
          <w:tcPr>
            <w:tcW w:w="220" w:type="dxa"/>
            <w:vAlign w:val="bottom"/>
            <w:shd w:val="clear" w:color="auto" w:fill="333333"/>
          </w:tcPr>
          <w:p>
            <w:pPr>
              <w:spacing w:after="0"/>
              <w:rPr>
                <w:sz w:val="13"/>
                <w:szCs w:val="13"/>
                <w:color w:val="auto"/>
              </w:rPr>
            </w:pPr>
          </w:p>
        </w:tc>
        <w:tc>
          <w:tcPr>
            <w:tcW w:w="88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5"/>
              </w:rPr>
              <w:t>Death &amp;</w:t>
            </w:r>
          </w:p>
        </w:tc>
        <w:tc>
          <w:tcPr>
            <w:tcW w:w="200" w:type="dxa"/>
            <w:vAlign w:val="bottom"/>
            <w:shd w:val="clear" w:color="auto" w:fill="333333"/>
          </w:tcPr>
          <w:p>
            <w:pPr>
              <w:spacing w:after="0"/>
              <w:rPr>
                <w:sz w:val="13"/>
                <w:szCs w:val="13"/>
                <w:color w:val="auto"/>
              </w:rPr>
            </w:pPr>
          </w:p>
        </w:tc>
        <w:tc>
          <w:tcPr>
            <w:tcW w:w="1020" w:type="dxa"/>
            <w:vAlign w:val="bottom"/>
            <w:shd w:val="clear" w:color="auto" w:fill="333333"/>
          </w:tcPr>
          <w:p>
            <w:pPr>
              <w:jc w:val="center"/>
              <w:ind w:right="120"/>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220" w:type="dxa"/>
            <w:vAlign w:val="bottom"/>
            <w:shd w:val="clear" w:color="auto" w:fill="333333"/>
          </w:tcPr>
          <w:p>
            <w:pPr>
              <w:spacing w:after="0"/>
              <w:rPr>
                <w:sz w:val="13"/>
                <w:szCs w:val="13"/>
                <w:color w:val="auto"/>
              </w:rPr>
            </w:pPr>
          </w:p>
        </w:tc>
        <w:tc>
          <w:tcPr>
            <w:tcW w:w="100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0"/>
              </w:rPr>
              <w:t>Change in</w:t>
            </w:r>
          </w:p>
        </w:tc>
      </w:tr>
      <w:tr>
        <w:trPr>
          <w:trHeight w:val="193"/>
        </w:trPr>
        <w:tc>
          <w:tcPr>
            <w:tcW w:w="2940" w:type="dxa"/>
            <w:vAlign w:val="bottom"/>
            <w:shd w:val="clear" w:color="auto" w:fill="333333"/>
          </w:tcPr>
          <w:p>
            <w:pPr>
              <w:spacing w:after="0"/>
              <w:rPr>
                <w:sz w:val="16"/>
                <w:szCs w:val="16"/>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88"/>
              </w:rPr>
              <w:t>resignation</w:t>
            </w:r>
          </w:p>
        </w:tc>
        <w:tc>
          <w:tcPr>
            <w:tcW w:w="900" w:type="dxa"/>
            <w:vAlign w:val="bottom"/>
            <w:shd w:val="clear" w:color="auto" w:fill="333333"/>
          </w:tcPr>
          <w:p>
            <w:pPr>
              <w:jc w:val="center"/>
              <w:ind w:left="140"/>
              <w:spacing w:after="0"/>
              <w:rPr>
                <w:sz w:val="20"/>
                <w:szCs w:val="20"/>
                <w:color w:val="auto"/>
              </w:rPr>
            </w:pPr>
            <w:r>
              <w:rPr>
                <w:rFonts w:ascii="Arial" w:cs="Arial" w:eastAsia="Arial" w:hAnsi="Arial"/>
                <w:sz w:val="15"/>
                <w:szCs w:val="15"/>
                <w:b w:val="1"/>
                <w:bCs w:val="1"/>
                <w:color w:val="FFFFFF"/>
                <w:w w:val="88"/>
              </w:rPr>
              <w:t>with cause</w:t>
            </w:r>
          </w:p>
        </w:tc>
        <w:tc>
          <w:tcPr>
            <w:tcW w:w="200" w:type="dxa"/>
            <w:vAlign w:val="bottom"/>
            <w:shd w:val="clear" w:color="auto" w:fill="333333"/>
          </w:tcPr>
          <w:p>
            <w:pPr>
              <w:spacing w:after="0"/>
              <w:rPr>
                <w:sz w:val="16"/>
                <w:szCs w:val="16"/>
                <w:color w:val="auto"/>
              </w:rPr>
            </w:pPr>
          </w:p>
        </w:tc>
        <w:tc>
          <w:tcPr>
            <w:tcW w:w="1200" w:type="dxa"/>
            <w:vAlign w:val="bottom"/>
            <w:gridSpan w:val="2"/>
            <w:shd w:val="clear" w:color="auto" w:fill="333333"/>
          </w:tcPr>
          <w:p>
            <w:pPr>
              <w:jc w:val="right"/>
              <w:ind w:right="7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220" w:type="dxa"/>
            <w:vAlign w:val="bottom"/>
            <w:shd w:val="clear" w:color="auto" w:fill="333333"/>
          </w:tcPr>
          <w:p>
            <w:pPr>
              <w:spacing w:after="0"/>
              <w:rPr>
                <w:sz w:val="16"/>
                <w:szCs w:val="16"/>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disability</w:t>
            </w:r>
          </w:p>
        </w:tc>
        <w:tc>
          <w:tcPr>
            <w:tcW w:w="122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89"/>
              </w:rPr>
              <w:t>without cause</w:t>
            </w:r>
          </w:p>
        </w:tc>
        <w:tc>
          <w:tcPr>
            <w:tcW w:w="220" w:type="dxa"/>
            <w:vAlign w:val="bottom"/>
            <w:shd w:val="clear" w:color="auto" w:fill="333333"/>
          </w:tcPr>
          <w:p>
            <w:pPr>
              <w:spacing w:after="0"/>
              <w:rPr>
                <w:sz w:val="16"/>
                <w:szCs w:val="16"/>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960,000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1,185,000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863,888</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995,376</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1,118,582</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51,000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42,500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50,000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170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90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10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rPr>
                <w:sz w:val="20"/>
                <w:szCs w:val="20"/>
                <w:color w:val="auto"/>
              </w:rPr>
            </w:pPr>
            <w:r>
              <w:rPr>
                <w:rFonts w:ascii="Arial" w:cs="Arial" w:eastAsia="Arial" w:hAnsi="Arial"/>
                <w:sz w:val="16"/>
                <w:szCs w:val="16"/>
                <w:color w:val="auto"/>
              </w:rPr>
              <w:t>Total</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863,888</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1,997,876</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2,404,582</w:t>
            </w:r>
          </w:p>
        </w:tc>
      </w:tr>
      <w:tr>
        <w:trPr>
          <w:trHeight w:val="202"/>
        </w:trPr>
        <w:tc>
          <w:tcPr>
            <w:tcW w:w="2940" w:type="dxa"/>
            <w:vAlign w:val="bottom"/>
            <w:shd w:val="clear" w:color="auto" w:fill="999999"/>
          </w:tcPr>
          <w:p>
            <w:pPr>
              <w:spacing w:after="0"/>
              <w:rPr>
                <w:sz w:val="17"/>
                <w:szCs w:val="17"/>
                <w:color w:val="auto"/>
              </w:rPr>
            </w:pPr>
          </w:p>
        </w:tc>
        <w:tc>
          <w:tcPr>
            <w:tcW w:w="1700" w:type="dxa"/>
            <w:vAlign w:val="bottom"/>
            <w:shd w:val="clear" w:color="auto" w:fill="999999"/>
          </w:tcPr>
          <w:p>
            <w:pPr>
              <w:spacing w:after="0"/>
              <w:rPr>
                <w:sz w:val="17"/>
                <w:szCs w:val="17"/>
                <w:color w:val="auto"/>
              </w:rPr>
            </w:pPr>
          </w:p>
        </w:tc>
        <w:tc>
          <w:tcPr>
            <w:tcW w:w="1440" w:type="dxa"/>
            <w:vAlign w:val="bottom"/>
            <w:gridSpan w:val="2"/>
            <w:shd w:val="clear" w:color="auto" w:fill="999999"/>
          </w:tcPr>
          <w:p>
            <w:pPr>
              <w:ind w:left="360"/>
              <w:spacing w:after="0"/>
              <w:rPr>
                <w:sz w:val="20"/>
                <w:szCs w:val="20"/>
                <w:color w:val="auto"/>
              </w:rPr>
            </w:pPr>
            <w:r>
              <w:rPr>
                <w:rFonts w:ascii="Arial" w:cs="Arial" w:eastAsia="Arial" w:hAnsi="Arial"/>
                <w:sz w:val="16"/>
                <w:szCs w:val="16"/>
                <w:b w:val="1"/>
                <w:bCs w:val="1"/>
                <w:color w:val="FFFFFF"/>
              </w:rPr>
              <w:t>Mr. Raketich</w:t>
            </w:r>
          </w:p>
        </w:tc>
        <w:tc>
          <w:tcPr>
            <w:tcW w:w="200" w:type="dxa"/>
            <w:vAlign w:val="bottom"/>
            <w:shd w:val="clear" w:color="auto" w:fill="999999"/>
          </w:tcPr>
          <w:p>
            <w:pPr>
              <w:spacing w:after="0"/>
              <w:rPr>
                <w:sz w:val="17"/>
                <w:szCs w:val="17"/>
                <w:color w:val="auto"/>
              </w:rPr>
            </w:pPr>
          </w:p>
        </w:tc>
        <w:tc>
          <w:tcPr>
            <w:tcW w:w="380" w:type="dxa"/>
            <w:vAlign w:val="bottom"/>
            <w:shd w:val="clear" w:color="auto" w:fill="999999"/>
          </w:tcPr>
          <w:p>
            <w:pPr>
              <w:spacing w:after="0"/>
              <w:rPr>
                <w:sz w:val="17"/>
                <w:szCs w:val="17"/>
                <w:color w:val="auto"/>
              </w:rPr>
            </w:pPr>
          </w:p>
        </w:tc>
        <w:tc>
          <w:tcPr>
            <w:tcW w:w="8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880" w:type="dxa"/>
            <w:vAlign w:val="bottom"/>
            <w:shd w:val="clear" w:color="auto" w:fill="999999"/>
          </w:tcPr>
          <w:p>
            <w:pPr>
              <w:spacing w:after="0"/>
              <w:rPr>
                <w:sz w:val="17"/>
                <w:szCs w:val="17"/>
                <w:color w:val="auto"/>
              </w:rPr>
            </w:pPr>
          </w:p>
        </w:tc>
        <w:tc>
          <w:tcPr>
            <w:tcW w:w="200" w:type="dxa"/>
            <w:vAlign w:val="bottom"/>
            <w:shd w:val="clear" w:color="auto" w:fill="999999"/>
          </w:tcPr>
          <w:p>
            <w:pPr>
              <w:spacing w:after="0"/>
              <w:rPr>
                <w:sz w:val="17"/>
                <w:szCs w:val="17"/>
                <w:color w:val="auto"/>
              </w:rPr>
            </w:pPr>
          </w:p>
        </w:tc>
        <w:tc>
          <w:tcPr>
            <w:tcW w:w="10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1000" w:type="dxa"/>
            <w:vAlign w:val="bottom"/>
            <w:shd w:val="clear" w:color="auto" w:fill="999999"/>
          </w:tcPr>
          <w:p>
            <w:pPr>
              <w:spacing w:after="0"/>
              <w:rPr>
                <w:sz w:val="17"/>
                <w:szCs w:val="17"/>
                <w:color w:val="auto"/>
              </w:rPr>
            </w:pPr>
          </w:p>
        </w:tc>
      </w:tr>
      <w:tr>
        <w:trPr>
          <w:trHeight w:val="158"/>
        </w:trPr>
        <w:tc>
          <w:tcPr>
            <w:tcW w:w="2940" w:type="dxa"/>
            <w:vAlign w:val="bottom"/>
            <w:shd w:val="clear" w:color="auto" w:fill="333333"/>
          </w:tcPr>
          <w:p>
            <w:pPr>
              <w:spacing w:after="0"/>
              <w:rPr>
                <w:sz w:val="13"/>
                <w:szCs w:val="13"/>
                <w:color w:val="auto"/>
              </w:rPr>
            </w:pPr>
          </w:p>
        </w:tc>
        <w:tc>
          <w:tcPr>
            <w:tcW w:w="2240" w:type="dxa"/>
            <w:vAlign w:val="bottom"/>
            <w:gridSpan w:val="2"/>
            <w:shd w:val="clear" w:color="auto" w:fill="333333"/>
          </w:tcPr>
          <w:p>
            <w:pPr>
              <w:jc w:val="center"/>
              <w:ind w:left="1160"/>
              <w:spacing w:after="0" w:line="159" w:lineRule="exact"/>
              <w:rPr>
                <w:sz w:val="20"/>
                <w:szCs w:val="20"/>
                <w:color w:val="auto"/>
              </w:rPr>
            </w:pPr>
            <w:r>
              <w:rPr>
                <w:rFonts w:ascii="Arial" w:cs="Arial" w:eastAsia="Arial" w:hAnsi="Arial"/>
                <w:sz w:val="15"/>
                <w:szCs w:val="15"/>
                <w:b w:val="1"/>
                <w:bCs w:val="1"/>
                <w:color w:val="FFFFFF"/>
                <w:w w:val="92"/>
              </w:rPr>
              <w:t>Voluntary</w:t>
            </w:r>
          </w:p>
        </w:tc>
        <w:tc>
          <w:tcPr>
            <w:tcW w:w="1100" w:type="dxa"/>
            <w:vAlign w:val="bottom"/>
            <w:gridSpan w:val="2"/>
            <w:shd w:val="clear" w:color="auto" w:fill="333333"/>
          </w:tcPr>
          <w:p>
            <w:pPr>
              <w:jc w:val="center"/>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380" w:type="dxa"/>
            <w:vAlign w:val="bottom"/>
            <w:shd w:val="clear" w:color="auto" w:fill="333333"/>
          </w:tcPr>
          <w:p>
            <w:pPr>
              <w:spacing w:after="0"/>
              <w:rPr>
                <w:sz w:val="13"/>
                <w:szCs w:val="13"/>
                <w:color w:val="auto"/>
              </w:rPr>
            </w:pPr>
          </w:p>
        </w:tc>
        <w:tc>
          <w:tcPr>
            <w:tcW w:w="820" w:type="dxa"/>
            <w:vAlign w:val="bottom"/>
            <w:shd w:val="clear" w:color="auto" w:fill="333333"/>
          </w:tcPr>
          <w:p>
            <w:pPr>
              <w:spacing w:after="0"/>
              <w:rPr>
                <w:sz w:val="13"/>
                <w:szCs w:val="13"/>
                <w:color w:val="auto"/>
              </w:rPr>
            </w:pPr>
          </w:p>
        </w:tc>
        <w:tc>
          <w:tcPr>
            <w:tcW w:w="220" w:type="dxa"/>
            <w:vAlign w:val="bottom"/>
            <w:shd w:val="clear" w:color="auto" w:fill="333333"/>
          </w:tcPr>
          <w:p>
            <w:pPr>
              <w:spacing w:after="0"/>
              <w:rPr>
                <w:sz w:val="13"/>
                <w:szCs w:val="13"/>
                <w:color w:val="auto"/>
              </w:rPr>
            </w:pPr>
          </w:p>
        </w:tc>
        <w:tc>
          <w:tcPr>
            <w:tcW w:w="88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5"/>
              </w:rPr>
              <w:t>Death &amp;</w:t>
            </w:r>
          </w:p>
        </w:tc>
        <w:tc>
          <w:tcPr>
            <w:tcW w:w="200" w:type="dxa"/>
            <w:vAlign w:val="bottom"/>
            <w:shd w:val="clear" w:color="auto" w:fill="333333"/>
          </w:tcPr>
          <w:p>
            <w:pPr>
              <w:spacing w:after="0"/>
              <w:rPr>
                <w:sz w:val="13"/>
                <w:szCs w:val="13"/>
                <w:color w:val="auto"/>
              </w:rPr>
            </w:pPr>
          </w:p>
        </w:tc>
        <w:tc>
          <w:tcPr>
            <w:tcW w:w="1020" w:type="dxa"/>
            <w:vAlign w:val="bottom"/>
            <w:shd w:val="clear" w:color="auto" w:fill="333333"/>
          </w:tcPr>
          <w:p>
            <w:pPr>
              <w:jc w:val="center"/>
              <w:ind w:right="120"/>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220" w:type="dxa"/>
            <w:vAlign w:val="bottom"/>
            <w:shd w:val="clear" w:color="auto" w:fill="333333"/>
          </w:tcPr>
          <w:p>
            <w:pPr>
              <w:spacing w:after="0"/>
              <w:rPr>
                <w:sz w:val="13"/>
                <w:szCs w:val="13"/>
                <w:color w:val="auto"/>
              </w:rPr>
            </w:pPr>
          </w:p>
        </w:tc>
        <w:tc>
          <w:tcPr>
            <w:tcW w:w="100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0"/>
              </w:rPr>
              <w:t>Change in</w:t>
            </w:r>
          </w:p>
        </w:tc>
      </w:tr>
      <w:tr>
        <w:trPr>
          <w:trHeight w:val="193"/>
        </w:trPr>
        <w:tc>
          <w:tcPr>
            <w:tcW w:w="2940" w:type="dxa"/>
            <w:vAlign w:val="bottom"/>
            <w:shd w:val="clear" w:color="auto" w:fill="333333"/>
          </w:tcPr>
          <w:p>
            <w:pPr>
              <w:spacing w:after="0"/>
              <w:rPr>
                <w:sz w:val="16"/>
                <w:szCs w:val="16"/>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88"/>
              </w:rPr>
              <w:t>resignation</w:t>
            </w:r>
          </w:p>
        </w:tc>
        <w:tc>
          <w:tcPr>
            <w:tcW w:w="900" w:type="dxa"/>
            <w:vAlign w:val="bottom"/>
            <w:shd w:val="clear" w:color="auto" w:fill="333333"/>
          </w:tcPr>
          <w:p>
            <w:pPr>
              <w:jc w:val="center"/>
              <w:ind w:left="140"/>
              <w:spacing w:after="0"/>
              <w:rPr>
                <w:sz w:val="20"/>
                <w:szCs w:val="20"/>
                <w:color w:val="auto"/>
              </w:rPr>
            </w:pPr>
            <w:r>
              <w:rPr>
                <w:rFonts w:ascii="Arial" w:cs="Arial" w:eastAsia="Arial" w:hAnsi="Arial"/>
                <w:sz w:val="15"/>
                <w:szCs w:val="15"/>
                <w:b w:val="1"/>
                <w:bCs w:val="1"/>
                <w:color w:val="FFFFFF"/>
                <w:w w:val="88"/>
              </w:rPr>
              <w:t>with cause</w:t>
            </w:r>
          </w:p>
        </w:tc>
        <w:tc>
          <w:tcPr>
            <w:tcW w:w="200" w:type="dxa"/>
            <w:vAlign w:val="bottom"/>
            <w:shd w:val="clear" w:color="auto" w:fill="333333"/>
          </w:tcPr>
          <w:p>
            <w:pPr>
              <w:spacing w:after="0"/>
              <w:rPr>
                <w:sz w:val="16"/>
                <w:szCs w:val="16"/>
                <w:color w:val="auto"/>
              </w:rPr>
            </w:pPr>
          </w:p>
        </w:tc>
        <w:tc>
          <w:tcPr>
            <w:tcW w:w="1200" w:type="dxa"/>
            <w:vAlign w:val="bottom"/>
            <w:gridSpan w:val="2"/>
            <w:shd w:val="clear" w:color="auto" w:fill="333333"/>
          </w:tcPr>
          <w:p>
            <w:pPr>
              <w:jc w:val="right"/>
              <w:ind w:right="7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220" w:type="dxa"/>
            <w:vAlign w:val="bottom"/>
            <w:shd w:val="clear" w:color="auto" w:fill="333333"/>
          </w:tcPr>
          <w:p>
            <w:pPr>
              <w:spacing w:after="0"/>
              <w:rPr>
                <w:sz w:val="16"/>
                <w:szCs w:val="16"/>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disability</w:t>
            </w:r>
          </w:p>
        </w:tc>
        <w:tc>
          <w:tcPr>
            <w:tcW w:w="122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89"/>
              </w:rPr>
              <w:t>without cause</w:t>
            </w:r>
          </w:p>
        </w:tc>
        <w:tc>
          <w:tcPr>
            <w:tcW w:w="220" w:type="dxa"/>
            <w:vAlign w:val="bottom"/>
            <w:shd w:val="clear" w:color="auto" w:fill="333333"/>
          </w:tcPr>
          <w:p>
            <w:pPr>
              <w:spacing w:after="0"/>
              <w:rPr>
                <w:sz w:val="16"/>
                <w:szCs w:val="16"/>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944,124</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1,169,124</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1,133,445</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1,244,265</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1,315,215</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171,000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60,000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42,500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50,000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170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90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10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rPr>
                <w:sz w:val="20"/>
                <w:szCs w:val="20"/>
                <w:color w:val="auto"/>
              </w:rPr>
            </w:pPr>
            <w:r>
              <w:rPr>
                <w:rFonts w:ascii="Arial" w:cs="Arial" w:eastAsia="Arial" w:hAnsi="Arial"/>
                <w:sz w:val="16"/>
                <w:szCs w:val="16"/>
                <w:color w:val="auto"/>
              </w:rPr>
              <w:t>Total</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tcPr>
          <w:p>
            <w:pPr>
              <w:jc w:val="right"/>
              <w:ind w:right="39"/>
              <w:spacing w:after="0"/>
              <w:rPr>
                <w:sz w:val="20"/>
                <w:szCs w:val="20"/>
                <w:color w:val="auto"/>
              </w:rPr>
            </w:pPr>
            <w:r>
              <w:rPr>
                <w:rFonts w:ascii="Arial" w:cs="Arial" w:eastAsia="Arial" w:hAnsi="Arial"/>
                <w:sz w:val="16"/>
                <w:szCs w:val="16"/>
                <w:color w:val="auto"/>
              </w:rPr>
              <w:t>171,000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1,133,445</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2,230,889</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2,594,339</w:t>
            </w:r>
          </w:p>
        </w:tc>
      </w:tr>
      <w:tr>
        <w:trPr>
          <w:trHeight w:val="203"/>
        </w:trPr>
        <w:tc>
          <w:tcPr>
            <w:tcW w:w="2940" w:type="dxa"/>
            <w:vAlign w:val="bottom"/>
            <w:shd w:val="clear" w:color="auto" w:fill="999999"/>
          </w:tcPr>
          <w:p>
            <w:pPr>
              <w:spacing w:after="0"/>
              <w:rPr>
                <w:sz w:val="17"/>
                <w:szCs w:val="17"/>
                <w:color w:val="auto"/>
              </w:rPr>
            </w:pPr>
          </w:p>
        </w:tc>
        <w:tc>
          <w:tcPr>
            <w:tcW w:w="1700" w:type="dxa"/>
            <w:vAlign w:val="bottom"/>
            <w:shd w:val="clear" w:color="auto" w:fill="999999"/>
          </w:tcPr>
          <w:p>
            <w:pPr>
              <w:spacing w:after="0"/>
              <w:rPr>
                <w:sz w:val="17"/>
                <w:szCs w:val="17"/>
                <w:color w:val="auto"/>
              </w:rPr>
            </w:pPr>
          </w:p>
        </w:tc>
        <w:tc>
          <w:tcPr>
            <w:tcW w:w="1440" w:type="dxa"/>
            <w:vAlign w:val="bottom"/>
            <w:gridSpan w:val="2"/>
            <w:shd w:val="clear" w:color="auto" w:fill="999999"/>
          </w:tcPr>
          <w:p>
            <w:pPr>
              <w:ind w:left="360"/>
              <w:spacing w:after="0" w:line="202" w:lineRule="exact"/>
              <w:rPr>
                <w:sz w:val="20"/>
                <w:szCs w:val="20"/>
                <w:color w:val="auto"/>
              </w:rPr>
            </w:pPr>
            <w:r>
              <w:rPr>
                <w:rFonts w:ascii="Arial" w:cs="Arial" w:eastAsia="Arial" w:hAnsi="Arial"/>
                <w:sz w:val="14"/>
                <w:szCs w:val="14"/>
                <w:b w:val="1"/>
                <w:bCs w:val="1"/>
                <w:color w:val="FFFFFF"/>
              </w:rPr>
              <w:t>Mr. Bryan</w:t>
            </w:r>
            <w:r>
              <w:rPr>
                <w:rFonts w:ascii="Arial" w:cs="Arial" w:eastAsia="Arial" w:hAnsi="Arial"/>
                <w:sz w:val="23"/>
                <w:szCs w:val="23"/>
                <w:b w:val="1"/>
                <w:bCs w:val="1"/>
                <w:color w:val="FFFFFF"/>
                <w:vertAlign w:val="superscript"/>
              </w:rPr>
              <w:t>(7)</w:t>
            </w:r>
          </w:p>
        </w:tc>
        <w:tc>
          <w:tcPr>
            <w:tcW w:w="200" w:type="dxa"/>
            <w:vAlign w:val="bottom"/>
            <w:shd w:val="clear" w:color="auto" w:fill="999999"/>
          </w:tcPr>
          <w:p>
            <w:pPr>
              <w:spacing w:after="0"/>
              <w:rPr>
                <w:sz w:val="17"/>
                <w:szCs w:val="17"/>
                <w:color w:val="auto"/>
              </w:rPr>
            </w:pPr>
          </w:p>
        </w:tc>
        <w:tc>
          <w:tcPr>
            <w:tcW w:w="380" w:type="dxa"/>
            <w:vAlign w:val="bottom"/>
            <w:shd w:val="clear" w:color="auto" w:fill="999999"/>
          </w:tcPr>
          <w:p>
            <w:pPr>
              <w:spacing w:after="0"/>
              <w:rPr>
                <w:sz w:val="17"/>
                <w:szCs w:val="17"/>
                <w:color w:val="auto"/>
              </w:rPr>
            </w:pPr>
          </w:p>
        </w:tc>
        <w:tc>
          <w:tcPr>
            <w:tcW w:w="8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880" w:type="dxa"/>
            <w:vAlign w:val="bottom"/>
            <w:shd w:val="clear" w:color="auto" w:fill="999999"/>
          </w:tcPr>
          <w:p>
            <w:pPr>
              <w:spacing w:after="0"/>
              <w:rPr>
                <w:sz w:val="17"/>
                <w:szCs w:val="17"/>
                <w:color w:val="auto"/>
              </w:rPr>
            </w:pPr>
          </w:p>
        </w:tc>
        <w:tc>
          <w:tcPr>
            <w:tcW w:w="200" w:type="dxa"/>
            <w:vAlign w:val="bottom"/>
            <w:shd w:val="clear" w:color="auto" w:fill="999999"/>
          </w:tcPr>
          <w:p>
            <w:pPr>
              <w:spacing w:after="0"/>
              <w:rPr>
                <w:sz w:val="17"/>
                <w:szCs w:val="17"/>
                <w:color w:val="auto"/>
              </w:rPr>
            </w:pPr>
          </w:p>
        </w:tc>
        <w:tc>
          <w:tcPr>
            <w:tcW w:w="1020" w:type="dxa"/>
            <w:vAlign w:val="bottom"/>
            <w:shd w:val="clear" w:color="auto" w:fill="999999"/>
          </w:tcPr>
          <w:p>
            <w:pPr>
              <w:spacing w:after="0"/>
              <w:rPr>
                <w:sz w:val="17"/>
                <w:szCs w:val="17"/>
                <w:color w:val="auto"/>
              </w:rPr>
            </w:pPr>
          </w:p>
        </w:tc>
        <w:tc>
          <w:tcPr>
            <w:tcW w:w="220" w:type="dxa"/>
            <w:vAlign w:val="bottom"/>
            <w:shd w:val="clear" w:color="auto" w:fill="999999"/>
          </w:tcPr>
          <w:p>
            <w:pPr>
              <w:spacing w:after="0"/>
              <w:rPr>
                <w:sz w:val="17"/>
                <w:szCs w:val="17"/>
                <w:color w:val="auto"/>
              </w:rPr>
            </w:pPr>
          </w:p>
        </w:tc>
        <w:tc>
          <w:tcPr>
            <w:tcW w:w="1000" w:type="dxa"/>
            <w:vAlign w:val="bottom"/>
            <w:shd w:val="clear" w:color="auto" w:fill="999999"/>
          </w:tcPr>
          <w:p>
            <w:pPr>
              <w:spacing w:after="0"/>
              <w:rPr>
                <w:sz w:val="17"/>
                <w:szCs w:val="17"/>
                <w:color w:val="auto"/>
              </w:rPr>
            </w:pPr>
          </w:p>
        </w:tc>
      </w:tr>
      <w:tr>
        <w:trPr>
          <w:trHeight w:val="158"/>
        </w:trPr>
        <w:tc>
          <w:tcPr>
            <w:tcW w:w="2940" w:type="dxa"/>
            <w:vAlign w:val="bottom"/>
            <w:shd w:val="clear" w:color="auto" w:fill="333333"/>
          </w:tcPr>
          <w:p>
            <w:pPr>
              <w:spacing w:after="0"/>
              <w:rPr>
                <w:sz w:val="13"/>
                <w:szCs w:val="13"/>
                <w:color w:val="auto"/>
              </w:rPr>
            </w:pPr>
          </w:p>
        </w:tc>
        <w:tc>
          <w:tcPr>
            <w:tcW w:w="2240" w:type="dxa"/>
            <w:vAlign w:val="bottom"/>
            <w:gridSpan w:val="2"/>
            <w:shd w:val="clear" w:color="auto" w:fill="333333"/>
          </w:tcPr>
          <w:p>
            <w:pPr>
              <w:jc w:val="center"/>
              <w:ind w:left="1160"/>
              <w:spacing w:after="0" w:line="159" w:lineRule="exact"/>
              <w:rPr>
                <w:sz w:val="20"/>
                <w:szCs w:val="20"/>
                <w:color w:val="auto"/>
              </w:rPr>
            </w:pPr>
            <w:r>
              <w:rPr>
                <w:rFonts w:ascii="Arial" w:cs="Arial" w:eastAsia="Arial" w:hAnsi="Arial"/>
                <w:sz w:val="15"/>
                <w:szCs w:val="15"/>
                <w:b w:val="1"/>
                <w:bCs w:val="1"/>
                <w:color w:val="FFFFFF"/>
                <w:w w:val="92"/>
              </w:rPr>
              <w:t>Voluntary</w:t>
            </w:r>
          </w:p>
        </w:tc>
        <w:tc>
          <w:tcPr>
            <w:tcW w:w="1100" w:type="dxa"/>
            <w:vAlign w:val="bottom"/>
            <w:gridSpan w:val="2"/>
            <w:shd w:val="clear" w:color="auto" w:fill="333333"/>
          </w:tcPr>
          <w:p>
            <w:pPr>
              <w:jc w:val="center"/>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380" w:type="dxa"/>
            <w:vAlign w:val="bottom"/>
            <w:shd w:val="clear" w:color="auto" w:fill="333333"/>
          </w:tcPr>
          <w:p>
            <w:pPr>
              <w:spacing w:after="0"/>
              <w:rPr>
                <w:sz w:val="13"/>
                <w:szCs w:val="13"/>
                <w:color w:val="auto"/>
              </w:rPr>
            </w:pPr>
          </w:p>
        </w:tc>
        <w:tc>
          <w:tcPr>
            <w:tcW w:w="820" w:type="dxa"/>
            <w:vAlign w:val="bottom"/>
            <w:shd w:val="clear" w:color="auto" w:fill="333333"/>
          </w:tcPr>
          <w:p>
            <w:pPr>
              <w:spacing w:after="0"/>
              <w:rPr>
                <w:sz w:val="13"/>
                <w:szCs w:val="13"/>
                <w:color w:val="auto"/>
              </w:rPr>
            </w:pPr>
          </w:p>
        </w:tc>
        <w:tc>
          <w:tcPr>
            <w:tcW w:w="220" w:type="dxa"/>
            <w:vAlign w:val="bottom"/>
            <w:shd w:val="clear" w:color="auto" w:fill="333333"/>
          </w:tcPr>
          <w:p>
            <w:pPr>
              <w:spacing w:after="0"/>
              <w:rPr>
                <w:sz w:val="13"/>
                <w:szCs w:val="13"/>
                <w:color w:val="auto"/>
              </w:rPr>
            </w:pPr>
          </w:p>
        </w:tc>
        <w:tc>
          <w:tcPr>
            <w:tcW w:w="88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5"/>
              </w:rPr>
              <w:t>Death &amp;</w:t>
            </w:r>
          </w:p>
        </w:tc>
        <w:tc>
          <w:tcPr>
            <w:tcW w:w="200" w:type="dxa"/>
            <w:vAlign w:val="bottom"/>
            <w:shd w:val="clear" w:color="auto" w:fill="333333"/>
          </w:tcPr>
          <w:p>
            <w:pPr>
              <w:spacing w:after="0"/>
              <w:rPr>
                <w:sz w:val="13"/>
                <w:szCs w:val="13"/>
                <w:color w:val="auto"/>
              </w:rPr>
            </w:pPr>
          </w:p>
        </w:tc>
        <w:tc>
          <w:tcPr>
            <w:tcW w:w="1020" w:type="dxa"/>
            <w:vAlign w:val="bottom"/>
            <w:shd w:val="clear" w:color="auto" w:fill="333333"/>
          </w:tcPr>
          <w:p>
            <w:pPr>
              <w:jc w:val="center"/>
              <w:ind w:right="120"/>
              <w:spacing w:after="0" w:line="159" w:lineRule="exact"/>
              <w:rPr>
                <w:sz w:val="20"/>
                <w:szCs w:val="20"/>
                <w:color w:val="auto"/>
              </w:rPr>
            </w:pPr>
            <w:r>
              <w:rPr>
                <w:rFonts w:ascii="Arial" w:cs="Arial" w:eastAsia="Arial" w:hAnsi="Arial"/>
                <w:sz w:val="15"/>
                <w:szCs w:val="15"/>
                <w:b w:val="1"/>
                <w:bCs w:val="1"/>
                <w:color w:val="FFFFFF"/>
                <w:w w:val="95"/>
              </w:rPr>
              <w:t>Termination</w:t>
            </w:r>
          </w:p>
        </w:tc>
        <w:tc>
          <w:tcPr>
            <w:tcW w:w="220" w:type="dxa"/>
            <w:vAlign w:val="bottom"/>
            <w:shd w:val="clear" w:color="auto" w:fill="333333"/>
          </w:tcPr>
          <w:p>
            <w:pPr>
              <w:spacing w:after="0"/>
              <w:rPr>
                <w:sz w:val="13"/>
                <w:szCs w:val="13"/>
                <w:color w:val="auto"/>
              </w:rPr>
            </w:pPr>
          </w:p>
        </w:tc>
        <w:tc>
          <w:tcPr>
            <w:tcW w:w="1000" w:type="dxa"/>
            <w:vAlign w:val="bottom"/>
            <w:shd w:val="clear" w:color="auto" w:fill="333333"/>
          </w:tcPr>
          <w:p>
            <w:pPr>
              <w:jc w:val="center"/>
              <w:ind w:right="140"/>
              <w:spacing w:after="0" w:line="159" w:lineRule="exact"/>
              <w:rPr>
                <w:sz w:val="20"/>
                <w:szCs w:val="20"/>
                <w:color w:val="auto"/>
              </w:rPr>
            </w:pPr>
            <w:r>
              <w:rPr>
                <w:rFonts w:ascii="Arial" w:cs="Arial" w:eastAsia="Arial" w:hAnsi="Arial"/>
                <w:sz w:val="15"/>
                <w:szCs w:val="15"/>
                <w:b w:val="1"/>
                <w:bCs w:val="1"/>
                <w:color w:val="FFFFFF"/>
                <w:w w:val="90"/>
              </w:rPr>
              <w:t>Change in</w:t>
            </w:r>
          </w:p>
        </w:tc>
      </w:tr>
      <w:tr>
        <w:trPr>
          <w:trHeight w:val="193"/>
        </w:trPr>
        <w:tc>
          <w:tcPr>
            <w:tcW w:w="2940" w:type="dxa"/>
            <w:vAlign w:val="bottom"/>
            <w:shd w:val="clear" w:color="auto" w:fill="333333"/>
          </w:tcPr>
          <w:p>
            <w:pPr>
              <w:spacing w:after="0"/>
              <w:rPr>
                <w:sz w:val="16"/>
                <w:szCs w:val="16"/>
                <w:color w:val="auto"/>
              </w:rPr>
            </w:pPr>
          </w:p>
        </w:tc>
        <w:tc>
          <w:tcPr>
            <w:tcW w:w="2240" w:type="dxa"/>
            <w:vAlign w:val="bottom"/>
            <w:gridSpan w:val="2"/>
            <w:shd w:val="clear" w:color="auto" w:fill="333333"/>
          </w:tcPr>
          <w:p>
            <w:pPr>
              <w:jc w:val="center"/>
              <w:ind w:left="1160"/>
              <w:spacing w:after="0"/>
              <w:rPr>
                <w:sz w:val="20"/>
                <w:szCs w:val="20"/>
                <w:color w:val="auto"/>
              </w:rPr>
            </w:pPr>
            <w:r>
              <w:rPr>
                <w:rFonts w:ascii="Arial" w:cs="Arial" w:eastAsia="Arial" w:hAnsi="Arial"/>
                <w:sz w:val="15"/>
                <w:szCs w:val="15"/>
                <w:b w:val="1"/>
                <w:bCs w:val="1"/>
                <w:color w:val="FFFFFF"/>
                <w:w w:val="88"/>
              </w:rPr>
              <w:t>resignation</w:t>
            </w:r>
          </w:p>
        </w:tc>
        <w:tc>
          <w:tcPr>
            <w:tcW w:w="900" w:type="dxa"/>
            <w:vAlign w:val="bottom"/>
            <w:shd w:val="clear" w:color="auto" w:fill="333333"/>
          </w:tcPr>
          <w:p>
            <w:pPr>
              <w:jc w:val="center"/>
              <w:ind w:left="140"/>
              <w:spacing w:after="0"/>
              <w:rPr>
                <w:sz w:val="20"/>
                <w:szCs w:val="20"/>
                <w:color w:val="auto"/>
              </w:rPr>
            </w:pPr>
            <w:r>
              <w:rPr>
                <w:rFonts w:ascii="Arial" w:cs="Arial" w:eastAsia="Arial" w:hAnsi="Arial"/>
                <w:sz w:val="15"/>
                <w:szCs w:val="15"/>
                <w:b w:val="1"/>
                <w:bCs w:val="1"/>
                <w:color w:val="FFFFFF"/>
                <w:w w:val="88"/>
              </w:rPr>
              <w:t>with cause</w:t>
            </w:r>
          </w:p>
        </w:tc>
        <w:tc>
          <w:tcPr>
            <w:tcW w:w="200" w:type="dxa"/>
            <w:vAlign w:val="bottom"/>
            <w:shd w:val="clear" w:color="auto" w:fill="333333"/>
          </w:tcPr>
          <w:p>
            <w:pPr>
              <w:spacing w:after="0"/>
              <w:rPr>
                <w:sz w:val="16"/>
                <w:szCs w:val="16"/>
                <w:color w:val="auto"/>
              </w:rPr>
            </w:pPr>
          </w:p>
        </w:tc>
        <w:tc>
          <w:tcPr>
            <w:tcW w:w="1200" w:type="dxa"/>
            <w:vAlign w:val="bottom"/>
            <w:gridSpan w:val="2"/>
            <w:shd w:val="clear" w:color="auto" w:fill="333333"/>
          </w:tcPr>
          <w:p>
            <w:pPr>
              <w:jc w:val="right"/>
              <w:ind w:right="7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220" w:type="dxa"/>
            <w:vAlign w:val="bottom"/>
            <w:shd w:val="clear" w:color="auto" w:fill="333333"/>
          </w:tcPr>
          <w:p>
            <w:pPr>
              <w:spacing w:after="0"/>
              <w:rPr>
                <w:sz w:val="16"/>
                <w:szCs w:val="16"/>
                <w:color w:val="auto"/>
              </w:rPr>
            </w:pPr>
          </w:p>
        </w:tc>
        <w:tc>
          <w:tcPr>
            <w:tcW w:w="88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5"/>
              </w:rPr>
              <w:t>disability</w:t>
            </w:r>
          </w:p>
        </w:tc>
        <w:tc>
          <w:tcPr>
            <w:tcW w:w="1220" w:type="dxa"/>
            <w:vAlign w:val="bottom"/>
            <w:gridSpan w:val="2"/>
            <w:shd w:val="clear" w:color="auto" w:fill="333333"/>
          </w:tcPr>
          <w:p>
            <w:pPr>
              <w:jc w:val="center"/>
              <w:spacing w:after="0"/>
              <w:rPr>
                <w:sz w:val="20"/>
                <w:szCs w:val="20"/>
                <w:color w:val="auto"/>
              </w:rPr>
            </w:pPr>
            <w:r>
              <w:rPr>
                <w:rFonts w:ascii="Arial" w:cs="Arial" w:eastAsia="Arial" w:hAnsi="Arial"/>
                <w:sz w:val="15"/>
                <w:szCs w:val="15"/>
                <w:b w:val="1"/>
                <w:bCs w:val="1"/>
                <w:color w:val="FFFFFF"/>
                <w:w w:val="89"/>
              </w:rPr>
              <w:t>without cause</w:t>
            </w:r>
          </w:p>
        </w:tc>
        <w:tc>
          <w:tcPr>
            <w:tcW w:w="220" w:type="dxa"/>
            <w:vAlign w:val="bottom"/>
            <w:shd w:val="clear" w:color="auto" w:fill="333333"/>
          </w:tcPr>
          <w:p>
            <w:pPr>
              <w:spacing w:after="0"/>
              <w:rPr>
                <w:sz w:val="16"/>
                <w:szCs w:val="16"/>
                <w:color w:val="auto"/>
              </w:rPr>
            </w:pPr>
          </w:p>
        </w:tc>
        <w:tc>
          <w:tcPr>
            <w:tcW w:w="1000" w:type="dxa"/>
            <w:vAlign w:val="bottom"/>
            <w:shd w:val="clear" w:color="auto" w:fill="333333"/>
          </w:tcPr>
          <w:p>
            <w:pPr>
              <w:jc w:val="center"/>
              <w:ind w:right="140"/>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767,093</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866,505</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170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shd w:val="clear" w:color="auto" w:fill="D8D8D8"/>
          </w:tcPr>
          <w:p>
            <w:pPr>
              <w:ind w:left="360"/>
              <w:spacing w:after="0"/>
              <w:rPr>
                <w:sz w:val="20"/>
                <w:szCs w:val="20"/>
                <w:color w:val="auto"/>
              </w:rPr>
            </w:pPr>
            <w:r>
              <w:rPr>
                <w:rFonts w:ascii="Arial" w:cs="Arial" w:eastAsia="Arial" w:hAnsi="Arial"/>
                <w:sz w:val="16"/>
                <w:szCs w:val="16"/>
                <w:color w:val="auto"/>
              </w:rPr>
              <w:t>0</w:t>
            </w:r>
          </w:p>
        </w:tc>
        <w:tc>
          <w:tcPr>
            <w:tcW w:w="900" w:type="dxa"/>
            <w:vAlign w:val="bottom"/>
            <w:shd w:val="clear" w:color="auto" w:fill="D8D8D8"/>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shd w:val="clear" w:color="auto" w:fill="D8D8D8"/>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42,500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0</w:t>
            </w:r>
          </w:p>
        </w:tc>
      </w:tr>
      <w:tr>
        <w:trPr>
          <w:trHeight w:val="203"/>
        </w:trPr>
        <w:tc>
          <w:tcPr>
            <w:tcW w:w="294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170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90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380" w:type="dxa"/>
            <w:vAlign w:val="bottom"/>
            <w:shd w:val="clear" w:color="auto" w:fill="D8D8D8"/>
          </w:tcPr>
          <w:p>
            <w:pPr>
              <w:spacing w:after="0"/>
              <w:rPr>
                <w:sz w:val="17"/>
                <w:szCs w:val="17"/>
                <w:color w:val="auto"/>
              </w:rPr>
            </w:pPr>
          </w:p>
        </w:tc>
        <w:tc>
          <w:tcPr>
            <w:tcW w:w="820" w:type="dxa"/>
            <w:vAlign w:val="bottom"/>
            <w:shd w:val="clear" w:color="auto" w:fill="D8D8D8"/>
          </w:tcPr>
          <w:p>
            <w:pPr>
              <w:spacing w:after="0"/>
              <w:rPr>
                <w:sz w:val="17"/>
                <w:szCs w:val="17"/>
                <w:color w:val="auto"/>
              </w:rPr>
            </w:pPr>
          </w:p>
        </w:tc>
        <w:tc>
          <w:tcPr>
            <w:tcW w:w="22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spacing w:after="0"/>
              <w:rPr>
                <w:sz w:val="17"/>
                <w:szCs w:val="17"/>
                <w:color w:val="auto"/>
              </w:rPr>
            </w:pPr>
          </w:p>
        </w:tc>
        <w:tc>
          <w:tcPr>
            <w:tcW w:w="1020" w:type="dxa"/>
            <w:vAlign w:val="bottom"/>
            <w:shd w:val="clear" w:color="auto" w:fill="D8D8D8"/>
          </w:tcPr>
          <w:p>
            <w:pPr>
              <w:spacing w:after="0"/>
              <w:rPr>
                <w:sz w:val="17"/>
                <w:szCs w:val="17"/>
                <w:color w:val="auto"/>
              </w:rPr>
            </w:pPr>
          </w:p>
        </w:tc>
        <w:tc>
          <w:tcPr>
            <w:tcW w:w="22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0</w:t>
            </w:r>
          </w:p>
        </w:tc>
      </w:tr>
      <w:tr>
        <w:trPr>
          <w:trHeight w:val="206"/>
        </w:trPr>
        <w:tc>
          <w:tcPr>
            <w:tcW w:w="2940" w:type="dxa"/>
            <w:vAlign w:val="bottom"/>
          </w:tcPr>
          <w:p>
            <w:pPr>
              <w:ind w:left="160"/>
              <w:spacing w:after="0"/>
              <w:rPr>
                <w:sz w:val="20"/>
                <w:szCs w:val="20"/>
                <w:color w:val="auto"/>
              </w:rPr>
            </w:pPr>
            <w:r>
              <w:rPr>
                <w:rFonts w:ascii="Arial" w:cs="Arial" w:eastAsia="Arial" w:hAnsi="Arial"/>
                <w:sz w:val="16"/>
                <w:szCs w:val="16"/>
                <w:color w:val="auto"/>
              </w:rPr>
              <w:t>Total</w:t>
            </w:r>
          </w:p>
        </w:tc>
        <w:tc>
          <w:tcPr>
            <w:tcW w:w="170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540" w:type="dxa"/>
            <w:vAlign w:val="bottom"/>
          </w:tcPr>
          <w:p>
            <w:pPr>
              <w:ind w:left="360"/>
              <w:spacing w:after="0"/>
              <w:rPr>
                <w:sz w:val="20"/>
                <w:szCs w:val="20"/>
                <w:color w:val="auto"/>
              </w:rPr>
            </w:pPr>
            <w:r>
              <w:rPr>
                <w:rFonts w:ascii="Arial" w:cs="Arial" w:eastAsia="Arial" w:hAnsi="Arial"/>
                <w:sz w:val="16"/>
                <w:szCs w:val="16"/>
                <w:color w:val="auto"/>
              </w:rPr>
              <w:t>0</w:t>
            </w:r>
          </w:p>
        </w:tc>
        <w:tc>
          <w:tcPr>
            <w:tcW w:w="900" w:type="dxa"/>
            <w:vAlign w:val="bottom"/>
          </w:tcPr>
          <w:p>
            <w:pPr>
              <w:jc w:val="right"/>
              <w:ind w:right="64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0</w:t>
            </w:r>
          </w:p>
        </w:tc>
        <w:tc>
          <w:tcPr>
            <w:tcW w:w="380" w:type="dxa"/>
            <w:vAlign w:val="bottom"/>
          </w:tcPr>
          <w:p>
            <w:pPr>
              <w:jc w:val="right"/>
              <w:ind w:right="101"/>
              <w:spacing w:after="0"/>
              <w:rPr>
                <w:sz w:val="20"/>
                <w:szCs w:val="20"/>
                <w:color w:val="auto"/>
              </w:rPr>
            </w:pPr>
            <w:r>
              <w:rPr>
                <w:rFonts w:ascii="Arial" w:cs="Arial" w:eastAsia="Arial" w:hAnsi="Arial"/>
                <w:sz w:val="16"/>
                <w:szCs w:val="16"/>
                <w:color w:val="auto"/>
              </w:rPr>
              <w:t>$</w:t>
            </w:r>
          </w:p>
        </w:tc>
        <w:tc>
          <w:tcPr>
            <w:tcW w:w="82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1020" w:type="dxa"/>
            <w:vAlign w:val="bottom"/>
          </w:tcPr>
          <w:p>
            <w:pPr>
              <w:jc w:val="right"/>
              <w:ind w:right="40"/>
              <w:spacing w:after="0"/>
              <w:rPr>
                <w:sz w:val="20"/>
                <w:szCs w:val="20"/>
                <w:color w:val="auto"/>
              </w:rPr>
            </w:pPr>
            <w:r>
              <w:rPr>
                <w:rFonts w:ascii="Arial" w:cs="Arial" w:eastAsia="Arial" w:hAnsi="Arial"/>
                <w:sz w:val="16"/>
                <w:szCs w:val="16"/>
                <w:color w:val="auto"/>
              </w:rPr>
              <w:t>1,676,098</w:t>
            </w:r>
          </w:p>
        </w:tc>
        <w:tc>
          <w:tcPr>
            <w:tcW w:w="220" w:type="dxa"/>
            <w:vAlign w:val="bottom"/>
          </w:tcPr>
          <w:p>
            <w:pPr>
              <w:jc w:val="right"/>
              <w:spacing w:after="0"/>
              <w:rPr>
                <w:sz w:val="20"/>
                <w:szCs w:val="20"/>
                <w:color w:val="auto"/>
              </w:rPr>
            </w:pPr>
            <w:r>
              <w:rPr>
                <w:rFonts w:ascii="Arial" w:cs="Arial" w:eastAsia="Arial" w:hAnsi="Arial"/>
                <w:sz w:val="16"/>
                <w:szCs w:val="16"/>
                <w:color w:val="auto"/>
              </w:rPr>
              <w:t>$</w:t>
            </w:r>
          </w:p>
        </w:tc>
        <w:tc>
          <w:tcPr>
            <w:tcW w:w="1000" w:type="dxa"/>
            <w:vAlign w:val="bottom"/>
          </w:tcPr>
          <w:p>
            <w:pPr>
              <w:jc w:val="right"/>
              <w:ind w:right="40"/>
              <w:spacing w:after="0"/>
              <w:rPr>
                <w:sz w:val="20"/>
                <w:szCs w:val="20"/>
                <w:color w:val="auto"/>
              </w:rPr>
            </w:pPr>
            <w:r>
              <w:rPr>
                <w:rFonts w:ascii="Arial" w:cs="Arial" w:eastAsia="Arial" w:hAnsi="Arial"/>
                <w:sz w:val="16"/>
                <w:szCs w:val="16"/>
                <w:color w:val="auto"/>
              </w:rPr>
              <w:t>0</w:t>
            </w:r>
          </w:p>
        </w:tc>
      </w:tr>
      <w:tr>
        <w:trPr>
          <w:trHeight w:val="341"/>
        </w:trPr>
        <w:tc>
          <w:tcPr>
            <w:tcW w:w="294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900" w:type="dxa"/>
            <w:vAlign w:val="bottom"/>
          </w:tcPr>
          <w:p>
            <w:pPr>
              <w:jc w:val="right"/>
              <w:ind w:right="420"/>
              <w:spacing w:after="0"/>
              <w:rPr>
                <w:sz w:val="20"/>
                <w:szCs w:val="20"/>
                <w:color w:val="auto"/>
              </w:rPr>
            </w:pPr>
            <w:r>
              <w:rPr>
                <w:rFonts w:ascii="Arial" w:cs="Arial" w:eastAsia="Arial" w:hAnsi="Arial"/>
                <w:sz w:val="16"/>
                <w:szCs w:val="16"/>
                <w:color w:val="auto"/>
              </w:rPr>
              <w:t>68</w:t>
            </w:r>
          </w:p>
        </w:tc>
        <w:tc>
          <w:tcPr>
            <w:tcW w:w="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6297295</wp:posOffset>
            </wp:positionH>
            <wp:positionV relativeFrom="paragraph">
              <wp:posOffset>-1212850</wp:posOffset>
            </wp:positionV>
            <wp:extent cx="8890" cy="2228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-1212850</wp:posOffset>
            </wp:positionV>
            <wp:extent cx="8890" cy="2228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-1212850</wp:posOffset>
            </wp:positionV>
            <wp:extent cx="8255" cy="2228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-1212850</wp:posOffset>
            </wp:positionV>
            <wp:extent cx="8255" cy="2228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-1212850</wp:posOffset>
            </wp:positionV>
            <wp:extent cx="8255" cy="2228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-1212850</wp:posOffset>
            </wp:positionV>
            <wp:extent cx="8890" cy="2228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6297295</wp:posOffset>
            </wp:positionH>
            <wp:positionV relativeFrom="paragraph">
              <wp:posOffset>-2335530</wp:posOffset>
            </wp:positionV>
            <wp:extent cx="8890" cy="22288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-2335530</wp:posOffset>
            </wp:positionV>
            <wp:extent cx="8890" cy="2228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-2335530</wp:posOffset>
            </wp:positionV>
            <wp:extent cx="8255" cy="2228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-2335530</wp:posOffset>
            </wp:positionV>
            <wp:extent cx="8255" cy="2228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-2335530</wp:posOffset>
            </wp:positionV>
            <wp:extent cx="8255" cy="2228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-2335530</wp:posOffset>
            </wp:positionV>
            <wp:extent cx="8890" cy="2228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6297295</wp:posOffset>
            </wp:positionH>
            <wp:positionV relativeFrom="paragraph">
              <wp:posOffset>-3458845</wp:posOffset>
            </wp:positionV>
            <wp:extent cx="8890" cy="2228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-3458845</wp:posOffset>
            </wp:positionV>
            <wp:extent cx="8890" cy="22288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-3458845</wp:posOffset>
            </wp:positionV>
            <wp:extent cx="8255" cy="2228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-3458845</wp:posOffset>
            </wp:positionV>
            <wp:extent cx="8255" cy="2228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-3458845</wp:posOffset>
            </wp:positionV>
            <wp:extent cx="8255" cy="2228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-3458845</wp:posOffset>
            </wp:positionV>
            <wp:extent cx="8890" cy="2228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6297295</wp:posOffset>
            </wp:positionH>
            <wp:positionV relativeFrom="paragraph">
              <wp:posOffset>-4581525</wp:posOffset>
            </wp:positionV>
            <wp:extent cx="8890" cy="2228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-4581525</wp:posOffset>
            </wp:positionV>
            <wp:extent cx="8890" cy="2228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8890" cy="222885"/>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-4581525</wp:posOffset>
            </wp:positionV>
            <wp:extent cx="8255" cy="2228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-4581525</wp:posOffset>
            </wp:positionV>
            <wp:extent cx="8255" cy="2228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-4581525</wp:posOffset>
            </wp:positionV>
            <wp:extent cx="8255" cy="22288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8255" cy="22288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-4581525</wp:posOffset>
            </wp:positionV>
            <wp:extent cx="8890" cy="2228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8890" cy="22288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16"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FFFFFF"/>
        </w:rPr>
        <w:t>Mr. Moline</w:t>
      </w:r>
      <w:r>
        <w:rPr>
          <w:rFonts w:ascii="Arial" w:cs="Arial" w:eastAsia="Arial" w:hAnsi="Arial"/>
          <w:sz w:val="27"/>
          <w:szCs w:val="27"/>
          <w:b w:val="1"/>
          <w:bCs w:val="1"/>
          <w:color w:val="FFFFFF"/>
          <w:vertAlign w:val="superscript"/>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-127635</wp:posOffset>
            </wp:positionV>
            <wp:extent cx="6995160" cy="4540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995160" cy="454025"/>
                    </a:xfrm>
                    <a:prstGeom prst="rect">
                      <a:avLst/>
                    </a:prstGeom>
                    <a:noFill/>
                  </pic:spPr>
                </pic:pic>
              </a:graphicData>
            </a:graphic>
          </wp:anchor>
        </w:drawing>
      </w:r>
    </w:p>
    <w:tbl>
      <w:tblPr>
        <w:tblLayout w:type="fixed"/>
        <w:tblInd w:w="120" w:type="dxa"/>
        <w:tblCellMar>
          <w:top w:w="0" w:type="dxa"/>
          <w:left w:w="0" w:type="dxa"/>
          <w:bottom w:w="0" w:type="dxa"/>
          <w:right w:w="0" w:type="dxa"/>
        </w:tblCellMar>
      </w:tblPr>
      <w:tr>
        <w:trPr>
          <w:trHeight w:val="158"/>
        </w:trPr>
        <w:tc>
          <w:tcPr>
            <w:tcW w:w="3280" w:type="dxa"/>
            <w:vAlign w:val="bottom"/>
            <w:shd w:val="clear" w:color="auto" w:fill="333333"/>
          </w:tcPr>
          <w:p>
            <w:pPr>
              <w:spacing w:after="0"/>
              <w:rPr>
                <w:sz w:val="13"/>
                <w:szCs w:val="13"/>
                <w:color w:val="auto"/>
              </w:rPr>
            </w:pPr>
          </w:p>
        </w:tc>
        <w:tc>
          <w:tcPr>
            <w:tcW w:w="2040" w:type="dxa"/>
            <w:vAlign w:val="bottom"/>
            <w:shd w:val="clear" w:color="auto" w:fill="333333"/>
          </w:tcPr>
          <w:p>
            <w:pPr>
              <w:spacing w:after="0"/>
              <w:rPr>
                <w:sz w:val="13"/>
                <w:szCs w:val="13"/>
                <w:color w:val="auto"/>
              </w:rPr>
            </w:pPr>
          </w:p>
        </w:tc>
        <w:tc>
          <w:tcPr>
            <w:tcW w:w="500" w:type="dxa"/>
            <w:vAlign w:val="bottom"/>
            <w:shd w:val="clear" w:color="auto" w:fill="333333"/>
          </w:tcPr>
          <w:p>
            <w:pPr>
              <w:spacing w:after="0"/>
              <w:rPr>
                <w:sz w:val="13"/>
                <w:szCs w:val="13"/>
                <w:color w:val="auto"/>
              </w:rPr>
            </w:pPr>
          </w:p>
        </w:tc>
        <w:tc>
          <w:tcPr>
            <w:tcW w:w="180" w:type="dxa"/>
            <w:vAlign w:val="bottom"/>
            <w:shd w:val="clear" w:color="auto" w:fill="333333"/>
          </w:tcPr>
          <w:p>
            <w:pPr>
              <w:spacing w:after="0"/>
              <w:rPr>
                <w:sz w:val="13"/>
                <w:szCs w:val="13"/>
                <w:color w:val="auto"/>
              </w:rPr>
            </w:pPr>
          </w:p>
        </w:tc>
        <w:tc>
          <w:tcPr>
            <w:tcW w:w="880" w:type="dxa"/>
            <w:vAlign w:val="bottom"/>
            <w:shd w:val="clear" w:color="auto" w:fill="333333"/>
          </w:tcPr>
          <w:p>
            <w:pPr>
              <w:spacing w:after="0"/>
              <w:rPr>
                <w:sz w:val="13"/>
                <w:szCs w:val="13"/>
                <w:color w:val="auto"/>
              </w:rPr>
            </w:pPr>
          </w:p>
        </w:tc>
        <w:tc>
          <w:tcPr>
            <w:tcW w:w="580" w:type="dxa"/>
            <w:vAlign w:val="bottom"/>
            <w:shd w:val="clear" w:color="auto" w:fill="333333"/>
          </w:tcPr>
          <w:p>
            <w:pPr>
              <w:spacing w:after="0"/>
              <w:rPr>
                <w:sz w:val="13"/>
                <w:szCs w:val="13"/>
                <w:color w:val="auto"/>
              </w:rPr>
            </w:pPr>
          </w:p>
        </w:tc>
        <w:tc>
          <w:tcPr>
            <w:tcW w:w="560" w:type="dxa"/>
            <w:vAlign w:val="bottom"/>
            <w:shd w:val="clear" w:color="auto" w:fill="333333"/>
          </w:tcPr>
          <w:p>
            <w:pPr>
              <w:spacing w:after="0"/>
              <w:rPr>
                <w:sz w:val="13"/>
                <w:szCs w:val="13"/>
                <w:color w:val="auto"/>
              </w:rPr>
            </w:pPr>
          </w:p>
        </w:tc>
        <w:tc>
          <w:tcPr>
            <w:tcW w:w="460" w:type="dxa"/>
            <w:vAlign w:val="bottom"/>
            <w:shd w:val="clear" w:color="auto" w:fill="333333"/>
          </w:tcPr>
          <w:p>
            <w:pPr>
              <w:spacing w:after="0"/>
              <w:rPr>
                <w:sz w:val="13"/>
                <w:szCs w:val="13"/>
                <w:color w:val="auto"/>
              </w:rPr>
            </w:pPr>
          </w:p>
        </w:tc>
        <w:tc>
          <w:tcPr>
            <w:tcW w:w="440" w:type="dxa"/>
            <w:vAlign w:val="bottom"/>
            <w:shd w:val="clear" w:color="auto" w:fill="333333"/>
          </w:tcPr>
          <w:p>
            <w:pPr>
              <w:spacing w:after="0"/>
              <w:rPr>
                <w:sz w:val="13"/>
                <w:szCs w:val="13"/>
                <w:color w:val="auto"/>
              </w:rPr>
            </w:pPr>
          </w:p>
        </w:tc>
        <w:tc>
          <w:tcPr>
            <w:tcW w:w="300" w:type="dxa"/>
            <w:vAlign w:val="bottom"/>
            <w:shd w:val="clear" w:color="auto" w:fill="333333"/>
          </w:tcPr>
          <w:p>
            <w:pPr>
              <w:spacing w:after="0"/>
              <w:rPr>
                <w:sz w:val="13"/>
                <w:szCs w:val="13"/>
                <w:color w:val="auto"/>
              </w:rPr>
            </w:pPr>
          </w:p>
        </w:tc>
        <w:tc>
          <w:tcPr>
            <w:tcW w:w="880" w:type="dxa"/>
            <w:vAlign w:val="bottom"/>
            <w:shd w:val="clear" w:color="auto" w:fill="333333"/>
          </w:tcPr>
          <w:p>
            <w:pPr>
              <w:spacing w:after="0"/>
              <w:rPr>
                <w:sz w:val="13"/>
                <w:szCs w:val="13"/>
                <w:color w:val="auto"/>
              </w:rPr>
            </w:pPr>
          </w:p>
        </w:tc>
        <w:tc>
          <w:tcPr>
            <w:tcW w:w="200" w:type="dxa"/>
            <w:vAlign w:val="bottom"/>
            <w:shd w:val="clear" w:color="auto" w:fill="333333"/>
          </w:tcPr>
          <w:p>
            <w:pPr>
              <w:spacing w:after="0"/>
              <w:rPr>
                <w:sz w:val="13"/>
                <w:szCs w:val="13"/>
                <w:color w:val="auto"/>
              </w:rPr>
            </w:pPr>
          </w:p>
        </w:tc>
        <w:tc>
          <w:tcPr>
            <w:tcW w:w="720" w:type="dxa"/>
            <w:vAlign w:val="bottom"/>
            <w:shd w:val="clear" w:color="auto" w:fill="333333"/>
          </w:tcPr>
          <w:p>
            <w:pPr>
              <w:jc w:val="center"/>
              <w:ind w:right="141"/>
              <w:spacing w:after="0" w:line="159" w:lineRule="exact"/>
              <w:rPr>
                <w:sz w:val="20"/>
                <w:szCs w:val="20"/>
                <w:color w:val="auto"/>
              </w:rPr>
            </w:pPr>
            <w:r>
              <w:rPr>
                <w:rFonts w:ascii="Arial" w:cs="Arial" w:eastAsia="Arial" w:hAnsi="Arial"/>
                <w:sz w:val="15"/>
                <w:szCs w:val="15"/>
                <w:b w:val="1"/>
                <w:bCs w:val="1"/>
                <w:color w:val="FFFFFF"/>
                <w:w w:val="90"/>
              </w:rPr>
              <w:t>Change</w:t>
            </w:r>
          </w:p>
        </w:tc>
      </w:tr>
      <w:tr>
        <w:trPr>
          <w:trHeight w:val="162"/>
        </w:trPr>
        <w:tc>
          <w:tcPr>
            <w:tcW w:w="3280" w:type="dxa"/>
            <w:vAlign w:val="bottom"/>
            <w:shd w:val="clear" w:color="auto" w:fill="333333"/>
          </w:tcPr>
          <w:p>
            <w:pPr>
              <w:spacing w:after="0"/>
              <w:rPr>
                <w:sz w:val="14"/>
                <w:szCs w:val="14"/>
                <w:color w:val="auto"/>
              </w:rPr>
            </w:pPr>
          </w:p>
        </w:tc>
        <w:tc>
          <w:tcPr>
            <w:tcW w:w="2540" w:type="dxa"/>
            <w:vAlign w:val="bottom"/>
            <w:gridSpan w:val="2"/>
            <w:shd w:val="clear" w:color="auto" w:fill="333333"/>
          </w:tcPr>
          <w:p>
            <w:pPr>
              <w:ind w:left="1720"/>
              <w:spacing w:after="0" w:line="162" w:lineRule="exact"/>
              <w:rPr>
                <w:sz w:val="20"/>
                <w:szCs w:val="20"/>
                <w:color w:val="auto"/>
              </w:rPr>
            </w:pPr>
            <w:r>
              <w:rPr>
                <w:rFonts w:ascii="Arial" w:cs="Arial" w:eastAsia="Arial" w:hAnsi="Arial"/>
                <w:sz w:val="15"/>
                <w:szCs w:val="15"/>
                <w:b w:val="1"/>
                <w:bCs w:val="1"/>
                <w:color w:val="FFFFFF"/>
              </w:rPr>
              <w:t>Voluntary</w:t>
            </w:r>
          </w:p>
        </w:tc>
        <w:tc>
          <w:tcPr>
            <w:tcW w:w="1060" w:type="dxa"/>
            <w:vAlign w:val="bottom"/>
            <w:gridSpan w:val="2"/>
            <w:shd w:val="clear" w:color="auto" w:fill="333333"/>
          </w:tcPr>
          <w:p>
            <w:pPr>
              <w:jc w:val="right"/>
              <w:ind w:right="40"/>
              <w:spacing w:after="0" w:line="162" w:lineRule="exact"/>
              <w:rPr>
                <w:sz w:val="20"/>
                <w:szCs w:val="20"/>
                <w:color w:val="auto"/>
              </w:rPr>
            </w:pPr>
            <w:r>
              <w:rPr>
                <w:rFonts w:ascii="Arial" w:cs="Arial" w:eastAsia="Arial" w:hAnsi="Arial"/>
                <w:sz w:val="15"/>
                <w:szCs w:val="15"/>
                <w:b w:val="1"/>
                <w:bCs w:val="1"/>
                <w:color w:val="FFFFFF"/>
              </w:rPr>
              <w:t>Termination</w:t>
            </w:r>
          </w:p>
        </w:tc>
        <w:tc>
          <w:tcPr>
            <w:tcW w:w="580" w:type="dxa"/>
            <w:vAlign w:val="bottom"/>
            <w:shd w:val="clear" w:color="auto" w:fill="333333"/>
          </w:tcPr>
          <w:p>
            <w:pPr>
              <w:spacing w:after="0"/>
              <w:rPr>
                <w:sz w:val="14"/>
                <w:szCs w:val="14"/>
                <w:color w:val="auto"/>
              </w:rPr>
            </w:pPr>
          </w:p>
        </w:tc>
        <w:tc>
          <w:tcPr>
            <w:tcW w:w="560" w:type="dxa"/>
            <w:vAlign w:val="bottom"/>
            <w:shd w:val="clear" w:color="auto" w:fill="333333"/>
          </w:tcPr>
          <w:p>
            <w:pPr>
              <w:spacing w:after="0"/>
              <w:rPr>
                <w:sz w:val="14"/>
                <w:szCs w:val="14"/>
                <w:color w:val="auto"/>
              </w:rPr>
            </w:pPr>
          </w:p>
        </w:tc>
        <w:tc>
          <w:tcPr>
            <w:tcW w:w="900" w:type="dxa"/>
            <w:vAlign w:val="bottom"/>
            <w:gridSpan w:val="2"/>
            <w:shd w:val="clear" w:color="auto" w:fill="333333"/>
          </w:tcPr>
          <w:p>
            <w:pPr>
              <w:jc w:val="right"/>
              <w:ind w:right="79"/>
              <w:spacing w:after="0" w:line="162" w:lineRule="exact"/>
              <w:rPr>
                <w:sz w:val="20"/>
                <w:szCs w:val="20"/>
                <w:color w:val="auto"/>
              </w:rPr>
            </w:pPr>
            <w:r>
              <w:rPr>
                <w:rFonts w:ascii="Arial" w:cs="Arial" w:eastAsia="Arial" w:hAnsi="Arial"/>
                <w:sz w:val="15"/>
                <w:szCs w:val="15"/>
                <w:b w:val="1"/>
                <w:bCs w:val="1"/>
                <w:color w:val="FFFFFF"/>
              </w:rPr>
              <w:t>Death &amp;</w:t>
            </w:r>
          </w:p>
        </w:tc>
        <w:tc>
          <w:tcPr>
            <w:tcW w:w="1180" w:type="dxa"/>
            <w:vAlign w:val="bottom"/>
            <w:gridSpan w:val="2"/>
            <w:shd w:val="clear" w:color="auto" w:fill="333333"/>
          </w:tcPr>
          <w:p>
            <w:pPr>
              <w:jc w:val="right"/>
              <w:ind w:right="99"/>
              <w:spacing w:after="0" w:line="162" w:lineRule="exact"/>
              <w:rPr>
                <w:sz w:val="20"/>
                <w:szCs w:val="20"/>
                <w:color w:val="auto"/>
              </w:rPr>
            </w:pPr>
            <w:r>
              <w:rPr>
                <w:rFonts w:ascii="Arial" w:cs="Arial" w:eastAsia="Arial" w:hAnsi="Arial"/>
                <w:sz w:val="15"/>
                <w:szCs w:val="15"/>
                <w:b w:val="1"/>
                <w:bCs w:val="1"/>
                <w:color w:val="FFFFFF"/>
              </w:rPr>
              <w:t>Termination</w:t>
            </w:r>
          </w:p>
        </w:tc>
        <w:tc>
          <w:tcPr>
            <w:tcW w:w="200" w:type="dxa"/>
            <w:vAlign w:val="bottom"/>
            <w:shd w:val="clear" w:color="auto" w:fill="333333"/>
          </w:tcPr>
          <w:p>
            <w:pPr>
              <w:spacing w:after="0"/>
              <w:rPr>
                <w:sz w:val="14"/>
                <w:szCs w:val="14"/>
                <w:color w:val="auto"/>
              </w:rPr>
            </w:pPr>
          </w:p>
        </w:tc>
        <w:tc>
          <w:tcPr>
            <w:tcW w:w="720" w:type="dxa"/>
            <w:vAlign w:val="bottom"/>
            <w:shd w:val="clear" w:color="auto" w:fill="333333"/>
          </w:tcPr>
          <w:p>
            <w:pPr>
              <w:jc w:val="center"/>
              <w:ind w:right="141"/>
              <w:spacing w:after="0" w:line="162" w:lineRule="exact"/>
              <w:rPr>
                <w:sz w:val="20"/>
                <w:szCs w:val="20"/>
                <w:color w:val="auto"/>
              </w:rPr>
            </w:pPr>
            <w:r>
              <w:rPr>
                <w:rFonts w:ascii="Arial" w:cs="Arial" w:eastAsia="Arial" w:hAnsi="Arial"/>
                <w:sz w:val="15"/>
                <w:szCs w:val="15"/>
                <w:b w:val="1"/>
                <w:bCs w:val="1"/>
                <w:color w:val="FFFFFF"/>
              </w:rPr>
              <w:t>in</w:t>
            </w:r>
          </w:p>
        </w:tc>
      </w:tr>
      <w:tr>
        <w:trPr>
          <w:trHeight w:val="193"/>
        </w:trPr>
        <w:tc>
          <w:tcPr>
            <w:tcW w:w="3280" w:type="dxa"/>
            <w:vAlign w:val="bottom"/>
            <w:shd w:val="clear" w:color="auto" w:fill="333333"/>
          </w:tcPr>
          <w:p>
            <w:pPr>
              <w:spacing w:after="0"/>
              <w:rPr>
                <w:sz w:val="16"/>
                <w:szCs w:val="16"/>
                <w:color w:val="auto"/>
              </w:rPr>
            </w:pPr>
          </w:p>
        </w:tc>
        <w:tc>
          <w:tcPr>
            <w:tcW w:w="2540" w:type="dxa"/>
            <w:vAlign w:val="bottom"/>
            <w:gridSpan w:val="2"/>
            <w:shd w:val="clear" w:color="auto" w:fill="333333"/>
          </w:tcPr>
          <w:p>
            <w:pPr>
              <w:ind w:left="1680"/>
              <w:spacing w:after="0"/>
              <w:rPr>
                <w:sz w:val="20"/>
                <w:szCs w:val="20"/>
                <w:color w:val="auto"/>
              </w:rPr>
            </w:pPr>
            <w:r>
              <w:rPr>
                <w:rFonts w:ascii="Arial" w:cs="Arial" w:eastAsia="Arial" w:hAnsi="Arial"/>
                <w:sz w:val="15"/>
                <w:szCs w:val="15"/>
                <w:b w:val="1"/>
                <w:bCs w:val="1"/>
                <w:color w:val="FFFFFF"/>
              </w:rPr>
              <w:t>resignation</w:t>
            </w:r>
          </w:p>
        </w:tc>
        <w:tc>
          <w:tcPr>
            <w:tcW w:w="180" w:type="dxa"/>
            <w:vAlign w:val="bottom"/>
            <w:shd w:val="clear" w:color="auto" w:fill="333333"/>
          </w:tcPr>
          <w:p>
            <w:pPr>
              <w:spacing w:after="0"/>
              <w:rPr>
                <w:sz w:val="16"/>
                <w:szCs w:val="16"/>
                <w:color w:val="auto"/>
              </w:rPr>
            </w:pPr>
          </w:p>
        </w:tc>
        <w:tc>
          <w:tcPr>
            <w:tcW w:w="880" w:type="dxa"/>
            <w:vAlign w:val="bottom"/>
            <w:shd w:val="clear" w:color="auto" w:fill="333333"/>
          </w:tcPr>
          <w:p>
            <w:pPr>
              <w:jc w:val="right"/>
              <w:ind w:right="120"/>
              <w:spacing w:after="0"/>
              <w:rPr>
                <w:sz w:val="20"/>
                <w:szCs w:val="20"/>
                <w:color w:val="auto"/>
              </w:rPr>
            </w:pPr>
            <w:r>
              <w:rPr>
                <w:rFonts w:ascii="Arial" w:cs="Arial" w:eastAsia="Arial" w:hAnsi="Arial"/>
                <w:sz w:val="15"/>
                <w:szCs w:val="15"/>
                <w:b w:val="1"/>
                <w:bCs w:val="1"/>
                <w:color w:val="FFFFFF"/>
                <w:w w:val="85"/>
              </w:rPr>
              <w:t>with cause</w:t>
            </w:r>
          </w:p>
        </w:tc>
        <w:tc>
          <w:tcPr>
            <w:tcW w:w="1140" w:type="dxa"/>
            <w:vAlign w:val="bottom"/>
            <w:gridSpan w:val="2"/>
            <w:shd w:val="clear" w:color="auto" w:fill="333333"/>
          </w:tcPr>
          <w:p>
            <w:pPr>
              <w:jc w:val="right"/>
              <w:ind w:right="39"/>
              <w:spacing w:after="0"/>
              <w:rPr>
                <w:sz w:val="20"/>
                <w:szCs w:val="20"/>
                <w:color w:val="auto"/>
              </w:rPr>
            </w:pPr>
            <w:r>
              <w:rPr>
                <w:rFonts w:ascii="Arial" w:cs="Arial" w:eastAsia="Arial" w:hAnsi="Arial"/>
                <w:sz w:val="15"/>
                <w:szCs w:val="15"/>
                <w:b w:val="1"/>
                <w:bCs w:val="1"/>
                <w:color w:val="FFFFFF"/>
              </w:rPr>
              <w:t>Retirement</w:t>
            </w:r>
            <w:r>
              <w:rPr>
                <w:rFonts w:ascii="Arial" w:cs="Arial" w:eastAsia="Arial" w:hAnsi="Arial"/>
                <w:sz w:val="13"/>
                <w:szCs w:val="13"/>
                <w:b w:val="1"/>
                <w:bCs w:val="1"/>
                <w:color w:val="FFFFFF"/>
              </w:rPr>
              <w:t>(6)</w:t>
            </w:r>
          </w:p>
        </w:tc>
        <w:tc>
          <w:tcPr>
            <w:tcW w:w="900" w:type="dxa"/>
            <w:vAlign w:val="bottom"/>
            <w:gridSpan w:val="2"/>
            <w:shd w:val="clear" w:color="auto" w:fill="333333"/>
          </w:tcPr>
          <w:p>
            <w:pPr>
              <w:jc w:val="right"/>
              <w:ind w:right="59"/>
              <w:spacing w:after="0"/>
              <w:rPr>
                <w:sz w:val="20"/>
                <w:szCs w:val="20"/>
                <w:color w:val="auto"/>
              </w:rPr>
            </w:pPr>
            <w:r>
              <w:rPr>
                <w:rFonts w:ascii="Arial" w:cs="Arial" w:eastAsia="Arial" w:hAnsi="Arial"/>
                <w:sz w:val="15"/>
                <w:szCs w:val="15"/>
                <w:b w:val="1"/>
                <w:bCs w:val="1"/>
                <w:color w:val="FFFFFF"/>
              </w:rPr>
              <w:t>disability</w:t>
            </w:r>
          </w:p>
        </w:tc>
        <w:tc>
          <w:tcPr>
            <w:tcW w:w="1180" w:type="dxa"/>
            <w:vAlign w:val="bottom"/>
            <w:gridSpan w:val="2"/>
            <w:shd w:val="clear" w:color="auto" w:fill="333333"/>
          </w:tcPr>
          <w:p>
            <w:pPr>
              <w:jc w:val="right"/>
              <w:ind w:right="59"/>
              <w:spacing w:after="0"/>
              <w:rPr>
                <w:sz w:val="20"/>
                <w:szCs w:val="20"/>
                <w:color w:val="auto"/>
              </w:rPr>
            </w:pPr>
            <w:r>
              <w:rPr>
                <w:rFonts w:ascii="Arial" w:cs="Arial" w:eastAsia="Arial" w:hAnsi="Arial"/>
                <w:sz w:val="15"/>
                <w:szCs w:val="15"/>
                <w:b w:val="1"/>
                <w:bCs w:val="1"/>
                <w:color w:val="FFFFFF"/>
              </w:rPr>
              <w:t>without cause</w:t>
            </w:r>
          </w:p>
        </w:tc>
        <w:tc>
          <w:tcPr>
            <w:tcW w:w="200" w:type="dxa"/>
            <w:vAlign w:val="bottom"/>
            <w:shd w:val="clear" w:color="auto" w:fill="333333"/>
          </w:tcPr>
          <w:p>
            <w:pPr>
              <w:spacing w:after="0"/>
              <w:rPr>
                <w:sz w:val="16"/>
                <w:szCs w:val="16"/>
                <w:color w:val="auto"/>
              </w:rPr>
            </w:pPr>
          </w:p>
        </w:tc>
        <w:tc>
          <w:tcPr>
            <w:tcW w:w="720" w:type="dxa"/>
            <w:vAlign w:val="bottom"/>
            <w:shd w:val="clear" w:color="auto" w:fill="333333"/>
          </w:tcPr>
          <w:p>
            <w:pPr>
              <w:jc w:val="center"/>
              <w:ind w:right="141"/>
              <w:spacing w:after="0"/>
              <w:rPr>
                <w:sz w:val="20"/>
                <w:szCs w:val="20"/>
                <w:color w:val="auto"/>
              </w:rPr>
            </w:pPr>
            <w:r>
              <w:rPr>
                <w:rFonts w:ascii="Arial" w:cs="Arial" w:eastAsia="Arial" w:hAnsi="Arial"/>
                <w:sz w:val="15"/>
                <w:szCs w:val="15"/>
                <w:b w:val="1"/>
                <w:bCs w:val="1"/>
                <w:color w:val="FFFFFF"/>
                <w:w w:val="90"/>
              </w:rPr>
              <w:t>control</w:t>
            </w:r>
          </w:p>
        </w:tc>
      </w:tr>
      <w:tr>
        <w:trPr>
          <w:trHeight w:val="203"/>
        </w:trPr>
        <w:tc>
          <w:tcPr>
            <w:tcW w:w="328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Cash severance</w:t>
            </w:r>
            <w:r>
              <w:rPr>
                <w:rFonts w:ascii="Arial" w:cs="Arial" w:eastAsia="Arial" w:hAnsi="Arial"/>
                <w:sz w:val="23"/>
                <w:szCs w:val="23"/>
                <w:color w:val="auto"/>
                <w:vertAlign w:val="superscript"/>
              </w:rPr>
              <w:t>(1)</w:t>
            </w:r>
          </w:p>
        </w:tc>
        <w:tc>
          <w:tcPr>
            <w:tcW w:w="2040" w:type="dxa"/>
            <w:vAlign w:val="bottom"/>
            <w:shd w:val="clear" w:color="auto" w:fill="D8D8D8"/>
          </w:tcPr>
          <w:p>
            <w:pPr>
              <w:ind w:left="1680"/>
              <w:spacing w:after="0"/>
              <w:rPr>
                <w:sz w:val="20"/>
                <w:szCs w:val="20"/>
                <w:color w:val="auto"/>
              </w:rPr>
            </w:pPr>
            <w:r>
              <w:rPr>
                <w:rFonts w:ascii="Arial" w:cs="Arial" w:eastAsia="Arial" w:hAnsi="Arial"/>
                <w:sz w:val="16"/>
                <w:szCs w:val="16"/>
                <w:color w:val="auto"/>
              </w:rPr>
              <w:t>$</w:t>
            </w:r>
          </w:p>
        </w:tc>
        <w:tc>
          <w:tcPr>
            <w:tcW w:w="50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0</w:t>
            </w:r>
          </w:p>
        </w:tc>
        <w:tc>
          <w:tcPr>
            <w:tcW w:w="18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580" w:type="dxa"/>
            <w:vAlign w:val="bottom"/>
            <w:shd w:val="clear" w:color="auto" w:fill="D8D8D8"/>
          </w:tcPr>
          <w:p>
            <w:pPr>
              <w:spacing w:after="0"/>
              <w:rPr>
                <w:sz w:val="17"/>
                <w:szCs w:val="17"/>
                <w:color w:val="auto"/>
              </w:rPr>
            </w:pPr>
          </w:p>
        </w:tc>
        <w:tc>
          <w:tcPr>
            <w:tcW w:w="560" w:type="dxa"/>
            <w:vAlign w:val="bottom"/>
            <w:shd w:val="clear" w:color="auto" w:fill="D8D8D8"/>
          </w:tcPr>
          <w:p>
            <w:pPr>
              <w:spacing w:after="0"/>
              <w:rPr>
                <w:sz w:val="17"/>
                <w:szCs w:val="17"/>
                <w:color w:val="auto"/>
              </w:rPr>
            </w:pPr>
          </w:p>
        </w:tc>
        <w:tc>
          <w:tcPr>
            <w:tcW w:w="46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44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rPr>
              <w:t>0</w:t>
            </w:r>
          </w:p>
        </w:tc>
        <w:tc>
          <w:tcPr>
            <w:tcW w:w="3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767,093</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D8D8D8"/>
          </w:tcPr>
          <w:p>
            <w:pPr>
              <w:jc w:val="right"/>
              <w:ind w:right="41"/>
              <w:spacing w:after="0"/>
              <w:rPr>
                <w:sz w:val="20"/>
                <w:szCs w:val="20"/>
                <w:color w:val="auto"/>
              </w:rPr>
            </w:pPr>
            <w:r>
              <w:rPr>
                <w:rFonts w:ascii="Arial" w:cs="Arial" w:eastAsia="Arial" w:hAnsi="Arial"/>
                <w:sz w:val="16"/>
                <w:szCs w:val="16"/>
                <w:color w:val="auto"/>
              </w:rPr>
              <w:t>0</w:t>
            </w:r>
          </w:p>
        </w:tc>
      </w:tr>
      <w:tr>
        <w:trPr>
          <w:trHeight w:val="203"/>
        </w:trPr>
        <w:tc>
          <w:tcPr>
            <w:tcW w:w="3280" w:type="dxa"/>
            <w:vAlign w:val="bottom"/>
          </w:tcPr>
          <w:p>
            <w:pPr>
              <w:ind w:left="160"/>
              <w:spacing w:after="0" w:line="202" w:lineRule="exact"/>
              <w:rPr>
                <w:sz w:val="20"/>
                <w:szCs w:val="20"/>
                <w:color w:val="auto"/>
              </w:rPr>
            </w:pPr>
            <w:r>
              <w:rPr>
                <w:rFonts w:ascii="Arial" w:cs="Arial" w:eastAsia="Arial" w:hAnsi="Arial"/>
                <w:sz w:val="14"/>
                <w:szCs w:val="14"/>
                <w:color w:val="auto"/>
              </w:rPr>
              <w:t>Equity</w:t>
            </w:r>
            <w:r>
              <w:rPr>
                <w:rFonts w:ascii="Arial" w:cs="Arial" w:eastAsia="Arial" w:hAnsi="Arial"/>
                <w:sz w:val="23"/>
                <w:szCs w:val="23"/>
                <w:color w:val="auto"/>
                <w:vertAlign w:val="superscript"/>
              </w:rPr>
              <w:t>(2)</w:t>
            </w:r>
          </w:p>
        </w:tc>
        <w:tc>
          <w:tcPr>
            <w:tcW w:w="2040" w:type="dxa"/>
            <w:vAlign w:val="bottom"/>
          </w:tcPr>
          <w:p>
            <w:pPr>
              <w:ind w:left="1680"/>
              <w:spacing w:after="0"/>
              <w:rPr>
                <w:sz w:val="20"/>
                <w:szCs w:val="20"/>
                <w:color w:val="auto"/>
              </w:rPr>
            </w:pPr>
            <w:r>
              <w:rPr>
                <w:rFonts w:ascii="Arial" w:cs="Arial" w:eastAsia="Arial" w:hAnsi="Arial"/>
                <w:sz w:val="16"/>
                <w:szCs w:val="16"/>
                <w:color w:val="auto"/>
              </w:rPr>
              <w:t>$</w:t>
            </w:r>
          </w:p>
        </w:tc>
        <w:tc>
          <w:tcPr>
            <w:tcW w:w="50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18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6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44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300" w:type="dxa"/>
            <w:vAlign w:val="bottom"/>
          </w:tcPr>
          <w:p>
            <w:pPr>
              <w:jc w:val="right"/>
              <w:ind w:right="40"/>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39"/>
              <w:spacing w:after="0"/>
              <w:rPr>
                <w:sz w:val="20"/>
                <w:szCs w:val="20"/>
                <w:color w:val="auto"/>
              </w:rPr>
            </w:pPr>
            <w:r>
              <w:rPr>
                <w:rFonts w:ascii="Arial" w:cs="Arial" w:eastAsia="Arial" w:hAnsi="Arial"/>
                <w:sz w:val="16"/>
                <w:szCs w:val="16"/>
                <w:color w:val="auto"/>
              </w:rPr>
              <w:t>866,505</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720" w:type="dxa"/>
            <w:vAlign w:val="bottom"/>
          </w:tcPr>
          <w:p>
            <w:pPr>
              <w:jc w:val="right"/>
              <w:ind w:right="41"/>
              <w:spacing w:after="0"/>
              <w:rPr>
                <w:sz w:val="20"/>
                <w:szCs w:val="20"/>
                <w:color w:val="auto"/>
              </w:rPr>
            </w:pPr>
            <w:r>
              <w:rPr>
                <w:rFonts w:ascii="Arial" w:cs="Arial" w:eastAsia="Arial" w:hAnsi="Arial"/>
                <w:sz w:val="16"/>
                <w:szCs w:val="16"/>
                <w:color w:val="auto"/>
              </w:rPr>
              <w:t>0</w:t>
            </w:r>
          </w:p>
        </w:tc>
      </w:tr>
      <w:tr>
        <w:trPr>
          <w:trHeight w:val="203"/>
        </w:trPr>
        <w:tc>
          <w:tcPr>
            <w:tcW w:w="328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Retirement benefits</w:t>
            </w:r>
            <w:r>
              <w:rPr>
                <w:rFonts w:ascii="Arial" w:cs="Arial" w:eastAsia="Arial" w:hAnsi="Arial"/>
                <w:sz w:val="23"/>
                <w:szCs w:val="23"/>
                <w:color w:val="auto"/>
                <w:vertAlign w:val="superscript"/>
              </w:rPr>
              <w:t>(3)</w:t>
            </w:r>
          </w:p>
        </w:tc>
        <w:tc>
          <w:tcPr>
            <w:tcW w:w="2040" w:type="dxa"/>
            <w:vAlign w:val="bottom"/>
            <w:shd w:val="clear" w:color="auto" w:fill="D8D8D8"/>
          </w:tcPr>
          <w:p>
            <w:pPr>
              <w:ind w:left="1680"/>
              <w:spacing w:after="0"/>
              <w:rPr>
                <w:sz w:val="20"/>
                <w:szCs w:val="20"/>
                <w:color w:val="auto"/>
              </w:rPr>
            </w:pPr>
            <w:r>
              <w:rPr>
                <w:rFonts w:ascii="Arial" w:cs="Arial" w:eastAsia="Arial" w:hAnsi="Arial"/>
                <w:sz w:val="16"/>
                <w:szCs w:val="16"/>
                <w:color w:val="auto"/>
              </w:rPr>
              <w:t>$</w:t>
            </w:r>
          </w:p>
        </w:tc>
        <w:tc>
          <w:tcPr>
            <w:tcW w:w="50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0</w:t>
            </w:r>
          </w:p>
        </w:tc>
        <w:tc>
          <w:tcPr>
            <w:tcW w:w="18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20"/>
              <w:spacing w:after="0"/>
              <w:rPr>
                <w:sz w:val="20"/>
                <w:szCs w:val="20"/>
                <w:color w:val="auto"/>
              </w:rPr>
            </w:pPr>
            <w:r>
              <w:rPr>
                <w:rFonts w:ascii="Arial" w:cs="Arial" w:eastAsia="Arial" w:hAnsi="Arial"/>
                <w:sz w:val="16"/>
                <w:szCs w:val="16"/>
                <w:color w:val="auto"/>
              </w:rPr>
              <w:t>0</w:t>
            </w:r>
          </w:p>
        </w:tc>
        <w:tc>
          <w:tcPr>
            <w:tcW w:w="580" w:type="dxa"/>
            <w:vAlign w:val="bottom"/>
            <w:shd w:val="clear" w:color="auto" w:fill="D8D8D8"/>
          </w:tcPr>
          <w:p>
            <w:pPr>
              <w:jc w:val="right"/>
              <w:ind w:right="301"/>
              <w:spacing w:after="0"/>
              <w:rPr>
                <w:sz w:val="20"/>
                <w:szCs w:val="20"/>
                <w:color w:val="auto"/>
              </w:rPr>
            </w:pPr>
            <w:r>
              <w:rPr>
                <w:rFonts w:ascii="Arial" w:cs="Arial" w:eastAsia="Arial" w:hAnsi="Arial"/>
                <w:sz w:val="16"/>
                <w:szCs w:val="16"/>
                <w:color w:val="auto"/>
              </w:rPr>
              <w:t>$</w:t>
            </w:r>
          </w:p>
        </w:tc>
        <w:tc>
          <w:tcPr>
            <w:tcW w:w="56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rPr>
              <w:t>0</w:t>
            </w:r>
          </w:p>
        </w:tc>
        <w:tc>
          <w:tcPr>
            <w:tcW w:w="460" w:type="dxa"/>
            <w:vAlign w:val="bottom"/>
            <w:shd w:val="clear" w:color="auto" w:fill="D8D8D8"/>
          </w:tcPr>
          <w:p>
            <w:pPr>
              <w:jc w:val="right"/>
              <w:ind w:right="180"/>
              <w:spacing w:after="0"/>
              <w:rPr>
                <w:sz w:val="20"/>
                <w:szCs w:val="20"/>
                <w:color w:val="auto"/>
              </w:rPr>
            </w:pPr>
            <w:r>
              <w:rPr>
                <w:rFonts w:ascii="Arial" w:cs="Arial" w:eastAsia="Arial" w:hAnsi="Arial"/>
                <w:sz w:val="16"/>
                <w:szCs w:val="16"/>
                <w:color w:val="auto"/>
              </w:rPr>
              <w:t>$</w:t>
            </w:r>
          </w:p>
        </w:tc>
        <w:tc>
          <w:tcPr>
            <w:tcW w:w="440" w:type="dxa"/>
            <w:vAlign w:val="bottom"/>
            <w:shd w:val="clear" w:color="auto" w:fill="D8D8D8"/>
          </w:tcPr>
          <w:p>
            <w:pPr>
              <w:jc w:val="right"/>
              <w:ind w:right="19"/>
              <w:spacing w:after="0"/>
              <w:rPr>
                <w:sz w:val="20"/>
                <w:szCs w:val="20"/>
                <w:color w:val="auto"/>
              </w:rPr>
            </w:pPr>
            <w:r>
              <w:rPr>
                <w:rFonts w:ascii="Arial" w:cs="Arial" w:eastAsia="Arial" w:hAnsi="Arial"/>
                <w:sz w:val="16"/>
                <w:szCs w:val="16"/>
                <w:color w:val="auto"/>
              </w:rPr>
              <w:t>0</w:t>
            </w:r>
          </w:p>
        </w:tc>
        <w:tc>
          <w:tcPr>
            <w:tcW w:w="300" w:type="dxa"/>
            <w:vAlign w:val="bottom"/>
            <w:shd w:val="clear" w:color="auto" w:fill="D8D8D8"/>
          </w:tcPr>
          <w:p>
            <w:pPr>
              <w:jc w:val="right"/>
              <w:ind w:right="40"/>
              <w:spacing w:after="0"/>
              <w:rPr>
                <w:sz w:val="20"/>
                <w:szCs w:val="20"/>
                <w:color w:val="auto"/>
              </w:rPr>
            </w:pPr>
            <w:r>
              <w:rPr>
                <w:rFonts w:ascii="Arial" w:cs="Arial" w:eastAsia="Arial" w:hAnsi="Arial"/>
                <w:sz w:val="16"/>
                <w:szCs w:val="16"/>
                <w:color w:val="auto"/>
              </w:rPr>
              <w:t>$</w:t>
            </w:r>
          </w:p>
        </w:tc>
        <w:tc>
          <w:tcPr>
            <w:tcW w:w="880" w:type="dxa"/>
            <w:vAlign w:val="bottom"/>
            <w:shd w:val="clear" w:color="auto" w:fill="D8D8D8"/>
          </w:tcPr>
          <w:p>
            <w:pPr>
              <w:jc w:val="right"/>
              <w:ind w:right="39"/>
              <w:spacing w:after="0"/>
              <w:rPr>
                <w:sz w:val="20"/>
                <w:szCs w:val="20"/>
                <w:color w:val="auto"/>
              </w:rPr>
            </w:pPr>
            <w:r>
              <w:rPr>
                <w:rFonts w:ascii="Arial" w:cs="Arial" w:eastAsia="Arial" w:hAnsi="Arial"/>
                <w:sz w:val="16"/>
                <w:szCs w:val="16"/>
                <w:color w:val="auto"/>
              </w:rPr>
              <w:t>0</w:t>
            </w: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D8D8D8"/>
          </w:tcPr>
          <w:p>
            <w:pPr>
              <w:jc w:val="right"/>
              <w:ind w:right="41"/>
              <w:spacing w:after="0"/>
              <w:rPr>
                <w:sz w:val="20"/>
                <w:szCs w:val="20"/>
                <w:color w:val="auto"/>
              </w:rPr>
            </w:pPr>
            <w:r>
              <w:rPr>
                <w:rFonts w:ascii="Arial" w:cs="Arial" w:eastAsia="Arial" w:hAnsi="Arial"/>
                <w:sz w:val="16"/>
                <w:szCs w:val="16"/>
                <w:color w:val="auto"/>
              </w:rPr>
              <w:t>0</w:t>
            </w:r>
          </w:p>
        </w:tc>
      </w:tr>
      <w:tr>
        <w:trPr>
          <w:trHeight w:val="203"/>
        </w:trPr>
        <w:tc>
          <w:tcPr>
            <w:tcW w:w="3280" w:type="dxa"/>
            <w:vAlign w:val="bottom"/>
          </w:tcPr>
          <w:p>
            <w:pPr>
              <w:ind w:left="160"/>
              <w:spacing w:after="0" w:line="202" w:lineRule="exact"/>
              <w:rPr>
                <w:sz w:val="20"/>
                <w:szCs w:val="20"/>
                <w:color w:val="auto"/>
              </w:rPr>
            </w:pPr>
            <w:r>
              <w:rPr>
                <w:rFonts w:ascii="Arial" w:cs="Arial" w:eastAsia="Arial" w:hAnsi="Arial"/>
                <w:sz w:val="14"/>
                <w:szCs w:val="14"/>
                <w:color w:val="auto"/>
              </w:rPr>
              <w:t>Other benefits</w:t>
            </w:r>
            <w:r>
              <w:rPr>
                <w:rFonts w:ascii="Arial" w:cs="Arial" w:eastAsia="Arial" w:hAnsi="Arial"/>
                <w:sz w:val="23"/>
                <w:szCs w:val="23"/>
                <w:color w:val="auto"/>
                <w:vertAlign w:val="superscript"/>
              </w:rPr>
              <w:t>(4)</w:t>
            </w:r>
          </w:p>
        </w:tc>
        <w:tc>
          <w:tcPr>
            <w:tcW w:w="2040" w:type="dxa"/>
            <w:vAlign w:val="bottom"/>
          </w:tcPr>
          <w:p>
            <w:pPr>
              <w:ind w:left="1680"/>
              <w:spacing w:after="0"/>
              <w:rPr>
                <w:sz w:val="20"/>
                <w:szCs w:val="20"/>
                <w:color w:val="auto"/>
              </w:rPr>
            </w:pPr>
            <w:r>
              <w:rPr>
                <w:rFonts w:ascii="Arial" w:cs="Arial" w:eastAsia="Arial" w:hAnsi="Arial"/>
                <w:sz w:val="16"/>
                <w:szCs w:val="16"/>
                <w:color w:val="auto"/>
              </w:rPr>
              <w:t>$</w:t>
            </w:r>
          </w:p>
        </w:tc>
        <w:tc>
          <w:tcPr>
            <w:tcW w:w="50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18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6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44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300" w:type="dxa"/>
            <w:vAlign w:val="bottom"/>
          </w:tcPr>
          <w:p>
            <w:pPr>
              <w:jc w:val="right"/>
              <w:ind w:right="40"/>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39"/>
              <w:spacing w:after="0"/>
              <w:rPr>
                <w:sz w:val="20"/>
                <w:szCs w:val="20"/>
                <w:color w:val="auto"/>
              </w:rPr>
            </w:pPr>
            <w:r>
              <w:rPr>
                <w:rFonts w:ascii="Arial" w:cs="Arial" w:eastAsia="Arial" w:hAnsi="Arial"/>
                <w:sz w:val="16"/>
                <w:szCs w:val="16"/>
                <w:color w:val="auto"/>
              </w:rPr>
              <w:t>42,500</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720" w:type="dxa"/>
            <w:vAlign w:val="bottom"/>
          </w:tcPr>
          <w:p>
            <w:pPr>
              <w:jc w:val="right"/>
              <w:ind w:right="41"/>
              <w:spacing w:after="0"/>
              <w:rPr>
                <w:sz w:val="20"/>
                <w:szCs w:val="20"/>
                <w:color w:val="auto"/>
              </w:rPr>
            </w:pPr>
            <w:r>
              <w:rPr>
                <w:rFonts w:ascii="Arial" w:cs="Arial" w:eastAsia="Arial" w:hAnsi="Arial"/>
                <w:sz w:val="16"/>
                <w:szCs w:val="16"/>
                <w:color w:val="auto"/>
              </w:rPr>
              <w:t>0</w:t>
            </w:r>
          </w:p>
        </w:tc>
      </w:tr>
      <w:tr>
        <w:trPr>
          <w:trHeight w:val="203"/>
        </w:trPr>
        <w:tc>
          <w:tcPr>
            <w:tcW w:w="3280" w:type="dxa"/>
            <w:vAlign w:val="bottom"/>
            <w:shd w:val="clear" w:color="auto" w:fill="D8D8D8"/>
          </w:tcPr>
          <w:p>
            <w:pPr>
              <w:ind w:left="160"/>
              <w:spacing w:after="0" w:line="202" w:lineRule="exact"/>
              <w:rPr>
                <w:sz w:val="20"/>
                <w:szCs w:val="20"/>
                <w:color w:val="auto"/>
              </w:rPr>
            </w:pPr>
            <w:r>
              <w:rPr>
                <w:rFonts w:ascii="Arial" w:cs="Arial" w:eastAsia="Arial" w:hAnsi="Arial"/>
                <w:sz w:val="14"/>
                <w:szCs w:val="14"/>
                <w:color w:val="auto"/>
              </w:rPr>
              <w:t>Excise tax gross-up</w:t>
            </w:r>
            <w:r>
              <w:rPr>
                <w:rFonts w:ascii="Arial" w:cs="Arial" w:eastAsia="Arial" w:hAnsi="Arial"/>
                <w:sz w:val="23"/>
                <w:szCs w:val="23"/>
                <w:color w:val="auto"/>
                <w:vertAlign w:val="superscript"/>
              </w:rPr>
              <w:t>(5)</w:t>
            </w:r>
          </w:p>
        </w:tc>
        <w:tc>
          <w:tcPr>
            <w:tcW w:w="2040" w:type="dxa"/>
            <w:vAlign w:val="bottom"/>
            <w:shd w:val="clear" w:color="auto" w:fill="D8D8D8"/>
          </w:tcPr>
          <w:p>
            <w:pPr>
              <w:spacing w:after="0"/>
              <w:rPr>
                <w:sz w:val="17"/>
                <w:szCs w:val="17"/>
                <w:color w:val="auto"/>
              </w:rPr>
            </w:pPr>
          </w:p>
        </w:tc>
        <w:tc>
          <w:tcPr>
            <w:tcW w:w="500" w:type="dxa"/>
            <w:vAlign w:val="bottom"/>
            <w:shd w:val="clear" w:color="auto" w:fill="D8D8D8"/>
          </w:tcPr>
          <w:p>
            <w:pPr>
              <w:spacing w:after="0"/>
              <w:rPr>
                <w:sz w:val="17"/>
                <w:szCs w:val="17"/>
                <w:color w:val="auto"/>
              </w:rPr>
            </w:pPr>
          </w:p>
        </w:tc>
        <w:tc>
          <w:tcPr>
            <w:tcW w:w="18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580" w:type="dxa"/>
            <w:vAlign w:val="bottom"/>
            <w:shd w:val="clear" w:color="auto" w:fill="D8D8D8"/>
          </w:tcPr>
          <w:p>
            <w:pPr>
              <w:spacing w:after="0"/>
              <w:rPr>
                <w:sz w:val="17"/>
                <w:szCs w:val="17"/>
                <w:color w:val="auto"/>
              </w:rPr>
            </w:pPr>
          </w:p>
        </w:tc>
        <w:tc>
          <w:tcPr>
            <w:tcW w:w="560" w:type="dxa"/>
            <w:vAlign w:val="bottom"/>
            <w:shd w:val="clear" w:color="auto" w:fill="D8D8D8"/>
          </w:tcPr>
          <w:p>
            <w:pPr>
              <w:spacing w:after="0"/>
              <w:rPr>
                <w:sz w:val="17"/>
                <w:szCs w:val="17"/>
                <w:color w:val="auto"/>
              </w:rPr>
            </w:pPr>
          </w:p>
        </w:tc>
        <w:tc>
          <w:tcPr>
            <w:tcW w:w="460" w:type="dxa"/>
            <w:vAlign w:val="bottom"/>
            <w:shd w:val="clear" w:color="auto" w:fill="D8D8D8"/>
          </w:tcPr>
          <w:p>
            <w:pPr>
              <w:spacing w:after="0"/>
              <w:rPr>
                <w:sz w:val="17"/>
                <w:szCs w:val="17"/>
                <w:color w:val="auto"/>
              </w:rPr>
            </w:pPr>
          </w:p>
        </w:tc>
        <w:tc>
          <w:tcPr>
            <w:tcW w:w="440" w:type="dxa"/>
            <w:vAlign w:val="bottom"/>
            <w:shd w:val="clear" w:color="auto" w:fill="D8D8D8"/>
          </w:tcPr>
          <w:p>
            <w:pPr>
              <w:spacing w:after="0"/>
              <w:rPr>
                <w:sz w:val="17"/>
                <w:szCs w:val="17"/>
                <w:color w:val="auto"/>
              </w:rPr>
            </w:pPr>
          </w:p>
        </w:tc>
        <w:tc>
          <w:tcPr>
            <w:tcW w:w="300" w:type="dxa"/>
            <w:vAlign w:val="bottom"/>
            <w:shd w:val="clear" w:color="auto" w:fill="D8D8D8"/>
          </w:tcPr>
          <w:p>
            <w:pPr>
              <w:spacing w:after="0"/>
              <w:rPr>
                <w:sz w:val="17"/>
                <w:szCs w:val="17"/>
                <w:color w:val="auto"/>
              </w:rPr>
            </w:pPr>
          </w:p>
        </w:tc>
        <w:tc>
          <w:tcPr>
            <w:tcW w:w="880" w:type="dxa"/>
            <w:vAlign w:val="bottom"/>
            <w:shd w:val="clear" w:color="auto" w:fill="D8D8D8"/>
          </w:tcPr>
          <w:p>
            <w:pPr>
              <w:spacing w:after="0"/>
              <w:rPr>
                <w:sz w:val="17"/>
                <w:szCs w:val="17"/>
                <w:color w:val="auto"/>
              </w:rPr>
            </w:pPr>
          </w:p>
        </w:tc>
        <w:tc>
          <w:tcPr>
            <w:tcW w:w="20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D8D8D8"/>
          </w:tcPr>
          <w:p>
            <w:pPr>
              <w:jc w:val="right"/>
              <w:ind w:right="41"/>
              <w:spacing w:after="0"/>
              <w:rPr>
                <w:sz w:val="20"/>
                <w:szCs w:val="20"/>
                <w:color w:val="auto"/>
              </w:rPr>
            </w:pPr>
            <w:r>
              <w:rPr>
                <w:rFonts w:ascii="Arial" w:cs="Arial" w:eastAsia="Arial" w:hAnsi="Arial"/>
                <w:sz w:val="16"/>
                <w:szCs w:val="16"/>
                <w:color w:val="auto"/>
              </w:rPr>
              <w:t>0</w:t>
            </w:r>
          </w:p>
        </w:tc>
      </w:tr>
      <w:tr>
        <w:trPr>
          <w:trHeight w:val="206"/>
        </w:trPr>
        <w:tc>
          <w:tcPr>
            <w:tcW w:w="3280" w:type="dxa"/>
            <w:vAlign w:val="bottom"/>
          </w:tcPr>
          <w:p>
            <w:pPr>
              <w:ind w:left="160"/>
              <w:spacing w:after="0"/>
              <w:rPr>
                <w:sz w:val="20"/>
                <w:szCs w:val="20"/>
                <w:color w:val="auto"/>
              </w:rPr>
            </w:pPr>
            <w:r>
              <w:rPr>
                <w:rFonts w:ascii="Arial" w:cs="Arial" w:eastAsia="Arial" w:hAnsi="Arial"/>
                <w:sz w:val="16"/>
                <w:szCs w:val="16"/>
                <w:color w:val="auto"/>
              </w:rPr>
              <w:t>Total</w:t>
            </w:r>
          </w:p>
        </w:tc>
        <w:tc>
          <w:tcPr>
            <w:tcW w:w="2040" w:type="dxa"/>
            <w:vAlign w:val="bottom"/>
          </w:tcPr>
          <w:p>
            <w:pPr>
              <w:ind w:left="1680"/>
              <w:spacing w:after="0"/>
              <w:rPr>
                <w:sz w:val="20"/>
                <w:szCs w:val="20"/>
                <w:color w:val="auto"/>
              </w:rPr>
            </w:pPr>
            <w:r>
              <w:rPr>
                <w:rFonts w:ascii="Arial" w:cs="Arial" w:eastAsia="Arial" w:hAnsi="Arial"/>
                <w:sz w:val="16"/>
                <w:szCs w:val="16"/>
                <w:color w:val="auto"/>
              </w:rPr>
              <w:t>$</w:t>
            </w:r>
          </w:p>
        </w:tc>
        <w:tc>
          <w:tcPr>
            <w:tcW w:w="500" w:type="dxa"/>
            <w:vAlign w:val="bottom"/>
          </w:tcPr>
          <w:p>
            <w:pPr>
              <w:jc w:val="right"/>
              <w:ind w:right="39"/>
              <w:spacing w:after="0"/>
              <w:rPr>
                <w:sz w:val="20"/>
                <w:szCs w:val="20"/>
                <w:color w:val="auto"/>
              </w:rPr>
            </w:pPr>
            <w:r>
              <w:rPr>
                <w:rFonts w:ascii="Arial" w:cs="Arial" w:eastAsia="Arial" w:hAnsi="Arial"/>
                <w:sz w:val="16"/>
                <w:szCs w:val="16"/>
                <w:color w:val="auto"/>
              </w:rPr>
              <w:t>0</w:t>
            </w:r>
          </w:p>
        </w:tc>
        <w:tc>
          <w:tcPr>
            <w:tcW w:w="180" w:type="dxa"/>
            <w:vAlign w:val="bottom"/>
          </w:tcPr>
          <w:p>
            <w:pPr>
              <w:jc w:val="right"/>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20"/>
              <w:spacing w:after="0"/>
              <w:rPr>
                <w:sz w:val="20"/>
                <w:szCs w:val="20"/>
                <w:color w:val="auto"/>
              </w:rPr>
            </w:pPr>
            <w:r>
              <w:rPr>
                <w:rFonts w:ascii="Arial" w:cs="Arial" w:eastAsia="Arial" w:hAnsi="Arial"/>
                <w:sz w:val="16"/>
                <w:szCs w:val="16"/>
                <w:color w:val="auto"/>
              </w:rPr>
              <w:t>0</w:t>
            </w:r>
          </w:p>
        </w:tc>
        <w:tc>
          <w:tcPr>
            <w:tcW w:w="580" w:type="dxa"/>
            <w:vAlign w:val="bottom"/>
          </w:tcPr>
          <w:p>
            <w:pPr>
              <w:jc w:val="right"/>
              <w:ind w:right="301"/>
              <w:spacing w:after="0"/>
              <w:rPr>
                <w:sz w:val="20"/>
                <w:szCs w:val="20"/>
                <w:color w:val="auto"/>
              </w:rPr>
            </w:pPr>
            <w:r>
              <w:rPr>
                <w:rFonts w:ascii="Arial" w:cs="Arial" w:eastAsia="Arial" w:hAnsi="Arial"/>
                <w:sz w:val="16"/>
                <w:szCs w:val="16"/>
                <w:color w:val="auto"/>
              </w:rPr>
              <w:t>$</w:t>
            </w:r>
          </w:p>
        </w:tc>
        <w:tc>
          <w:tcPr>
            <w:tcW w:w="56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460" w:type="dxa"/>
            <w:vAlign w:val="bottom"/>
          </w:tcPr>
          <w:p>
            <w:pPr>
              <w:jc w:val="right"/>
              <w:ind w:right="180"/>
              <w:spacing w:after="0"/>
              <w:rPr>
                <w:sz w:val="20"/>
                <w:szCs w:val="20"/>
                <w:color w:val="auto"/>
              </w:rPr>
            </w:pPr>
            <w:r>
              <w:rPr>
                <w:rFonts w:ascii="Arial" w:cs="Arial" w:eastAsia="Arial" w:hAnsi="Arial"/>
                <w:sz w:val="16"/>
                <w:szCs w:val="16"/>
                <w:color w:val="auto"/>
              </w:rPr>
              <w:t>$</w:t>
            </w:r>
          </w:p>
        </w:tc>
        <w:tc>
          <w:tcPr>
            <w:tcW w:w="44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300" w:type="dxa"/>
            <w:vAlign w:val="bottom"/>
          </w:tcPr>
          <w:p>
            <w:pPr>
              <w:jc w:val="right"/>
              <w:ind w:right="40"/>
              <w:spacing w:after="0"/>
              <w:rPr>
                <w:sz w:val="20"/>
                <w:szCs w:val="20"/>
                <w:color w:val="auto"/>
              </w:rPr>
            </w:pPr>
            <w:r>
              <w:rPr>
                <w:rFonts w:ascii="Arial" w:cs="Arial" w:eastAsia="Arial" w:hAnsi="Arial"/>
                <w:sz w:val="16"/>
                <w:szCs w:val="16"/>
                <w:color w:val="auto"/>
              </w:rPr>
              <w:t>$</w:t>
            </w:r>
          </w:p>
        </w:tc>
        <w:tc>
          <w:tcPr>
            <w:tcW w:w="880" w:type="dxa"/>
            <w:vAlign w:val="bottom"/>
          </w:tcPr>
          <w:p>
            <w:pPr>
              <w:jc w:val="right"/>
              <w:ind w:right="39"/>
              <w:spacing w:after="0"/>
              <w:rPr>
                <w:sz w:val="20"/>
                <w:szCs w:val="20"/>
                <w:color w:val="auto"/>
              </w:rPr>
            </w:pPr>
            <w:r>
              <w:rPr>
                <w:rFonts w:ascii="Arial" w:cs="Arial" w:eastAsia="Arial" w:hAnsi="Arial"/>
                <w:sz w:val="16"/>
                <w:szCs w:val="16"/>
                <w:color w:val="auto"/>
              </w:rPr>
              <w:t>1,676,098</w:t>
            </w:r>
          </w:p>
        </w:tc>
        <w:tc>
          <w:tcPr>
            <w:tcW w:w="200" w:type="dxa"/>
            <w:vAlign w:val="bottom"/>
          </w:tcPr>
          <w:p>
            <w:pPr>
              <w:jc w:val="right"/>
              <w:spacing w:after="0"/>
              <w:rPr>
                <w:sz w:val="20"/>
                <w:szCs w:val="20"/>
                <w:color w:val="auto"/>
              </w:rPr>
            </w:pPr>
            <w:r>
              <w:rPr>
                <w:rFonts w:ascii="Arial" w:cs="Arial" w:eastAsia="Arial" w:hAnsi="Arial"/>
                <w:sz w:val="16"/>
                <w:szCs w:val="16"/>
                <w:color w:val="auto"/>
              </w:rPr>
              <w:t>$</w:t>
            </w:r>
          </w:p>
        </w:tc>
        <w:tc>
          <w:tcPr>
            <w:tcW w:w="720" w:type="dxa"/>
            <w:vAlign w:val="bottom"/>
          </w:tcPr>
          <w:p>
            <w:pPr>
              <w:jc w:val="right"/>
              <w:ind w:right="41"/>
              <w:spacing w:after="0"/>
              <w:rPr>
                <w:sz w:val="20"/>
                <w:szCs w:val="20"/>
                <w:color w:val="auto"/>
              </w:rPr>
            </w:pPr>
            <w:r>
              <w:rPr>
                <w:rFonts w:ascii="Arial" w:cs="Arial" w:eastAsia="Arial" w:hAnsi="Arial"/>
                <w:sz w:val="16"/>
                <w:szCs w:val="16"/>
                <w:color w:val="auto"/>
              </w:rPr>
              <w:t>0</w:t>
            </w:r>
          </w:p>
        </w:tc>
      </w:tr>
    </w:tbl>
    <w:p>
      <w:pPr>
        <w:spacing w:after="0" w:line="99" w:lineRule="exact"/>
        <w:rPr>
          <w:sz w:val="20"/>
          <w:szCs w:val="20"/>
          <w:color w:val="auto"/>
        </w:rPr>
      </w:pPr>
    </w:p>
    <w:p>
      <w:pPr>
        <w:ind w:left="340" w:right="40" w:hanging="224"/>
        <w:spacing w:after="0" w:line="233" w:lineRule="auto"/>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“Cash severance” refers to amounts payable to each NEO under the Severance Agreements and the value of his or her annual incentive payment under the TimkenSteel Corporation Annual Performance Award plan for 2021. For Messrs. Bryan and Moline, the amount reported includes the cash payment received under the terms of a severance agreement previously entered into with the company plus the value of his cash payout earned under the TimkenSteel Corporation Annual Performance Award plan for 2021. For additional information about the cash severance payments paid to Messrs. Bryan and Moline, please see the paragraph below this table.</w:t>
      </w:r>
    </w:p>
    <w:p>
      <w:pPr>
        <w:spacing w:after="0" w:line="90" w:lineRule="exact"/>
        <w:rPr>
          <w:rFonts w:ascii="Arial" w:cs="Arial" w:eastAsia="Arial" w:hAnsi="Arial"/>
          <w:sz w:val="12"/>
          <w:szCs w:val="12"/>
          <w:color w:val="auto"/>
        </w:rPr>
      </w:pPr>
    </w:p>
    <w:p>
      <w:pPr>
        <w:ind w:left="340" w:right="40" w:hanging="224"/>
        <w:spacing w:after="0" w:line="244" w:lineRule="auto"/>
        <w:tabs>
          <w:tab w:leader="none" w:pos="340" w:val="left"/>
        </w:tabs>
        <w:numPr>
          <w:ilvl w:val="0"/>
          <w:numId w:val="66"/>
        </w:numPr>
        <w:rPr>
          <w:rFonts w:ascii="Arial" w:cs="Arial" w:eastAsia="Arial" w:hAnsi="Arial"/>
          <w:sz w:val="11"/>
          <w:szCs w:val="11"/>
          <w:color w:val="auto"/>
        </w:rPr>
      </w:pPr>
      <w:r>
        <w:rPr>
          <w:rFonts w:ascii="Arial" w:cs="Arial" w:eastAsia="Arial" w:hAnsi="Arial"/>
          <w:sz w:val="13"/>
          <w:szCs w:val="13"/>
          <w:color w:val="auto"/>
        </w:rPr>
        <w:t>“Equity” includes the value of accelerated vesting of restricted stock units, performance shares and stock option grants that the NEO will be entitled to receive under the termination scenarios described in the table. As discussed above, equity-based grants immediately vest in the event of a change in control (as defined in the Severance Agreements) followed by an involuntary termination of employment or a termination of employment for good cause, or at the time of death or permanent disability. In the case of an involuntary termination without cause, equity-based grants will continue to vest through the period of time represented by the cash severance multiple. For purposes of calculating the value of equity reflected in this table for Messrs. Williams, Westbrooks and Raketich and Ms. Syrvalin, all full-share awards are valued at the closing price of our common shares on December 31, 2021, which was $16.50, and all outstanding stock options with an exercise price below the closing price of our common shares on December 31, 2021, are valued at the difference between the exercise price and the closing price. Outstanding stock options with an exercise price above the closing price on December 31, 2021 of $16.50 are not included in the value of equity in this table. Due to the termination of employment of each of Messrs. Bryan and Moline on May 7, 2021, the value of the equity reflected in this table for each of them is based on the closing price of our common shares on the termination date, which was $13.04. Our equity grant agreements include a double-trigger vesting requirement for awards in the event of a change in control.</w:t>
      </w:r>
    </w:p>
    <w:p>
      <w:pPr>
        <w:spacing w:after="0" w:line="90" w:lineRule="exact"/>
        <w:rPr>
          <w:rFonts w:ascii="Arial" w:cs="Arial" w:eastAsia="Arial" w:hAnsi="Arial"/>
          <w:sz w:val="11"/>
          <w:szCs w:val="11"/>
          <w:color w:val="auto"/>
        </w:rPr>
      </w:pPr>
    </w:p>
    <w:p>
      <w:pPr>
        <w:ind w:left="340" w:hanging="224"/>
        <w:spacing w:after="0"/>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“Retirement Benefits” represent the value of additional benefits earned under the qualified and supplemental plans as a result of a change in control.</w:t>
      </w:r>
    </w:p>
    <w:p>
      <w:pPr>
        <w:spacing w:after="0" w:line="109" w:lineRule="exact"/>
        <w:rPr>
          <w:rFonts w:ascii="Arial" w:cs="Arial" w:eastAsia="Arial" w:hAnsi="Arial"/>
          <w:sz w:val="12"/>
          <w:szCs w:val="12"/>
          <w:color w:val="auto"/>
        </w:rPr>
      </w:pPr>
    </w:p>
    <w:p>
      <w:pPr>
        <w:ind w:left="340" w:right="20" w:hanging="224"/>
        <w:spacing w:after="0" w:line="253" w:lineRule="auto"/>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“Other Benefits” includes the value of health and welfare benefits through the applicable severance period, with an estimated value of $15,000 per year, plus outplacement services with an estimated value of $20,000.</w:t>
      </w:r>
    </w:p>
    <w:p>
      <w:pPr>
        <w:spacing w:after="0" w:line="79" w:lineRule="exact"/>
        <w:rPr>
          <w:rFonts w:ascii="Arial" w:cs="Arial" w:eastAsia="Arial" w:hAnsi="Arial"/>
          <w:sz w:val="12"/>
          <w:szCs w:val="12"/>
          <w:color w:val="auto"/>
        </w:rPr>
      </w:pPr>
    </w:p>
    <w:p>
      <w:pPr>
        <w:ind w:left="340" w:hanging="224"/>
        <w:spacing w:after="0"/>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“Excise Tax Gross-Up” will not be triggered for any of the NEOs, as each of them has entered into an agreement that excludes the payment of tax gross-up amounts.</w:t>
      </w:r>
    </w:p>
    <w:p>
      <w:pPr>
        <w:spacing w:after="0" w:line="109" w:lineRule="exact"/>
        <w:rPr>
          <w:rFonts w:ascii="Arial" w:cs="Arial" w:eastAsia="Arial" w:hAnsi="Arial"/>
          <w:sz w:val="12"/>
          <w:szCs w:val="12"/>
          <w:color w:val="auto"/>
        </w:rPr>
      </w:pPr>
    </w:p>
    <w:p>
      <w:pPr>
        <w:ind w:left="340" w:hanging="224"/>
        <w:spacing w:after="0"/>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Values are shown under the retirement scenario only for those NEOs who were eligible for normal retirement or early retirement as of December 31, 2021.</w:t>
      </w:r>
    </w:p>
    <w:p>
      <w:pPr>
        <w:spacing w:after="0" w:line="109" w:lineRule="exact"/>
        <w:rPr>
          <w:rFonts w:ascii="Arial" w:cs="Arial" w:eastAsia="Arial" w:hAnsi="Arial"/>
          <w:sz w:val="12"/>
          <w:szCs w:val="12"/>
          <w:color w:val="auto"/>
        </w:rPr>
      </w:pPr>
    </w:p>
    <w:p>
      <w:pPr>
        <w:ind w:left="340" w:right="140" w:hanging="224"/>
        <w:spacing w:after="0" w:line="238" w:lineRule="auto"/>
        <w:tabs>
          <w:tab w:leader="none" w:pos="340" w:val="left"/>
        </w:tabs>
        <w:numPr>
          <w:ilvl w:val="0"/>
          <w:numId w:val="66"/>
        </w:numPr>
        <w:rPr>
          <w:rFonts w:ascii="Arial" w:cs="Arial" w:eastAsia="Arial" w:hAnsi="Arial"/>
          <w:sz w:val="12"/>
          <w:szCs w:val="12"/>
          <w:color w:val="auto"/>
        </w:rPr>
      </w:pPr>
      <w:r>
        <w:rPr>
          <w:rFonts w:ascii="Arial" w:cs="Arial" w:eastAsia="Arial" w:hAnsi="Arial"/>
          <w:sz w:val="14"/>
          <w:szCs w:val="14"/>
          <w:color w:val="auto"/>
        </w:rPr>
        <w:t>The information for each of Messrs. Bryan and Moline is based on his termination without cause on May 7, 2021. For more information about the compensation and benefits due to each of Messrs. Bryan and Moline in connection with his termination, please see the next paragraph. Due to the actual termination of employment of Messrs. Bryan and Moline on May 7, 2021, no additional information is shown for the other hypothetical situations.</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Payments in connection with the Termination of Employment of Messrs. Bryan and Moline</w:t>
      </w:r>
    </w:p>
    <w:p>
      <w:pPr>
        <w:spacing w:after="0" w:line="117" w:lineRule="exact"/>
        <w:rPr>
          <w:sz w:val="20"/>
          <w:szCs w:val="20"/>
          <w:color w:val="auto"/>
        </w:rPr>
      </w:pPr>
    </w:p>
    <w:p>
      <w:pPr>
        <w:ind w:left="120" w:right="80"/>
        <w:spacing w:after="0" w:line="269" w:lineRule="auto"/>
        <w:rPr>
          <w:sz w:val="20"/>
          <w:szCs w:val="20"/>
          <w:color w:val="auto"/>
        </w:rPr>
      </w:pPr>
      <w:r>
        <w:rPr>
          <w:rFonts w:ascii="Arial" w:cs="Arial" w:eastAsia="Arial" w:hAnsi="Arial"/>
          <w:sz w:val="17"/>
          <w:szCs w:val="17"/>
          <w:color w:val="auto"/>
        </w:rPr>
        <w:t>On May 5, 2021, the Board of Directors approved the termination of employment for William P. Bryan, Executive Vice President, Manufacturing and Supply Chain, and Thomas D. Moline, Executive Vice President, Commercial Operations, in each case effective May 7, 2021. In connection with such termination of employment, each of Messrs. Bryan and Moline was entitled to receive the compensation and benefits for a “termination without cause” under the terms of a severance agreement he had previously entered into with the company. In exchange for his general release of claims and non-compete, confidentiality and non-disparagement undertakings, Messrs. Bryan and Moline each received the following payments and benefits: cash payment of $661,513 which is equal to one and one-half times base salary in effect at termination ($470,699) plus one and one half times an amount equal to the highest incentive payout percentage during the five years immediately preceding 2021 multiplied by his target amount of incentive pay for 2021 ($190,814). The cash payment was made in a single lump sum on May 17, 2021. Messrs. Bryan and Moline are each entitled to receive Company-subsidized health and welfare benefits (valued at approximately $27,000) for him and his family under the Company’s health care plan for active employees for a maximum of 18 months. Also in connection</w:t>
      </w:r>
    </w:p>
    <w:p>
      <w:pPr>
        <w:spacing w:after="0" w:line="122"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69</w:t>
      </w:r>
    </w:p>
    <w:p>
      <w:pPr>
        <w:sectPr>
          <w:pgSz w:w="11900" w:h="16838" w:orient="portrait"/>
          <w:cols w:equalWidth="0" w:num="1">
            <w:col w:w="11140"/>
          </w:cols>
          <w:pgMar w:left="320" w:top="459" w:right="4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2" w:lineRule="auto"/>
        <w:rPr>
          <w:sz w:val="20"/>
          <w:szCs w:val="20"/>
          <w:color w:val="auto"/>
        </w:rPr>
      </w:pPr>
      <w:r>
        <w:rPr>
          <w:rFonts w:ascii="Arial" w:cs="Arial" w:eastAsia="Arial" w:hAnsi="Arial"/>
          <w:sz w:val="17"/>
          <w:szCs w:val="17"/>
          <w:color w:val="auto"/>
        </w:rPr>
        <w:t>with the terminations of employment of Messrs. Bryan and Moline and in accordance with the original terms of their equity awards: unvested stock options scheduled to vest during the 18-month severance period were accelerated, with 15,050 stock options vesting immediately upon termination and 21,050 stock options being cancelled; unvested restricted stock units were prorated based on the 18-month severance period, with 38,800 restricted stock units continuing to vest on the original vesting dates and 10,100 restricted stock units being cancelled; and unvested performance shares were prorated based on the 18-month severance period, with 22,256 remaining eligible to be earned based on achievement of the established performance objectives and 7,344 being cancelled. For additional information regarding the effect of the termination of employment of Messrs. Bryan and Moline on their outstanding equity awards, see the “Outstanding equity awards at 2021 year end table.”</w:t>
      </w:r>
    </w:p>
    <w:p>
      <w:pPr>
        <w:spacing w:after="0" w:line="114"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70</w:t>
      </w:r>
    </w:p>
    <w:p>
      <w:pPr>
        <w:sectPr>
          <w:pgSz w:w="11900" w:h="16838" w:orient="portrait"/>
          <w:cols w:equalWidth="0" w:num="1">
            <w:col w:w="11120"/>
          </w:cols>
          <w:pgMar w:left="320" w:top="459" w:right="45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CEO pay ratio</w:t>
      </w:r>
    </w:p>
    <w:p>
      <w:pPr>
        <w:spacing w:after="0" w:line="234" w:lineRule="exact"/>
        <w:rPr>
          <w:sz w:val="20"/>
          <w:szCs w:val="20"/>
          <w:color w:val="auto"/>
        </w:rPr>
      </w:pPr>
    </w:p>
    <w:p>
      <w:pPr>
        <w:ind w:left="120" w:right="40"/>
        <w:spacing w:after="0" w:line="271" w:lineRule="auto"/>
        <w:rPr>
          <w:sz w:val="20"/>
          <w:szCs w:val="20"/>
          <w:color w:val="auto"/>
        </w:rPr>
      </w:pPr>
      <w:r>
        <w:rPr>
          <w:rFonts w:ascii="Arial" w:cs="Arial" w:eastAsia="Arial" w:hAnsi="Arial"/>
          <w:sz w:val="17"/>
          <w:szCs w:val="17"/>
          <w:color w:val="auto"/>
        </w:rPr>
        <w:t>For 2021, the ratio of the annual total CEO compensation to the median of the annual total compensation of all of our employees and those of our consolidated subsidiaries (other than the CEO) as described below (“Median Annual Compensation”) was approximately 75 to 1. We note that, due to our permitted use of reasonable estimates and assumptions in preparing this CEO pay ratio disclosure, the disclosure may involve a degree of imprecision, and thus this CEO pay ratio disclosure is a reasonable estimate calculated in a manner consistent with Item 402(u) of Regulation S-K using the data and assumptions described below. In this summary, we refer to the employee who received the Median Annual Compensation as the “Median Employee.” For purposes of this disclosure, the date used to identify the Median Employee was December 31, 2020 (the “Determination Date”). For 2021, we elected to use the same Median Employee that we identified in 2020 as there have been no changes in our employee population or compensation arrangements that we believe would significantly impact our pay ratio disclosure.</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7"/>
          <w:szCs w:val="17"/>
          <w:color w:val="auto"/>
        </w:rPr>
        <w:t>For purposes of calculating the CEO pay ratio, the CEO compensation for 2021 was determined to be $7,175,297, which consists of $7,161,838</w:t>
      </w:r>
    </w:p>
    <w:p>
      <w:pPr>
        <w:spacing w:after="0" w:line="35" w:lineRule="exact"/>
        <w:rPr>
          <w:sz w:val="20"/>
          <w:szCs w:val="20"/>
          <w:color w:val="auto"/>
        </w:rPr>
      </w:pPr>
    </w:p>
    <w:p>
      <w:pPr>
        <w:jc w:val="both"/>
        <w:ind w:left="120" w:right="140"/>
        <w:spacing w:after="0" w:line="253" w:lineRule="auto"/>
        <w:rPr>
          <w:sz w:val="20"/>
          <w:szCs w:val="20"/>
          <w:color w:val="auto"/>
        </w:rPr>
      </w:pPr>
      <w:r>
        <w:rPr>
          <w:rFonts w:ascii="Arial" w:cs="Arial" w:eastAsia="Arial" w:hAnsi="Arial"/>
          <w:sz w:val="18"/>
          <w:szCs w:val="18"/>
          <w:color w:val="auto"/>
        </w:rPr>
        <w:t>(Mr. Williams’ compensation for his service as President and CEO, as reflected in the “Total” column of the 2021 Summary compensation table) plus company-paid health care benefit costs of $13,459. With respect to the Median Employee, the Median Annual Compensation was calculated using the same methodology the company uses to calculate compensation for the named executive officers as set forth in the 2021 Summary compensation table included in this proxy statement, and then adjusted to add the value of company-paid health care benefit costs. The Median Annual Compensation for 2021 was determined to be $96,044.</w:t>
      </w:r>
    </w:p>
    <w:p>
      <w:pPr>
        <w:spacing w:after="0" w:line="191" w:lineRule="exact"/>
        <w:rPr>
          <w:sz w:val="20"/>
          <w:szCs w:val="20"/>
          <w:color w:val="auto"/>
        </w:rPr>
      </w:pPr>
    </w:p>
    <w:p>
      <w:pPr>
        <w:ind w:left="120"/>
        <w:spacing w:after="0" w:line="288" w:lineRule="auto"/>
        <w:rPr>
          <w:sz w:val="20"/>
          <w:szCs w:val="20"/>
          <w:color w:val="auto"/>
        </w:rPr>
      </w:pPr>
      <w:r>
        <w:rPr>
          <w:rFonts w:ascii="Arial" w:cs="Arial" w:eastAsia="Arial" w:hAnsi="Arial"/>
          <w:sz w:val="16"/>
          <w:szCs w:val="16"/>
          <w:color w:val="auto"/>
        </w:rPr>
        <w:t>In terms of our selection of the Median Employee last year, on December 31, 2020, the company employed a total of 2,000 employees (including 1,967 employees based in the United States). The company determined the Median Employee as of December 31, 2020 by identifying total cash compensation for the period beginning on January 1, 2020 and ending on December 31, 2020 for employees who were employed by the company on that date. This group of employees included all full- and part-time employees but excluded our Interim CEO and President and 33 non-U.S. employees (consisting of 22 employees in Mexico, 10 employees in China, and 1 employee in the United Kingdom). This group of employees did not include any independent contractors or “leased” workers and did not exclude any employees of businesses acquired by us or combined with us. Further, we did not utilize any statistical sampling or cost-of-living adjustments for purposes of this CEO pay ratio disclosure. A portion of our employee workforce (full-time and part-time) identified above worked for less than the full fiscal year due to commencing employment after January 1, 2020. In determining the Median Employee, we annualized the total compensation for such individuals (but avoided creating full-time equivalencies) based on reasonable assumptions and estimates relating to our employee compensation program, including base salary, bonus payments, equity compensation and any imputed income.</w:t>
      </w:r>
    </w:p>
    <w:p>
      <w:pPr>
        <w:spacing w:after="0" w:line="105"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71</w:t>
      </w:r>
    </w:p>
    <w:p>
      <w:pPr>
        <w:sectPr>
          <w:pgSz w:w="11900" w:h="16838" w:orient="portrait"/>
          <w:cols w:equalWidth="0" w:num="1">
            <w:col w:w="11100"/>
          </w:cols>
          <w:pgMar w:left="320" w:top="459" w:right="47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Annual meeting information</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Questions and answers</w:t>
      </w:r>
    </w:p>
    <w:p>
      <w:pPr>
        <w:spacing w:after="0" w:line="19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What is the purpose of this proxy statement?</w:t>
      </w:r>
    </w:p>
    <w:p>
      <w:pPr>
        <w:spacing w:after="0" w:line="90" w:lineRule="exact"/>
        <w:rPr>
          <w:sz w:val="20"/>
          <w:szCs w:val="20"/>
          <w:color w:val="auto"/>
        </w:rPr>
      </w:pPr>
    </w:p>
    <w:p>
      <w:pPr>
        <w:ind w:left="120" w:right="140"/>
        <w:spacing w:after="0" w:line="279" w:lineRule="auto"/>
        <w:rPr>
          <w:sz w:val="20"/>
          <w:szCs w:val="20"/>
          <w:color w:val="auto"/>
        </w:rPr>
      </w:pPr>
      <w:r>
        <w:rPr>
          <w:rFonts w:ascii="Arial" w:cs="Arial" w:eastAsia="Arial" w:hAnsi="Arial"/>
          <w:sz w:val="17"/>
          <w:szCs w:val="17"/>
          <w:color w:val="auto"/>
        </w:rPr>
        <w:t>This proxy statement and the accompanying proxy card are being made available to shareholders beginning on or about March 17, 2022, in connection with the company’s solicitation of proxies for the 2022 annual meeting of shareholders to be held on May 4, 2022, at 10 a.m. Eastern time, and at any adjournments and postponements thereof, for the purpose of considering and acting upon the matters specified in the notice accompanying this proxy statement. There will be no in-person annual meeting. The meeting will be held “virtually” over the internet.</w:t>
      </w:r>
    </w:p>
    <w:p>
      <w:pPr>
        <w:spacing w:after="0" w:line="13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What is a proxy?</w:t>
      </w:r>
    </w:p>
    <w:p>
      <w:pPr>
        <w:spacing w:after="0" w:line="77" w:lineRule="exact"/>
        <w:rPr>
          <w:sz w:val="20"/>
          <w:szCs w:val="20"/>
          <w:color w:val="auto"/>
        </w:rPr>
      </w:pPr>
    </w:p>
    <w:p>
      <w:pPr>
        <w:jc w:val="both"/>
        <w:ind w:left="120" w:right="260"/>
        <w:spacing w:after="0" w:line="286" w:lineRule="auto"/>
        <w:rPr>
          <w:sz w:val="20"/>
          <w:szCs w:val="20"/>
          <w:color w:val="auto"/>
        </w:rPr>
      </w:pPr>
      <w:r>
        <w:rPr>
          <w:rFonts w:ascii="Arial" w:cs="Arial" w:eastAsia="Arial" w:hAnsi="Arial"/>
          <w:sz w:val="17"/>
          <w:szCs w:val="17"/>
          <w:color w:val="auto"/>
        </w:rPr>
        <w:t>A proxy is your legal appointment of another person to vote the shares you own in accordance with your instructions. The person you appoint to vote your shares also is called a proxy. On the proxy card, you will find the names of the persons designated by the company to act as proxies to vote your shares at the annual meeting. The designated proxies are required to vote your shares in the manner you instruct.</w:t>
      </w:r>
    </w:p>
    <w:p>
      <w:pPr>
        <w:spacing w:after="0" w:line="13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Who can vote?</w:t>
      </w:r>
    </w:p>
    <w:p>
      <w:pPr>
        <w:spacing w:after="0" w:line="77" w:lineRule="exact"/>
        <w:rPr>
          <w:sz w:val="20"/>
          <w:szCs w:val="20"/>
          <w:color w:val="auto"/>
        </w:rPr>
      </w:pPr>
    </w:p>
    <w:p>
      <w:pPr>
        <w:ind w:left="120" w:right="240"/>
        <w:spacing w:after="0" w:line="263" w:lineRule="auto"/>
        <w:rPr>
          <w:sz w:val="20"/>
          <w:szCs w:val="20"/>
          <w:color w:val="auto"/>
        </w:rPr>
      </w:pPr>
      <w:r>
        <w:rPr>
          <w:rFonts w:ascii="Arial" w:cs="Arial" w:eastAsia="Arial" w:hAnsi="Arial"/>
          <w:sz w:val="18"/>
          <w:szCs w:val="18"/>
          <w:color w:val="auto"/>
        </w:rPr>
        <w:t>Record holders of TimkenSteel Corporation common stock at the close of business on March 1, 2022 (the “Record Date”) are entitled to vote at the meeting. Shareholders are entitled to one vote for each full share held on the Record Date. On that date, there were 46,381,672 of our common shares outstanding.</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How do I vote?</w:t>
      </w:r>
    </w:p>
    <w:p>
      <w:pPr>
        <w:spacing w:after="0" w:line="90" w:lineRule="exact"/>
        <w:rPr>
          <w:sz w:val="20"/>
          <w:szCs w:val="20"/>
          <w:color w:val="auto"/>
        </w:rPr>
      </w:pPr>
    </w:p>
    <w:p>
      <w:pPr>
        <w:ind w:left="120" w:right="140"/>
        <w:spacing w:after="0" w:line="277" w:lineRule="auto"/>
        <w:rPr>
          <w:sz w:val="20"/>
          <w:szCs w:val="20"/>
          <w:color w:val="auto"/>
        </w:rPr>
      </w:pPr>
      <w:r>
        <w:rPr>
          <w:rFonts w:ascii="Arial" w:cs="Arial" w:eastAsia="Arial" w:hAnsi="Arial"/>
          <w:sz w:val="18"/>
          <w:szCs w:val="18"/>
          <w:b w:val="1"/>
          <w:bCs w:val="1"/>
          <w:i w:val="1"/>
          <w:iCs w:val="1"/>
          <w:color w:val="auto"/>
        </w:rPr>
        <w:t xml:space="preserve">Registered holders. </w:t>
      </w:r>
      <w:r>
        <w:rPr>
          <w:rFonts w:ascii="Arial" w:cs="Arial" w:eastAsia="Arial" w:hAnsi="Arial"/>
          <w:sz w:val="18"/>
          <w:szCs w:val="18"/>
          <w:color w:val="auto"/>
        </w:rPr>
        <w:t>If your shares are registered in your name, you may vote “in person” online during the meeting or by proxy prior to the meeting. If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you decide to vote by proxy, you may do so in any </w:t>
      </w:r>
      <w:r>
        <w:rPr>
          <w:rFonts w:ascii="Arial" w:cs="Arial" w:eastAsia="Arial" w:hAnsi="Arial"/>
          <w:sz w:val="18"/>
          <w:szCs w:val="18"/>
          <w:b w:val="1"/>
          <w:bCs w:val="1"/>
          <w:color w:val="auto"/>
        </w:rPr>
        <w:t>ONE</w:t>
      </w:r>
      <w:r>
        <w:rPr>
          <w:rFonts w:ascii="Arial" w:cs="Arial" w:eastAsia="Arial" w:hAnsi="Arial"/>
          <w:sz w:val="18"/>
          <w:szCs w:val="18"/>
          <w:color w:val="auto"/>
        </w:rPr>
        <w:t xml:space="preserve"> of the following three ways:</w:t>
      </w:r>
    </w:p>
    <w:p>
      <w:pPr>
        <w:spacing w:after="0" w:line="130" w:lineRule="exact"/>
        <w:rPr>
          <w:sz w:val="20"/>
          <w:szCs w:val="20"/>
          <w:color w:val="auto"/>
        </w:rPr>
      </w:pPr>
    </w:p>
    <w:p>
      <w:pPr>
        <w:jc w:val="both"/>
        <w:ind w:left="120" w:right="60"/>
        <w:spacing w:after="0" w:line="286" w:lineRule="auto"/>
        <w:rPr>
          <w:sz w:val="20"/>
          <w:szCs w:val="20"/>
          <w:color w:val="auto"/>
        </w:rPr>
      </w:pPr>
      <w:r>
        <w:rPr>
          <w:rFonts w:ascii="Arial" w:cs="Arial" w:eastAsia="Arial" w:hAnsi="Arial"/>
          <w:sz w:val="17"/>
          <w:szCs w:val="17"/>
          <w:i w:val="1"/>
          <w:iCs w:val="1"/>
          <w:color w:val="auto"/>
        </w:rPr>
        <w:t xml:space="preserve">By telephone. </w:t>
      </w:r>
      <w:r>
        <w:rPr>
          <w:rFonts w:ascii="Arial" w:cs="Arial" w:eastAsia="Arial" w:hAnsi="Arial"/>
          <w:sz w:val="17"/>
          <w:szCs w:val="17"/>
          <w:color w:val="auto"/>
        </w:rPr>
        <w:t>After reading the proxy materials, you may call the toll-free number 1-888-693-8683. You will be prompted to enter your control number,</w:t>
      </w:r>
      <w:r>
        <w:rPr>
          <w:rFonts w:ascii="Arial" w:cs="Arial" w:eastAsia="Arial" w:hAnsi="Arial"/>
          <w:sz w:val="17"/>
          <w:szCs w:val="17"/>
          <w:i w:val="1"/>
          <w:iCs w:val="1"/>
          <w:color w:val="auto"/>
        </w:rPr>
        <w:t xml:space="preserve"> </w:t>
      </w:r>
      <w:r>
        <w:rPr>
          <w:rFonts w:ascii="Arial" w:cs="Arial" w:eastAsia="Arial" w:hAnsi="Arial"/>
          <w:sz w:val="17"/>
          <w:szCs w:val="17"/>
          <w:color w:val="auto"/>
        </w:rPr>
        <w:t>which you can find on your notice of internet availability or your proxy card. This number will identify you and the company. Then you can follow the simple instructions that will be given to you to record your vote. Telephone voting will be available until 6 a.m. EDT on May 4, 2022.</w:t>
      </w:r>
    </w:p>
    <w:p>
      <w:pPr>
        <w:spacing w:after="0" w:line="121" w:lineRule="exact"/>
        <w:rPr>
          <w:sz w:val="20"/>
          <w:szCs w:val="20"/>
          <w:color w:val="auto"/>
        </w:rPr>
      </w:pPr>
    </w:p>
    <w:p>
      <w:pPr>
        <w:ind w:left="120" w:right="200"/>
        <w:spacing w:after="0" w:line="261" w:lineRule="auto"/>
        <w:rPr>
          <w:sz w:val="20"/>
          <w:szCs w:val="20"/>
          <w:color w:val="auto"/>
        </w:rPr>
      </w:pPr>
      <w:r>
        <w:rPr>
          <w:rFonts w:ascii="Arial" w:cs="Arial" w:eastAsia="Arial" w:hAnsi="Arial"/>
          <w:sz w:val="18"/>
          <w:szCs w:val="18"/>
          <w:i w:val="1"/>
          <w:iCs w:val="1"/>
          <w:color w:val="auto"/>
        </w:rPr>
        <w:t xml:space="preserve">Over the internet. </w:t>
      </w:r>
      <w:r>
        <w:rPr>
          <w:rFonts w:ascii="Arial" w:cs="Arial" w:eastAsia="Arial" w:hAnsi="Arial"/>
          <w:sz w:val="18"/>
          <w:szCs w:val="18"/>
          <w:color w:val="auto"/>
        </w:rPr>
        <w:t>After reading the proxy materials, you may use a computer to access the website</w:t>
      </w:r>
      <w:r>
        <w:rPr>
          <w:rFonts w:ascii="Arial" w:cs="Arial" w:eastAsia="Arial" w:hAnsi="Arial"/>
          <w:sz w:val="18"/>
          <w:szCs w:val="18"/>
          <w:i w:val="1"/>
          <w:iCs w:val="1"/>
          <w:color w:val="auto"/>
        </w:rPr>
        <w:t xml:space="preserve"> </w:t>
      </w:r>
      <w:r>
        <w:rPr>
          <w:rFonts w:ascii="Arial" w:cs="Arial" w:eastAsia="Arial" w:hAnsi="Arial"/>
          <w:sz w:val="18"/>
          <w:szCs w:val="18"/>
          <w:b w:val="1"/>
          <w:bCs w:val="1"/>
          <w:color w:val="auto"/>
        </w:rPr>
        <w:t>www.cesvote.com</w:t>
      </w:r>
      <w:r>
        <w:rPr>
          <w:rFonts w:ascii="Arial" w:cs="Arial" w:eastAsia="Arial" w:hAnsi="Arial"/>
          <w:sz w:val="18"/>
          <w:szCs w:val="18"/>
          <w:color w:val="auto"/>
        </w:rPr>
        <w:t>. You will be prompted to enter</w:t>
      </w:r>
      <w:r>
        <w:rPr>
          <w:rFonts w:ascii="Arial" w:cs="Arial" w:eastAsia="Arial" w:hAnsi="Arial"/>
          <w:sz w:val="18"/>
          <w:szCs w:val="18"/>
          <w:i w:val="1"/>
          <w:iCs w:val="1"/>
          <w:color w:val="auto"/>
        </w:rPr>
        <w:t xml:space="preserve"> </w:t>
      </w:r>
      <w:r>
        <w:rPr>
          <w:rFonts w:ascii="Arial" w:cs="Arial" w:eastAsia="Arial" w:hAnsi="Arial"/>
          <w:sz w:val="18"/>
          <w:szCs w:val="18"/>
          <w:color w:val="auto"/>
        </w:rPr>
        <w:t>your control number, which you can find on your notice of internet availability or your proxy card. This number will identify you and the company. Then you can follow the simple instructions that will be given to you to record your vote. Internet voting will be available until 6 a.m. EDT on May 4, 2022.</w:t>
      </w:r>
    </w:p>
    <w:p>
      <w:pPr>
        <w:spacing w:after="0" w:line="157" w:lineRule="exact"/>
        <w:rPr>
          <w:sz w:val="20"/>
          <w:szCs w:val="20"/>
          <w:color w:val="auto"/>
        </w:rPr>
      </w:pPr>
    </w:p>
    <w:p>
      <w:pPr>
        <w:ind w:left="120"/>
        <w:spacing w:after="0" w:line="259" w:lineRule="auto"/>
        <w:rPr>
          <w:sz w:val="20"/>
          <w:szCs w:val="20"/>
          <w:color w:val="auto"/>
        </w:rPr>
      </w:pPr>
      <w:r>
        <w:rPr>
          <w:rFonts w:ascii="Arial" w:cs="Arial" w:eastAsia="Arial" w:hAnsi="Arial"/>
          <w:sz w:val="18"/>
          <w:szCs w:val="18"/>
          <w:i w:val="1"/>
          <w:iCs w:val="1"/>
          <w:color w:val="auto"/>
        </w:rPr>
        <w:t xml:space="preserve">By mail. </w:t>
      </w:r>
      <w:r>
        <w:rPr>
          <w:rFonts w:ascii="Arial" w:cs="Arial" w:eastAsia="Arial" w:hAnsi="Arial"/>
          <w:sz w:val="18"/>
          <w:szCs w:val="18"/>
          <w:color w:val="auto"/>
        </w:rPr>
        <w:t>After reading the proxy materials, if you received a printed version of the proxy materials you may vote your shares by marking, signing,</w:t>
      </w:r>
      <w:r>
        <w:rPr>
          <w:rFonts w:ascii="Arial" w:cs="Arial" w:eastAsia="Arial" w:hAnsi="Arial"/>
          <w:sz w:val="18"/>
          <w:szCs w:val="18"/>
          <w:i w:val="1"/>
          <w:iCs w:val="1"/>
          <w:color w:val="auto"/>
        </w:rPr>
        <w:t xml:space="preserve"> </w:t>
      </w:r>
      <w:r>
        <w:rPr>
          <w:rFonts w:ascii="Arial" w:cs="Arial" w:eastAsia="Arial" w:hAnsi="Arial"/>
          <w:sz w:val="18"/>
          <w:szCs w:val="18"/>
          <w:color w:val="auto"/>
        </w:rPr>
        <w:t>dating and returning your proxy card to the company’s tabulation agent, Corporate Election Services, Inc. (“Corporate Election Services” or “CES”), in the postage-paid envelope provided, or return it to Corporate Election Services, P.O. Box 1150, Pittsburgh, PA 15230. Proxy cards returned by mail must be received by CES by 6 a.m. EDT on May 4, 2022, in order for your vote to be recorded.</w:t>
      </w:r>
    </w:p>
    <w:p>
      <w:pPr>
        <w:spacing w:after="0" w:line="146"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The internet and telephone voting procedures have been set up for your convenience and have been designed to authenticate your identity, allow you to give voting instructions and confirm that those instructions have been recorded properly.</w:t>
      </w:r>
    </w:p>
    <w:p>
      <w:pPr>
        <w:spacing w:after="0" w:line="130" w:lineRule="exact"/>
        <w:rPr>
          <w:sz w:val="20"/>
          <w:szCs w:val="20"/>
          <w:color w:val="auto"/>
        </w:rPr>
      </w:pPr>
    </w:p>
    <w:p>
      <w:pPr>
        <w:ind w:left="120" w:right="140"/>
        <w:spacing w:after="0" w:line="259" w:lineRule="auto"/>
        <w:rPr>
          <w:sz w:val="20"/>
          <w:szCs w:val="20"/>
          <w:color w:val="auto"/>
        </w:rPr>
      </w:pPr>
      <w:r>
        <w:rPr>
          <w:rFonts w:ascii="Arial" w:cs="Arial" w:eastAsia="Arial" w:hAnsi="Arial"/>
          <w:sz w:val="18"/>
          <w:szCs w:val="18"/>
          <w:color w:val="auto"/>
        </w:rPr>
        <w:t>Whether you choose to vote “in person” online during the meeting, by telephone, over the internet or by mail, you can specify whether your shares should be voted for all, some or none of the nominees for director. You also can specify whether you want to vote for or against, or abstain from voting on, the ratification of the selection of our independent auditor and the approval, on an advisory basis, of the compensation of the company’s named executive officers.</w:t>
      </w:r>
    </w:p>
    <w:p>
      <w:pPr>
        <w:spacing w:after="0" w:line="124"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72</w:t>
      </w:r>
    </w:p>
    <w:p>
      <w:pPr>
        <w:sectPr>
          <w:pgSz w:w="11900" w:h="16838" w:orient="portrait"/>
          <w:cols w:equalWidth="0" w:num="1">
            <w:col w:w="11120"/>
          </w:cols>
          <w:pgMar w:left="320" w:top="459" w:right="45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79" w:lineRule="auto"/>
        <w:rPr>
          <w:sz w:val="20"/>
          <w:szCs w:val="20"/>
          <w:color w:val="auto"/>
        </w:rPr>
      </w:pPr>
      <w:r>
        <w:rPr>
          <w:rFonts w:ascii="Arial" w:cs="Arial" w:eastAsia="Arial" w:hAnsi="Arial"/>
          <w:sz w:val="17"/>
          <w:szCs w:val="17"/>
          <w:color w:val="auto"/>
        </w:rPr>
        <w:t>Shares represented by properly executed proxy cards, online instructions, or telephone instructions will be voted as you direct. If you provide a properly-executed proxy card or properly-submitted online or telephone instructions but do not specify how you want to vote your shares, your shares will be voted according to the Board’s recommendations as set forth below and, as to any other business that may be properly brought before the 2022 annual meeting of shareholders and any adjournments or postponements thereof, in the discretion of the proxy holders:</w:t>
      </w:r>
    </w:p>
    <w:p>
      <w:pPr>
        <w:spacing w:after="0" w:line="212" w:lineRule="exact"/>
        <w:rPr>
          <w:sz w:val="20"/>
          <w:szCs w:val="20"/>
          <w:color w:val="auto"/>
        </w:rPr>
      </w:pPr>
    </w:p>
    <w:tbl>
      <w:tblPr>
        <w:tblLayout w:type="fixed"/>
        <w:tblInd w:w="120" w:type="dxa"/>
        <w:tblCellMar>
          <w:top w:w="0" w:type="dxa"/>
          <w:left w:w="0" w:type="dxa"/>
          <w:bottom w:w="0" w:type="dxa"/>
          <w:right w:w="0" w:type="dxa"/>
        </w:tblCellMar>
      </w:tblPr>
      <w:tr>
        <w:trPr>
          <w:trHeight w:val="257"/>
        </w:trPr>
        <w:tc>
          <w:tcPr>
            <w:tcW w:w="560" w:type="dxa"/>
            <w:vAlign w:val="bottom"/>
            <w:shd w:val="clear" w:color="auto" w:fill="939598"/>
          </w:tcPr>
          <w:p>
            <w:pPr>
              <w:spacing w:after="0"/>
              <w:rPr>
                <w:sz w:val="22"/>
                <w:szCs w:val="22"/>
                <w:color w:val="auto"/>
              </w:rPr>
            </w:pPr>
          </w:p>
        </w:tc>
        <w:tc>
          <w:tcPr>
            <w:tcW w:w="7520" w:type="dxa"/>
            <w:vAlign w:val="bottom"/>
            <w:shd w:val="clear" w:color="auto" w:fill="939598"/>
          </w:tcPr>
          <w:p>
            <w:pPr>
              <w:ind w:left="240"/>
              <w:spacing w:after="0"/>
              <w:rPr>
                <w:sz w:val="20"/>
                <w:szCs w:val="20"/>
                <w:color w:val="auto"/>
              </w:rPr>
            </w:pPr>
            <w:r>
              <w:rPr>
                <w:rFonts w:ascii="Arial" w:cs="Arial" w:eastAsia="Arial" w:hAnsi="Arial"/>
                <w:sz w:val="18"/>
                <w:szCs w:val="18"/>
                <w:b w:val="1"/>
                <w:bCs w:val="1"/>
                <w:color w:val="FFFFFF"/>
              </w:rPr>
              <w:t>Proposal</w:t>
            </w:r>
          </w:p>
        </w:tc>
        <w:tc>
          <w:tcPr>
            <w:tcW w:w="2940" w:type="dxa"/>
            <w:vAlign w:val="bottom"/>
            <w:shd w:val="clear" w:color="auto" w:fill="939598"/>
          </w:tcPr>
          <w:p>
            <w:pPr>
              <w:ind w:left="300"/>
              <w:spacing w:after="0"/>
              <w:rPr>
                <w:sz w:val="20"/>
                <w:szCs w:val="20"/>
                <w:color w:val="auto"/>
              </w:rPr>
            </w:pPr>
            <w:r>
              <w:rPr>
                <w:rFonts w:ascii="Arial" w:cs="Arial" w:eastAsia="Arial" w:hAnsi="Arial"/>
                <w:sz w:val="18"/>
                <w:szCs w:val="18"/>
                <w:b w:val="1"/>
                <w:bCs w:val="1"/>
                <w:color w:val="FFFFFF"/>
              </w:rPr>
              <w:t>Board recommendation</w:t>
            </w:r>
          </w:p>
        </w:tc>
      </w:tr>
      <w:tr>
        <w:trPr>
          <w:trHeight w:val="68"/>
        </w:trPr>
        <w:tc>
          <w:tcPr>
            <w:tcW w:w="560" w:type="dxa"/>
            <w:vAlign w:val="bottom"/>
            <w:shd w:val="clear" w:color="auto" w:fill="939598"/>
          </w:tcPr>
          <w:p>
            <w:pPr>
              <w:spacing w:after="0"/>
              <w:rPr>
                <w:sz w:val="5"/>
                <w:szCs w:val="5"/>
                <w:color w:val="auto"/>
              </w:rPr>
            </w:pPr>
          </w:p>
        </w:tc>
        <w:tc>
          <w:tcPr>
            <w:tcW w:w="7520" w:type="dxa"/>
            <w:vAlign w:val="bottom"/>
            <w:shd w:val="clear" w:color="auto" w:fill="939598"/>
          </w:tcPr>
          <w:p>
            <w:pPr>
              <w:spacing w:after="0"/>
              <w:rPr>
                <w:sz w:val="5"/>
                <w:szCs w:val="5"/>
                <w:color w:val="auto"/>
              </w:rPr>
            </w:pPr>
          </w:p>
        </w:tc>
        <w:tc>
          <w:tcPr>
            <w:tcW w:w="2940" w:type="dxa"/>
            <w:vAlign w:val="bottom"/>
            <w:shd w:val="clear" w:color="auto" w:fill="939598"/>
          </w:tcPr>
          <w:p>
            <w:pPr>
              <w:spacing w:after="0"/>
              <w:rPr>
                <w:sz w:val="5"/>
                <w:szCs w:val="5"/>
                <w:color w:val="auto"/>
              </w:rPr>
            </w:pPr>
          </w:p>
        </w:tc>
      </w:tr>
      <w:tr>
        <w:trPr>
          <w:trHeight w:val="238"/>
        </w:trPr>
        <w:tc>
          <w:tcPr>
            <w:tcW w:w="560" w:type="dxa"/>
            <w:vAlign w:val="bottom"/>
          </w:tcPr>
          <w:p>
            <w:pPr>
              <w:jc w:val="right"/>
              <w:ind w:right="139"/>
              <w:spacing w:after="0"/>
              <w:rPr>
                <w:sz w:val="20"/>
                <w:szCs w:val="20"/>
                <w:color w:val="auto"/>
              </w:rPr>
            </w:pPr>
            <w:r>
              <w:rPr>
                <w:rFonts w:ascii="Arial" w:cs="Arial" w:eastAsia="Arial" w:hAnsi="Arial"/>
                <w:sz w:val="16"/>
                <w:szCs w:val="16"/>
                <w:b w:val="1"/>
                <w:bCs w:val="1"/>
                <w:color w:val="auto"/>
              </w:rPr>
              <w:t>1.</w:t>
            </w:r>
          </w:p>
        </w:tc>
        <w:tc>
          <w:tcPr>
            <w:tcW w:w="7520" w:type="dxa"/>
            <w:vAlign w:val="bottom"/>
          </w:tcPr>
          <w:p>
            <w:pPr>
              <w:ind w:left="240"/>
              <w:spacing w:after="0"/>
              <w:rPr>
                <w:sz w:val="20"/>
                <w:szCs w:val="20"/>
                <w:color w:val="auto"/>
              </w:rPr>
            </w:pPr>
            <w:r>
              <w:rPr>
                <w:rFonts w:ascii="Arial" w:cs="Arial" w:eastAsia="Arial" w:hAnsi="Arial"/>
                <w:sz w:val="18"/>
                <w:szCs w:val="18"/>
                <w:color w:val="auto"/>
                <w:w w:val="93"/>
              </w:rPr>
              <w:t>Election of the Board’s four nominees as directors to serve a three-year term expiring at the 2025</w:t>
            </w:r>
          </w:p>
        </w:tc>
        <w:tc>
          <w:tcPr>
            <w:tcW w:w="2940" w:type="dxa"/>
            <w:vAlign w:val="bottom"/>
          </w:tcPr>
          <w:p>
            <w:pPr>
              <w:ind w:left="620"/>
              <w:spacing w:after="0"/>
              <w:rPr>
                <w:sz w:val="20"/>
                <w:szCs w:val="20"/>
                <w:color w:val="auto"/>
              </w:rPr>
            </w:pPr>
            <w:r>
              <w:rPr>
                <w:rFonts w:ascii="Arial" w:cs="Arial" w:eastAsia="Arial" w:hAnsi="Arial"/>
                <w:sz w:val="18"/>
                <w:szCs w:val="18"/>
                <w:b w:val="1"/>
                <w:bCs w:val="1"/>
                <w:color w:val="auto"/>
              </w:rPr>
              <w:t>For each director</w:t>
            </w:r>
          </w:p>
        </w:tc>
      </w:tr>
      <w:tr>
        <w:trPr>
          <w:trHeight w:val="248"/>
        </w:trPr>
        <w:tc>
          <w:tcPr>
            <w:tcW w:w="560" w:type="dxa"/>
            <w:vAlign w:val="bottom"/>
            <w:tcBorders>
              <w:bottom w:val="single" w:sz="8" w:color="999999"/>
            </w:tcBorders>
          </w:tcPr>
          <w:p>
            <w:pPr>
              <w:spacing w:after="0"/>
              <w:rPr>
                <w:sz w:val="21"/>
                <w:szCs w:val="21"/>
                <w:color w:val="auto"/>
              </w:rPr>
            </w:pPr>
          </w:p>
        </w:tc>
        <w:tc>
          <w:tcPr>
            <w:tcW w:w="7520" w:type="dxa"/>
            <w:vAlign w:val="bottom"/>
            <w:tcBorders>
              <w:bottom w:val="single" w:sz="8" w:color="999999"/>
            </w:tcBorders>
          </w:tcPr>
          <w:p>
            <w:pPr>
              <w:ind w:left="240"/>
              <w:spacing w:after="0"/>
              <w:rPr>
                <w:sz w:val="20"/>
                <w:szCs w:val="20"/>
                <w:color w:val="auto"/>
              </w:rPr>
            </w:pPr>
            <w:r>
              <w:rPr>
                <w:rFonts w:ascii="Arial" w:cs="Arial" w:eastAsia="Arial" w:hAnsi="Arial"/>
                <w:sz w:val="18"/>
                <w:szCs w:val="18"/>
                <w:color w:val="auto"/>
              </w:rPr>
              <w:t>annual meeting of shareholders</w:t>
            </w:r>
          </w:p>
        </w:tc>
        <w:tc>
          <w:tcPr>
            <w:tcW w:w="2940" w:type="dxa"/>
            <w:vAlign w:val="bottom"/>
            <w:tcBorders>
              <w:bottom w:val="single" w:sz="8" w:color="999999"/>
            </w:tcBorders>
          </w:tcPr>
          <w:p>
            <w:pPr>
              <w:ind w:left="660"/>
              <w:spacing w:after="0"/>
              <w:rPr>
                <w:sz w:val="20"/>
                <w:szCs w:val="20"/>
                <w:color w:val="auto"/>
              </w:rPr>
            </w:pPr>
            <w:r>
              <w:rPr>
                <w:rFonts w:ascii="Arial" w:cs="Arial" w:eastAsia="Arial" w:hAnsi="Arial"/>
                <w:sz w:val="18"/>
                <w:szCs w:val="18"/>
                <w:b w:val="1"/>
                <w:bCs w:val="1"/>
                <w:color w:val="auto"/>
              </w:rPr>
              <w:t>nominee</w:t>
            </w:r>
          </w:p>
        </w:tc>
      </w:tr>
      <w:tr>
        <w:trPr>
          <w:trHeight w:val="209"/>
        </w:trPr>
        <w:tc>
          <w:tcPr>
            <w:tcW w:w="560" w:type="dxa"/>
            <w:vAlign w:val="bottom"/>
          </w:tcPr>
          <w:p>
            <w:pPr>
              <w:jc w:val="right"/>
              <w:ind w:right="139"/>
              <w:spacing w:after="0"/>
              <w:rPr>
                <w:sz w:val="20"/>
                <w:szCs w:val="20"/>
                <w:color w:val="auto"/>
              </w:rPr>
            </w:pPr>
            <w:r>
              <w:rPr>
                <w:rFonts w:ascii="Arial" w:cs="Arial" w:eastAsia="Arial" w:hAnsi="Arial"/>
                <w:sz w:val="16"/>
                <w:szCs w:val="16"/>
                <w:b w:val="1"/>
                <w:bCs w:val="1"/>
                <w:color w:val="auto"/>
              </w:rPr>
              <w:t>2.</w:t>
            </w:r>
          </w:p>
        </w:tc>
        <w:tc>
          <w:tcPr>
            <w:tcW w:w="7520" w:type="dxa"/>
            <w:vAlign w:val="bottom"/>
          </w:tcPr>
          <w:p>
            <w:pPr>
              <w:ind w:left="240"/>
              <w:spacing w:after="0"/>
              <w:rPr>
                <w:sz w:val="20"/>
                <w:szCs w:val="20"/>
                <w:color w:val="auto"/>
              </w:rPr>
            </w:pPr>
            <w:r>
              <w:rPr>
                <w:rFonts w:ascii="Arial" w:cs="Arial" w:eastAsia="Arial" w:hAnsi="Arial"/>
                <w:sz w:val="18"/>
                <w:szCs w:val="18"/>
                <w:color w:val="auto"/>
                <w:w w:val="95"/>
              </w:rPr>
              <w:t>Ratification of the selection of Ernst &amp; Young LLP as the company’s independent auditor for the</w:t>
            </w:r>
          </w:p>
        </w:tc>
        <w:tc>
          <w:tcPr>
            <w:tcW w:w="2940" w:type="dxa"/>
            <w:vAlign w:val="bottom"/>
          </w:tcPr>
          <w:p>
            <w:pPr>
              <w:ind w:left="620"/>
              <w:spacing w:after="0"/>
              <w:rPr>
                <w:sz w:val="20"/>
                <w:szCs w:val="20"/>
                <w:color w:val="auto"/>
              </w:rPr>
            </w:pPr>
            <w:r>
              <w:rPr>
                <w:rFonts w:ascii="Arial" w:cs="Arial" w:eastAsia="Arial" w:hAnsi="Arial"/>
                <w:sz w:val="18"/>
                <w:szCs w:val="18"/>
                <w:b w:val="1"/>
                <w:bCs w:val="1"/>
                <w:color w:val="auto"/>
              </w:rPr>
              <w:t>For</w:t>
            </w:r>
          </w:p>
        </w:tc>
      </w:tr>
      <w:tr>
        <w:trPr>
          <w:trHeight w:val="230"/>
        </w:trPr>
        <w:tc>
          <w:tcPr>
            <w:tcW w:w="560" w:type="dxa"/>
            <w:vAlign w:val="bottom"/>
            <w:tcBorders>
              <w:bottom w:val="single" w:sz="8" w:color="999999"/>
            </w:tcBorders>
          </w:tcPr>
          <w:p>
            <w:pPr>
              <w:spacing w:after="0"/>
              <w:rPr>
                <w:sz w:val="20"/>
                <w:szCs w:val="20"/>
                <w:color w:val="auto"/>
              </w:rPr>
            </w:pPr>
          </w:p>
        </w:tc>
        <w:tc>
          <w:tcPr>
            <w:tcW w:w="7520" w:type="dxa"/>
            <w:vAlign w:val="bottom"/>
            <w:tcBorders>
              <w:bottom w:val="single" w:sz="8" w:color="999999"/>
            </w:tcBorders>
          </w:tcPr>
          <w:p>
            <w:pPr>
              <w:ind w:left="240"/>
              <w:spacing w:after="0"/>
              <w:rPr>
                <w:sz w:val="20"/>
                <w:szCs w:val="20"/>
                <w:color w:val="auto"/>
              </w:rPr>
            </w:pPr>
            <w:r>
              <w:rPr>
                <w:rFonts w:ascii="Arial" w:cs="Arial" w:eastAsia="Arial" w:hAnsi="Arial"/>
                <w:sz w:val="18"/>
                <w:szCs w:val="18"/>
                <w:color w:val="auto"/>
              </w:rPr>
              <w:t>fiscal year ending December 31, 2022</w:t>
            </w:r>
          </w:p>
        </w:tc>
        <w:tc>
          <w:tcPr>
            <w:tcW w:w="2940" w:type="dxa"/>
            <w:vAlign w:val="bottom"/>
            <w:tcBorders>
              <w:bottom w:val="single" w:sz="8" w:color="999999"/>
            </w:tcBorders>
          </w:tcPr>
          <w:p>
            <w:pPr>
              <w:spacing w:after="0"/>
              <w:rPr>
                <w:sz w:val="20"/>
                <w:szCs w:val="20"/>
                <w:color w:val="auto"/>
              </w:rPr>
            </w:pPr>
          </w:p>
        </w:tc>
      </w:tr>
      <w:tr>
        <w:trPr>
          <w:trHeight w:val="250"/>
        </w:trPr>
        <w:tc>
          <w:tcPr>
            <w:tcW w:w="560" w:type="dxa"/>
            <w:vAlign w:val="bottom"/>
            <w:tcBorders>
              <w:bottom w:val="single" w:sz="8" w:color="999999"/>
            </w:tcBorders>
          </w:tcPr>
          <w:p>
            <w:pPr>
              <w:jc w:val="right"/>
              <w:ind w:right="139"/>
              <w:spacing w:after="0"/>
              <w:rPr>
                <w:sz w:val="20"/>
                <w:szCs w:val="20"/>
                <w:color w:val="auto"/>
              </w:rPr>
            </w:pPr>
            <w:r>
              <w:rPr>
                <w:rFonts w:ascii="Arial" w:cs="Arial" w:eastAsia="Arial" w:hAnsi="Arial"/>
                <w:sz w:val="16"/>
                <w:szCs w:val="16"/>
                <w:b w:val="1"/>
                <w:bCs w:val="1"/>
                <w:color w:val="auto"/>
              </w:rPr>
              <w:t>3.</w:t>
            </w:r>
          </w:p>
        </w:tc>
        <w:tc>
          <w:tcPr>
            <w:tcW w:w="7520" w:type="dxa"/>
            <w:vAlign w:val="bottom"/>
            <w:tcBorders>
              <w:bottom w:val="single" w:sz="8" w:color="999999"/>
            </w:tcBorders>
          </w:tcPr>
          <w:p>
            <w:pPr>
              <w:ind w:left="240"/>
              <w:spacing w:after="0"/>
              <w:rPr>
                <w:sz w:val="20"/>
                <w:szCs w:val="20"/>
                <w:color w:val="auto"/>
              </w:rPr>
            </w:pPr>
            <w:r>
              <w:rPr>
                <w:rFonts w:ascii="Arial" w:cs="Arial" w:eastAsia="Arial" w:hAnsi="Arial"/>
                <w:sz w:val="18"/>
                <w:szCs w:val="18"/>
                <w:color w:val="auto"/>
                <w:w w:val="95"/>
              </w:rPr>
              <w:t>Approval, on an advisory basis, of the compensation of the company’s named executive officers</w:t>
            </w:r>
          </w:p>
        </w:tc>
        <w:tc>
          <w:tcPr>
            <w:tcW w:w="2940" w:type="dxa"/>
            <w:vAlign w:val="bottom"/>
            <w:tcBorders>
              <w:bottom w:val="single" w:sz="8" w:color="999999"/>
            </w:tcBorders>
          </w:tcPr>
          <w:p>
            <w:pPr>
              <w:ind w:left="620"/>
              <w:spacing w:after="0"/>
              <w:rPr>
                <w:sz w:val="20"/>
                <w:szCs w:val="20"/>
                <w:color w:val="auto"/>
              </w:rPr>
            </w:pPr>
            <w:r>
              <w:rPr>
                <w:rFonts w:ascii="Arial" w:cs="Arial" w:eastAsia="Arial" w:hAnsi="Arial"/>
                <w:sz w:val="18"/>
                <w:szCs w:val="18"/>
                <w:b w:val="1"/>
                <w:bCs w:val="1"/>
                <w:color w:val="auto"/>
              </w:rPr>
              <w:t>For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5396865</wp:posOffset>
            </wp:positionH>
            <wp:positionV relativeFrom="paragraph">
              <wp:posOffset>-770890</wp:posOffset>
            </wp:positionV>
            <wp:extent cx="120015" cy="1200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120015" cy="12001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-454025</wp:posOffset>
            </wp:positionV>
            <wp:extent cx="120015" cy="1200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120015" cy="12001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-162560</wp:posOffset>
            </wp:positionV>
            <wp:extent cx="120015" cy="1200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120015" cy="120015"/>
                    </a:xfrm>
                    <a:prstGeom prst="rect">
                      <a:avLst/>
                    </a:prstGeom>
                    <a:noFill/>
                  </pic:spPr>
                </pic:pic>
              </a:graphicData>
            </a:graphic>
          </wp:anchor>
        </w:drawing>
      </w:r>
    </w:p>
    <w:p>
      <w:pPr>
        <w:spacing w:after="0" w:line="155" w:lineRule="exact"/>
        <w:rPr>
          <w:sz w:val="20"/>
          <w:szCs w:val="20"/>
          <w:color w:val="auto"/>
        </w:rPr>
      </w:pPr>
    </w:p>
    <w:p>
      <w:pPr>
        <w:ind w:left="120" w:right="80"/>
        <w:spacing w:after="0" w:line="272" w:lineRule="auto"/>
        <w:rPr>
          <w:sz w:val="20"/>
          <w:szCs w:val="20"/>
          <w:color w:val="auto"/>
        </w:rPr>
      </w:pPr>
      <w:r>
        <w:rPr>
          <w:rFonts w:ascii="Arial" w:cs="Arial" w:eastAsia="Arial" w:hAnsi="Arial"/>
          <w:sz w:val="17"/>
          <w:szCs w:val="17"/>
          <w:b w:val="1"/>
          <w:bCs w:val="1"/>
          <w:i w:val="1"/>
          <w:iCs w:val="1"/>
          <w:color w:val="auto"/>
        </w:rPr>
        <w:t xml:space="preserve">401(k) Plan participants. </w:t>
      </w:r>
      <w:r>
        <w:rPr>
          <w:rFonts w:ascii="Arial" w:cs="Arial" w:eastAsia="Arial" w:hAnsi="Arial"/>
          <w:sz w:val="17"/>
          <w:szCs w:val="17"/>
          <w:color w:val="auto"/>
        </w:rPr>
        <w:t>If you participate in a 401(k) plan sponsored by the company, including the TimkenSteel Corporation Savings and Investment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 xml:space="preserve">Pension Plan, the TimkenSteel Corporation Bargaining Savings and Investment Pension Plan, the TimkenSteel Corporation Voluntary Investment Pension Plan, or the TimkenSteel Corporation Savings Plan for Certain Bargaining Employees, any shares held for your account in the TimkenSteel Stock Fund of the plan will be voted by the trustee for the plan, Bank of America Merrill Lynch, according to confidential voting instructions provided by you. You may give your voting instructions to the plan trustee in any </w:t>
      </w:r>
      <w:r>
        <w:rPr>
          <w:rFonts w:ascii="Arial" w:cs="Arial" w:eastAsia="Arial" w:hAnsi="Arial"/>
          <w:sz w:val="17"/>
          <w:szCs w:val="17"/>
          <w:b w:val="1"/>
          <w:bCs w:val="1"/>
          <w:color w:val="auto"/>
        </w:rPr>
        <w:t>ONE</w:t>
      </w:r>
      <w:r>
        <w:rPr>
          <w:rFonts w:ascii="Arial" w:cs="Arial" w:eastAsia="Arial" w:hAnsi="Arial"/>
          <w:sz w:val="17"/>
          <w:szCs w:val="17"/>
          <w:color w:val="auto"/>
        </w:rPr>
        <w:t xml:space="preserve"> of the three ways set forth above; however, your instructions must be received no later than 6 a.m. EDT on May 2, 2022. If you do not provide timely voting instructions, your shares will be voted by the plan trustee in the same proportion as it votes plan shares for which it did receive timely instructions (subject to applicable law).</w:t>
      </w:r>
    </w:p>
    <w:p>
      <w:pPr>
        <w:spacing w:after="0" w:line="137" w:lineRule="exact"/>
        <w:rPr>
          <w:sz w:val="20"/>
          <w:szCs w:val="20"/>
          <w:color w:val="auto"/>
        </w:rPr>
      </w:pPr>
    </w:p>
    <w:p>
      <w:pPr>
        <w:ind w:left="120" w:right="80"/>
        <w:spacing w:after="0" w:line="288" w:lineRule="auto"/>
        <w:rPr>
          <w:sz w:val="20"/>
          <w:szCs w:val="20"/>
          <w:color w:val="auto"/>
        </w:rPr>
      </w:pPr>
      <w:r>
        <w:rPr>
          <w:rFonts w:ascii="Arial" w:cs="Arial" w:eastAsia="Arial" w:hAnsi="Arial"/>
          <w:sz w:val="16"/>
          <w:szCs w:val="16"/>
          <w:b w:val="1"/>
          <w:bCs w:val="1"/>
          <w:i w:val="1"/>
          <w:iCs w:val="1"/>
          <w:color w:val="auto"/>
        </w:rPr>
        <w:t xml:space="preserve">Beneficial owners/nominee shares. </w:t>
      </w:r>
      <w:r>
        <w:rPr>
          <w:rFonts w:ascii="Arial" w:cs="Arial" w:eastAsia="Arial" w:hAnsi="Arial"/>
          <w:sz w:val="16"/>
          <w:szCs w:val="16"/>
          <w:color w:val="auto"/>
        </w:rPr>
        <w:t>If your shares are held by a broker, bank, or some other nominee, that entity will give you information on how you</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can vote your shares. As the beneficial owner, you have the right to direct your broker, bank or nominee how to vote. Your broker, bank or nominee will provide you with a voting instruction card or some other means for you to use in directing the broker, bank or nominee regarding how to vote your shares. If you do not provide the broker, bank or other nominee with your voting instructions, the broker, bank or other nominee will determine if it has the discretionary authority to vote on the particular matter. Under applicable New York Stock Exchange rules, brokers have the discretion to vote only on any matters deemed by the New York Stock Exchange to be routine, such as the ratification of the selection of the company’s independent auditor (Proposal 2 in this proxy statement). All other matters identified above (Proposals 1 and 3 in this proxy statement) are not considered to be routine matters and your broker will not have discretion to vote on those matters. If you do not provide voting instructions to your broker, your shares will not be voted on any matter for which your broker does not have discretionary authority. When the broker does not vote on a proposal because it is a non-routine item and the broker’s customer has not provided voting instructions, this is referred to as a “broker non-vote.”</w:t>
      </w:r>
    </w:p>
    <w:p>
      <w:pPr>
        <w:spacing w:after="0" w:line="128" w:lineRule="exact"/>
        <w:rPr>
          <w:sz w:val="20"/>
          <w:szCs w:val="20"/>
          <w:color w:val="auto"/>
        </w:rPr>
      </w:pPr>
    </w:p>
    <w:p>
      <w:pPr>
        <w:ind w:left="120" w:right="120"/>
        <w:spacing w:after="0" w:line="257" w:lineRule="auto"/>
        <w:rPr>
          <w:sz w:val="20"/>
          <w:szCs w:val="20"/>
          <w:color w:val="auto"/>
        </w:rPr>
      </w:pPr>
      <w:r>
        <w:rPr>
          <w:rFonts w:ascii="Arial" w:cs="Arial" w:eastAsia="Arial" w:hAnsi="Arial"/>
          <w:sz w:val="18"/>
          <w:szCs w:val="18"/>
          <w:b w:val="1"/>
          <w:bCs w:val="1"/>
          <w:i w:val="1"/>
          <w:iCs w:val="1"/>
          <w:color w:val="auto"/>
        </w:rPr>
        <w:t xml:space="preserve">“In-person” voting. </w:t>
      </w:r>
      <w:r>
        <w:rPr>
          <w:rFonts w:ascii="Arial" w:cs="Arial" w:eastAsia="Arial" w:hAnsi="Arial"/>
          <w:sz w:val="18"/>
          <w:szCs w:val="18"/>
          <w:color w:val="auto"/>
        </w:rPr>
        <w:t>Shareholders who attend the annual meeting “virtually” over the internet may vote during the annual meeting by clicking on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‘Shareholder Ballot’ link located under the ‘Meeting Links’ section of the virtual meeting website. Any shareholder who wants to attend TimkenSteel’s virtual annual meeting must register to participate no later than 10:00 a.m. Eastern time on May 3, 2022. For additional information and instructions regarding registration procedures for both registered and beneficial shareholders, please see “Additional information” in the “Notice of annual meeting of shareholders” included with this proxy statement.</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May I change my vote?</w:t>
      </w:r>
    </w:p>
    <w:p>
      <w:pPr>
        <w:spacing w:after="0" w:line="7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You may change your vote after you submit your proxy by:</w:t>
      </w:r>
    </w:p>
    <w:p>
      <w:pPr>
        <w:spacing w:after="0" w:line="90" w:lineRule="exact"/>
        <w:rPr>
          <w:sz w:val="20"/>
          <w:szCs w:val="20"/>
          <w:color w:val="auto"/>
        </w:rPr>
      </w:pPr>
    </w:p>
    <w:p>
      <w:pPr>
        <w:ind w:left="1080" w:right="120" w:hanging="532"/>
        <w:spacing w:after="0" w:line="277"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sending a written notice addressed to the secretary of the company and received prior to the close of business on May 3, 2022, stating that you want to revoke your proxy;</w:t>
      </w:r>
    </w:p>
    <w:p>
      <w:pPr>
        <w:spacing w:after="0" w:line="35" w:lineRule="exact"/>
        <w:rPr>
          <w:rFonts w:ascii="Arial" w:cs="Arial" w:eastAsia="Arial" w:hAnsi="Arial"/>
          <w:sz w:val="18"/>
          <w:szCs w:val="18"/>
          <w:color w:val="auto"/>
        </w:rPr>
      </w:pPr>
    </w:p>
    <w:p>
      <w:pPr>
        <w:ind w:left="1080" w:right="280" w:hanging="532"/>
        <w:spacing w:after="0" w:line="277"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submitting another completed proxy card to Corporate Election Services that is received by 6 a.m. EDT on May 4, 2022, that has a later date than the previously submitted proxy card;</w:t>
      </w:r>
    </w:p>
    <w:p>
      <w:pPr>
        <w:spacing w:after="0" w:line="107" w:lineRule="exact"/>
        <w:rPr>
          <w:sz w:val="20"/>
          <w:szCs w:val="20"/>
          <w:color w:val="auto"/>
        </w:rPr>
      </w:pPr>
    </w:p>
    <w:p>
      <w:pPr>
        <w:jc w:val="center"/>
        <w:ind w:right="-99"/>
        <w:spacing w:after="0"/>
        <w:rPr>
          <w:sz w:val="20"/>
          <w:szCs w:val="20"/>
          <w:color w:val="auto"/>
        </w:rPr>
      </w:pPr>
      <w:r>
        <w:rPr>
          <w:rFonts w:ascii="Arial" w:cs="Arial" w:eastAsia="Arial" w:hAnsi="Arial"/>
          <w:sz w:val="16"/>
          <w:szCs w:val="16"/>
          <w:color w:val="auto"/>
        </w:rPr>
        <w:t>73</w:t>
      </w:r>
    </w:p>
    <w:p>
      <w:pPr>
        <w:sectPr>
          <w:pgSz w:w="11900" w:h="16838" w:orient="portrait"/>
          <w:cols w:equalWidth="0" w:num="1">
            <w:col w:w="11140"/>
          </w:cols>
          <w:pgMar w:left="320" w:top="459" w:right="4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80" w:right="340" w:hanging="532"/>
        <w:spacing w:after="0" w:line="277"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entering later-dated telephone or internet voting instructions prior to 6 a.m. EDT on May 4, 2022, which will automatically revoke the earlier proxy; or</w:t>
      </w:r>
    </w:p>
    <w:p>
      <w:pPr>
        <w:spacing w:after="0" w:line="35" w:lineRule="exact"/>
        <w:rPr>
          <w:rFonts w:ascii="Arial" w:cs="Arial" w:eastAsia="Arial" w:hAnsi="Arial"/>
          <w:sz w:val="18"/>
          <w:szCs w:val="18"/>
          <w:color w:val="auto"/>
        </w:rPr>
      </w:pPr>
    </w:p>
    <w:p>
      <w:pPr>
        <w:ind w:left="1080" w:right="40" w:hanging="532"/>
        <w:spacing w:after="0" w:line="277"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attending the annual meeting “virtually” over the internet and voting during the annual meeting. The mere presence of a shareholder at the meeting will not automatically revoke any proxy previously given.</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Who counts the votes?</w:t>
      </w:r>
    </w:p>
    <w:p>
      <w:pPr>
        <w:spacing w:after="0" w:line="77" w:lineRule="exact"/>
        <w:rPr>
          <w:sz w:val="20"/>
          <w:szCs w:val="20"/>
          <w:color w:val="auto"/>
        </w:rPr>
      </w:pPr>
    </w:p>
    <w:p>
      <w:pPr>
        <w:ind w:left="120" w:right="20"/>
        <w:spacing w:after="0" w:line="308" w:lineRule="auto"/>
        <w:rPr>
          <w:sz w:val="20"/>
          <w:szCs w:val="20"/>
          <w:color w:val="auto"/>
        </w:rPr>
      </w:pPr>
      <w:r>
        <w:rPr>
          <w:rFonts w:ascii="Arial" w:cs="Arial" w:eastAsia="Arial" w:hAnsi="Arial"/>
          <w:sz w:val="17"/>
          <w:szCs w:val="17"/>
          <w:color w:val="auto"/>
        </w:rPr>
        <w:t>Corporate Election Services will be responsible for tabulating the results of shareholder voting. CES will submit a total vote only, keeping all individual votes confidential. A representative of CES will serve as the inspector of election for the 2022 annual meeting of shareholders.</w:t>
      </w:r>
    </w:p>
    <w:p>
      <w:pPr>
        <w:spacing w:after="0" w:line="10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What is a “quorum”?</w:t>
      </w:r>
    </w:p>
    <w:p>
      <w:pPr>
        <w:spacing w:after="0" w:line="90" w:lineRule="exact"/>
        <w:rPr>
          <w:sz w:val="20"/>
          <w:szCs w:val="20"/>
          <w:color w:val="auto"/>
        </w:rPr>
      </w:pPr>
    </w:p>
    <w:p>
      <w:pPr>
        <w:ind w:left="120" w:right="80"/>
        <w:spacing w:after="0" w:line="301" w:lineRule="auto"/>
        <w:rPr>
          <w:sz w:val="20"/>
          <w:szCs w:val="20"/>
          <w:color w:val="auto"/>
        </w:rPr>
      </w:pPr>
      <w:r>
        <w:rPr>
          <w:rFonts w:ascii="Arial" w:cs="Arial" w:eastAsia="Arial" w:hAnsi="Arial"/>
          <w:sz w:val="16"/>
          <w:szCs w:val="16"/>
          <w:color w:val="auto"/>
        </w:rPr>
        <w:t>A quorum is necessary to hold a valid meeting of shareholders. A quorum exists if the holders of record of shares entitled to exercise not less than 50% of the voting power of the company in respect of any one of the purposes for which the meeting is called are present in person (online) or by proxy. If you vote – including by internet, telephone, or proxy card – your shares will be counted toward the quorum for the annual meeting. Withhold votes for election of directors, proxies marked as abstentions, and broker non-votes also are treated as present for purposes of determining a quorum.</w:t>
      </w:r>
    </w:p>
    <w:p>
      <w:pPr>
        <w:spacing w:after="0" w:line="11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What vote is necessary to pass the items of business at the annual meeting?</w:t>
      </w:r>
    </w:p>
    <w:p>
      <w:pPr>
        <w:spacing w:after="0" w:line="77"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If a quorum is present at the annual meeting, the four nominees for election as directors will be elected if they receive a plurality of the votes cast (meaning that the four director nominees who receive the highest number of shares voted for their election are elected). If you vote, your shares will be voted for election of all of the Board’s director nominees unless you give instructions to “withhold” your vote for one or more of the nominees. Withhold votes and broker non-votes will not count either in favor of or against the election of a nominee. However, pursuant to the majority voting policy of the Board of Directors, any director who receives a greater number of “withhold” votes than votes “for” his or her election in an uncontested election will be required to submit his or her resignation to the Board of Directors promptly after the certification of the election results. See “Proposal 1 – Election of Directors” for additional information.</w:t>
      </w:r>
    </w:p>
    <w:p>
      <w:pPr>
        <w:spacing w:after="0" w:line="168" w:lineRule="exact"/>
        <w:rPr>
          <w:sz w:val="20"/>
          <w:szCs w:val="20"/>
          <w:color w:val="auto"/>
        </w:rPr>
      </w:pPr>
    </w:p>
    <w:p>
      <w:pPr>
        <w:jc w:val="both"/>
        <w:ind w:left="120" w:right="120"/>
        <w:spacing w:after="0" w:line="311" w:lineRule="auto"/>
        <w:rPr>
          <w:sz w:val="20"/>
          <w:szCs w:val="20"/>
          <w:color w:val="auto"/>
        </w:rPr>
      </w:pPr>
      <w:r>
        <w:rPr>
          <w:rFonts w:ascii="Arial" w:cs="Arial" w:eastAsia="Arial" w:hAnsi="Arial"/>
          <w:sz w:val="16"/>
          <w:szCs w:val="16"/>
          <w:color w:val="auto"/>
        </w:rPr>
        <w:t>The affirmative vote of a majority of the votes cast on the proposal is required for Proposal 2, ratification of the selection of Ernst &amp; Young LLP as the company’s independent auditor. In determining whether this proposal has received the affirmative vote of a majority of the votes cast on the proposal, abstentions and broker non-votes are not considered votes cast and, therefore, will not count either in favor of or against the proposal.</w:t>
      </w:r>
    </w:p>
    <w:p>
      <w:pPr>
        <w:spacing w:after="0" w:line="108" w:lineRule="exact"/>
        <w:rPr>
          <w:sz w:val="20"/>
          <w:szCs w:val="20"/>
          <w:color w:val="auto"/>
        </w:rPr>
      </w:pPr>
    </w:p>
    <w:p>
      <w:pPr>
        <w:ind w:left="120" w:right="80"/>
        <w:spacing w:after="0" w:line="257" w:lineRule="auto"/>
        <w:rPr>
          <w:sz w:val="20"/>
          <w:szCs w:val="20"/>
          <w:color w:val="auto"/>
        </w:rPr>
      </w:pPr>
      <w:r>
        <w:rPr>
          <w:rFonts w:ascii="Arial" w:cs="Arial" w:eastAsia="Arial" w:hAnsi="Arial"/>
          <w:sz w:val="18"/>
          <w:szCs w:val="18"/>
          <w:color w:val="auto"/>
        </w:rPr>
        <w:t>The shareholder vote on Proposal 3, approval of the compensation of the company’s named executive officers, is advisory in nature and therefore not binding on the company. Although the approval of named executive officer compensation is an advisory vote, the Board of Directors and the Compensation Committee will consider the affirmative vote of a majority of the votes cast on this proposal as approval of the compensation paid to the company’s named executive officers. Abstentions and broker non-votes are not considered votes cast and, therefore, will not count either in favor of or against the proposal.</w:t>
      </w:r>
    </w:p>
    <w:p>
      <w:pPr>
        <w:spacing w:after="0" w:line="14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How will voting on any other business be conducted?</w:t>
      </w:r>
    </w:p>
    <w:p>
      <w:pPr>
        <w:spacing w:after="0" w:line="90" w:lineRule="exact"/>
        <w:rPr>
          <w:sz w:val="20"/>
          <w:szCs w:val="20"/>
          <w:color w:val="auto"/>
        </w:rPr>
      </w:pPr>
    </w:p>
    <w:p>
      <w:pPr>
        <w:jc w:val="both"/>
        <w:ind w:left="120" w:right="60"/>
        <w:spacing w:after="0" w:line="263" w:lineRule="auto"/>
        <w:rPr>
          <w:sz w:val="20"/>
          <w:szCs w:val="20"/>
          <w:color w:val="auto"/>
        </w:rPr>
      </w:pPr>
      <w:r>
        <w:rPr>
          <w:rFonts w:ascii="Arial" w:cs="Arial" w:eastAsia="Arial" w:hAnsi="Arial"/>
          <w:sz w:val="18"/>
          <w:szCs w:val="18"/>
          <w:color w:val="auto"/>
        </w:rPr>
        <w:t>The company does not know of any business or proposals to be considered at the annual meeting other than the items described in this proxy statement. If any other business is properly brought before the meeting, the properly submitted proxies received from you and other shareholders give the persons voting the proxies the authority to vote on the matter according to their judgment.</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Who is soliciting proxies?</w:t>
      </w:r>
    </w:p>
    <w:p>
      <w:pPr>
        <w:spacing w:after="0" w:line="7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enclosed proxy is being solicited by the Board of Directors of the company, and the company will pay the cost of the solicitation.</w:t>
      </w:r>
    </w:p>
    <w:p>
      <w:pPr>
        <w:spacing w:after="0" w:line="225" w:lineRule="exact"/>
        <w:rPr>
          <w:sz w:val="20"/>
          <w:szCs w:val="20"/>
          <w:color w:val="auto"/>
        </w:rPr>
      </w:pPr>
    </w:p>
    <w:p>
      <w:pPr>
        <w:ind w:left="120" w:right="240"/>
        <w:spacing w:after="0" w:line="263" w:lineRule="auto"/>
        <w:rPr>
          <w:sz w:val="20"/>
          <w:szCs w:val="20"/>
          <w:color w:val="auto"/>
        </w:rPr>
      </w:pPr>
      <w:r>
        <w:rPr>
          <w:rFonts w:ascii="Arial" w:cs="Arial" w:eastAsia="Arial" w:hAnsi="Arial"/>
          <w:sz w:val="18"/>
          <w:szCs w:val="18"/>
          <w:color w:val="auto"/>
        </w:rPr>
        <w:t>We have retained Innisfree M&amp;A Incorporated to assist in the solicitation of proxies for a fee of $17,500, plus reasonable out-of-pocket expenses. Solicitations may be made by any means of communication. It is anticipated that the solicitations will consist primarily of requests to brokers, banks, trustees, nominees and fiduciaries to forward the</w:t>
      </w:r>
    </w:p>
    <w:p>
      <w:pPr>
        <w:spacing w:after="0" w:line="121" w:lineRule="exact"/>
        <w:rPr>
          <w:sz w:val="20"/>
          <w:szCs w:val="20"/>
          <w:color w:val="auto"/>
        </w:rPr>
      </w:pPr>
    </w:p>
    <w:p>
      <w:pPr>
        <w:jc w:val="center"/>
        <w:ind w:right="-159"/>
        <w:spacing w:after="0"/>
        <w:rPr>
          <w:sz w:val="20"/>
          <w:szCs w:val="20"/>
          <w:color w:val="auto"/>
        </w:rPr>
      </w:pPr>
      <w:r>
        <w:rPr>
          <w:rFonts w:ascii="Arial" w:cs="Arial" w:eastAsia="Arial" w:hAnsi="Arial"/>
          <w:sz w:val="16"/>
          <w:szCs w:val="16"/>
          <w:color w:val="auto"/>
        </w:rPr>
        <w:t>74</w:t>
      </w:r>
    </w:p>
    <w:p>
      <w:pPr>
        <w:sectPr>
          <w:pgSz w:w="11900" w:h="16838" w:orient="portrait"/>
          <w:cols w:equalWidth="0" w:num="1">
            <w:col w:w="11080"/>
          </w:cols>
          <w:pgMar w:left="320" w:top="459" w:right="49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60"/>
        <w:spacing w:after="0" w:line="277" w:lineRule="auto"/>
        <w:rPr>
          <w:sz w:val="20"/>
          <w:szCs w:val="20"/>
          <w:color w:val="auto"/>
        </w:rPr>
      </w:pPr>
      <w:r>
        <w:rPr>
          <w:rFonts w:ascii="Arial" w:cs="Arial" w:eastAsia="Arial" w:hAnsi="Arial"/>
          <w:sz w:val="18"/>
          <w:szCs w:val="18"/>
          <w:color w:val="auto"/>
        </w:rPr>
        <w:t>soliciting material to the beneficial owners of shares held of record by those persons. The company will reimburse brokers and other persons holding shares for others for their reasonable expenses in sending soliciting material to the beneficial owners.</w:t>
      </w:r>
    </w:p>
    <w:p>
      <w:pPr>
        <w:spacing w:after="0" w:line="143" w:lineRule="exact"/>
        <w:rPr>
          <w:sz w:val="20"/>
          <w:szCs w:val="20"/>
          <w:color w:val="auto"/>
        </w:rPr>
      </w:pPr>
    </w:p>
    <w:p>
      <w:pPr>
        <w:ind w:left="120" w:right="340"/>
        <w:spacing w:after="0" w:line="308" w:lineRule="auto"/>
        <w:rPr>
          <w:sz w:val="20"/>
          <w:szCs w:val="20"/>
          <w:color w:val="auto"/>
        </w:rPr>
      </w:pPr>
      <w:r>
        <w:rPr>
          <w:rFonts w:ascii="Arial" w:cs="Arial" w:eastAsia="Arial" w:hAnsi="Arial"/>
          <w:sz w:val="17"/>
          <w:szCs w:val="17"/>
          <w:color w:val="auto"/>
        </w:rPr>
        <w:t>In addition, certain officers and other employees of the company may, without extra remuneration, solicit the return of proxies. Solicitations may be made by any means of communication, including by telephone, letter, personal visit, electronic mail or other electronic means.</w:t>
      </w:r>
    </w:p>
    <w:p>
      <w:pPr>
        <w:spacing w:after="0" w:line="10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When are shareholder proposals due for the next annual meeting?</w:t>
      </w:r>
    </w:p>
    <w:p>
      <w:pPr>
        <w:spacing w:after="0" w:line="77"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We must receive by November 17, 2022, any proposal of our shareholders intended to be presented at the 2023 annual meeting of shareholders and to be included in our proxy materials related to the 2023 annual meeting of shareholders pursuant to Rule 14a-8 under the Exchange Act. Such proposals should be submitted to our principal executive offices by certified mail, return receipt requested.</w:t>
      </w:r>
    </w:p>
    <w:p>
      <w:pPr>
        <w:spacing w:after="0" w:line="157" w:lineRule="exact"/>
        <w:rPr>
          <w:sz w:val="20"/>
          <w:szCs w:val="20"/>
          <w:color w:val="auto"/>
        </w:rPr>
      </w:pPr>
    </w:p>
    <w:p>
      <w:pPr>
        <w:ind w:left="120" w:right="100"/>
        <w:spacing w:after="0" w:line="287" w:lineRule="auto"/>
        <w:rPr>
          <w:sz w:val="20"/>
          <w:szCs w:val="20"/>
          <w:color w:val="auto"/>
        </w:rPr>
      </w:pPr>
      <w:r>
        <w:rPr>
          <w:rFonts w:ascii="Arial" w:cs="Arial" w:eastAsia="Arial" w:hAnsi="Arial"/>
          <w:sz w:val="16"/>
          <w:szCs w:val="16"/>
          <w:color w:val="auto"/>
        </w:rPr>
        <w:t>A shareholder submitting a proposal or director nominee outside the processes of Rule 14a-8 in connection with the 2023 annual meeting of shareholders (“Non-Rule 14a-8 Proposals”) must submit written notice of such proposal or nominee in accordance with Article I, Sections 12 or 13, as applicable, and 14 of our Code of Regulations. In general, to be timely, a shareholder’s notice must be delivered to or mailed and received by our secretary at our principal executive offices not less than 90 nor more than 120 days prior to the first anniversary of the date on which the company held the preceding year’s annual meeting of shareholders. To be considered timely, we must receive any Non-Rule 14a-8 Proposals for the 2023 annual meeting of shareholders no earlier than January 4, 2023 and no later than February 3, 2023. If the date of the 2023 annual meeting of shareholders is scheduled for a date more than 30 days prior to or more than 30 days after the first anniversary of the 2022 annual meeting of shareholders, then a shareholder’s notice must be delivered to our secretary at our principal executive offices not later than the close of business on the later of the 90</w:t>
      </w:r>
      <w:r>
        <w:rPr>
          <w:rFonts w:ascii="Arial" w:cs="Arial" w:eastAsia="Arial" w:hAnsi="Arial"/>
          <w:sz w:val="13"/>
          <w:szCs w:val="13"/>
          <w:color w:val="auto"/>
        </w:rPr>
        <w:t>th</w:t>
      </w:r>
      <w:r>
        <w:rPr>
          <w:rFonts w:ascii="Arial" w:cs="Arial" w:eastAsia="Arial" w:hAnsi="Arial"/>
          <w:sz w:val="16"/>
          <w:szCs w:val="16"/>
          <w:color w:val="auto"/>
        </w:rPr>
        <w:t xml:space="preserve"> day prior to the 2023 annual meeting of shareholders or the 10</w:t>
      </w:r>
      <w:r>
        <w:rPr>
          <w:rFonts w:ascii="Arial" w:cs="Arial" w:eastAsia="Arial" w:hAnsi="Arial"/>
          <w:sz w:val="13"/>
          <w:szCs w:val="13"/>
          <w:color w:val="auto"/>
        </w:rPr>
        <w:t>th</w:t>
      </w:r>
      <w:r>
        <w:rPr>
          <w:rFonts w:ascii="Arial" w:cs="Arial" w:eastAsia="Arial" w:hAnsi="Arial"/>
          <w:sz w:val="16"/>
          <w:szCs w:val="16"/>
          <w:color w:val="auto"/>
        </w:rPr>
        <w:t xml:space="preserve"> day following the day on which public announcement of the date of the 2023 annual meeting of shareholders is first made. Our proxy related to the 2023 annual meeting of shareholders will give discretionary authority to the proxy holders to vote with respect to all Non-Rule 14a-8 Proposals received by us after February 3, 2023.</w:t>
      </w:r>
    </w:p>
    <w:p>
      <w:pPr>
        <w:spacing w:after="0" w:line="131"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auto"/>
        </w:rPr>
        <w:t>To comply with the universal proxy rules (once effective), shareholders who intend to solicit proxies in support of director nominees other than our nominees must provide notice that sets forth the information required by Rule 14a-19 under the Exchange Act no later than March 5, 2023. Such notice may be mailed to the Corporate Secretary at the address above or emailed to ir@timkensteel.com.</w:t>
      </w:r>
    </w:p>
    <w:p>
      <w:pPr>
        <w:spacing w:after="0" w:line="14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How can a shareholder or other interested party communicate with the Board of Directors?</w:t>
      </w:r>
    </w:p>
    <w:p>
      <w:pPr>
        <w:spacing w:after="0" w:line="90" w:lineRule="exact"/>
        <w:rPr>
          <w:sz w:val="20"/>
          <w:szCs w:val="20"/>
          <w:color w:val="auto"/>
        </w:rPr>
      </w:pPr>
    </w:p>
    <w:p>
      <w:pPr>
        <w:ind w:left="120" w:right="100"/>
        <w:spacing w:after="0" w:line="301" w:lineRule="auto"/>
        <w:rPr>
          <w:sz w:val="20"/>
          <w:szCs w:val="20"/>
          <w:color w:val="auto"/>
        </w:rPr>
      </w:pPr>
      <w:r>
        <w:rPr>
          <w:rFonts w:ascii="Arial" w:cs="Arial" w:eastAsia="Arial" w:hAnsi="Arial"/>
          <w:sz w:val="16"/>
          <w:szCs w:val="16"/>
          <w:color w:val="auto"/>
        </w:rPr>
        <w:t>Shareholders or interested parties may send communications to the Board of Directors, to any standing committee of the Board, or to any director, in writing c/o TimkenSteel Corporation, Attn: Secretary, 1835 Dueber Ave. S.W., Canton, Ohio 44706. Shareholders or interested parties also may submit questions, concerns or reports of misconduct through the TimkenSteel HelpLine at 1-855-754-2921 (anonymously, if so desired). Communications received may be reviewed by the office of the General Counsel to ensure appropriate and careful consideration of the matter.</w:t>
      </w:r>
    </w:p>
    <w:p>
      <w:pPr>
        <w:spacing w:after="0" w:line="94"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75</w:t>
      </w:r>
    </w:p>
    <w:p>
      <w:pPr>
        <w:sectPr>
          <w:pgSz w:w="11900" w:h="16838" w:orient="portrait"/>
          <w:cols w:equalWidth="0" w:num="1">
            <w:col w:w="11100"/>
          </w:cols>
          <w:pgMar w:left="320" w:top="459" w:right="47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Delinquent Section 16(a) reports</w:t>
      </w:r>
    </w:p>
    <w:p>
      <w:pPr>
        <w:spacing w:after="0" w:line="207" w:lineRule="exact"/>
        <w:rPr>
          <w:sz w:val="20"/>
          <w:szCs w:val="20"/>
          <w:color w:val="auto"/>
        </w:rPr>
      </w:pPr>
    </w:p>
    <w:p>
      <w:pPr>
        <w:ind w:left="120" w:right="140"/>
        <w:spacing w:after="0" w:line="263" w:lineRule="auto"/>
        <w:rPr>
          <w:sz w:val="20"/>
          <w:szCs w:val="20"/>
          <w:color w:val="auto"/>
        </w:rPr>
      </w:pPr>
      <w:r>
        <w:rPr>
          <w:rFonts w:ascii="Arial" w:cs="Arial" w:eastAsia="Arial" w:hAnsi="Arial"/>
          <w:sz w:val="18"/>
          <w:szCs w:val="18"/>
          <w:color w:val="auto"/>
        </w:rPr>
        <w:t>Section 16(a) of the Exchange Act requires our executive officers and Directors, and persons who own more than 10% of our common shares, to file reports of ownership and changes in ownership with the SEC and the New York Stock Exchange, and to provide us with copies of such reports. We are required to disclose any failure by any of the above-mentioned persons to file timely Section 16 reports.</w:t>
      </w:r>
    </w:p>
    <w:p>
      <w:pPr>
        <w:spacing w:after="0" w:line="143" w:lineRule="exact"/>
        <w:rPr>
          <w:sz w:val="20"/>
          <w:szCs w:val="20"/>
          <w:color w:val="auto"/>
        </w:rPr>
      </w:pPr>
    </w:p>
    <w:p>
      <w:pPr>
        <w:ind w:left="120"/>
        <w:spacing w:after="0" w:line="296" w:lineRule="auto"/>
        <w:rPr>
          <w:sz w:val="20"/>
          <w:szCs w:val="20"/>
          <w:color w:val="auto"/>
        </w:rPr>
      </w:pPr>
      <w:r>
        <w:rPr>
          <w:rFonts w:ascii="Arial" w:cs="Arial" w:eastAsia="Arial" w:hAnsi="Arial"/>
          <w:sz w:val="16"/>
          <w:szCs w:val="16"/>
          <w:color w:val="auto"/>
        </w:rPr>
        <w:t>Due to an administrative error, 2,162 common shares beneficially owned by Kevin A. Raketich were inadvertently omitted from the Form 3 filed for Mr. Raketich on May 10, 2021. Promptly upon discovery of the error, an amended Form 3 was filed on December 10, 2021, reporting the common shares beneficially owned by Mr. Raketich including the previously omitted shares. With the exception of the foregoing, based solely upon our review of reports filed with the SEC and written representations that no forms were required to be filed, we are not aware of any instances of noncompliance, or late compliance, with Section 16 filings during the year ended December 31, 2021 by our executive officers, Directors or 10% shareholders.</w:t>
      </w:r>
    </w:p>
    <w:p>
      <w:pPr>
        <w:spacing w:after="0" w:line="193"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General information</w:t>
      </w:r>
    </w:p>
    <w:p>
      <w:pPr>
        <w:spacing w:after="0" w:line="194" w:lineRule="exact"/>
        <w:rPr>
          <w:sz w:val="20"/>
          <w:szCs w:val="20"/>
          <w:color w:val="auto"/>
        </w:rPr>
      </w:pPr>
    </w:p>
    <w:p>
      <w:pPr>
        <w:ind w:left="120" w:right="140"/>
        <w:spacing w:after="0" w:line="270" w:lineRule="auto"/>
        <w:rPr>
          <w:sz w:val="20"/>
          <w:szCs w:val="20"/>
          <w:color w:val="auto"/>
        </w:rPr>
      </w:pPr>
      <w:r>
        <w:rPr>
          <w:rFonts w:ascii="Arial" w:cs="Arial" w:eastAsia="Arial" w:hAnsi="Arial"/>
          <w:sz w:val="17"/>
          <w:szCs w:val="17"/>
          <w:color w:val="auto"/>
        </w:rPr>
        <w:t>The SEC permits companies to send a single set of annual disclosure documents to any household at which two or more shareholders reside, unless contrary instructions have been received, but only if the companies provide advance notice and follow certain procedures. In such cases, such shareholders continue to receive a separate notice of the meeting and proxy card. This “householding” process reduces the volume of duplicate information and reduces printing and mailing expenses. TimkenSteel has not instituted householding for shareholders of record; however, a number of brokerage firms may have instituted householding for beneficial owners of our common shares held through such brokerage firms. If your family has multiple accounts holding common shares, you already may have received a householding notification from your broker. Please contact your broker directly if you have any questions or require additional copies of the annual disclosure documents. The broker will arrange for delivery of a separate copy of this proxy statement or our Annual Report on Form 10-K for the year ended December 31, 2021, promptly upon your request. You may decide at any time to revoke your decision to household and thereby receive multiple copies.</w:t>
      </w:r>
    </w:p>
    <w:p>
      <w:pPr>
        <w:spacing w:after="0" w:line="177" w:lineRule="exact"/>
        <w:rPr>
          <w:sz w:val="20"/>
          <w:szCs w:val="20"/>
          <w:color w:val="auto"/>
        </w:rPr>
      </w:pPr>
    </w:p>
    <w:p>
      <w:pPr>
        <w:jc w:val="center"/>
        <w:ind w:left="1260" w:right="2240"/>
        <w:spacing w:after="0" w:line="266" w:lineRule="auto"/>
        <w:rPr>
          <w:sz w:val="20"/>
          <w:szCs w:val="20"/>
          <w:color w:val="auto"/>
        </w:rPr>
      </w:pPr>
      <w:r>
        <w:rPr>
          <w:rFonts w:ascii="Arial" w:cs="Arial" w:eastAsia="Arial" w:hAnsi="Arial"/>
          <w:sz w:val="18"/>
          <w:szCs w:val="18"/>
          <w:b w:val="1"/>
          <w:bCs w:val="1"/>
          <w:color w:val="auto"/>
        </w:rPr>
        <w:t>Unless you specify otherwise in your voting instructions, the proxy holders will vote properly submitted proxies for each of the nominees named in Proposal 1, and for Proposals 2 and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1513840</wp:posOffset>
            </wp:positionH>
            <wp:positionV relativeFrom="paragraph">
              <wp:posOffset>-390525</wp:posOffset>
            </wp:positionV>
            <wp:extent cx="342900" cy="3429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342900" cy="342900"/>
                    </a:xfrm>
                    <a:prstGeom prst="rect">
                      <a:avLst/>
                    </a:prstGeom>
                    <a:noFill/>
                  </pic:spPr>
                </pic:pic>
              </a:graphicData>
            </a:graphic>
          </wp:anchor>
        </w:drawing>
      </w:r>
    </w:p>
    <w:p>
      <w:pPr>
        <w:spacing w:after="0" w:line="97"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76</w:t>
      </w:r>
    </w:p>
    <w:p>
      <w:pPr>
        <w:sectPr>
          <w:pgSz w:w="11900" w:h="16838" w:orient="portrait"/>
          <w:cols w:equalWidth="0" w:num="1">
            <w:col w:w="11120"/>
          </w:cols>
          <w:pgMar w:left="320" w:top="459" w:right="45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80"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Appendix A</w:t>
      </w:r>
    </w:p>
    <w:p>
      <w:pPr>
        <w:spacing w:after="0" w:line="203" w:lineRule="exact"/>
        <w:rPr>
          <w:sz w:val="20"/>
          <w:szCs w:val="20"/>
          <w:color w:val="auto"/>
        </w:rPr>
      </w:pPr>
    </w:p>
    <w:p>
      <w:pPr>
        <w:ind w:left="120"/>
        <w:spacing w:after="0"/>
        <w:rPr>
          <w:sz w:val="20"/>
          <w:szCs w:val="20"/>
          <w:color w:val="auto"/>
        </w:rPr>
      </w:pPr>
      <w:r>
        <w:rPr>
          <w:rFonts w:ascii="Arial" w:cs="Arial" w:eastAsia="Arial" w:hAnsi="Arial"/>
          <w:sz w:val="54"/>
          <w:szCs w:val="54"/>
          <w:b w:val="1"/>
          <w:bCs w:val="1"/>
          <w:color w:val="auto"/>
        </w:rPr>
        <w:t>Non-GAAP financial measures</w:t>
      </w:r>
    </w:p>
    <w:p>
      <w:pPr>
        <w:spacing w:after="0" w:line="218" w:lineRule="exact"/>
        <w:rPr>
          <w:sz w:val="20"/>
          <w:szCs w:val="20"/>
          <w:color w:val="auto"/>
        </w:rPr>
      </w:pPr>
    </w:p>
    <w:p>
      <w:pPr>
        <w:ind w:left="120" w:right="100"/>
        <w:spacing w:after="0" w:line="279" w:lineRule="auto"/>
        <w:rPr>
          <w:sz w:val="20"/>
          <w:szCs w:val="20"/>
          <w:color w:val="auto"/>
        </w:rPr>
      </w:pPr>
      <w:r>
        <w:rPr>
          <w:rFonts w:ascii="Arial" w:cs="Arial" w:eastAsia="Arial" w:hAnsi="Arial"/>
          <w:sz w:val="17"/>
          <w:szCs w:val="17"/>
          <w:color w:val="auto"/>
        </w:rPr>
        <w:t>This proxy statement includes references to Adjusted EBITDA, which is a non-GAAP financial measure as defined by the Securities and Exchange Commission. Adjusted EBITDA is an important financial measure used in the management of the business, including decisions concerning the allocation of resources and assessment of performance. Management believes that reporting Adjusted EBITDA is useful to investors as this measure is representative of the company’s performance and provides improved comparability of results.</w:t>
      </w:r>
    </w:p>
    <w:p>
      <w:pPr>
        <w:spacing w:after="0" w:line="131" w:lineRule="exact"/>
        <w:rPr>
          <w:sz w:val="20"/>
          <w:szCs w:val="20"/>
          <w:color w:val="auto"/>
        </w:rPr>
      </w:pPr>
    </w:p>
    <w:p>
      <w:pPr>
        <w:ind w:left="120"/>
        <w:spacing w:after="0" w:line="279" w:lineRule="auto"/>
        <w:rPr>
          <w:sz w:val="20"/>
          <w:szCs w:val="20"/>
          <w:color w:val="auto"/>
        </w:rPr>
      </w:pPr>
      <w:r>
        <w:rPr>
          <w:rFonts w:ascii="Arial" w:cs="Arial" w:eastAsia="Arial" w:hAnsi="Arial"/>
          <w:sz w:val="17"/>
          <w:szCs w:val="17"/>
          <w:color w:val="auto"/>
        </w:rPr>
        <w:t>Non-GAAP financial measures should be viewed as additions to, and not as alternatives for, TimkenSteel’s results prepared in accordance with GAAP. In addition, the non-GAAP measures TimkenSteel uses may differ from non-GAAP measures used by other companies, and other companies may not define the non-GAAP measures TimkenSteel uses in the same way. See the following table for a definition of the non-GAAP financial measure referred to above and a reconciliation of this non-GAAP financial measure to the most comparable GAAP financial measure.</w:t>
      </w:r>
    </w:p>
    <w:p>
      <w:pPr>
        <w:spacing w:after="0" w:line="108" w:lineRule="exact"/>
        <w:rPr>
          <w:sz w:val="20"/>
          <w:szCs w:val="20"/>
          <w:color w:val="auto"/>
        </w:rPr>
      </w:pPr>
    </w:p>
    <w:p>
      <w:pPr>
        <w:jc w:val="center"/>
        <w:ind w:right="-199"/>
        <w:spacing w:after="0"/>
        <w:rPr>
          <w:sz w:val="20"/>
          <w:szCs w:val="20"/>
          <w:color w:val="auto"/>
        </w:rPr>
      </w:pPr>
      <w:r>
        <w:rPr>
          <w:rFonts w:ascii="Arial" w:cs="Arial" w:eastAsia="Arial" w:hAnsi="Arial"/>
          <w:sz w:val="16"/>
          <w:szCs w:val="16"/>
          <w:color w:val="auto"/>
        </w:rPr>
        <w:t>A-1</w:t>
      </w:r>
    </w:p>
    <w:p>
      <w:pPr>
        <w:sectPr>
          <w:pgSz w:w="11900" w:h="16838" w:orient="portrait"/>
          <w:cols w:equalWidth="0" w:num="1">
            <w:col w:w="11060"/>
          </w:cols>
          <w:pgMar w:left="320" w:top="459" w:right="51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right="160"/>
        <w:spacing w:after="0" w:line="282" w:lineRule="auto"/>
        <w:rPr>
          <w:sz w:val="20"/>
          <w:szCs w:val="20"/>
          <w:color w:val="auto"/>
        </w:rPr>
      </w:pPr>
      <w:r>
        <w:rPr>
          <w:rFonts w:ascii="Arial" w:cs="Arial" w:eastAsia="Arial" w:hAnsi="Arial"/>
          <w:sz w:val="18"/>
          <w:szCs w:val="18"/>
          <w:b w:val="1"/>
          <w:bCs w:val="1"/>
          <w:color w:val="auto"/>
        </w:rPr>
        <w:t>Reconciliation of Earnings (Loss) Before Interest and Taxes (EBIT)</w:t>
      </w:r>
      <w:r>
        <w:rPr>
          <w:rFonts w:ascii="Arial" w:cs="Arial" w:eastAsia="Arial" w:hAnsi="Arial"/>
          <w:sz w:val="15"/>
          <w:szCs w:val="15"/>
          <w:b w:val="1"/>
          <w:bCs w:val="1"/>
          <w:color w:val="auto"/>
        </w:rPr>
        <w:t>(1)</w:t>
      </w:r>
      <w:r>
        <w:rPr>
          <w:rFonts w:ascii="Arial" w:cs="Arial" w:eastAsia="Arial" w:hAnsi="Arial"/>
          <w:sz w:val="18"/>
          <w:szCs w:val="18"/>
          <w:b w:val="1"/>
          <w:bCs w:val="1"/>
          <w:color w:val="auto"/>
        </w:rPr>
        <w:t>, Adjusted EBIT</w:t>
      </w:r>
      <w:r>
        <w:rPr>
          <w:rFonts w:ascii="Arial" w:cs="Arial" w:eastAsia="Arial" w:hAnsi="Arial"/>
          <w:sz w:val="15"/>
          <w:szCs w:val="15"/>
          <w:b w:val="1"/>
          <w:bCs w:val="1"/>
          <w:color w:val="auto"/>
        </w:rPr>
        <w:t>(3)</w:t>
      </w:r>
      <w:r>
        <w:rPr>
          <w:rFonts w:ascii="Arial" w:cs="Arial" w:eastAsia="Arial" w:hAnsi="Arial"/>
          <w:sz w:val="18"/>
          <w:szCs w:val="18"/>
          <w:b w:val="1"/>
          <w:bCs w:val="1"/>
          <w:color w:val="auto"/>
        </w:rPr>
        <w:t>, Earnings (Loss) Before Interest, Taxes, Depreciation and Amortization (EBITDA)</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and Adjusted EBITDA</w:t>
      </w:r>
      <w:r>
        <w:rPr>
          <w:rFonts w:ascii="Arial" w:cs="Arial" w:eastAsia="Arial" w:hAnsi="Arial"/>
          <w:sz w:val="15"/>
          <w:szCs w:val="15"/>
          <w:b w:val="1"/>
          <w:bCs w:val="1"/>
          <w:color w:val="auto"/>
        </w:rPr>
        <w:t>(4)</w:t>
      </w:r>
      <w:r>
        <w:rPr>
          <w:rFonts w:ascii="Arial" w:cs="Arial" w:eastAsia="Arial" w:hAnsi="Arial"/>
          <w:sz w:val="18"/>
          <w:szCs w:val="18"/>
          <w:b w:val="1"/>
          <w:bCs w:val="1"/>
          <w:color w:val="auto"/>
        </w:rPr>
        <w:t xml:space="preserve"> to GAAP Net Income (Loss):</w:t>
      </w:r>
    </w:p>
    <w:p>
      <w:pPr>
        <w:spacing w:after="0" w:line="139" w:lineRule="exact"/>
        <w:rPr>
          <w:sz w:val="20"/>
          <w:szCs w:val="20"/>
          <w:color w:val="auto"/>
        </w:rPr>
      </w:pPr>
    </w:p>
    <w:p>
      <w:pPr>
        <w:ind w:left="120" w:right="200"/>
        <w:spacing w:after="0" w:line="257" w:lineRule="auto"/>
        <w:rPr>
          <w:sz w:val="20"/>
          <w:szCs w:val="20"/>
          <w:color w:val="auto"/>
        </w:rPr>
      </w:pPr>
      <w:r>
        <w:rPr>
          <w:rFonts w:ascii="Arial" w:cs="Arial" w:eastAsia="Arial" w:hAnsi="Arial"/>
          <w:sz w:val="18"/>
          <w:szCs w:val="18"/>
          <w:color w:val="auto"/>
        </w:rPr>
        <w:t>This reconciliation is provided as additional relevant information about the company’s performance. EBIT, Adjusted EBIT, EBITDA and Adjusted EBITDA are important financial measures used in the management of the business, including decisions concerning the allocation of resources and assessment of performance. Management believes that reporting EBIT, Adjusted EBIT, EBITDA and Adjusted EBITDA is useful to investors as these measures are representative of the company’s performance. Management also believes that it is appropriate to compare GAAP net income (loss) to EBIT, Adjusted EBIT, EBITDA and Adjusted EBITDA.</w:t>
      </w:r>
    </w:p>
    <w:p>
      <w:pPr>
        <w:spacing w:after="0" w:line="182" w:lineRule="exact"/>
        <w:rPr>
          <w:sz w:val="20"/>
          <w:szCs w:val="20"/>
          <w:color w:val="auto"/>
        </w:rPr>
      </w:pPr>
    </w:p>
    <w:tbl>
      <w:tblPr>
        <w:tblLayout w:type="fixed"/>
        <w:tblInd w:w="120" w:type="dxa"/>
        <w:tblCellMar>
          <w:top w:w="0" w:type="dxa"/>
          <w:left w:w="0" w:type="dxa"/>
          <w:bottom w:w="0" w:type="dxa"/>
          <w:right w:w="0" w:type="dxa"/>
        </w:tblCellMar>
      </w:tblPr>
      <w:tr>
        <w:trPr>
          <w:trHeight w:val="211"/>
        </w:trPr>
        <w:tc>
          <w:tcPr>
            <w:tcW w:w="6940" w:type="dxa"/>
            <w:vAlign w:val="bottom"/>
            <w:tcBorders>
              <w:top w:val="single" w:sz="8" w:color="auto"/>
            </w:tcBorders>
          </w:tcPr>
          <w:p>
            <w:pPr>
              <w:spacing w:after="0"/>
              <w:rPr>
                <w:sz w:val="18"/>
                <w:szCs w:val="18"/>
                <w:color w:val="auto"/>
              </w:rPr>
            </w:pPr>
          </w:p>
        </w:tc>
        <w:tc>
          <w:tcPr>
            <w:tcW w:w="1720" w:type="dxa"/>
            <w:vAlign w:val="bottom"/>
            <w:tcBorders>
              <w:top w:val="single" w:sz="8" w:color="auto"/>
            </w:tcBorders>
          </w:tcPr>
          <w:p>
            <w:pPr>
              <w:spacing w:after="0"/>
              <w:rPr>
                <w:sz w:val="18"/>
                <w:szCs w:val="18"/>
                <w:color w:val="auto"/>
              </w:rPr>
            </w:pPr>
          </w:p>
        </w:tc>
        <w:tc>
          <w:tcPr>
            <w:tcW w:w="132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90"/>
              </w:rPr>
              <w:t>Year Ended</w:t>
            </w:r>
          </w:p>
        </w:tc>
        <w:tc>
          <w:tcPr>
            <w:tcW w:w="1040" w:type="dxa"/>
            <w:vAlign w:val="bottom"/>
            <w:tcBorders>
              <w:top w:val="single" w:sz="8" w:color="auto"/>
            </w:tcBorders>
          </w:tcPr>
          <w:p>
            <w:pPr>
              <w:spacing w:after="0"/>
              <w:rPr>
                <w:sz w:val="18"/>
                <w:szCs w:val="18"/>
                <w:color w:val="auto"/>
              </w:rPr>
            </w:pPr>
          </w:p>
        </w:tc>
      </w:tr>
      <w:tr>
        <w:trPr>
          <w:trHeight w:val="234"/>
        </w:trPr>
        <w:tc>
          <w:tcPr>
            <w:tcW w:w="6940" w:type="dxa"/>
            <w:vAlign w:val="bottom"/>
          </w:tcPr>
          <w:p>
            <w:pPr>
              <w:spacing w:after="0"/>
              <w:rPr>
                <w:sz w:val="20"/>
                <w:szCs w:val="20"/>
                <w:color w:val="auto"/>
              </w:rPr>
            </w:pPr>
          </w:p>
        </w:tc>
        <w:tc>
          <w:tcPr>
            <w:tcW w:w="1720" w:type="dxa"/>
            <w:vAlign w:val="bottom"/>
          </w:tcPr>
          <w:p>
            <w:pPr>
              <w:spacing w:after="0"/>
              <w:rPr>
                <w:sz w:val="20"/>
                <w:szCs w:val="20"/>
                <w:color w:val="auto"/>
              </w:rPr>
            </w:pPr>
          </w:p>
        </w:tc>
        <w:tc>
          <w:tcPr>
            <w:tcW w:w="1320" w:type="dxa"/>
            <w:vAlign w:val="bottom"/>
          </w:tcPr>
          <w:p>
            <w:pPr>
              <w:jc w:val="center"/>
              <w:spacing w:after="0"/>
              <w:rPr>
                <w:sz w:val="20"/>
                <w:szCs w:val="20"/>
                <w:color w:val="auto"/>
              </w:rPr>
            </w:pPr>
            <w:r>
              <w:rPr>
                <w:rFonts w:ascii="Arial" w:cs="Arial" w:eastAsia="Arial" w:hAnsi="Arial"/>
                <w:sz w:val="18"/>
                <w:szCs w:val="18"/>
                <w:b w:val="1"/>
                <w:bCs w:val="1"/>
                <w:color w:val="auto"/>
                <w:w w:val="88"/>
              </w:rPr>
              <w:t>December 31,</w:t>
            </w:r>
          </w:p>
        </w:tc>
        <w:tc>
          <w:tcPr>
            <w:tcW w:w="1040" w:type="dxa"/>
            <w:vAlign w:val="bottom"/>
          </w:tcPr>
          <w:p>
            <w:pPr>
              <w:spacing w:after="0"/>
              <w:rPr>
                <w:sz w:val="20"/>
                <w:szCs w:val="20"/>
                <w:color w:val="auto"/>
              </w:rPr>
            </w:pPr>
          </w:p>
        </w:tc>
      </w:tr>
      <w:tr>
        <w:trPr>
          <w:trHeight w:val="68"/>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228"/>
        </w:trPr>
        <w:tc>
          <w:tcPr>
            <w:tcW w:w="6940" w:type="dxa"/>
            <w:vAlign w:val="bottom"/>
          </w:tcPr>
          <w:p>
            <w:pPr>
              <w:spacing w:after="0"/>
              <w:rPr>
                <w:sz w:val="20"/>
                <w:szCs w:val="20"/>
                <w:color w:val="auto"/>
              </w:rPr>
            </w:pPr>
            <w:r>
              <w:rPr>
                <w:rFonts w:ascii="Arial" w:cs="Arial" w:eastAsia="Arial" w:hAnsi="Arial"/>
                <w:sz w:val="18"/>
                <w:szCs w:val="18"/>
                <w:b w:val="1"/>
                <w:bCs w:val="1"/>
                <w:color w:val="auto"/>
              </w:rPr>
              <w:t>(Dollars in millions) (Unaudited)</w:t>
            </w:r>
          </w:p>
        </w:tc>
        <w:tc>
          <w:tcPr>
            <w:tcW w:w="1720" w:type="dxa"/>
            <w:vAlign w:val="bottom"/>
          </w:tcPr>
          <w:p>
            <w:pPr>
              <w:jc w:val="right"/>
              <w:ind w:right="230"/>
              <w:spacing w:after="0"/>
              <w:rPr>
                <w:sz w:val="20"/>
                <w:szCs w:val="20"/>
                <w:color w:val="auto"/>
              </w:rPr>
            </w:pPr>
            <w:r>
              <w:rPr>
                <w:rFonts w:ascii="Arial" w:cs="Arial" w:eastAsia="Arial" w:hAnsi="Arial"/>
                <w:sz w:val="18"/>
                <w:szCs w:val="18"/>
                <w:b w:val="1"/>
                <w:bCs w:val="1"/>
                <w:color w:val="auto"/>
              </w:rPr>
              <w:t>2021</w:t>
            </w:r>
          </w:p>
        </w:tc>
        <w:tc>
          <w:tcPr>
            <w:tcW w:w="1320" w:type="dxa"/>
            <w:vAlign w:val="bottom"/>
          </w:tcPr>
          <w:p>
            <w:pPr>
              <w:jc w:val="center"/>
              <w:spacing w:after="0"/>
              <w:rPr>
                <w:sz w:val="20"/>
                <w:szCs w:val="20"/>
                <w:color w:val="auto"/>
              </w:rPr>
            </w:pPr>
            <w:r>
              <w:rPr>
                <w:rFonts w:ascii="Arial" w:cs="Arial" w:eastAsia="Arial" w:hAnsi="Arial"/>
                <w:sz w:val="18"/>
                <w:szCs w:val="18"/>
                <w:b w:val="1"/>
                <w:bCs w:val="1"/>
                <w:color w:val="auto"/>
                <w:w w:val="89"/>
              </w:rPr>
              <w:t>2020</w:t>
            </w:r>
          </w:p>
        </w:tc>
        <w:tc>
          <w:tcPr>
            <w:tcW w:w="1040" w:type="dxa"/>
            <w:vAlign w:val="bottom"/>
          </w:tcPr>
          <w:p>
            <w:pPr>
              <w:jc w:val="right"/>
              <w:ind w:right="350"/>
              <w:spacing w:after="0"/>
              <w:rPr>
                <w:sz w:val="20"/>
                <w:szCs w:val="20"/>
                <w:color w:val="auto"/>
              </w:rPr>
            </w:pPr>
            <w:r>
              <w:rPr>
                <w:rFonts w:ascii="Arial" w:cs="Arial" w:eastAsia="Arial" w:hAnsi="Arial"/>
                <w:sz w:val="18"/>
                <w:szCs w:val="18"/>
                <w:b w:val="1"/>
                <w:bCs w:val="1"/>
                <w:color w:val="auto"/>
              </w:rPr>
              <w:t>2019</w:t>
            </w:r>
          </w:p>
        </w:tc>
      </w:tr>
      <w:tr>
        <w:trPr>
          <w:trHeight w:val="49"/>
        </w:trPr>
        <w:tc>
          <w:tcPr>
            <w:tcW w:w="6940" w:type="dxa"/>
            <w:vAlign w:val="bottom"/>
            <w:tcBorders>
              <w:bottom w:val="single" w:sz="8" w:color="auto"/>
            </w:tcBorders>
          </w:tcPr>
          <w:p>
            <w:pPr>
              <w:spacing w:after="0"/>
              <w:rPr>
                <w:sz w:val="4"/>
                <w:szCs w:val="4"/>
                <w:color w:val="auto"/>
              </w:rPr>
            </w:pPr>
          </w:p>
        </w:tc>
        <w:tc>
          <w:tcPr>
            <w:tcW w:w="1720" w:type="dxa"/>
            <w:vAlign w:val="bottom"/>
            <w:tcBorders>
              <w:bottom w:val="single" w:sz="8" w:color="auto"/>
            </w:tcBorders>
          </w:tcPr>
          <w:p>
            <w:pPr>
              <w:spacing w:after="0"/>
              <w:rPr>
                <w:sz w:val="4"/>
                <w:szCs w:val="4"/>
                <w:color w:val="auto"/>
              </w:rPr>
            </w:pPr>
          </w:p>
        </w:tc>
        <w:tc>
          <w:tcPr>
            <w:tcW w:w="1320" w:type="dxa"/>
            <w:vAlign w:val="bottom"/>
            <w:tcBorders>
              <w:bottom w:val="single" w:sz="8" w:color="auto"/>
            </w:tcBorders>
          </w:tcPr>
          <w:p>
            <w:pPr>
              <w:spacing w:after="0"/>
              <w:rPr>
                <w:sz w:val="4"/>
                <w:szCs w:val="4"/>
                <w:color w:val="auto"/>
              </w:rPr>
            </w:pPr>
          </w:p>
        </w:tc>
        <w:tc>
          <w:tcPr>
            <w:tcW w:w="1040" w:type="dxa"/>
            <w:vAlign w:val="bottom"/>
            <w:tcBorders>
              <w:bottom w:val="single" w:sz="8" w:color="auto"/>
            </w:tcBorders>
          </w:tcPr>
          <w:p>
            <w:pPr>
              <w:spacing w:after="0"/>
              <w:rPr>
                <w:sz w:val="4"/>
                <w:szCs w:val="4"/>
                <w:color w:val="auto"/>
              </w:rPr>
            </w:pPr>
          </w:p>
        </w:tc>
      </w:tr>
      <w:tr>
        <w:trPr>
          <w:trHeight w:val="224"/>
        </w:trPr>
        <w:tc>
          <w:tcPr>
            <w:tcW w:w="6940" w:type="dxa"/>
            <w:vAlign w:val="bottom"/>
          </w:tcPr>
          <w:p>
            <w:pPr>
              <w:spacing w:after="0"/>
              <w:rPr>
                <w:sz w:val="20"/>
                <w:szCs w:val="20"/>
                <w:color w:val="auto"/>
              </w:rPr>
            </w:pPr>
            <w:r>
              <w:rPr>
                <w:rFonts w:ascii="Arial" w:cs="Arial" w:eastAsia="Arial" w:hAnsi="Arial"/>
                <w:sz w:val="18"/>
                <w:szCs w:val="18"/>
                <w:color w:val="auto"/>
              </w:rPr>
              <w:t>Net income (loss)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$171.0</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$(61.9)</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 (110.0)</w:t>
            </w:r>
          </w:p>
        </w:tc>
      </w:tr>
      <w:tr>
        <w:trPr>
          <w:trHeight w:val="363"/>
        </w:trPr>
        <w:tc>
          <w:tcPr>
            <w:tcW w:w="6940" w:type="dxa"/>
            <w:vAlign w:val="bottom"/>
          </w:tcPr>
          <w:p>
            <w:pPr>
              <w:spacing w:after="0"/>
              <w:rPr>
                <w:sz w:val="20"/>
                <w:szCs w:val="20"/>
                <w:color w:val="auto"/>
              </w:rPr>
            </w:pPr>
            <w:r>
              <w:rPr>
                <w:rFonts w:ascii="Arial" w:cs="Arial" w:eastAsia="Arial" w:hAnsi="Arial"/>
                <w:sz w:val="18"/>
                <w:szCs w:val="18"/>
                <w:color w:val="auto"/>
              </w:rPr>
              <w:t>Provision (benefit) for income taxes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5.7</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1.2</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(16.1)</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Interest expense</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5.9</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12.2</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15.7</w:t>
            </w:r>
          </w:p>
        </w:tc>
      </w:tr>
      <w:tr>
        <w:trPr>
          <w:trHeight w:val="68"/>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228"/>
        </w:trPr>
        <w:tc>
          <w:tcPr>
            <w:tcW w:w="6940" w:type="dxa"/>
            <w:vAlign w:val="bottom"/>
          </w:tcPr>
          <w:p>
            <w:pPr>
              <w:spacing w:after="0"/>
              <w:rPr>
                <w:sz w:val="20"/>
                <w:szCs w:val="20"/>
                <w:color w:val="auto"/>
              </w:rPr>
            </w:pPr>
            <w:r>
              <w:rPr>
                <w:rFonts w:ascii="Arial" w:cs="Arial" w:eastAsia="Arial" w:hAnsi="Arial"/>
                <w:sz w:val="18"/>
                <w:szCs w:val="18"/>
                <w:b w:val="1"/>
                <w:bCs w:val="1"/>
                <w:color w:val="auto"/>
              </w:rPr>
              <w:t xml:space="preserve">Earnings Before Interest and Taxes (EBIT) </w:t>
            </w:r>
            <w:r>
              <w:rPr>
                <w:rFonts w:ascii="Arial" w:cs="Arial" w:eastAsia="Arial" w:hAnsi="Arial"/>
                <w:sz w:val="15"/>
                <w:szCs w:val="15"/>
                <w:b w:val="1"/>
                <w:bCs w:val="1"/>
                <w:color w:val="auto"/>
              </w:rPr>
              <w:t>(1)</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$182.6</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$(48.5)</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 (110.4)</w:t>
            </w:r>
          </w:p>
        </w:tc>
      </w:tr>
      <w:tr>
        <w:trPr>
          <w:trHeight w:val="49"/>
        </w:trPr>
        <w:tc>
          <w:tcPr>
            <w:tcW w:w="6940" w:type="dxa"/>
            <w:vAlign w:val="bottom"/>
            <w:tcBorders>
              <w:bottom w:val="single" w:sz="8" w:color="auto"/>
            </w:tcBorders>
          </w:tcPr>
          <w:p>
            <w:pPr>
              <w:spacing w:after="0"/>
              <w:rPr>
                <w:sz w:val="4"/>
                <w:szCs w:val="4"/>
                <w:color w:val="auto"/>
              </w:rPr>
            </w:pPr>
          </w:p>
        </w:tc>
        <w:tc>
          <w:tcPr>
            <w:tcW w:w="1720" w:type="dxa"/>
            <w:vAlign w:val="bottom"/>
            <w:tcBorders>
              <w:bottom w:val="single" w:sz="8" w:color="auto"/>
            </w:tcBorders>
          </w:tcPr>
          <w:p>
            <w:pPr>
              <w:spacing w:after="0"/>
              <w:rPr>
                <w:sz w:val="4"/>
                <w:szCs w:val="4"/>
                <w:color w:val="auto"/>
              </w:rPr>
            </w:pPr>
          </w:p>
        </w:tc>
        <w:tc>
          <w:tcPr>
            <w:tcW w:w="1320" w:type="dxa"/>
            <w:vAlign w:val="bottom"/>
            <w:tcBorders>
              <w:bottom w:val="single" w:sz="8" w:color="auto"/>
            </w:tcBorders>
          </w:tcPr>
          <w:p>
            <w:pPr>
              <w:spacing w:after="0"/>
              <w:rPr>
                <w:sz w:val="4"/>
                <w:szCs w:val="4"/>
                <w:color w:val="auto"/>
              </w:rPr>
            </w:pPr>
          </w:p>
        </w:tc>
        <w:tc>
          <w:tcPr>
            <w:tcW w:w="1040" w:type="dxa"/>
            <w:vAlign w:val="bottom"/>
            <w:tcBorders>
              <w:bottom w:val="single" w:sz="8" w:color="auto"/>
            </w:tcBorders>
          </w:tcPr>
          <w:p>
            <w:pPr>
              <w:spacing w:after="0"/>
              <w:rPr>
                <w:sz w:val="4"/>
                <w:szCs w:val="4"/>
                <w:color w:val="auto"/>
              </w:rPr>
            </w:pPr>
          </w:p>
        </w:tc>
      </w:tr>
      <w:tr>
        <w:trPr>
          <w:trHeight w:val="224"/>
        </w:trPr>
        <w:tc>
          <w:tcPr>
            <w:tcW w:w="6940" w:type="dxa"/>
            <w:vAlign w:val="bottom"/>
          </w:tcPr>
          <w:p>
            <w:pPr>
              <w:spacing w:after="0"/>
              <w:rPr>
                <w:sz w:val="20"/>
                <w:szCs w:val="20"/>
                <w:color w:val="auto"/>
              </w:rPr>
            </w:pPr>
            <w:r>
              <w:rPr>
                <w:rFonts w:ascii="Arial" w:cs="Arial" w:eastAsia="Arial" w:hAnsi="Arial"/>
                <w:sz w:val="18"/>
                <w:szCs w:val="18"/>
                <w:color w:val="auto"/>
              </w:rPr>
              <w:t xml:space="preserve">EBIT Margin </w:t>
            </w:r>
            <w:r>
              <w:rPr>
                <w:rFonts w:ascii="Arial" w:cs="Arial" w:eastAsia="Arial" w:hAnsi="Arial"/>
                <w:sz w:val="15"/>
                <w:szCs w:val="15"/>
                <w:color w:val="auto"/>
              </w:rPr>
              <w:t>(1)</w:t>
            </w:r>
          </w:p>
        </w:tc>
        <w:tc>
          <w:tcPr>
            <w:tcW w:w="1720" w:type="dxa"/>
            <w:vAlign w:val="bottom"/>
          </w:tcPr>
          <w:p>
            <w:pPr>
              <w:jc w:val="right"/>
              <w:ind w:right="10"/>
              <w:spacing w:after="0"/>
              <w:rPr>
                <w:sz w:val="20"/>
                <w:szCs w:val="20"/>
                <w:color w:val="auto"/>
              </w:rPr>
            </w:pPr>
            <w:r>
              <w:rPr>
                <w:rFonts w:ascii="Arial" w:cs="Arial" w:eastAsia="Arial" w:hAnsi="Arial"/>
                <w:sz w:val="18"/>
                <w:szCs w:val="18"/>
                <w:color w:val="auto"/>
              </w:rPr>
              <w:t>14.2%</w:t>
            </w:r>
          </w:p>
        </w:tc>
        <w:tc>
          <w:tcPr>
            <w:tcW w:w="1320" w:type="dxa"/>
            <w:vAlign w:val="bottom"/>
          </w:tcPr>
          <w:p>
            <w:pPr>
              <w:jc w:val="right"/>
              <w:ind w:right="90"/>
              <w:spacing w:after="0"/>
              <w:rPr>
                <w:sz w:val="20"/>
                <w:szCs w:val="20"/>
                <w:color w:val="auto"/>
              </w:rPr>
            </w:pPr>
            <w:r>
              <w:rPr>
                <w:rFonts w:ascii="Arial" w:cs="Arial" w:eastAsia="Arial" w:hAnsi="Arial"/>
                <w:sz w:val="18"/>
                <w:szCs w:val="18"/>
                <w:color w:val="auto"/>
              </w:rPr>
              <w:t>(5.8%)</w:t>
            </w:r>
          </w:p>
        </w:tc>
        <w:tc>
          <w:tcPr>
            <w:tcW w:w="1040" w:type="dxa"/>
            <w:vAlign w:val="bottom"/>
          </w:tcPr>
          <w:p>
            <w:pPr>
              <w:jc w:val="right"/>
              <w:ind w:right="30"/>
              <w:spacing w:after="0"/>
              <w:rPr>
                <w:sz w:val="20"/>
                <w:szCs w:val="20"/>
                <w:color w:val="auto"/>
              </w:rPr>
            </w:pPr>
            <w:r>
              <w:rPr>
                <w:rFonts w:ascii="Arial" w:cs="Arial" w:eastAsia="Arial" w:hAnsi="Arial"/>
                <w:sz w:val="18"/>
                <w:szCs w:val="18"/>
                <w:color w:val="auto"/>
              </w:rPr>
              <w:t>(9.1%)</w:t>
            </w:r>
          </w:p>
        </w:tc>
      </w:tr>
      <w:tr>
        <w:trPr>
          <w:trHeight w:val="377"/>
        </w:trPr>
        <w:tc>
          <w:tcPr>
            <w:tcW w:w="694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63.1</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70.0</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73.5</w:t>
            </w:r>
          </w:p>
        </w:tc>
      </w:tr>
      <w:tr>
        <w:trPr>
          <w:trHeight w:val="68"/>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195"/>
        </w:trPr>
        <w:tc>
          <w:tcPr>
            <w:tcW w:w="6940" w:type="dxa"/>
            <w:vAlign w:val="bottom"/>
          </w:tcPr>
          <w:p>
            <w:pPr>
              <w:spacing w:after="0" w:line="195" w:lineRule="exact"/>
              <w:rPr>
                <w:sz w:val="20"/>
                <w:szCs w:val="20"/>
                <w:color w:val="auto"/>
              </w:rPr>
            </w:pPr>
            <w:r>
              <w:rPr>
                <w:rFonts w:ascii="Arial" w:cs="Arial" w:eastAsia="Arial" w:hAnsi="Arial"/>
                <w:sz w:val="18"/>
                <w:szCs w:val="18"/>
                <w:b w:val="1"/>
                <w:bCs w:val="1"/>
                <w:color w:val="auto"/>
              </w:rPr>
              <w:t xml:space="preserve">Earnings Before Interest, Taxes, Depreciation and Amortization (EBITDA) </w:t>
            </w:r>
            <w:r>
              <w:rPr>
                <w:rFonts w:ascii="Arial" w:cs="Arial" w:eastAsia="Arial" w:hAnsi="Arial"/>
                <w:sz w:val="15"/>
                <w:szCs w:val="15"/>
                <w:b w:val="1"/>
                <w:bCs w:val="1"/>
                <w:color w:val="auto"/>
              </w:rPr>
              <w:t>(2)</w:t>
            </w:r>
          </w:p>
        </w:tc>
        <w:tc>
          <w:tcPr>
            <w:tcW w:w="1720" w:type="dxa"/>
            <w:vAlign w:val="bottom"/>
          </w:tcPr>
          <w:p>
            <w:pPr>
              <w:jc w:val="right"/>
              <w:ind w:right="170"/>
              <w:spacing w:after="0" w:line="195" w:lineRule="exact"/>
              <w:rPr>
                <w:sz w:val="20"/>
                <w:szCs w:val="20"/>
                <w:color w:val="auto"/>
              </w:rPr>
            </w:pPr>
            <w:r>
              <w:rPr>
                <w:rFonts w:ascii="Arial" w:cs="Arial" w:eastAsia="Arial" w:hAnsi="Arial"/>
                <w:sz w:val="18"/>
                <w:szCs w:val="18"/>
                <w:color w:val="auto"/>
              </w:rPr>
              <w:t>$245.7</w:t>
            </w:r>
          </w:p>
        </w:tc>
        <w:tc>
          <w:tcPr>
            <w:tcW w:w="1320" w:type="dxa"/>
            <w:vAlign w:val="bottom"/>
          </w:tcPr>
          <w:p>
            <w:pPr>
              <w:jc w:val="right"/>
              <w:ind w:right="310"/>
              <w:spacing w:after="0" w:line="195" w:lineRule="exact"/>
              <w:rPr>
                <w:sz w:val="20"/>
                <w:szCs w:val="20"/>
                <w:color w:val="auto"/>
              </w:rPr>
            </w:pPr>
            <w:r>
              <w:rPr>
                <w:rFonts w:ascii="Arial" w:cs="Arial" w:eastAsia="Arial" w:hAnsi="Arial"/>
                <w:sz w:val="18"/>
                <w:szCs w:val="18"/>
                <w:color w:val="auto"/>
              </w:rPr>
              <w:t>$21.5</w:t>
            </w:r>
          </w:p>
        </w:tc>
        <w:tc>
          <w:tcPr>
            <w:tcW w:w="1040" w:type="dxa"/>
            <w:vAlign w:val="bottom"/>
          </w:tcPr>
          <w:p>
            <w:pPr>
              <w:jc w:val="right"/>
              <w:ind w:right="190"/>
              <w:spacing w:after="0" w:line="195" w:lineRule="exact"/>
              <w:rPr>
                <w:sz w:val="20"/>
                <w:szCs w:val="20"/>
                <w:color w:val="auto"/>
              </w:rPr>
            </w:pPr>
            <w:r>
              <w:rPr>
                <w:rFonts w:ascii="Arial" w:cs="Arial" w:eastAsia="Arial" w:hAnsi="Arial"/>
                <w:sz w:val="18"/>
                <w:szCs w:val="18"/>
                <w:color w:val="auto"/>
              </w:rPr>
              <w:t>$(36.9)</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 xml:space="preserve">EBITDA Margin </w:t>
            </w:r>
            <w:r>
              <w:rPr>
                <w:rFonts w:ascii="Arial" w:cs="Arial" w:eastAsia="Arial" w:hAnsi="Arial"/>
                <w:sz w:val="15"/>
                <w:szCs w:val="15"/>
                <w:color w:val="auto"/>
              </w:rPr>
              <w:t>(2)</w:t>
            </w:r>
          </w:p>
        </w:tc>
        <w:tc>
          <w:tcPr>
            <w:tcW w:w="1720" w:type="dxa"/>
            <w:vAlign w:val="bottom"/>
          </w:tcPr>
          <w:p>
            <w:pPr>
              <w:jc w:val="right"/>
              <w:ind w:right="10"/>
              <w:spacing w:after="0"/>
              <w:rPr>
                <w:sz w:val="20"/>
                <w:szCs w:val="20"/>
                <w:color w:val="auto"/>
              </w:rPr>
            </w:pPr>
            <w:r>
              <w:rPr>
                <w:rFonts w:ascii="Arial" w:cs="Arial" w:eastAsia="Arial" w:hAnsi="Arial"/>
                <w:sz w:val="18"/>
                <w:szCs w:val="18"/>
                <w:color w:val="auto"/>
              </w:rPr>
              <w:t>19.2%</w:t>
            </w:r>
          </w:p>
        </w:tc>
        <w:tc>
          <w:tcPr>
            <w:tcW w:w="1320" w:type="dxa"/>
            <w:vAlign w:val="bottom"/>
          </w:tcPr>
          <w:p>
            <w:pPr>
              <w:jc w:val="right"/>
              <w:ind w:right="150"/>
              <w:spacing w:after="0"/>
              <w:rPr>
                <w:sz w:val="20"/>
                <w:szCs w:val="20"/>
                <w:color w:val="auto"/>
              </w:rPr>
            </w:pPr>
            <w:r>
              <w:rPr>
                <w:rFonts w:ascii="Arial" w:cs="Arial" w:eastAsia="Arial" w:hAnsi="Arial"/>
                <w:sz w:val="18"/>
                <w:szCs w:val="18"/>
                <w:color w:val="auto"/>
              </w:rPr>
              <w:t>2.6%</w:t>
            </w:r>
          </w:p>
        </w:tc>
        <w:tc>
          <w:tcPr>
            <w:tcW w:w="1040" w:type="dxa"/>
            <w:vAlign w:val="bottom"/>
          </w:tcPr>
          <w:p>
            <w:pPr>
              <w:jc w:val="right"/>
              <w:ind w:right="30"/>
              <w:spacing w:after="0"/>
              <w:rPr>
                <w:sz w:val="20"/>
                <w:szCs w:val="20"/>
                <w:color w:val="auto"/>
              </w:rPr>
            </w:pPr>
            <w:r>
              <w:rPr>
                <w:rFonts w:ascii="Arial" w:cs="Arial" w:eastAsia="Arial" w:hAnsi="Arial"/>
                <w:sz w:val="18"/>
                <w:szCs w:val="18"/>
                <w:color w:val="auto"/>
              </w:rPr>
              <w:t>(3.1%)</w:t>
            </w:r>
          </w:p>
        </w:tc>
      </w:tr>
      <w:tr>
        <w:trPr>
          <w:trHeight w:val="68"/>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195"/>
        </w:trPr>
        <w:tc>
          <w:tcPr>
            <w:tcW w:w="6940" w:type="dxa"/>
            <w:vAlign w:val="bottom"/>
          </w:tcPr>
          <w:p>
            <w:pPr>
              <w:spacing w:after="0" w:line="195" w:lineRule="exact"/>
              <w:rPr>
                <w:sz w:val="20"/>
                <w:szCs w:val="20"/>
                <w:color w:val="auto"/>
              </w:rPr>
            </w:pPr>
            <w:r>
              <w:rPr>
                <w:rFonts w:ascii="Arial" w:cs="Arial" w:eastAsia="Arial" w:hAnsi="Arial"/>
                <w:sz w:val="18"/>
                <w:szCs w:val="18"/>
                <w:b w:val="1"/>
                <w:bCs w:val="1"/>
                <w:color w:val="auto"/>
              </w:rPr>
              <w:t>Adjustments:</w:t>
            </w:r>
          </w:p>
        </w:tc>
        <w:tc>
          <w:tcPr>
            <w:tcW w:w="17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1040" w:type="dxa"/>
            <w:vAlign w:val="bottom"/>
          </w:tcPr>
          <w:p>
            <w:pPr>
              <w:spacing w:after="0"/>
              <w:rPr>
                <w:sz w:val="16"/>
                <w:szCs w:val="16"/>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Executive severance and transition costs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(5.6)</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Impairment charges and loss on sale or disposal of assets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(8.9)</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Loss on sale of scrap processing facility</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(0.1)</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Gain on sale of TMS assets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0.1</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3.6</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Restructuring charges</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(6.7)</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(3.2)</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(8.9)</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Facility phase down: inventory write-down</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(4.8)</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Accelerated depreciation and amortization (EBIT only)</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(1.5)</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(3.4)</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(2.8)</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Gain (loss) from remeasurement of benefit plans</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20.1</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(14.7)</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(40.6)</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Loss on extinguishment of debt</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(0.9)</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Write-down of supplies inventory</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(2.1)</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Employee retention credit</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2.3</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Faircrest plant asset disposal, net of recovery</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0.1</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 xml:space="preserve">Business transformation costs </w:t>
            </w:r>
            <w:r>
              <w:rPr>
                <w:rFonts w:ascii="Arial" w:cs="Arial" w:eastAsia="Arial" w:hAnsi="Arial"/>
                <w:sz w:val="15"/>
                <w:szCs w:val="15"/>
                <w:color w:val="auto"/>
              </w:rPr>
              <w:t>(5)</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(2.0)</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(1.0)</w:t>
            </w:r>
          </w:p>
        </w:tc>
        <w:tc>
          <w:tcPr>
            <w:tcW w:w="1040" w:type="dxa"/>
            <w:vAlign w:val="bottom"/>
          </w:tcPr>
          <w:p>
            <w:pPr>
              <w:jc w:val="right"/>
              <w:ind w:right="190"/>
              <w:spacing w:after="0"/>
              <w:rPr>
                <w:sz w:val="20"/>
                <w:szCs w:val="20"/>
                <w:color w:val="auto"/>
              </w:rPr>
            </w:pPr>
            <w:r>
              <w:rPr>
                <w:rFonts w:ascii="Arial" w:cs="Arial" w:eastAsia="Arial" w:hAnsi="Arial"/>
                <w:sz w:val="18"/>
                <w:szCs w:val="18"/>
                <w:color w:val="auto"/>
              </w:rPr>
              <w:t>(0.5)</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Sales and use tax refund</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2.5</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Executive severance and transition costs</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(0.5)</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TMS inventory write-down</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250"/>
              <w:spacing w:after="0"/>
              <w:rPr>
                <w:sz w:val="20"/>
                <w:szCs w:val="20"/>
                <w:color w:val="auto"/>
              </w:rPr>
            </w:pPr>
            <w:r>
              <w:rPr>
                <w:rFonts w:ascii="Arial" w:cs="Arial" w:eastAsia="Arial" w:hAnsi="Arial"/>
                <w:sz w:val="18"/>
                <w:szCs w:val="18"/>
                <w:color w:val="auto"/>
              </w:rPr>
              <w:t>(3.1)</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Harrison melt impairment charges</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(7.9)</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TMS impairment charges</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(0.3)</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Loss on sale of consolidated subsidiary</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(1.1)</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Customer program early termination</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(1.4)</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 xml:space="preserve">Loss on sale of non-core assets </w:t>
            </w:r>
            <w:r>
              <w:rPr>
                <w:rFonts w:ascii="Arial" w:cs="Arial" w:eastAsia="Arial" w:hAnsi="Arial"/>
                <w:sz w:val="15"/>
                <w:szCs w:val="15"/>
                <w:color w:val="auto"/>
              </w:rPr>
              <w:t>(6)</w:t>
            </w:r>
          </w:p>
        </w:tc>
        <w:tc>
          <w:tcPr>
            <w:tcW w:w="1720" w:type="dxa"/>
            <w:vAlign w:val="bottom"/>
          </w:tcPr>
          <w:p>
            <w:pPr>
              <w:jc w:val="right"/>
              <w:ind w:right="110"/>
              <w:spacing w:after="0"/>
              <w:rPr>
                <w:sz w:val="20"/>
                <w:szCs w:val="20"/>
                <w:color w:val="auto"/>
              </w:rPr>
            </w:pPr>
            <w:r>
              <w:rPr>
                <w:rFonts w:ascii="Arial" w:cs="Arial" w:eastAsia="Arial" w:hAnsi="Arial"/>
                <w:sz w:val="18"/>
                <w:szCs w:val="18"/>
                <w:color w:val="auto"/>
              </w:rPr>
              <w:t>(0.9)</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Gain on sale of non-core property</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0.5</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w:t>
            </w:r>
          </w:p>
        </w:tc>
      </w:tr>
      <w:tr>
        <w:trPr>
          <w:trHeight w:val="67"/>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195"/>
        </w:trPr>
        <w:tc>
          <w:tcPr>
            <w:tcW w:w="6940" w:type="dxa"/>
            <w:vAlign w:val="bottom"/>
          </w:tcPr>
          <w:p>
            <w:pPr>
              <w:spacing w:after="0" w:line="195" w:lineRule="exact"/>
              <w:rPr>
                <w:sz w:val="20"/>
                <w:szCs w:val="20"/>
                <w:color w:val="auto"/>
              </w:rPr>
            </w:pPr>
            <w:r>
              <w:rPr>
                <w:rFonts w:ascii="Arial" w:cs="Arial" w:eastAsia="Arial" w:hAnsi="Arial"/>
                <w:sz w:val="18"/>
                <w:szCs w:val="18"/>
                <w:b w:val="1"/>
                <w:bCs w:val="1"/>
                <w:color w:val="auto"/>
              </w:rPr>
              <w:t xml:space="preserve">Adjusted EBIT </w:t>
            </w:r>
            <w:r>
              <w:rPr>
                <w:rFonts w:ascii="Arial" w:cs="Arial" w:eastAsia="Arial" w:hAnsi="Arial"/>
                <w:sz w:val="15"/>
                <w:szCs w:val="15"/>
                <w:b w:val="1"/>
                <w:bCs w:val="1"/>
                <w:color w:val="auto"/>
              </w:rPr>
              <w:t>(3)</w:t>
            </w:r>
          </w:p>
        </w:tc>
        <w:tc>
          <w:tcPr>
            <w:tcW w:w="1720" w:type="dxa"/>
            <w:vAlign w:val="bottom"/>
          </w:tcPr>
          <w:p>
            <w:pPr>
              <w:jc w:val="right"/>
              <w:ind w:right="170"/>
              <w:spacing w:after="0" w:line="195" w:lineRule="exact"/>
              <w:rPr>
                <w:sz w:val="20"/>
                <w:szCs w:val="20"/>
                <w:color w:val="auto"/>
              </w:rPr>
            </w:pPr>
            <w:r>
              <w:rPr>
                <w:rFonts w:ascii="Arial" w:cs="Arial" w:eastAsia="Arial" w:hAnsi="Arial"/>
                <w:sz w:val="18"/>
                <w:szCs w:val="18"/>
                <w:color w:val="auto"/>
              </w:rPr>
              <w:t>$184.3</w:t>
            </w:r>
          </w:p>
        </w:tc>
        <w:tc>
          <w:tcPr>
            <w:tcW w:w="1320" w:type="dxa"/>
            <w:vAlign w:val="bottom"/>
          </w:tcPr>
          <w:p>
            <w:pPr>
              <w:jc w:val="right"/>
              <w:ind w:right="250"/>
              <w:spacing w:after="0" w:line="195" w:lineRule="exact"/>
              <w:rPr>
                <w:sz w:val="20"/>
                <w:szCs w:val="20"/>
                <w:color w:val="auto"/>
              </w:rPr>
            </w:pPr>
            <w:r>
              <w:rPr>
                <w:rFonts w:ascii="Arial" w:cs="Arial" w:eastAsia="Arial" w:hAnsi="Arial"/>
                <w:sz w:val="18"/>
                <w:szCs w:val="18"/>
                <w:color w:val="auto"/>
              </w:rPr>
              <w:t>$(28.6)</w:t>
            </w:r>
          </w:p>
        </w:tc>
        <w:tc>
          <w:tcPr>
            <w:tcW w:w="1040" w:type="dxa"/>
            <w:vAlign w:val="bottom"/>
          </w:tcPr>
          <w:p>
            <w:pPr>
              <w:jc w:val="right"/>
              <w:ind w:right="190"/>
              <w:spacing w:after="0" w:line="195" w:lineRule="exact"/>
              <w:rPr>
                <w:sz w:val="20"/>
                <w:szCs w:val="20"/>
                <w:color w:val="auto"/>
              </w:rPr>
            </w:pPr>
            <w:r>
              <w:rPr>
                <w:rFonts w:ascii="Arial" w:cs="Arial" w:eastAsia="Arial" w:hAnsi="Arial"/>
                <w:sz w:val="18"/>
                <w:szCs w:val="18"/>
                <w:color w:val="auto"/>
              </w:rPr>
              <w:t>$(38.3)</w:t>
            </w:r>
          </w:p>
        </w:tc>
      </w:tr>
      <w:tr>
        <w:trPr>
          <w:trHeight w:val="212"/>
        </w:trPr>
        <w:tc>
          <w:tcPr>
            <w:tcW w:w="6940" w:type="dxa"/>
            <w:vAlign w:val="bottom"/>
          </w:tcPr>
          <w:p>
            <w:pPr>
              <w:spacing w:after="0"/>
              <w:rPr>
                <w:sz w:val="20"/>
                <w:szCs w:val="20"/>
                <w:color w:val="auto"/>
              </w:rPr>
            </w:pPr>
            <w:r>
              <w:rPr>
                <w:rFonts w:ascii="Arial" w:cs="Arial" w:eastAsia="Arial" w:hAnsi="Arial"/>
                <w:sz w:val="18"/>
                <w:szCs w:val="18"/>
                <w:color w:val="auto"/>
              </w:rPr>
              <w:t xml:space="preserve">Adjusted EBIT Margin </w:t>
            </w:r>
            <w:r>
              <w:rPr>
                <w:rFonts w:ascii="Arial" w:cs="Arial" w:eastAsia="Arial" w:hAnsi="Arial"/>
                <w:sz w:val="15"/>
                <w:szCs w:val="15"/>
                <w:color w:val="auto"/>
              </w:rPr>
              <w:t>(3)</w:t>
            </w:r>
          </w:p>
        </w:tc>
        <w:tc>
          <w:tcPr>
            <w:tcW w:w="1720" w:type="dxa"/>
            <w:vAlign w:val="bottom"/>
          </w:tcPr>
          <w:p>
            <w:pPr>
              <w:jc w:val="right"/>
              <w:ind w:right="10"/>
              <w:spacing w:after="0"/>
              <w:rPr>
                <w:sz w:val="20"/>
                <w:szCs w:val="20"/>
                <w:color w:val="auto"/>
              </w:rPr>
            </w:pPr>
            <w:r>
              <w:rPr>
                <w:rFonts w:ascii="Arial" w:cs="Arial" w:eastAsia="Arial" w:hAnsi="Arial"/>
                <w:sz w:val="18"/>
                <w:szCs w:val="18"/>
                <w:color w:val="auto"/>
              </w:rPr>
              <w:t>14.4%</w:t>
            </w:r>
          </w:p>
        </w:tc>
        <w:tc>
          <w:tcPr>
            <w:tcW w:w="1320" w:type="dxa"/>
            <w:vAlign w:val="bottom"/>
          </w:tcPr>
          <w:p>
            <w:pPr>
              <w:jc w:val="right"/>
              <w:ind w:right="90"/>
              <w:spacing w:after="0"/>
              <w:rPr>
                <w:sz w:val="20"/>
                <w:szCs w:val="20"/>
                <w:color w:val="auto"/>
              </w:rPr>
            </w:pPr>
            <w:r>
              <w:rPr>
                <w:rFonts w:ascii="Arial" w:cs="Arial" w:eastAsia="Arial" w:hAnsi="Arial"/>
                <w:sz w:val="18"/>
                <w:szCs w:val="18"/>
                <w:color w:val="auto"/>
              </w:rPr>
              <w:t>(3.4%)</w:t>
            </w:r>
          </w:p>
        </w:tc>
        <w:tc>
          <w:tcPr>
            <w:tcW w:w="1040" w:type="dxa"/>
            <w:vAlign w:val="bottom"/>
          </w:tcPr>
          <w:p>
            <w:pPr>
              <w:jc w:val="right"/>
              <w:ind w:right="30"/>
              <w:spacing w:after="0"/>
              <w:rPr>
                <w:sz w:val="20"/>
                <w:szCs w:val="20"/>
                <w:color w:val="auto"/>
              </w:rPr>
            </w:pPr>
            <w:r>
              <w:rPr>
                <w:rFonts w:ascii="Arial" w:cs="Arial" w:eastAsia="Arial" w:hAnsi="Arial"/>
                <w:sz w:val="18"/>
                <w:szCs w:val="18"/>
                <w:color w:val="auto"/>
              </w:rPr>
              <w:t>(3.2%)</w:t>
            </w:r>
          </w:p>
        </w:tc>
      </w:tr>
      <w:tr>
        <w:trPr>
          <w:trHeight w:val="220"/>
        </w:trPr>
        <w:tc>
          <w:tcPr>
            <w:tcW w:w="6940" w:type="dxa"/>
            <w:vAlign w:val="bottom"/>
          </w:tcPr>
          <w:p>
            <w:pPr>
              <w:spacing w:after="0"/>
              <w:rPr>
                <w:sz w:val="20"/>
                <w:szCs w:val="20"/>
                <w:color w:val="auto"/>
              </w:rPr>
            </w:pPr>
            <w:r>
              <w:rPr>
                <w:rFonts w:ascii="Arial" w:cs="Arial" w:eastAsia="Arial" w:hAnsi="Arial"/>
                <w:sz w:val="18"/>
                <w:szCs w:val="18"/>
                <w:b w:val="1"/>
                <w:bCs w:val="1"/>
                <w:color w:val="auto"/>
              </w:rPr>
              <w:t xml:space="preserve">Adjusted EBITDA </w:t>
            </w:r>
            <w:r>
              <w:rPr>
                <w:rFonts w:ascii="Arial" w:cs="Arial" w:eastAsia="Arial" w:hAnsi="Arial"/>
                <w:sz w:val="15"/>
                <w:szCs w:val="15"/>
                <w:b w:val="1"/>
                <w:bCs w:val="1"/>
                <w:color w:val="auto"/>
              </w:rPr>
              <w:t>(4)</w:t>
            </w:r>
          </w:p>
        </w:tc>
        <w:tc>
          <w:tcPr>
            <w:tcW w:w="1720" w:type="dxa"/>
            <w:vAlign w:val="bottom"/>
          </w:tcPr>
          <w:p>
            <w:pPr>
              <w:jc w:val="right"/>
              <w:ind w:right="170"/>
              <w:spacing w:after="0"/>
              <w:rPr>
                <w:sz w:val="20"/>
                <w:szCs w:val="20"/>
                <w:color w:val="auto"/>
              </w:rPr>
            </w:pPr>
            <w:r>
              <w:rPr>
                <w:rFonts w:ascii="Arial" w:cs="Arial" w:eastAsia="Arial" w:hAnsi="Arial"/>
                <w:sz w:val="18"/>
                <w:szCs w:val="18"/>
                <w:color w:val="auto"/>
              </w:rPr>
              <w:t>$245.9</w:t>
            </w:r>
          </w:p>
        </w:tc>
        <w:tc>
          <w:tcPr>
            <w:tcW w:w="1320" w:type="dxa"/>
            <w:vAlign w:val="bottom"/>
          </w:tcPr>
          <w:p>
            <w:pPr>
              <w:jc w:val="right"/>
              <w:ind w:right="310"/>
              <w:spacing w:after="0"/>
              <w:rPr>
                <w:sz w:val="20"/>
                <w:szCs w:val="20"/>
                <w:color w:val="auto"/>
              </w:rPr>
            </w:pPr>
            <w:r>
              <w:rPr>
                <w:rFonts w:ascii="Arial" w:cs="Arial" w:eastAsia="Arial" w:hAnsi="Arial"/>
                <w:sz w:val="18"/>
                <w:szCs w:val="18"/>
                <w:color w:val="auto"/>
              </w:rPr>
              <w:t>$38.0</w:t>
            </w:r>
          </w:p>
        </w:tc>
        <w:tc>
          <w:tcPr>
            <w:tcW w:w="1040" w:type="dxa"/>
            <w:vAlign w:val="bottom"/>
          </w:tcPr>
          <w:p>
            <w:pPr>
              <w:jc w:val="right"/>
              <w:ind w:right="250"/>
              <w:spacing w:after="0"/>
              <w:rPr>
                <w:sz w:val="20"/>
                <w:szCs w:val="20"/>
                <w:color w:val="auto"/>
              </w:rPr>
            </w:pPr>
            <w:r>
              <w:rPr>
                <w:rFonts w:ascii="Arial" w:cs="Arial" w:eastAsia="Arial" w:hAnsi="Arial"/>
                <w:sz w:val="18"/>
                <w:szCs w:val="18"/>
                <w:color w:val="auto"/>
              </w:rPr>
              <w:t>$32.4</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 xml:space="preserve">Adjusted EBITDA Margin </w:t>
            </w:r>
            <w:r>
              <w:rPr>
                <w:rFonts w:ascii="Arial" w:cs="Arial" w:eastAsia="Arial" w:hAnsi="Arial"/>
                <w:sz w:val="15"/>
                <w:szCs w:val="15"/>
                <w:color w:val="auto"/>
              </w:rPr>
              <w:t>(4)</w:t>
            </w:r>
          </w:p>
        </w:tc>
        <w:tc>
          <w:tcPr>
            <w:tcW w:w="1720" w:type="dxa"/>
            <w:vAlign w:val="bottom"/>
          </w:tcPr>
          <w:p>
            <w:pPr>
              <w:jc w:val="right"/>
              <w:ind w:right="10"/>
              <w:spacing w:after="0"/>
              <w:rPr>
                <w:sz w:val="20"/>
                <w:szCs w:val="20"/>
                <w:color w:val="auto"/>
              </w:rPr>
            </w:pPr>
            <w:r>
              <w:rPr>
                <w:rFonts w:ascii="Arial" w:cs="Arial" w:eastAsia="Arial" w:hAnsi="Arial"/>
                <w:sz w:val="18"/>
                <w:szCs w:val="18"/>
                <w:color w:val="auto"/>
              </w:rPr>
              <w:t>19.2%</w:t>
            </w:r>
          </w:p>
        </w:tc>
        <w:tc>
          <w:tcPr>
            <w:tcW w:w="1320" w:type="dxa"/>
            <w:vAlign w:val="bottom"/>
          </w:tcPr>
          <w:p>
            <w:pPr>
              <w:jc w:val="right"/>
              <w:ind w:right="150"/>
              <w:spacing w:after="0"/>
              <w:rPr>
                <w:sz w:val="20"/>
                <w:szCs w:val="20"/>
                <w:color w:val="auto"/>
              </w:rPr>
            </w:pPr>
            <w:r>
              <w:rPr>
                <w:rFonts w:ascii="Arial" w:cs="Arial" w:eastAsia="Arial" w:hAnsi="Arial"/>
                <w:sz w:val="18"/>
                <w:szCs w:val="18"/>
                <w:color w:val="auto"/>
              </w:rPr>
              <w:t>4.6%</w:t>
            </w:r>
          </w:p>
        </w:tc>
        <w:tc>
          <w:tcPr>
            <w:tcW w:w="1040" w:type="dxa"/>
            <w:vAlign w:val="bottom"/>
          </w:tcPr>
          <w:p>
            <w:pPr>
              <w:jc w:val="right"/>
              <w:ind w:right="90"/>
              <w:spacing w:after="0"/>
              <w:rPr>
                <w:sz w:val="20"/>
                <w:szCs w:val="20"/>
                <w:color w:val="auto"/>
              </w:rPr>
            </w:pPr>
            <w:r>
              <w:rPr>
                <w:rFonts w:ascii="Arial" w:cs="Arial" w:eastAsia="Arial" w:hAnsi="Arial"/>
                <w:sz w:val="18"/>
                <w:szCs w:val="18"/>
                <w:color w:val="auto"/>
              </w:rPr>
              <w:t>2.7%</w:t>
            </w:r>
          </w:p>
        </w:tc>
      </w:tr>
      <w:tr>
        <w:trPr>
          <w:trHeight w:val="68"/>
        </w:trPr>
        <w:tc>
          <w:tcPr>
            <w:tcW w:w="69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040" w:type="dxa"/>
            <w:vAlign w:val="bottom"/>
            <w:tcBorders>
              <w:bottom w:val="single" w:sz="8" w:color="auto"/>
            </w:tcBorders>
          </w:tcPr>
          <w:p>
            <w:pPr>
              <w:spacing w:after="0"/>
              <w:rPr>
                <w:sz w:val="5"/>
                <w:szCs w:val="5"/>
                <w:color w:val="auto"/>
              </w:rPr>
            </w:pPr>
          </w:p>
        </w:tc>
      </w:tr>
      <w:tr>
        <w:trPr>
          <w:trHeight w:val="338"/>
        </w:trPr>
        <w:tc>
          <w:tcPr>
            <w:tcW w:w="6940" w:type="dxa"/>
            <w:vAlign w:val="bottom"/>
          </w:tcPr>
          <w:p>
            <w:pPr>
              <w:ind w:left="5380"/>
              <w:spacing w:after="0"/>
              <w:rPr>
                <w:sz w:val="20"/>
                <w:szCs w:val="20"/>
                <w:color w:val="auto"/>
              </w:rPr>
            </w:pPr>
            <w:r>
              <w:rPr>
                <w:rFonts w:ascii="Arial" w:cs="Arial" w:eastAsia="Arial" w:hAnsi="Arial"/>
                <w:sz w:val="16"/>
                <w:szCs w:val="16"/>
                <w:color w:val="auto"/>
              </w:rPr>
              <w:t>A-2</w:t>
            </w:r>
          </w:p>
        </w:tc>
        <w:tc>
          <w:tcPr>
            <w:tcW w:w="172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04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400" w:hanging="172"/>
        <w:spacing w:after="0"/>
        <w:tabs>
          <w:tab w:leader="none" w:pos="400" w:val="left"/>
        </w:tabs>
        <w:numPr>
          <w:ilvl w:val="0"/>
          <w:numId w:val="69"/>
        </w:numPr>
        <w:rPr>
          <w:rFonts w:ascii="Arial" w:cs="Arial" w:eastAsia="Arial" w:hAnsi="Arial"/>
          <w:sz w:val="12"/>
          <w:szCs w:val="12"/>
          <w:color w:val="auto"/>
        </w:rPr>
      </w:pPr>
      <w:r>
        <w:rPr>
          <w:rFonts w:ascii="Arial" w:cs="Arial" w:eastAsia="Arial" w:hAnsi="Arial"/>
          <w:sz w:val="14"/>
          <w:szCs w:val="14"/>
          <w:color w:val="auto"/>
        </w:rPr>
        <w:t>EBIT is defined as net income (loss) before interest expense and income taxes. EBIT Margin is EBIT as a percentage of net sales.</w:t>
      </w:r>
    </w:p>
    <w:p>
      <w:pPr>
        <w:spacing w:after="0" w:line="68" w:lineRule="exact"/>
        <w:rPr>
          <w:rFonts w:ascii="Arial" w:cs="Arial" w:eastAsia="Arial" w:hAnsi="Arial"/>
          <w:sz w:val="12"/>
          <w:szCs w:val="12"/>
          <w:color w:val="auto"/>
        </w:rPr>
      </w:pPr>
    </w:p>
    <w:p>
      <w:pPr>
        <w:ind w:left="400" w:hanging="172"/>
        <w:spacing w:after="0"/>
        <w:tabs>
          <w:tab w:leader="none" w:pos="400" w:val="left"/>
        </w:tabs>
        <w:numPr>
          <w:ilvl w:val="0"/>
          <w:numId w:val="69"/>
        </w:numPr>
        <w:rPr>
          <w:rFonts w:ascii="Arial" w:cs="Arial" w:eastAsia="Arial" w:hAnsi="Arial"/>
          <w:sz w:val="12"/>
          <w:szCs w:val="12"/>
          <w:color w:val="auto"/>
        </w:rPr>
      </w:pPr>
      <w:r>
        <w:rPr>
          <w:rFonts w:ascii="Arial" w:cs="Arial" w:eastAsia="Arial" w:hAnsi="Arial"/>
          <w:sz w:val="14"/>
          <w:szCs w:val="14"/>
          <w:color w:val="auto"/>
        </w:rPr>
        <w:t>EBITDA is defined as net income (loss) before interest expense, income taxes, depreciation and amortization. EBITDA Margin is EBITDA as a percentage of net sales.</w:t>
      </w:r>
    </w:p>
    <w:p>
      <w:pPr>
        <w:spacing w:after="0" w:line="55" w:lineRule="exact"/>
        <w:rPr>
          <w:rFonts w:ascii="Arial" w:cs="Arial" w:eastAsia="Arial" w:hAnsi="Arial"/>
          <w:sz w:val="12"/>
          <w:szCs w:val="12"/>
          <w:color w:val="auto"/>
        </w:rPr>
      </w:pPr>
    </w:p>
    <w:p>
      <w:pPr>
        <w:ind w:left="400" w:hanging="172"/>
        <w:spacing w:after="0"/>
        <w:tabs>
          <w:tab w:leader="none" w:pos="400" w:val="left"/>
        </w:tabs>
        <w:numPr>
          <w:ilvl w:val="0"/>
          <w:numId w:val="69"/>
        </w:numPr>
        <w:rPr>
          <w:rFonts w:ascii="Arial" w:cs="Arial" w:eastAsia="Arial" w:hAnsi="Arial"/>
          <w:sz w:val="12"/>
          <w:szCs w:val="12"/>
          <w:color w:val="auto"/>
        </w:rPr>
      </w:pPr>
      <w:r>
        <w:rPr>
          <w:rFonts w:ascii="Arial" w:cs="Arial" w:eastAsia="Arial" w:hAnsi="Arial"/>
          <w:sz w:val="14"/>
          <w:szCs w:val="14"/>
          <w:color w:val="auto"/>
        </w:rPr>
        <w:t>Adjusted EBIT is defined as EBIT excluding, as applicable, adjustments listed in the table above. Adjusted EBIT Margin is Adjusted EBIT as a percentage of net sales.</w:t>
      </w:r>
    </w:p>
    <w:p>
      <w:pPr>
        <w:spacing w:after="0" w:line="55" w:lineRule="exact"/>
        <w:rPr>
          <w:rFonts w:ascii="Arial" w:cs="Arial" w:eastAsia="Arial" w:hAnsi="Arial"/>
          <w:sz w:val="12"/>
          <w:szCs w:val="12"/>
          <w:color w:val="auto"/>
        </w:rPr>
      </w:pPr>
    </w:p>
    <w:p>
      <w:pPr>
        <w:ind w:left="400" w:hanging="172"/>
        <w:spacing w:after="0"/>
        <w:tabs>
          <w:tab w:leader="none" w:pos="400" w:val="left"/>
        </w:tabs>
        <w:numPr>
          <w:ilvl w:val="0"/>
          <w:numId w:val="69"/>
        </w:numPr>
        <w:rPr>
          <w:rFonts w:ascii="Arial" w:cs="Arial" w:eastAsia="Arial" w:hAnsi="Arial"/>
          <w:sz w:val="11"/>
          <w:szCs w:val="11"/>
          <w:color w:val="auto"/>
        </w:rPr>
      </w:pPr>
      <w:r>
        <w:rPr>
          <w:rFonts w:ascii="Arial" w:cs="Arial" w:eastAsia="Arial" w:hAnsi="Arial"/>
          <w:sz w:val="13"/>
          <w:szCs w:val="13"/>
          <w:color w:val="auto"/>
        </w:rPr>
        <w:t>Adjusted EBITDA is defined as EBITDA excluding, as applicable, adjustments listed in the table above. Adjusted EBITDA Margin is Adjusted EBITDA as a percentage of net sales.</w:t>
      </w:r>
    </w:p>
    <w:p>
      <w:pPr>
        <w:spacing w:after="0" w:line="80" w:lineRule="exact"/>
        <w:rPr>
          <w:rFonts w:ascii="Arial" w:cs="Arial" w:eastAsia="Arial" w:hAnsi="Arial"/>
          <w:sz w:val="11"/>
          <w:szCs w:val="11"/>
          <w:color w:val="auto"/>
        </w:rPr>
      </w:pPr>
    </w:p>
    <w:p>
      <w:pPr>
        <w:ind w:left="340" w:hanging="112"/>
        <w:spacing w:after="0" w:line="238" w:lineRule="auto"/>
        <w:tabs>
          <w:tab w:leader="none" w:pos="411" w:val="left"/>
        </w:tabs>
        <w:numPr>
          <w:ilvl w:val="0"/>
          <w:numId w:val="69"/>
        </w:numPr>
        <w:rPr>
          <w:rFonts w:ascii="Arial" w:cs="Arial" w:eastAsia="Arial" w:hAnsi="Arial"/>
          <w:sz w:val="12"/>
          <w:szCs w:val="12"/>
          <w:color w:val="auto"/>
        </w:rPr>
      </w:pPr>
      <w:r>
        <w:rPr>
          <w:rFonts w:ascii="Arial" w:cs="Arial" w:eastAsia="Arial" w:hAnsi="Arial"/>
          <w:sz w:val="14"/>
          <w:szCs w:val="14"/>
          <w:color w:val="auto"/>
        </w:rPr>
        <w:t>Business transformation costs consist of items that are non-routine in nature. For the year ended December 31, 2021, these costs were primarily related to professional service fees associated with organizational changes. For the years ended December 31, 2020 and 2019, these costs were primarily related to professional service fees associated with the disposition of non-core assets, as well as CEO transition fees.</w:t>
      </w:r>
    </w:p>
    <w:p>
      <w:pPr>
        <w:spacing w:after="0" w:line="34" w:lineRule="exact"/>
        <w:rPr>
          <w:rFonts w:ascii="Arial" w:cs="Arial" w:eastAsia="Arial" w:hAnsi="Arial"/>
          <w:sz w:val="12"/>
          <w:szCs w:val="12"/>
          <w:color w:val="auto"/>
        </w:rPr>
      </w:pPr>
    </w:p>
    <w:p>
      <w:pPr>
        <w:ind w:left="400" w:hanging="172"/>
        <w:spacing w:after="0"/>
        <w:tabs>
          <w:tab w:leader="none" w:pos="400" w:val="left"/>
        </w:tabs>
        <w:numPr>
          <w:ilvl w:val="0"/>
          <w:numId w:val="69"/>
        </w:numPr>
        <w:rPr>
          <w:rFonts w:ascii="Arial" w:cs="Arial" w:eastAsia="Arial" w:hAnsi="Arial"/>
          <w:sz w:val="12"/>
          <w:szCs w:val="12"/>
          <w:color w:val="auto"/>
        </w:rPr>
      </w:pPr>
      <w:r>
        <w:rPr>
          <w:rFonts w:ascii="Arial" w:cs="Arial" w:eastAsia="Arial" w:hAnsi="Arial"/>
          <w:sz w:val="14"/>
          <w:szCs w:val="14"/>
          <w:color w:val="auto"/>
        </w:rPr>
        <w:t>Loss on sale of non-core assets consists of losses incurred related to older excess assets sold via an auction process.</w:t>
      </w:r>
    </w:p>
    <w:p>
      <w:pPr>
        <w:spacing w:after="0" w:line="145"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A-3</w:t>
      </w:r>
    </w:p>
    <w:p>
      <w:pPr>
        <w:sectPr>
          <w:pgSz w:w="11900" w:h="16838" w:orient="portrait"/>
          <w:cols w:equalWidth="0" w:num="1">
            <w:col w:w="11060"/>
          </w:cols>
          <w:pgMar w:left="320" w:top="459" w:right="51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368300</wp:posOffset>
            </wp:positionV>
            <wp:extent cx="1637030" cy="2832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637030" cy="283210"/>
                    </a:xfrm>
                    <a:prstGeom prst="rect">
                      <a:avLst/>
                    </a:prstGeom>
                    <a:noFill/>
                  </pic:spPr>
                </pic:pic>
              </a:graphicData>
            </a:graphic>
          </wp:anchor>
        </w:drawing>
      </w:r>
    </w:p>
    <w:p>
      <w:pPr>
        <w:spacing w:after="0" w:line="200" w:lineRule="exact"/>
        <w:rPr>
          <w:sz w:val="20"/>
          <w:szCs w:val="20"/>
          <w:color w:val="auto"/>
        </w:rPr>
      </w:pPr>
    </w:p>
    <w:p>
      <w:pPr>
        <w:spacing w:after="0" w:line="365" w:lineRule="exact"/>
        <w:rPr>
          <w:sz w:val="20"/>
          <w:szCs w:val="20"/>
          <w:color w:val="auto"/>
        </w:rPr>
      </w:pPr>
    </w:p>
    <w:p>
      <w:pPr>
        <w:ind w:left="3000"/>
        <w:spacing w:after="0"/>
        <w:rPr>
          <w:sz w:val="20"/>
          <w:szCs w:val="20"/>
          <w:color w:val="auto"/>
        </w:rPr>
      </w:pPr>
      <w:r>
        <w:rPr>
          <w:rFonts w:ascii="Arial" w:cs="Arial" w:eastAsia="Arial" w:hAnsi="Arial"/>
          <w:sz w:val="14"/>
          <w:szCs w:val="14"/>
          <w:color w:val="auto"/>
        </w:rPr>
        <w:t>c/o Corporate Election Services</w:t>
      </w:r>
    </w:p>
    <w:p>
      <w:pPr>
        <w:spacing w:after="0" w:line="1" w:lineRule="exact"/>
        <w:rPr>
          <w:sz w:val="20"/>
          <w:szCs w:val="20"/>
          <w:color w:val="auto"/>
        </w:rPr>
      </w:pPr>
    </w:p>
    <w:p>
      <w:pPr>
        <w:ind w:left="3000"/>
        <w:spacing w:after="0"/>
        <w:rPr>
          <w:sz w:val="20"/>
          <w:szCs w:val="20"/>
          <w:color w:val="auto"/>
        </w:rPr>
      </w:pPr>
      <w:r>
        <w:rPr>
          <w:rFonts w:ascii="Arial" w:cs="Arial" w:eastAsia="Arial" w:hAnsi="Arial"/>
          <w:sz w:val="14"/>
          <w:szCs w:val="14"/>
          <w:color w:val="auto"/>
        </w:rPr>
        <w:t>P. O. Box 1150</w:t>
      </w:r>
    </w:p>
    <w:p>
      <w:pPr>
        <w:spacing w:after="0" w:line="1" w:lineRule="exact"/>
        <w:rPr>
          <w:sz w:val="20"/>
          <w:szCs w:val="20"/>
          <w:color w:val="auto"/>
        </w:rPr>
      </w:pPr>
    </w:p>
    <w:p>
      <w:pPr>
        <w:ind w:left="3000"/>
        <w:spacing w:after="0"/>
        <w:rPr>
          <w:sz w:val="20"/>
          <w:szCs w:val="20"/>
          <w:color w:val="auto"/>
        </w:rPr>
      </w:pPr>
      <w:r>
        <w:rPr>
          <w:rFonts w:ascii="Arial" w:cs="Arial" w:eastAsia="Arial" w:hAnsi="Arial"/>
          <w:sz w:val="14"/>
          <w:szCs w:val="14"/>
          <w:color w:val="auto"/>
        </w:rPr>
        <w:t>Pittsburgh, PA 15230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OTE BY</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ELEPHONE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-133350</wp:posOffset>
            </wp:positionV>
            <wp:extent cx="3000375"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3000375" cy="82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11430</wp:posOffset>
            </wp:positionV>
            <wp:extent cx="3000375"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3000375" cy="8255"/>
                    </a:xfrm>
                    <a:prstGeom prst="rect">
                      <a:avLst/>
                    </a:prstGeom>
                    <a:noFill/>
                  </pic:spPr>
                </pic:pic>
              </a:graphicData>
            </a:graphic>
          </wp:anchor>
        </w:drawing>
      </w:r>
    </w:p>
    <w:p>
      <w:pPr>
        <w:spacing w:after="0" w:line="121" w:lineRule="exact"/>
        <w:rPr>
          <w:sz w:val="20"/>
          <w:szCs w:val="20"/>
          <w:color w:val="auto"/>
        </w:rPr>
      </w:pPr>
    </w:p>
    <w:p>
      <w:pPr>
        <w:jc w:val="both"/>
        <w:ind w:right="100"/>
        <w:spacing w:after="0" w:line="249" w:lineRule="auto"/>
        <w:rPr>
          <w:sz w:val="20"/>
          <w:szCs w:val="20"/>
          <w:color w:val="auto"/>
        </w:rPr>
      </w:pPr>
      <w:r>
        <w:rPr>
          <w:rFonts w:ascii="Arial" w:cs="Arial" w:eastAsia="Arial" w:hAnsi="Arial"/>
          <w:sz w:val="17"/>
          <w:szCs w:val="17"/>
          <w:color w:val="auto"/>
        </w:rPr>
        <w:t xml:space="preserve">Have your proxy card available when you call the </w:t>
      </w:r>
      <w:r>
        <w:rPr>
          <w:rFonts w:ascii="Arial" w:cs="Arial" w:eastAsia="Arial" w:hAnsi="Arial"/>
          <w:sz w:val="17"/>
          <w:szCs w:val="17"/>
          <w:b w:val="1"/>
          <w:bCs w:val="1"/>
          <w:color w:val="auto"/>
        </w:rPr>
        <w:t>Toll-Free</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number 1-888-693-8683 </w:t>
      </w:r>
      <w:r>
        <w:rPr>
          <w:rFonts w:ascii="Arial" w:cs="Arial" w:eastAsia="Arial" w:hAnsi="Arial"/>
          <w:sz w:val="17"/>
          <w:szCs w:val="17"/>
          <w:color w:val="auto"/>
        </w:rPr>
        <w:t>using a touch- tone phone, and</w:t>
      </w:r>
      <w:r>
        <w:rPr>
          <w:rFonts w:ascii="Arial" w:cs="Arial" w:eastAsia="Arial" w:hAnsi="Arial"/>
          <w:sz w:val="17"/>
          <w:szCs w:val="17"/>
          <w:b w:val="1"/>
          <w:bCs w:val="1"/>
          <w:color w:val="auto"/>
        </w:rPr>
        <w:t xml:space="preserve"> </w:t>
      </w:r>
      <w:r>
        <w:rPr>
          <w:rFonts w:ascii="Arial" w:cs="Arial" w:eastAsia="Arial" w:hAnsi="Arial"/>
          <w:sz w:val="17"/>
          <w:szCs w:val="17"/>
          <w:color w:val="auto"/>
        </w:rPr>
        <w:t>follow the simple instructions to record your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76200</wp:posOffset>
            </wp:positionV>
            <wp:extent cx="3000375"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3000375" cy="8255"/>
                    </a:xfrm>
                    <a:prstGeom prst="rect">
                      <a:avLst/>
                    </a:prstGeom>
                    <a:noFill/>
                  </pic:spPr>
                </pic:pic>
              </a:graphicData>
            </a:graphic>
          </wp:anchor>
        </w:drawing>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OTE BY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000375"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3000375" cy="8255"/>
                    </a:xfrm>
                    <a:prstGeom prst="rect">
                      <a:avLst/>
                    </a:prstGeom>
                    <a:noFill/>
                  </pic:spPr>
                </pic:pic>
              </a:graphicData>
            </a:graphic>
          </wp:anchor>
        </w:drawing>
      </w:r>
    </w:p>
    <w:p>
      <w:pPr>
        <w:spacing w:after="0" w:line="141" w:lineRule="exact"/>
        <w:rPr>
          <w:sz w:val="20"/>
          <w:szCs w:val="20"/>
          <w:color w:val="auto"/>
        </w:rPr>
      </w:pPr>
    </w:p>
    <w:p>
      <w:pPr>
        <w:jc w:val="both"/>
        <w:ind w:right="100"/>
        <w:spacing w:after="0" w:line="238" w:lineRule="auto"/>
        <w:rPr>
          <w:sz w:val="20"/>
          <w:szCs w:val="20"/>
          <w:color w:val="auto"/>
        </w:rPr>
      </w:pPr>
      <w:r>
        <w:rPr>
          <w:rFonts w:ascii="Arial" w:cs="Arial" w:eastAsia="Arial" w:hAnsi="Arial"/>
          <w:sz w:val="17"/>
          <w:szCs w:val="17"/>
          <w:color w:val="auto"/>
        </w:rPr>
        <w:t xml:space="preserve">Have your proxy card available when you access the website </w:t>
      </w:r>
      <w:r>
        <w:rPr>
          <w:rFonts w:ascii="Arial" w:cs="Arial" w:eastAsia="Arial" w:hAnsi="Arial"/>
          <w:sz w:val="17"/>
          <w:szCs w:val="17"/>
          <w:b w:val="1"/>
          <w:bCs w:val="1"/>
          <w:color w:val="auto"/>
        </w:rPr>
        <w:t xml:space="preserve">www.cesvote.com </w:t>
      </w:r>
      <w:r>
        <w:rPr>
          <w:rFonts w:ascii="Arial" w:cs="Arial" w:eastAsia="Arial" w:hAnsi="Arial"/>
          <w:sz w:val="17"/>
          <w:szCs w:val="17"/>
          <w:color w:val="auto"/>
        </w:rPr>
        <w:t>and follow the simple instructions to</w:t>
      </w:r>
      <w:r>
        <w:rPr>
          <w:rFonts w:ascii="Arial" w:cs="Arial" w:eastAsia="Arial" w:hAnsi="Arial"/>
          <w:sz w:val="17"/>
          <w:szCs w:val="17"/>
          <w:b w:val="1"/>
          <w:bCs w:val="1"/>
          <w:color w:val="auto"/>
        </w:rPr>
        <w:t xml:space="preserve"> </w:t>
      </w:r>
      <w:r>
        <w:rPr>
          <w:rFonts w:ascii="Arial" w:cs="Arial" w:eastAsia="Arial" w:hAnsi="Arial"/>
          <w:sz w:val="17"/>
          <w:szCs w:val="17"/>
          <w:color w:val="auto"/>
        </w:rPr>
        <w:t>record your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80645</wp:posOffset>
            </wp:positionV>
            <wp:extent cx="3000375"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3000375" cy="8255"/>
                    </a:xfrm>
                    <a:prstGeom prst="rect">
                      <a:avLst/>
                    </a:prstGeom>
                    <a:noFill/>
                  </pic:spPr>
                </pic:pic>
              </a:graphicData>
            </a:graphic>
          </wp:anchor>
        </w:drawing>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OTE BY</w:t>
      </w:r>
      <w:r>
        <w:rPr>
          <w:rFonts w:ascii="Arial" w:cs="Arial" w:eastAsia="Arial" w:hAnsi="Arial"/>
          <w:sz w:val="18"/>
          <w:szCs w:val="18"/>
          <w:b w:val="1"/>
          <w:bCs w:val="1"/>
          <w:color w:val="auto"/>
        </w:rPr>
        <w:t xml:space="preserve"> M</w:t>
      </w:r>
      <w:r>
        <w:rPr>
          <w:rFonts w:ascii="Arial" w:cs="Arial" w:eastAsia="Arial" w:hAnsi="Arial"/>
          <w:sz w:val="14"/>
          <w:szCs w:val="14"/>
          <w:b w:val="1"/>
          <w:bCs w:val="1"/>
          <w:color w:val="auto"/>
        </w:rPr>
        <w:t>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000375"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3000375" cy="8890"/>
                    </a:xfrm>
                    <a:prstGeom prst="rect">
                      <a:avLst/>
                    </a:prstGeom>
                    <a:noFill/>
                  </pic:spPr>
                </pic:pic>
              </a:graphicData>
            </a:graphic>
          </wp:anchor>
        </w:drawing>
      </w:r>
    </w:p>
    <w:p>
      <w:pPr>
        <w:spacing w:after="0" w:line="141" w:lineRule="exact"/>
        <w:rPr>
          <w:sz w:val="20"/>
          <w:szCs w:val="20"/>
          <w:color w:val="auto"/>
        </w:rPr>
      </w:pPr>
    </w:p>
    <w:p>
      <w:pPr>
        <w:jc w:val="both"/>
        <w:ind w:right="100"/>
        <w:spacing w:after="0" w:line="236" w:lineRule="auto"/>
        <w:rPr>
          <w:sz w:val="20"/>
          <w:szCs w:val="20"/>
          <w:color w:val="auto"/>
        </w:rPr>
      </w:pPr>
      <w:r>
        <w:rPr>
          <w:rFonts w:ascii="Arial" w:cs="Arial" w:eastAsia="Arial" w:hAnsi="Arial"/>
          <w:sz w:val="17"/>
          <w:szCs w:val="17"/>
          <w:color w:val="auto"/>
        </w:rPr>
        <w:t xml:space="preserve">Please mark, sign and date your proxy card and return it in the </w:t>
      </w:r>
      <w:r>
        <w:rPr>
          <w:rFonts w:ascii="Arial" w:cs="Arial" w:eastAsia="Arial" w:hAnsi="Arial"/>
          <w:sz w:val="17"/>
          <w:szCs w:val="17"/>
          <w:b w:val="1"/>
          <w:bCs w:val="1"/>
          <w:color w:val="auto"/>
        </w:rPr>
        <w:t>postage-paid envelope</w:t>
      </w:r>
      <w:r>
        <w:rPr>
          <w:rFonts w:ascii="Arial" w:cs="Arial" w:eastAsia="Arial" w:hAnsi="Arial"/>
          <w:sz w:val="17"/>
          <w:szCs w:val="17"/>
          <w:color w:val="auto"/>
        </w:rPr>
        <w:t xml:space="preserve"> provided or return it to: Corporate Election Services, P.O. Box 1150, Pittsburgh, PA 15230.</w:t>
      </w:r>
    </w:p>
    <w:p>
      <w:pPr>
        <w:spacing w:after="0" w:line="200" w:lineRule="exact"/>
        <w:rPr>
          <w:sz w:val="20"/>
          <w:szCs w:val="20"/>
          <w:color w:val="auto"/>
        </w:rPr>
      </w:pPr>
    </w:p>
    <w:p>
      <w:pPr>
        <w:sectPr>
          <w:pgSz w:w="11900" w:h="16838" w:orient="portrait"/>
          <w:cols w:equalWidth="0" w:num="2">
            <w:col w:w="5680" w:space="720"/>
            <w:col w:w="4740"/>
          </w:cols>
          <w:pgMar w:left="320" w:top="459" w:right="439" w:bottom="1440" w:gutter="0" w:footer="0" w:header="0"/>
        </w:sectPr>
      </w:pPr>
    </w:p>
    <w:p>
      <w:pPr>
        <w:spacing w:after="0" w:line="30" w:lineRule="exact"/>
        <w:rPr>
          <w:sz w:val="20"/>
          <w:szCs w:val="20"/>
          <w:color w:val="auto"/>
        </w:rPr>
      </w:pPr>
    </w:p>
    <w:tbl>
      <w:tblPr>
        <w:tblLayout w:type="fixed"/>
        <w:tblInd w:w="130" w:type="dxa"/>
        <w:tblCellMar>
          <w:top w:w="0" w:type="dxa"/>
          <w:left w:w="0" w:type="dxa"/>
          <w:bottom w:w="0" w:type="dxa"/>
          <w:right w:w="0" w:type="dxa"/>
        </w:tblCellMar>
      </w:tblPr>
      <w:tr>
        <w:trPr>
          <w:trHeight w:val="334"/>
        </w:trPr>
        <w:tc>
          <w:tcPr>
            <w:tcW w:w="326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25"/>
                <w:szCs w:val="25"/>
                <w:b w:val="1"/>
                <w:bCs w:val="1"/>
                <w:color w:val="auto"/>
                <w:w w:val="98"/>
              </w:rPr>
              <w:t>Vote by Telephone</w:t>
            </w:r>
          </w:p>
        </w:tc>
        <w:tc>
          <w:tcPr>
            <w:tcW w:w="460" w:type="dxa"/>
            <w:vAlign w:val="bottom"/>
            <w:tcBorders>
              <w:right w:val="single" w:sz="8" w:color="auto"/>
            </w:tcBorders>
          </w:tcPr>
          <w:p>
            <w:pPr>
              <w:spacing w:after="0"/>
              <w:rPr>
                <w:sz w:val="24"/>
                <w:szCs w:val="24"/>
                <w:color w:val="auto"/>
              </w:rPr>
            </w:pPr>
          </w:p>
        </w:tc>
        <w:tc>
          <w:tcPr>
            <w:tcW w:w="33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25"/>
                <w:szCs w:val="25"/>
                <w:b w:val="1"/>
                <w:bCs w:val="1"/>
                <w:color w:val="auto"/>
                <w:w w:val="99"/>
              </w:rPr>
              <w:t>Vote by Internet</w:t>
            </w:r>
          </w:p>
        </w:tc>
        <w:tc>
          <w:tcPr>
            <w:tcW w:w="460" w:type="dxa"/>
            <w:vAlign w:val="bottom"/>
            <w:tcBorders>
              <w:right w:val="single" w:sz="8" w:color="auto"/>
            </w:tcBorders>
          </w:tcPr>
          <w:p>
            <w:pPr>
              <w:spacing w:after="0"/>
              <w:rPr>
                <w:sz w:val="24"/>
                <w:szCs w:val="24"/>
                <w:color w:val="auto"/>
              </w:rPr>
            </w:pPr>
          </w:p>
        </w:tc>
        <w:tc>
          <w:tcPr>
            <w:tcW w:w="33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25"/>
                <w:szCs w:val="25"/>
                <w:b w:val="1"/>
                <w:bCs w:val="1"/>
                <w:color w:val="auto"/>
              </w:rPr>
              <w:t>Vote by Mail</w:t>
            </w:r>
          </w:p>
        </w:tc>
      </w:tr>
      <w:tr>
        <w:trPr>
          <w:trHeight w:val="297"/>
        </w:trPr>
        <w:tc>
          <w:tcPr>
            <w:tcW w:w="326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25"/>
                <w:szCs w:val="25"/>
                <w:color w:val="auto"/>
                <w:w w:val="99"/>
              </w:rPr>
              <w:t xml:space="preserve">Call </w:t>
            </w:r>
            <w:r>
              <w:rPr>
                <w:rFonts w:ascii="Arial" w:cs="Arial" w:eastAsia="Arial" w:hAnsi="Arial"/>
                <w:sz w:val="25"/>
                <w:szCs w:val="25"/>
                <w:b w:val="1"/>
                <w:bCs w:val="1"/>
                <w:color w:val="auto"/>
                <w:w w:val="99"/>
              </w:rPr>
              <w:t>Toll-Free</w:t>
            </w:r>
            <w:r>
              <w:rPr>
                <w:rFonts w:ascii="Arial" w:cs="Arial" w:eastAsia="Arial" w:hAnsi="Arial"/>
                <w:sz w:val="25"/>
                <w:szCs w:val="25"/>
                <w:color w:val="auto"/>
                <w:w w:val="99"/>
              </w:rPr>
              <w:t xml:space="preserve"> using a</w:t>
            </w:r>
          </w:p>
        </w:tc>
        <w:tc>
          <w:tcPr>
            <w:tcW w:w="46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tcPr>
          <w:p>
            <w:pPr>
              <w:jc w:val="center"/>
              <w:spacing w:after="0"/>
              <w:rPr>
                <w:sz w:val="20"/>
                <w:szCs w:val="20"/>
                <w:color w:val="auto"/>
              </w:rPr>
            </w:pPr>
            <w:r>
              <w:rPr>
                <w:rFonts w:ascii="Arial" w:cs="Arial" w:eastAsia="Arial" w:hAnsi="Arial"/>
                <w:sz w:val="25"/>
                <w:szCs w:val="25"/>
                <w:color w:val="auto"/>
              </w:rPr>
              <w:t xml:space="preserve">Access the </w:t>
            </w:r>
            <w:r>
              <w:rPr>
                <w:rFonts w:ascii="Arial" w:cs="Arial" w:eastAsia="Arial" w:hAnsi="Arial"/>
                <w:sz w:val="25"/>
                <w:szCs w:val="25"/>
                <w:b w:val="1"/>
                <w:bCs w:val="1"/>
                <w:color w:val="auto"/>
              </w:rPr>
              <w:t>Website</w:t>
            </w:r>
            <w:r>
              <w:rPr>
                <w:rFonts w:ascii="Arial" w:cs="Arial" w:eastAsia="Arial" w:hAnsi="Arial"/>
                <w:sz w:val="25"/>
                <w:szCs w:val="25"/>
                <w:color w:val="auto"/>
              </w:rPr>
              <w:t xml:space="preserve"> and</w:t>
            </w:r>
          </w:p>
        </w:tc>
        <w:tc>
          <w:tcPr>
            <w:tcW w:w="460" w:type="dxa"/>
            <w:vAlign w:val="bottom"/>
            <w:tcBorders>
              <w:right w:val="single" w:sz="8" w:color="auto"/>
            </w:tcBorders>
          </w:tcPr>
          <w:p>
            <w:pPr>
              <w:spacing w:after="0"/>
              <w:rPr>
                <w:sz w:val="24"/>
                <w:szCs w:val="24"/>
                <w:color w:val="auto"/>
              </w:rPr>
            </w:pPr>
          </w:p>
        </w:tc>
        <w:tc>
          <w:tcPr>
            <w:tcW w:w="3380" w:type="dxa"/>
            <w:vAlign w:val="bottom"/>
            <w:tcBorders>
              <w:right w:val="single" w:sz="8" w:color="auto"/>
            </w:tcBorders>
          </w:tcPr>
          <w:p>
            <w:pPr>
              <w:jc w:val="center"/>
              <w:spacing w:after="0"/>
              <w:rPr>
                <w:sz w:val="20"/>
                <w:szCs w:val="20"/>
                <w:color w:val="auto"/>
              </w:rPr>
            </w:pPr>
            <w:r>
              <w:rPr>
                <w:rFonts w:ascii="Arial" w:cs="Arial" w:eastAsia="Arial" w:hAnsi="Arial"/>
                <w:sz w:val="25"/>
                <w:szCs w:val="25"/>
                <w:color w:val="auto"/>
              </w:rPr>
              <w:t>Return your proxy card</w:t>
            </w:r>
          </w:p>
        </w:tc>
      </w:tr>
      <w:tr>
        <w:trPr>
          <w:trHeight w:val="297"/>
        </w:trPr>
        <w:tc>
          <w:tcPr>
            <w:tcW w:w="326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25"/>
                <w:szCs w:val="25"/>
                <w:color w:val="auto"/>
                <w:w w:val="98"/>
              </w:rPr>
              <w:t>Touch-Tone phone:</w:t>
            </w:r>
          </w:p>
        </w:tc>
        <w:tc>
          <w:tcPr>
            <w:tcW w:w="46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tcPr>
          <w:p>
            <w:pPr>
              <w:jc w:val="center"/>
              <w:spacing w:after="0"/>
              <w:rPr>
                <w:sz w:val="20"/>
                <w:szCs w:val="20"/>
                <w:color w:val="auto"/>
              </w:rPr>
            </w:pPr>
            <w:r>
              <w:rPr>
                <w:rFonts w:ascii="Arial" w:cs="Arial" w:eastAsia="Arial" w:hAnsi="Arial"/>
                <w:sz w:val="25"/>
                <w:szCs w:val="25"/>
                <w:color w:val="auto"/>
              </w:rPr>
              <w:t>Cast your vote:</w:t>
            </w:r>
          </w:p>
        </w:tc>
        <w:tc>
          <w:tcPr>
            <w:tcW w:w="460" w:type="dxa"/>
            <w:vAlign w:val="bottom"/>
            <w:tcBorders>
              <w:right w:val="single" w:sz="8" w:color="auto"/>
            </w:tcBorders>
          </w:tcPr>
          <w:p>
            <w:pPr>
              <w:spacing w:after="0"/>
              <w:rPr>
                <w:sz w:val="24"/>
                <w:szCs w:val="24"/>
                <w:color w:val="auto"/>
              </w:rPr>
            </w:pPr>
          </w:p>
        </w:tc>
        <w:tc>
          <w:tcPr>
            <w:tcW w:w="3380" w:type="dxa"/>
            <w:vAlign w:val="bottom"/>
            <w:tcBorders>
              <w:right w:val="single" w:sz="8" w:color="auto"/>
            </w:tcBorders>
          </w:tcPr>
          <w:p>
            <w:pPr>
              <w:jc w:val="center"/>
              <w:spacing w:after="0"/>
              <w:rPr>
                <w:sz w:val="20"/>
                <w:szCs w:val="20"/>
                <w:color w:val="auto"/>
              </w:rPr>
            </w:pPr>
            <w:r>
              <w:rPr>
                <w:rFonts w:ascii="Arial" w:cs="Arial" w:eastAsia="Arial" w:hAnsi="Arial"/>
                <w:sz w:val="25"/>
                <w:szCs w:val="25"/>
                <w:color w:val="auto"/>
              </w:rPr>
              <w:t xml:space="preserve">in the </w:t>
            </w:r>
            <w:r>
              <w:rPr>
                <w:rFonts w:ascii="Arial" w:cs="Arial" w:eastAsia="Arial" w:hAnsi="Arial"/>
                <w:sz w:val="25"/>
                <w:szCs w:val="25"/>
                <w:b w:val="1"/>
                <w:bCs w:val="1"/>
                <w:color w:val="auto"/>
              </w:rPr>
              <w:t>Postage-Paid</w:t>
            </w:r>
          </w:p>
        </w:tc>
      </w:tr>
      <w:tr>
        <w:trPr>
          <w:trHeight w:val="375"/>
        </w:trPr>
        <w:tc>
          <w:tcPr>
            <w:tcW w:w="3260" w:type="dxa"/>
            <w:vAlign w:val="bottom"/>
            <w:tcBorders>
              <w:left w:val="single" w:sz="8" w:color="auto"/>
              <w:bottom w:val="single" w:sz="8" w:color="auto"/>
              <w:right w:val="single" w:sz="8" w:color="auto"/>
            </w:tcBorders>
          </w:tcPr>
          <w:p>
            <w:pPr>
              <w:jc w:val="right"/>
              <w:ind w:right="634"/>
              <w:spacing w:after="0"/>
              <w:rPr>
                <w:sz w:val="20"/>
                <w:szCs w:val="20"/>
                <w:color w:val="auto"/>
              </w:rPr>
            </w:pPr>
            <w:r>
              <w:rPr>
                <w:rFonts w:ascii="Arial" w:cs="Arial" w:eastAsia="Arial" w:hAnsi="Arial"/>
                <w:sz w:val="25"/>
                <w:szCs w:val="25"/>
                <w:b w:val="1"/>
                <w:bCs w:val="1"/>
                <w:color w:val="auto"/>
              </w:rPr>
              <w:t>1-888-693-8683</w:t>
            </w:r>
          </w:p>
        </w:tc>
        <w:tc>
          <w:tcPr>
            <w:tcW w:w="460" w:type="dxa"/>
            <w:vAlign w:val="bottom"/>
            <w:tcBorders>
              <w:right w:val="single" w:sz="8" w:color="auto"/>
            </w:tcBorders>
          </w:tcPr>
          <w:p>
            <w:pPr>
              <w:spacing w:after="0"/>
              <w:rPr>
                <w:sz w:val="24"/>
                <w:szCs w:val="24"/>
                <w:color w:val="auto"/>
              </w:rPr>
            </w:pPr>
          </w:p>
        </w:tc>
        <w:tc>
          <w:tcPr>
            <w:tcW w:w="33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25"/>
                <w:szCs w:val="25"/>
                <w:b w:val="1"/>
                <w:bCs w:val="1"/>
                <w:color w:val="auto"/>
              </w:rPr>
              <w:t>www.cesvote.com</w:t>
            </w:r>
          </w:p>
        </w:tc>
        <w:tc>
          <w:tcPr>
            <w:tcW w:w="460" w:type="dxa"/>
            <w:vAlign w:val="bottom"/>
            <w:tcBorders>
              <w:right w:val="single" w:sz="8" w:color="auto"/>
            </w:tcBorders>
          </w:tcPr>
          <w:p>
            <w:pPr>
              <w:spacing w:after="0"/>
              <w:rPr>
                <w:sz w:val="24"/>
                <w:szCs w:val="24"/>
                <w:color w:val="auto"/>
              </w:rPr>
            </w:pPr>
          </w:p>
        </w:tc>
        <w:tc>
          <w:tcPr>
            <w:tcW w:w="33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25"/>
                <w:szCs w:val="25"/>
                <w:color w:val="auto"/>
              </w:rPr>
              <w:t>envelope provided</w:t>
            </w:r>
          </w:p>
        </w:tc>
      </w:tr>
    </w:tbl>
    <w:p>
      <w:pPr>
        <w:spacing w:after="0" w:line="8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Vote 24 hours a day, 7 days a week!</w:t>
      </w:r>
    </w:p>
    <w:p>
      <w:pPr>
        <w:spacing w:after="0" w:line="18"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If you vote by telephone or Internet, please do not send your proxy by mail.</w:t>
      </w:r>
    </w:p>
    <w:p>
      <w:pPr>
        <w:spacing w:after="0" w:line="28" w:lineRule="exact"/>
        <w:rPr>
          <w:sz w:val="20"/>
          <w:szCs w:val="20"/>
          <w:color w:val="auto"/>
        </w:rPr>
      </w:pPr>
    </w:p>
    <w:p>
      <w:pPr>
        <w:jc w:val="both"/>
        <w:ind w:left="120" w:right="20"/>
        <w:spacing w:after="0" w:line="253" w:lineRule="auto"/>
        <w:rPr>
          <w:sz w:val="20"/>
          <w:szCs w:val="20"/>
          <w:color w:val="auto"/>
        </w:rPr>
      </w:pPr>
      <w:r>
        <w:rPr>
          <w:rFonts w:ascii="Arial" w:cs="Arial" w:eastAsia="Arial" w:hAnsi="Arial"/>
          <w:sz w:val="18"/>
          <w:szCs w:val="18"/>
          <w:b w:val="1"/>
          <w:bCs w:val="1"/>
          <w:color w:val="auto"/>
        </w:rPr>
        <w:t>In order to be counted in the final tabulation, if you are a participant in one of the employee savings or stock plans sponsored by TimkenSteel Corporation, your vote must be received by 6:00 a.m. EDT on May 2, 2022 and, if you are a registered shareholder, your vote must be received by 6:00 a.m. EDT on May 4,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2628265</wp:posOffset>
            </wp:positionH>
            <wp:positionV relativeFrom="paragraph">
              <wp:posOffset>61595</wp:posOffset>
            </wp:positionV>
            <wp:extent cx="1894205" cy="3511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894205" cy="351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19"/>
        <w:spacing w:after="0"/>
        <w:rPr>
          <w:sz w:val="20"/>
          <w:szCs w:val="20"/>
          <w:color w:val="auto"/>
        </w:rPr>
      </w:pPr>
      <w:r>
        <w:rPr>
          <w:rFonts w:ascii="Arial" w:cs="Arial" w:eastAsia="Arial" w:hAnsi="Arial"/>
          <w:sz w:val="16"/>
          <w:szCs w:val="16"/>
          <w:b w:val="1"/>
          <w:bCs w:val="1"/>
          <w:color w:val="auto"/>
        </w:rPr>
        <w:t>Proxy must be signed and dated below.</w:t>
      </w:r>
    </w:p>
    <w:p>
      <w:pPr>
        <w:spacing w:after="0" w:line="25" w:lineRule="exact"/>
        <w:rPr>
          <w:sz w:val="20"/>
          <w:szCs w:val="20"/>
          <w:color w:val="auto"/>
        </w:rPr>
      </w:pPr>
    </w:p>
    <w:p>
      <w:pPr>
        <w:jc w:val="center"/>
        <w:ind w:right="-99"/>
        <w:spacing w:after="0"/>
        <w:tabs>
          <w:tab w:leader="none" w:pos="120" w:val="left"/>
        </w:tabs>
        <w:rPr>
          <w:sz w:val="20"/>
          <w:szCs w:val="20"/>
          <w:color w:val="auto"/>
        </w:rPr>
      </w:pPr>
      <w:r>
        <w:rPr>
          <w:rFonts w:ascii="Arial" w:cs="Arial" w:eastAsia="Arial" w:hAnsi="Arial"/>
          <w:sz w:val="16"/>
          <w:szCs w:val="16"/>
          <w:color w:val="auto"/>
        </w:rPr>
        <w:t>ê</w:t>
      </w:r>
      <w:r>
        <w:rPr>
          <w:sz w:val="20"/>
          <w:szCs w:val="20"/>
          <w:color w:val="auto"/>
        </w:rPr>
        <w:tab/>
      </w:r>
      <w:r>
        <w:rPr>
          <w:rFonts w:ascii="Arial" w:cs="Arial" w:eastAsia="Arial" w:hAnsi="Arial"/>
          <w:sz w:val="16"/>
          <w:szCs w:val="16"/>
          <w:b w:val="1"/>
          <w:bCs w:val="1"/>
          <w:color w:val="auto"/>
        </w:rPr>
        <w:t xml:space="preserve">Please fold and detach card at perforation before mailing. </w:t>
      </w:r>
      <w:r>
        <w:rPr>
          <w:rFonts w:ascii="Arial" w:cs="Arial" w:eastAsia="Arial" w:hAnsi="Arial"/>
          <w:sz w:val="16"/>
          <w:szCs w:val="16"/>
          <w:color w:val="auto"/>
        </w:rPr>
        <w:t>ê</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70485</wp:posOffset>
            </wp:positionV>
            <wp:extent cx="6995160"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21" w:lineRule="exact"/>
        <w:rPr>
          <w:sz w:val="20"/>
          <w:szCs w:val="20"/>
          <w:color w:val="auto"/>
        </w:rPr>
      </w:pPr>
    </w:p>
    <w:p>
      <w:pPr>
        <w:ind w:left="120"/>
        <w:spacing w:after="0"/>
        <w:tabs>
          <w:tab w:leader="none" w:pos="7120" w:val="left"/>
        </w:tabs>
        <w:rPr>
          <w:sz w:val="20"/>
          <w:szCs w:val="20"/>
          <w:color w:val="auto"/>
        </w:rPr>
      </w:pPr>
      <w:r>
        <w:rPr>
          <w:rFonts w:ascii="Arial" w:cs="Arial" w:eastAsia="Arial" w:hAnsi="Arial"/>
          <w:sz w:val="22"/>
          <w:szCs w:val="22"/>
          <w:b w:val="1"/>
          <w:bCs w:val="1"/>
          <w:color w:val="auto"/>
        </w:rPr>
        <w:t>TIMKENSTEEL CORPORATION</w:t>
      </w:r>
      <w:r>
        <w:rPr>
          <w:sz w:val="20"/>
          <w:szCs w:val="20"/>
          <w:color w:val="auto"/>
        </w:rPr>
        <w:tab/>
      </w:r>
      <w:r>
        <w:rPr>
          <w:rFonts w:ascii="Arial" w:cs="Arial" w:eastAsia="Arial" w:hAnsi="Arial"/>
          <w:sz w:val="21"/>
          <w:szCs w:val="21"/>
          <w:b w:val="1"/>
          <w:bCs w:val="1"/>
          <w:color w:val="auto"/>
        </w:rPr>
        <w:t>PROXY / VOTING INSTRUCTION CARD</w:t>
      </w:r>
    </w:p>
    <w:p>
      <w:pPr>
        <w:spacing w:after="0" w:line="108"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THIS PROXY IS SOLICITED ON BEHALF OF THE BOARD OF DIRECTORS.</w:t>
      </w:r>
    </w:p>
    <w:p>
      <w:pPr>
        <w:spacing w:after="0" w:line="120" w:lineRule="exact"/>
        <w:rPr>
          <w:sz w:val="20"/>
          <w:szCs w:val="20"/>
          <w:color w:val="auto"/>
        </w:rPr>
      </w:pPr>
    </w:p>
    <w:p>
      <w:pPr>
        <w:jc w:val="both"/>
        <w:ind w:left="120" w:right="20"/>
        <w:spacing w:after="0" w:line="235" w:lineRule="auto"/>
        <w:rPr>
          <w:sz w:val="20"/>
          <w:szCs w:val="20"/>
          <w:color w:val="auto"/>
        </w:rPr>
      </w:pPr>
      <w:r>
        <w:rPr>
          <w:rFonts w:ascii="Arial" w:cs="Arial" w:eastAsia="Arial" w:hAnsi="Arial"/>
          <w:sz w:val="17"/>
          <w:szCs w:val="17"/>
          <w:color w:val="auto"/>
        </w:rPr>
        <w:t xml:space="preserve">The undersigned appoints Kristopher R. Westbrooks and Kristine C. Syrvalin, and each of them, as true and lawful proxies, with full power of substitution, to vote and act for the undersigned as specified on the reverse hereof at the Annual Meeting of Shareholders of TimkenSteel Corporation to be held virtually at </w:t>
      </w:r>
      <w:r>
        <w:rPr>
          <w:rFonts w:ascii="Arial" w:cs="Arial" w:eastAsia="Arial" w:hAnsi="Arial"/>
          <w:sz w:val="17"/>
          <w:szCs w:val="17"/>
          <w:u w:val="single" w:color="auto"/>
          <w:color w:val="0000FF"/>
        </w:rPr>
        <w:t>www.cesonlineservices.com/tmst22_vm</w:t>
      </w:r>
      <w:r>
        <w:rPr>
          <w:rFonts w:ascii="Arial" w:cs="Arial" w:eastAsia="Arial" w:hAnsi="Arial"/>
          <w:sz w:val="17"/>
          <w:szCs w:val="17"/>
          <w:color w:val="auto"/>
        </w:rPr>
        <w:t>, on May 4, 2022, at 10:00 a.m. EDT, and at any adjournment thereof, as fully as the undersigned could vote and act if personally present on the matters set forth on the reverse hereof, and in their discretion on such other matters as may properly come before the meeting.</w:t>
      </w:r>
    </w:p>
    <w:p>
      <w:pPr>
        <w:spacing w:after="0" w:line="96" w:lineRule="exact"/>
        <w:rPr>
          <w:sz w:val="20"/>
          <w:szCs w:val="20"/>
          <w:color w:val="auto"/>
        </w:rPr>
      </w:pPr>
    </w:p>
    <w:p>
      <w:pPr>
        <w:jc w:val="both"/>
        <w:ind w:left="120" w:right="20"/>
        <w:spacing w:after="0" w:line="235" w:lineRule="auto"/>
        <w:rPr>
          <w:sz w:val="20"/>
          <w:szCs w:val="20"/>
          <w:color w:val="auto"/>
        </w:rPr>
      </w:pPr>
      <w:r>
        <w:rPr>
          <w:rFonts w:ascii="Arial" w:cs="Arial" w:eastAsia="Arial" w:hAnsi="Arial"/>
          <w:sz w:val="17"/>
          <w:szCs w:val="17"/>
          <w:color w:val="auto"/>
        </w:rPr>
        <w:t>This card also serves as voting instructions to the trustee of each employee savings plan and to the recordkeeper of each employee stock plan sponsored by TimkenSteel Corporation, its subsidiaries or affiliates, with respect to TimkenSteel common shares held by the undersigned under any such plan. If you are a participant in any of the plans, your voting instructions must be received by 6:00 a.m. EDT on May 2, 2022 to be counted in the final tabulation. The trustee for each employee savings plan sponsored by TimkenSteel Corporation will vote all uninstructed plan shares in the same proportion as those plan shares for which instructions have been timely received.</w:t>
      </w:r>
    </w:p>
    <w:p>
      <w:pPr>
        <w:spacing w:after="0" w:line="96" w:lineRule="exact"/>
        <w:rPr>
          <w:sz w:val="20"/>
          <w:szCs w:val="20"/>
          <w:color w:val="auto"/>
        </w:rPr>
      </w:pPr>
    </w:p>
    <w:p>
      <w:pPr>
        <w:jc w:val="both"/>
        <w:ind w:left="120" w:right="20"/>
        <w:spacing w:after="0" w:line="243" w:lineRule="auto"/>
        <w:rPr>
          <w:sz w:val="20"/>
          <w:szCs w:val="20"/>
          <w:color w:val="auto"/>
        </w:rPr>
      </w:pPr>
      <w:r>
        <w:rPr>
          <w:rFonts w:ascii="Arial" w:cs="Arial" w:eastAsia="Arial" w:hAnsi="Arial"/>
          <w:sz w:val="17"/>
          <w:szCs w:val="17"/>
          <w:color w:val="auto"/>
        </w:rPr>
        <w:t>If properly signed, dated and returned, this proxy will be voted as specified on the reverse side or, if no choice is specified, this proxy will be voted in accordance with the recommendations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4274185</wp:posOffset>
            </wp:positionH>
            <wp:positionV relativeFrom="paragraph">
              <wp:posOffset>180975</wp:posOffset>
            </wp:positionV>
            <wp:extent cx="2794635"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316" w:lineRule="exact"/>
        <w:rPr>
          <w:sz w:val="20"/>
          <w:szCs w:val="20"/>
          <w:color w:val="auto"/>
        </w:rPr>
      </w:pPr>
    </w:p>
    <w:p>
      <w:pPr>
        <w:ind w:left="6740"/>
        <w:spacing w:after="0"/>
        <w:rPr>
          <w:sz w:val="20"/>
          <w:szCs w:val="20"/>
          <w:color w:val="auto"/>
        </w:rPr>
      </w:pPr>
      <w:r>
        <w:rPr>
          <w:rFonts w:ascii="Arial" w:cs="Arial" w:eastAsia="Arial" w:hAnsi="Arial"/>
          <w:sz w:val="15"/>
          <w:szCs w:val="15"/>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4274185</wp:posOffset>
            </wp:positionH>
            <wp:positionV relativeFrom="paragraph">
              <wp:posOffset>192405</wp:posOffset>
            </wp:positionV>
            <wp:extent cx="2794635"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334" w:lineRule="exact"/>
        <w:rPr>
          <w:sz w:val="20"/>
          <w:szCs w:val="20"/>
          <w:color w:val="auto"/>
        </w:rPr>
      </w:pPr>
    </w:p>
    <w:p>
      <w:pPr>
        <w:ind w:left="6740"/>
        <w:spacing w:after="0"/>
        <w:rPr>
          <w:sz w:val="20"/>
          <w:szCs w:val="20"/>
          <w:color w:val="auto"/>
        </w:rPr>
      </w:pPr>
      <w:r>
        <w:rPr>
          <w:rFonts w:ascii="Arial" w:cs="Arial" w:eastAsia="Arial" w:hAnsi="Arial"/>
          <w:sz w:val="15"/>
          <w:szCs w:val="15"/>
          <w:color w:val="auto"/>
        </w:rPr>
        <w:t>Signature (if jointly held)</w:t>
      </w:r>
    </w:p>
    <w:p>
      <w:pPr>
        <w:spacing w:after="0" w:line="125" w:lineRule="exact"/>
        <w:rPr>
          <w:sz w:val="20"/>
          <w:szCs w:val="20"/>
          <w:color w:val="auto"/>
        </w:rPr>
      </w:pPr>
    </w:p>
    <w:p>
      <w:pPr>
        <w:ind w:left="6740"/>
        <w:spacing w:after="0"/>
        <w:rPr>
          <w:sz w:val="20"/>
          <w:szCs w:val="20"/>
          <w:color w:val="auto"/>
        </w:rPr>
      </w:pPr>
      <w:r>
        <w:rPr>
          <w:rFonts w:ascii="Arial" w:cs="Arial" w:eastAsia="Arial" w:hAnsi="Arial"/>
          <w:sz w:val="15"/>
          <w:szCs w:val="15"/>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-12700</wp:posOffset>
            </wp:positionV>
            <wp:extent cx="1807845"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807845" cy="8890"/>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89535</wp:posOffset>
            </wp:positionV>
            <wp:extent cx="75565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55650" cy="8890"/>
                    </a:xfrm>
                    <a:prstGeom prst="rect">
                      <a:avLst/>
                    </a:prstGeom>
                    <a:noFill/>
                  </pic:spPr>
                </pic:pic>
              </a:graphicData>
            </a:graphic>
          </wp:anchor>
        </w:drawing>
      </w:r>
    </w:p>
    <w:p>
      <w:pPr>
        <w:spacing w:after="0" w:line="194" w:lineRule="exact"/>
        <w:rPr>
          <w:sz w:val="20"/>
          <w:szCs w:val="20"/>
          <w:color w:val="auto"/>
        </w:rPr>
      </w:pPr>
    </w:p>
    <w:p>
      <w:pPr>
        <w:ind w:left="6740"/>
        <w:spacing w:after="0"/>
        <w:rPr>
          <w:sz w:val="20"/>
          <w:szCs w:val="20"/>
          <w:color w:val="auto"/>
        </w:rPr>
      </w:pPr>
      <w:r>
        <w:rPr>
          <w:rFonts w:ascii="Arial" w:cs="Arial" w:eastAsia="Arial" w:hAnsi="Arial"/>
          <w:sz w:val="14"/>
          <w:szCs w:val="14"/>
          <w:color w:val="auto"/>
        </w:rPr>
        <w:t>Please sign exactly as the name appears hereon. Joint owners</w:t>
      </w:r>
    </w:p>
    <w:p>
      <w:pPr>
        <w:spacing w:after="0" w:line="1" w:lineRule="exact"/>
        <w:rPr>
          <w:sz w:val="20"/>
          <w:szCs w:val="20"/>
          <w:color w:val="auto"/>
        </w:rPr>
      </w:pPr>
    </w:p>
    <w:p>
      <w:pPr>
        <w:ind w:left="6740"/>
        <w:spacing w:after="0"/>
        <w:tabs>
          <w:tab w:leader="none" w:pos="7260" w:val="left"/>
          <w:tab w:leader="none" w:pos="7720" w:val="left"/>
          <w:tab w:leader="none" w:pos="8160" w:val="left"/>
          <w:tab w:leader="none" w:pos="8660" w:val="left"/>
          <w:tab w:leader="none" w:pos="9260" w:val="left"/>
          <w:tab w:leader="none" w:pos="9540" w:val="left"/>
          <w:tab w:leader="none" w:pos="9840" w:val="left"/>
          <w:tab w:leader="none" w:pos="10520" w:val="left"/>
        </w:tabs>
        <w:rPr>
          <w:sz w:val="20"/>
          <w:szCs w:val="20"/>
          <w:color w:val="auto"/>
        </w:rPr>
      </w:pPr>
      <w:r>
        <w:rPr>
          <w:rFonts w:ascii="Arial" w:cs="Arial" w:eastAsia="Arial" w:hAnsi="Arial"/>
          <w:sz w:val="14"/>
          <w:szCs w:val="14"/>
          <w:color w:val="auto"/>
        </w:rPr>
        <w:t>should</w:t>
        <w:tab/>
        <w:t>each</w:t>
        <w:tab/>
        <w:t>sign.</w:t>
        <w:tab/>
        <w:t>When</w:t>
        <w:tab/>
        <w:t>signing</w:t>
        <w:tab/>
        <w:t>as</w:t>
        <w:tab/>
        <w:t>an</w:t>
        <w:tab/>
        <w:t>attorney,</w:t>
        <w:tab/>
        <w:t>executor,</w:t>
      </w:r>
    </w:p>
    <w:p>
      <w:pPr>
        <w:spacing w:after="0" w:line="1" w:lineRule="exact"/>
        <w:rPr>
          <w:sz w:val="20"/>
          <w:szCs w:val="20"/>
          <w:color w:val="auto"/>
        </w:rPr>
      </w:pPr>
    </w:p>
    <w:p>
      <w:pPr>
        <w:ind w:left="6740"/>
        <w:spacing w:after="0"/>
        <w:rPr>
          <w:sz w:val="20"/>
          <w:szCs w:val="20"/>
          <w:color w:val="auto"/>
        </w:rPr>
      </w:pPr>
      <w:r>
        <w:rPr>
          <w:rFonts w:ascii="Arial" w:cs="Arial" w:eastAsia="Arial" w:hAnsi="Arial"/>
          <w:sz w:val="14"/>
          <w:szCs w:val="14"/>
          <w:color w:val="auto"/>
        </w:rPr>
        <w:t>administrator, trust or guardian, please give full title as such.</w:t>
      </w:r>
    </w:p>
    <w:p>
      <w:pPr>
        <w:sectPr>
          <w:pgSz w:w="11900" w:h="16838" w:orient="portrait"/>
          <w:cols w:equalWidth="0" w:num="1">
            <w:col w:w="11140"/>
          </w:cols>
          <w:pgMar w:left="320" w:top="459" w:right="439" w:bottom="1440" w:gutter="0" w:footer="0" w:header="0"/>
          <w:type w:val="continuous"/>
        </w:sectPr>
      </w:pPr>
    </w:p>
    <w:p>
      <w:pPr>
        <w:spacing w:after="0" w:line="100" w:lineRule="exact"/>
        <w:rPr>
          <w:sz w:val="20"/>
          <w:szCs w:val="20"/>
          <w:color w:val="auto"/>
        </w:rPr>
      </w:pPr>
    </w:p>
    <w:p>
      <w:pPr>
        <w:jc w:val="center"/>
        <w:ind w:right="-119"/>
        <w:spacing w:after="0"/>
        <w:rPr>
          <w:sz w:val="20"/>
          <w:szCs w:val="20"/>
          <w:color w:val="auto"/>
        </w:rPr>
      </w:pPr>
      <w:r>
        <w:rPr>
          <w:rFonts w:ascii="Arial" w:cs="Arial" w:eastAsia="Arial" w:hAnsi="Arial"/>
          <w:sz w:val="16"/>
          <w:szCs w:val="16"/>
          <w:b w:val="1"/>
          <w:bCs w:val="1"/>
          <w:color w:val="auto"/>
        </w:rPr>
        <w:t>PLEASE SIGN AND RETURN AS SOON AS POSSIBLE</w:t>
      </w:r>
    </w:p>
    <w:p>
      <w:pPr>
        <w:sectPr>
          <w:pgSz w:w="11900" w:h="16838" w:orient="portrait"/>
          <w:cols w:equalWidth="0" w:num="1">
            <w:col w:w="11140"/>
          </w:cols>
          <w:pgMar w:left="320" w:top="459" w:right="439" w:bottom="1440" w:gutter="0" w:footer="0" w:header="0"/>
          <w:type w:val="continuous"/>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5">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2293620</wp:posOffset>
            </wp:positionH>
            <wp:positionV relativeFrom="paragraph">
              <wp:posOffset>205740</wp:posOffset>
            </wp:positionV>
            <wp:extent cx="2562860" cy="36830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2562860" cy="368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119"/>
        <w:spacing w:after="0"/>
        <w:rPr>
          <w:sz w:val="20"/>
          <w:szCs w:val="20"/>
          <w:color w:val="auto"/>
        </w:rPr>
      </w:pPr>
      <w:r>
        <w:rPr>
          <w:rFonts w:ascii="Arial" w:cs="Arial" w:eastAsia="Arial" w:hAnsi="Arial"/>
          <w:sz w:val="25"/>
          <w:szCs w:val="25"/>
          <w:b w:val="1"/>
          <w:bCs w:val="1"/>
          <w:color w:val="auto"/>
        </w:rPr>
        <w:t>N</w:t>
      </w:r>
      <w:r>
        <w:rPr>
          <w:rFonts w:ascii="Arial" w:cs="Arial" w:eastAsia="Arial" w:hAnsi="Arial"/>
          <w:sz w:val="20"/>
          <w:szCs w:val="20"/>
          <w:b w:val="1"/>
          <w:bCs w:val="1"/>
          <w:color w:val="auto"/>
        </w:rPr>
        <w:t>OTICE</w:t>
      </w:r>
      <w:r>
        <w:rPr>
          <w:rFonts w:ascii="Arial" w:cs="Arial" w:eastAsia="Arial" w:hAnsi="Arial"/>
          <w:sz w:val="25"/>
          <w:szCs w:val="25"/>
          <w:b w:val="1"/>
          <w:bCs w:val="1"/>
          <w:color w:val="auto"/>
        </w:rPr>
        <w:t xml:space="preserve"> O</w:t>
      </w:r>
      <w:r>
        <w:rPr>
          <w:rFonts w:ascii="Arial" w:cs="Arial" w:eastAsia="Arial" w:hAnsi="Arial"/>
          <w:sz w:val="20"/>
          <w:szCs w:val="20"/>
          <w:b w:val="1"/>
          <w:bCs w:val="1"/>
          <w:color w:val="auto"/>
        </w:rPr>
        <w:t>F</w:t>
      </w:r>
      <w:r>
        <w:rPr>
          <w:rFonts w:ascii="Arial" w:cs="Arial" w:eastAsia="Arial" w:hAnsi="Arial"/>
          <w:sz w:val="25"/>
          <w:szCs w:val="25"/>
          <w:b w:val="1"/>
          <w:bCs w:val="1"/>
          <w:color w:val="auto"/>
        </w:rPr>
        <w:t xml:space="preserve"> A</w:t>
      </w:r>
      <w:r>
        <w:rPr>
          <w:rFonts w:ascii="Arial" w:cs="Arial" w:eastAsia="Arial" w:hAnsi="Arial"/>
          <w:sz w:val="20"/>
          <w:szCs w:val="20"/>
          <w:b w:val="1"/>
          <w:bCs w:val="1"/>
          <w:color w:val="auto"/>
        </w:rPr>
        <w:t>NNUAL</w:t>
      </w:r>
      <w:r>
        <w:rPr>
          <w:rFonts w:ascii="Arial" w:cs="Arial" w:eastAsia="Arial" w:hAnsi="Arial"/>
          <w:sz w:val="25"/>
          <w:szCs w:val="25"/>
          <w:b w:val="1"/>
          <w:bCs w:val="1"/>
          <w:color w:val="auto"/>
        </w:rPr>
        <w:t xml:space="preserve"> M</w:t>
      </w:r>
      <w:r>
        <w:rPr>
          <w:rFonts w:ascii="Arial" w:cs="Arial" w:eastAsia="Arial" w:hAnsi="Arial"/>
          <w:sz w:val="20"/>
          <w:szCs w:val="20"/>
          <w:b w:val="1"/>
          <w:bCs w:val="1"/>
          <w:color w:val="auto"/>
        </w:rPr>
        <w:t>EETING</w:t>
      </w:r>
      <w:r>
        <w:rPr>
          <w:rFonts w:ascii="Arial" w:cs="Arial" w:eastAsia="Arial" w:hAnsi="Arial"/>
          <w:sz w:val="25"/>
          <w:szCs w:val="25"/>
          <w:b w:val="1"/>
          <w:bCs w:val="1"/>
          <w:color w:val="auto"/>
        </w:rPr>
        <w:t xml:space="preserve"> O</w:t>
      </w:r>
      <w:r>
        <w:rPr>
          <w:rFonts w:ascii="Arial" w:cs="Arial" w:eastAsia="Arial" w:hAnsi="Arial"/>
          <w:sz w:val="20"/>
          <w:szCs w:val="20"/>
          <w:b w:val="1"/>
          <w:bCs w:val="1"/>
          <w:color w:val="auto"/>
        </w:rPr>
        <w:t>F</w:t>
      </w:r>
      <w:r>
        <w:rPr>
          <w:rFonts w:ascii="Arial" w:cs="Arial" w:eastAsia="Arial" w:hAnsi="Arial"/>
          <w:sz w:val="25"/>
          <w:szCs w:val="25"/>
          <w:b w:val="1"/>
          <w:bCs w:val="1"/>
          <w:color w:val="auto"/>
        </w:rPr>
        <w:t xml:space="preserve"> S</w:t>
      </w:r>
      <w:r>
        <w:rPr>
          <w:rFonts w:ascii="Arial" w:cs="Arial" w:eastAsia="Arial" w:hAnsi="Arial"/>
          <w:sz w:val="20"/>
          <w:szCs w:val="20"/>
          <w:b w:val="1"/>
          <w:bCs w:val="1"/>
          <w:color w:val="auto"/>
        </w:rPr>
        <w:t>HAREHOLDERS</w:t>
      </w:r>
    </w:p>
    <w:p>
      <w:pPr>
        <w:spacing w:after="0" w:line="200" w:lineRule="exact"/>
        <w:rPr>
          <w:sz w:val="20"/>
          <w:szCs w:val="20"/>
          <w:color w:val="auto"/>
        </w:rPr>
      </w:pPr>
    </w:p>
    <w:p>
      <w:pPr>
        <w:spacing w:after="0" w:line="274" w:lineRule="exact"/>
        <w:rPr>
          <w:sz w:val="20"/>
          <w:szCs w:val="20"/>
          <w:color w:val="auto"/>
        </w:rPr>
      </w:pPr>
    </w:p>
    <w:p>
      <w:pPr>
        <w:jc w:val="center"/>
        <w:ind w:right="-119"/>
        <w:spacing w:after="0"/>
        <w:rPr>
          <w:sz w:val="20"/>
          <w:szCs w:val="20"/>
          <w:color w:val="auto"/>
        </w:rPr>
      </w:pPr>
      <w:r>
        <w:rPr>
          <w:rFonts w:ascii="Arial" w:cs="Arial" w:eastAsia="Arial" w:hAnsi="Arial"/>
          <w:sz w:val="25"/>
          <w:szCs w:val="25"/>
          <w:color w:val="auto"/>
        </w:rPr>
        <w:t>May 4, 2022 at 10:00 a.m. Eastern Time</w:t>
      </w:r>
    </w:p>
    <w:p>
      <w:pPr>
        <w:spacing w:after="0" w:line="226" w:lineRule="exact"/>
        <w:rPr>
          <w:sz w:val="20"/>
          <w:szCs w:val="20"/>
          <w:color w:val="auto"/>
        </w:rPr>
      </w:pPr>
    </w:p>
    <w:p>
      <w:pPr>
        <w:jc w:val="center"/>
        <w:ind w:right="-119"/>
        <w:spacing w:after="0"/>
        <w:rPr>
          <w:sz w:val="20"/>
          <w:szCs w:val="20"/>
          <w:color w:val="auto"/>
        </w:rPr>
      </w:pPr>
      <w:r>
        <w:rPr>
          <w:rFonts w:ascii="Arial" w:cs="Arial" w:eastAsia="Arial" w:hAnsi="Arial"/>
          <w:sz w:val="25"/>
          <w:szCs w:val="25"/>
          <w:u w:val="single" w:color="auto"/>
          <w:color w:val="0000FF"/>
        </w:rPr>
        <w:t>www.cesonlineservices.com/tmst22_vm</w:t>
      </w:r>
    </w:p>
    <w:p>
      <w:pPr>
        <w:spacing w:after="0" w:line="223" w:lineRule="exact"/>
        <w:rPr>
          <w:sz w:val="20"/>
          <w:szCs w:val="20"/>
          <w:color w:val="auto"/>
        </w:rPr>
      </w:pPr>
    </w:p>
    <w:p>
      <w:pPr>
        <w:jc w:val="both"/>
        <w:ind w:left="120"/>
        <w:spacing w:after="0" w:line="238" w:lineRule="auto"/>
        <w:rPr>
          <w:sz w:val="20"/>
          <w:szCs w:val="20"/>
          <w:color w:val="auto"/>
        </w:rPr>
      </w:pPr>
      <w:r>
        <w:rPr>
          <w:rFonts w:ascii="Arial" w:cs="Arial" w:eastAsia="Arial" w:hAnsi="Arial"/>
          <w:sz w:val="18"/>
          <w:szCs w:val="18"/>
          <w:color w:val="auto"/>
        </w:rPr>
        <w:t xml:space="preserve">To attend the virtual annual meeting, please register at </w:t>
      </w:r>
      <w:r>
        <w:rPr>
          <w:rFonts w:ascii="Arial" w:cs="Arial" w:eastAsia="Arial" w:hAnsi="Arial"/>
          <w:sz w:val="18"/>
          <w:szCs w:val="18"/>
          <w:u w:val="single" w:color="auto"/>
          <w:color w:val="0000FF"/>
        </w:rPr>
        <w:t>www.cesonlineservices.com/tmst22_vm</w:t>
      </w:r>
      <w:r>
        <w:rPr>
          <w:rFonts w:ascii="Arial" w:cs="Arial" w:eastAsia="Arial" w:hAnsi="Arial"/>
          <w:sz w:val="18"/>
          <w:szCs w:val="18"/>
          <w:color w:val="auto"/>
        </w:rPr>
        <w:t xml:space="preserve"> no later than 10:00 a.m. Eastern time on May 3, 2022. If you attend the virtual meeting, you will be able to vote online during the meeting. Even if you plan on attending the virtual annual meeting, we encourage you to vote your shares in advance using one of the methods described in the proxy card to ensure that your vote will be represented at the annual meeting.</w:t>
      </w:r>
    </w:p>
    <w:p>
      <w:pPr>
        <w:spacing w:after="0" w:line="283" w:lineRule="exact"/>
        <w:rPr>
          <w:sz w:val="20"/>
          <w:szCs w:val="20"/>
          <w:color w:val="auto"/>
        </w:rPr>
      </w:pPr>
    </w:p>
    <w:p>
      <w:pPr>
        <w:jc w:val="center"/>
        <w:ind w:right="-119"/>
        <w:spacing w:after="0"/>
        <w:rPr>
          <w:sz w:val="20"/>
          <w:szCs w:val="20"/>
          <w:color w:val="auto"/>
        </w:rPr>
      </w:pPr>
      <w:r>
        <w:rPr>
          <w:rFonts w:ascii="Arial" w:cs="Arial" w:eastAsia="Arial" w:hAnsi="Arial"/>
          <w:sz w:val="25"/>
          <w:szCs w:val="25"/>
          <w:b w:val="1"/>
          <w:bCs w:val="1"/>
          <w:color w:val="auto"/>
        </w:rPr>
        <w:t>ELECTRONIC ACCESS TO FUTURE DOCUMENTS NOW AVAILABLE</w:t>
      </w:r>
    </w:p>
    <w:p>
      <w:pPr>
        <w:spacing w:after="0" w:line="225" w:lineRule="exact"/>
        <w:rPr>
          <w:sz w:val="20"/>
          <w:szCs w:val="20"/>
          <w:color w:val="auto"/>
        </w:rPr>
      </w:pPr>
    </w:p>
    <w:p>
      <w:pPr>
        <w:jc w:val="both"/>
        <w:ind w:left="120" w:right="20"/>
        <w:spacing w:after="0" w:line="227" w:lineRule="auto"/>
        <w:rPr>
          <w:sz w:val="20"/>
          <w:szCs w:val="20"/>
          <w:color w:val="auto"/>
        </w:rPr>
      </w:pPr>
      <w:r>
        <w:rPr>
          <w:rFonts w:ascii="Arial" w:cs="Arial" w:eastAsia="Arial" w:hAnsi="Arial"/>
          <w:sz w:val="20"/>
          <w:szCs w:val="20"/>
          <w:color w:val="auto"/>
        </w:rPr>
        <w:t>If you are a registered holder of shares, you have the option to access future shareholder communications (e.g., annual reports, proxy statements, related proxy materials) over the Internet instead of receiving those documents in print. Participation is completely voluntary. If you give your consent, in the future, when our material is available over the Internet, you will receive notification which will contain the Internet location where the material is available. Our material will be presented in PDF format. There is no cost to you for this service other than any charges you may incur from your Internet provider, telephone and/or cable company. Once you give your consent, it will remain in effect until you inform us otherwise. You may revoke your consent at any time by notifying the company in writing. To give your consent, follow the prompts when you vote by telephone or over the Internet or check the appropriate box located at the bottom of the attached proxy card when you vote by mail.</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auto"/>
        </w:rPr>
        <w:t>Important Notice Regarding the Availability of Proxy Materials for the Annual Meeting:</w:t>
      </w:r>
    </w:p>
    <w:p>
      <w:pPr>
        <w:spacing w:after="0" w:line="24" w:lineRule="exact"/>
        <w:rPr>
          <w:sz w:val="20"/>
          <w:szCs w:val="20"/>
          <w:color w:val="auto"/>
        </w:rPr>
      </w:pPr>
    </w:p>
    <w:p>
      <w:pPr>
        <w:ind w:left="120"/>
        <w:spacing w:after="0"/>
        <w:rPr>
          <w:sz w:val="20"/>
          <w:szCs w:val="20"/>
          <w:color w:val="auto"/>
        </w:rPr>
      </w:pPr>
      <w:r>
        <w:rPr>
          <w:rFonts w:ascii="Arial" w:cs="Arial" w:eastAsia="Arial" w:hAnsi="Arial"/>
          <w:sz w:val="20"/>
          <w:szCs w:val="20"/>
          <w:color w:val="auto"/>
        </w:rPr>
        <w:t xml:space="preserve">The 2022 notice and proxy statement and 2021 annual report on Form 10-K are available at </w:t>
      </w:r>
      <w:r>
        <w:rPr>
          <w:rFonts w:ascii="Arial" w:cs="Arial" w:eastAsia="Arial" w:hAnsi="Arial"/>
          <w:sz w:val="20"/>
          <w:szCs w:val="20"/>
          <w:u w:val="single" w:color="auto"/>
          <w:color w:val="0000FF"/>
        </w:rPr>
        <w:t>www.proxydocs.com/tmst</w:t>
      </w:r>
    </w:p>
    <w:p>
      <w:pPr>
        <w:spacing w:after="0" w:line="394" w:lineRule="exact"/>
        <w:rPr>
          <w:sz w:val="20"/>
          <w:szCs w:val="20"/>
          <w:color w:val="auto"/>
        </w:rPr>
      </w:pPr>
    </w:p>
    <w:p>
      <w:pPr>
        <w:jc w:val="center"/>
        <w:ind w:right="-119"/>
        <w:spacing w:after="0"/>
        <w:rPr>
          <w:sz w:val="20"/>
          <w:szCs w:val="20"/>
          <w:color w:val="auto"/>
        </w:rPr>
      </w:pPr>
      <w:r>
        <w:rPr>
          <w:rFonts w:ascii="Arial" w:cs="Arial" w:eastAsia="Arial" w:hAnsi="Arial"/>
          <w:sz w:val="20"/>
          <w:szCs w:val="20"/>
          <w:color w:val="auto"/>
        </w:rPr>
        <w:t xml:space="preserve">ê </w:t>
      </w:r>
      <w:r>
        <w:rPr>
          <w:rFonts w:ascii="Arial" w:cs="Arial" w:eastAsia="Arial" w:hAnsi="Arial"/>
          <w:sz w:val="20"/>
          <w:szCs w:val="20"/>
          <w:b w:val="1"/>
          <w:bCs w:val="1"/>
          <w:color w:val="auto"/>
        </w:rPr>
        <w:t>Please fold and detach card at perforation before mailing.</w:t>
      </w:r>
      <w:r>
        <w:rPr>
          <w:rFonts w:ascii="Arial" w:cs="Arial" w:eastAsia="Arial" w:hAnsi="Arial"/>
          <w:sz w:val="20"/>
          <w:szCs w:val="20"/>
          <w:color w:val="auto"/>
        </w:rPr>
        <w:t xml:space="preserve"> ê</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77470</wp:posOffset>
            </wp:positionV>
            <wp:extent cx="6995160" cy="171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263" w:lineRule="exact"/>
        <w:rPr>
          <w:sz w:val="20"/>
          <w:szCs w:val="20"/>
          <w:color w:val="auto"/>
        </w:rPr>
      </w:pPr>
    </w:p>
    <w:p>
      <w:pPr>
        <w:ind w:left="120"/>
        <w:spacing w:after="0"/>
        <w:tabs>
          <w:tab w:leader="none" w:pos="7460" w:val="left"/>
        </w:tabs>
        <w:rPr>
          <w:sz w:val="20"/>
          <w:szCs w:val="20"/>
          <w:color w:val="auto"/>
        </w:rPr>
      </w:pPr>
      <w:r>
        <w:rPr>
          <w:rFonts w:ascii="Arial" w:cs="Arial" w:eastAsia="Arial" w:hAnsi="Arial"/>
          <w:sz w:val="20"/>
          <w:szCs w:val="20"/>
          <w:b w:val="1"/>
          <w:bCs w:val="1"/>
          <w:color w:val="auto"/>
        </w:rPr>
        <w:t>TIMKENSTEEL CORPORATION</w:t>
      </w:r>
      <w:r>
        <w:rPr>
          <w:sz w:val="20"/>
          <w:szCs w:val="20"/>
          <w:color w:val="auto"/>
        </w:rPr>
        <w:tab/>
      </w:r>
      <w:r>
        <w:rPr>
          <w:rFonts w:ascii="Arial" w:cs="Arial" w:eastAsia="Arial" w:hAnsi="Arial"/>
          <w:sz w:val="19"/>
          <w:szCs w:val="19"/>
          <w:b w:val="1"/>
          <w:bCs w:val="1"/>
          <w:color w:val="auto"/>
        </w:rPr>
        <w:t>PROXY / VOTING INSTRUCTION CARD</w:t>
      </w:r>
    </w:p>
    <w:p>
      <w:pPr>
        <w:spacing w:after="0" w:line="95" w:lineRule="exact"/>
        <w:rPr>
          <w:sz w:val="20"/>
          <w:szCs w:val="20"/>
          <w:color w:val="auto"/>
        </w:rPr>
      </w:pPr>
    </w:p>
    <w:p>
      <w:pPr>
        <w:jc w:val="both"/>
        <w:ind w:left="120" w:right="20"/>
        <w:spacing w:after="0" w:line="267" w:lineRule="auto"/>
        <w:rPr>
          <w:sz w:val="20"/>
          <w:szCs w:val="20"/>
          <w:color w:val="auto"/>
        </w:rPr>
      </w:pPr>
      <w:r>
        <w:rPr>
          <w:rFonts w:ascii="Arial" w:cs="Arial" w:eastAsia="Arial" w:hAnsi="Arial"/>
          <w:sz w:val="17"/>
          <w:szCs w:val="17"/>
          <w:b w:val="1"/>
          <w:bCs w:val="1"/>
          <w:color w:val="auto"/>
        </w:rPr>
        <w:t xml:space="preserve">The shares represented by this proxy will be voted as recommended by the Board of Directors unless otherwise specified. The Board of Directors recommends a vote </w:t>
      </w:r>
      <w:r>
        <w:rPr>
          <w:rFonts w:ascii="Arial" w:cs="Arial" w:eastAsia="Arial" w:hAnsi="Arial"/>
          <w:sz w:val="17"/>
          <w:szCs w:val="17"/>
          <w:b w:val="1"/>
          <w:bCs w:val="1"/>
          <w:u w:val="single" w:color="auto"/>
          <w:color w:val="auto"/>
        </w:rPr>
        <w:t>FOR</w:t>
      </w:r>
      <w:r>
        <w:rPr>
          <w:rFonts w:ascii="Arial" w:cs="Arial" w:eastAsia="Arial" w:hAnsi="Arial"/>
          <w:sz w:val="17"/>
          <w:szCs w:val="17"/>
          <w:b w:val="1"/>
          <w:bCs w:val="1"/>
          <w:color w:val="auto"/>
        </w:rPr>
        <w:t xml:space="preserve"> all nominees listed in proposal 1, and </w:t>
      </w:r>
      <w:r>
        <w:rPr>
          <w:rFonts w:ascii="Arial" w:cs="Arial" w:eastAsia="Arial" w:hAnsi="Arial"/>
          <w:sz w:val="17"/>
          <w:szCs w:val="17"/>
          <w:b w:val="1"/>
          <w:bCs w:val="1"/>
          <w:u w:val="single" w:color="auto"/>
          <w:color w:val="auto"/>
        </w:rPr>
        <w:t>FOR</w:t>
      </w:r>
      <w:r>
        <w:rPr>
          <w:rFonts w:ascii="Arial" w:cs="Arial" w:eastAsia="Arial" w:hAnsi="Arial"/>
          <w:sz w:val="17"/>
          <w:szCs w:val="17"/>
          <w:b w:val="1"/>
          <w:bCs w:val="1"/>
          <w:color w:val="auto"/>
        </w:rPr>
        <w:t xml:space="preserve"> proposals 2 and 3.</w:t>
      </w:r>
    </w:p>
    <w:p>
      <w:pPr>
        <w:spacing w:after="0" w:line="214" w:lineRule="exact"/>
        <w:rPr>
          <w:sz w:val="20"/>
          <w:szCs w:val="20"/>
          <w:color w:val="auto"/>
        </w:rPr>
      </w:pPr>
    </w:p>
    <w:p>
      <w:pPr>
        <w:ind w:left="120"/>
        <w:spacing w:after="0"/>
        <w:tabs>
          <w:tab w:leader="none" w:pos="360" w:val="left"/>
        </w:tabs>
        <w:rPr>
          <w:sz w:val="20"/>
          <w:szCs w:val="20"/>
          <w:color w:val="auto"/>
        </w:rPr>
      </w:pPr>
      <w:r>
        <w:rPr>
          <w:rFonts w:ascii="Arial" w:cs="Arial" w:eastAsia="Arial" w:hAnsi="Arial"/>
          <w:sz w:val="16"/>
          <w:szCs w:val="16"/>
          <w:color w:val="auto"/>
        </w:rPr>
        <w:t>1.</w:t>
        <w:tab/>
        <w:t>Election of the following Directors to serve a three-year term expiring at the 2025 annual meeting:</w:t>
      </w:r>
    </w:p>
    <w:p>
      <w:pPr>
        <w:spacing w:after="0" w:line="113" w:lineRule="exact"/>
        <w:rPr>
          <w:sz w:val="20"/>
          <w:szCs w:val="20"/>
          <w:color w:val="auto"/>
        </w:rPr>
      </w:pPr>
    </w:p>
    <w:p>
      <w:pPr>
        <w:ind w:left="560"/>
        <w:spacing w:after="0"/>
        <w:tabs>
          <w:tab w:leader="none" w:pos="1880" w:val="left"/>
          <w:tab w:leader="none" w:pos="2140" w:val="left"/>
          <w:tab w:leader="none" w:pos="3880" w:val="left"/>
          <w:tab w:leader="none" w:pos="4140" w:val="left"/>
          <w:tab w:leader="none" w:pos="6200" w:val="left"/>
          <w:tab w:leader="none" w:pos="6480" w:val="left"/>
          <w:tab w:leader="none" w:pos="8480" w:val="left"/>
          <w:tab w:leader="none" w:pos="8740" w:val="left"/>
        </w:tabs>
        <w:rPr>
          <w:sz w:val="20"/>
          <w:szCs w:val="20"/>
          <w:color w:val="auto"/>
        </w:rPr>
      </w:pPr>
      <w:r>
        <w:rPr>
          <w:rFonts w:ascii="Arial" w:cs="Arial" w:eastAsia="Arial" w:hAnsi="Arial"/>
          <w:sz w:val="16"/>
          <w:szCs w:val="16"/>
          <w:color w:val="auto"/>
        </w:rPr>
        <w:t>Nominees:</w:t>
      </w:r>
      <w:r>
        <w:rPr>
          <w:sz w:val="20"/>
          <w:szCs w:val="20"/>
          <w:color w:val="auto"/>
        </w:rPr>
        <w:tab/>
      </w:r>
      <w:r>
        <w:rPr>
          <w:rFonts w:ascii="Arial" w:cs="Arial" w:eastAsia="Arial" w:hAnsi="Arial"/>
          <w:sz w:val="16"/>
          <w:szCs w:val="16"/>
          <w:color w:val="auto"/>
        </w:rPr>
        <w:t>1.</w:t>
        <w:tab/>
        <w:t>Diane C. Creel</w:t>
      </w:r>
      <w:r>
        <w:rPr>
          <w:sz w:val="20"/>
          <w:szCs w:val="20"/>
          <w:color w:val="auto"/>
        </w:rPr>
        <w:tab/>
      </w:r>
      <w:r>
        <w:rPr>
          <w:rFonts w:ascii="Arial" w:cs="Arial" w:eastAsia="Arial" w:hAnsi="Arial"/>
          <w:sz w:val="16"/>
          <w:szCs w:val="16"/>
          <w:color w:val="auto"/>
        </w:rPr>
        <w:t>2.</w:t>
        <w:tab/>
        <w:t>Kenneth V. Garcia</w:t>
      </w:r>
      <w:r>
        <w:rPr>
          <w:sz w:val="20"/>
          <w:szCs w:val="20"/>
          <w:color w:val="auto"/>
        </w:rPr>
        <w:tab/>
      </w:r>
      <w:r>
        <w:rPr>
          <w:rFonts w:ascii="Arial" w:cs="Arial" w:eastAsia="Arial" w:hAnsi="Arial"/>
          <w:sz w:val="16"/>
          <w:szCs w:val="16"/>
          <w:color w:val="auto"/>
        </w:rPr>
        <w:t>3.</w:t>
        <w:tab/>
        <w:t>Ellis A. Jones</w:t>
      </w:r>
      <w:r>
        <w:rPr>
          <w:sz w:val="20"/>
          <w:szCs w:val="20"/>
          <w:color w:val="auto"/>
        </w:rPr>
        <w:tab/>
      </w:r>
      <w:r>
        <w:rPr>
          <w:rFonts w:ascii="Arial" w:cs="Arial" w:eastAsia="Arial" w:hAnsi="Arial"/>
          <w:sz w:val="16"/>
          <w:szCs w:val="16"/>
          <w:color w:val="auto"/>
        </w:rPr>
        <w:t>4.</w:t>
        <w:tab/>
        <w:t>Donald T. Misheff</w:t>
      </w:r>
    </w:p>
    <w:p>
      <w:pPr>
        <w:spacing w:after="0" w:line="166" w:lineRule="exact"/>
        <w:rPr>
          <w:sz w:val="20"/>
          <w:szCs w:val="20"/>
          <w:color w:val="auto"/>
        </w:rPr>
      </w:pPr>
    </w:p>
    <w:p>
      <w:pPr>
        <w:ind w:left="1560"/>
        <w:spacing w:after="0" w:line="184" w:lineRule="exact"/>
        <w:tabs>
          <w:tab w:leader="none" w:pos="5280" w:val="left"/>
        </w:tabs>
        <w:rPr>
          <w:sz w:val="20"/>
          <w:szCs w:val="20"/>
          <w:color w:val="auto"/>
        </w:rPr>
      </w:pPr>
      <w:r>
        <w:rPr>
          <w:rFonts w:ascii="MS PGothic" w:cs="MS PGothic" w:eastAsia="MS PGothic" w:hAnsi="MS PGothic"/>
          <w:sz w:val="16"/>
          <w:szCs w:val="16"/>
          <w:color w:val="auto"/>
        </w:rPr>
        <w:t>☐</w:t>
      </w:r>
      <w:r>
        <w:rPr>
          <w:rFonts w:ascii="Arial" w:cs="Arial" w:eastAsia="Arial" w:hAnsi="Arial"/>
          <w:sz w:val="16"/>
          <w:szCs w:val="16"/>
          <w:b w:val="1"/>
          <w:bCs w:val="1"/>
          <w:color w:val="auto"/>
        </w:rPr>
        <w:t xml:space="preserve"> FOR </w:t>
      </w:r>
      <w:r>
        <w:rPr>
          <w:rFonts w:ascii="Arial" w:cs="Arial" w:eastAsia="Arial" w:hAnsi="Arial"/>
          <w:sz w:val="16"/>
          <w:szCs w:val="16"/>
          <w:color w:val="auto"/>
        </w:rPr>
        <w:t>all nominees listed above</w:t>
      </w:r>
      <w:r>
        <w:rPr>
          <w:sz w:val="20"/>
          <w:szCs w:val="20"/>
          <w:color w:val="auto"/>
        </w:rPr>
        <w:tab/>
      </w:r>
      <w:r>
        <w:rPr>
          <w:rFonts w:ascii="MS PGothic" w:cs="MS PGothic" w:eastAsia="MS PGothic" w:hAnsi="MS PGothic"/>
          <w:sz w:val="16"/>
          <w:szCs w:val="16"/>
          <w:color w:val="auto"/>
        </w:rPr>
        <w:t xml:space="preserve">☐ </w:t>
      </w:r>
      <w:r>
        <w:rPr>
          <w:rFonts w:ascii="Arial" w:cs="Arial" w:eastAsia="Arial" w:hAnsi="Arial"/>
          <w:sz w:val="16"/>
          <w:szCs w:val="16"/>
          <w:b w:val="1"/>
          <w:bCs w:val="1"/>
          <w:color w:val="auto"/>
        </w:rPr>
        <w:t>WITHHOLD AUTHORITY</w:t>
      </w:r>
      <w:r>
        <w:rPr>
          <w:rFonts w:ascii="MS PGothic" w:cs="MS PGothic" w:eastAsia="MS PGothic" w:hAnsi="MS PGothic"/>
          <w:sz w:val="16"/>
          <w:szCs w:val="16"/>
          <w:color w:val="auto"/>
        </w:rPr>
        <w:t xml:space="preserve"> </w:t>
      </w:r>
      <w:r>
        <w:rPr>
          <w:rFonts w:ascii="Arial" w:cs="Arial" w:eastAsia="Arial" w:hAnsi="Arial"/>
          <w:sz w:val="16"/>
          <w:szCs w:val="16"/>
          <w:color w:val="auto"/>
        </w:rPr>
        <w:t>to vote for all nominees listed above</w:t>
      </w:r>
    </w:p>
    <w:p>
      <w:pPr>
        <w:spacing w:after="0" w:line="261" w:lineRule="exact"/>
        <w:rPr>
          <w:sz w:val="20"/>
          <w:szCs w:val="20"/>
          <w:color w:val="auto"/>
        </w:rPr>
      </w:pPr>
    </w:p>
    <w:p>
      <w:pPr>
        <w:ind w:left="1600"/>
        <w:spacing w:after="0"/>
        <w:rPr>
          <w:sz w:val="20"/>
          <w:szCs w:val="20"/>
          <w:color w:val="auto"/>
        </w:rPr>
      </w:pPr>
      <w:r>
        <w:rPr>
          <w:rFonts w:ascii="Arial" w:cs="Arial" w:eastAsia="Arial" w:hAnsi="Arial"/>
          <w:sz w:val="14"/>
          <w:szCs w:val="14"/>
          <w:b w:val="1"/>
          <w:bCs w:val="1"/>
          <w:color w:val="auto"/>
        </w:rPr>
        <w:t>To withhold authority to vote for any individual nominee, write the nominee’s name or number on the line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990600</wp:posOffset>
            </wp:positionH>
            <wp:positionV relativeFrom="paragraph">
              <wp:posOffset>274955</wp:posOffset>
            </wp:positionV>
            <wp:extent cx="5177790"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517779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120"/>
        <w:spacing w:after="0"/>
        <w:tabs>
          <w:tab w:leader="none" w:pos="360" w:val="left"/>
        </w:tabs>
        <w:rPr>
          <w:sz w:val="20"/>
          <w:szCs w:val="20"/>
          <w:color w:val="auto"/>
        </w:rPr>
      </w:pPr>
      <w:r>
        <w:rPr>
          <w:rFonts w:ascii="Arial" w:cs="Arial" w:eastAsia="Arial" w:hAnsi="Arial"/>
          <w:sz w:val="16"/>
          <w:szCs w:val="16"/>
          <w:color w:val="auto"/>
        </w:rPr>
        <w:t>2.</w:t>
        <w:tab/>
        <w:t>Ratification of the selection of Ernst &amp; Young LLP as the company’s independent auditor for the fiscal year ending December 31, 2022.</w:t>
      </w:r>
    </w:p>
    <w:p>
      <w:pPr>
        <w:spacing w:after="0" w:line="48" w:lineRule="exact"/>
        <w:rPr>
          <w:sz w:val="20"/>
          <w:szCs w:val="20"/>
          <w:color w:val="auto"/>
        </w:rPr>
      </w:pPr>
    </w:p>
    <w:p>
      <w:pPr>
        <w:ind w:left="1580"/>
        <w:spacing w:after="0" w:line="196" w:lineRule="exact"/>
        <w:tabs>
          <w:tab w:leader="none" w:pos="3320" w:val="left"/>
          <w:tab w:leader="none" w:pos="5480" w:val="left"/>
        </w:tabs>
        <w:rPr>
          <w:sz w:val="20"/>
          <w:szCs w:val="20"/>
          <w:color w:val="auto"/>
        </w:rPr>
      </w:pPr>
      <w:r>
        <w:rPr>
          <w:rFonts w:ascii="MS PGothic" w:cs="MS PGothic" w:eastAsia="MS PGothic" w:hAnsi="MS PGothic"/>
          <w:sz w:val="17"/>
          <w:szCs w:val="17"/>
          <w:color w:val="auto"/>
        </w:rPr>
        <w:t>☐</w:t>
      </w:r>
      <w:r>
        <w:rPr>
          <w:rFonts w:ascii="Arial" w:cs="Arial" w:eastAsia="Arial" w:hAnsi="Arial"/>
          <w:sz w:val="17"/>
          <w:szCs w:val="17"/>
          <w:b w:val="1"/>
          <w:bCs w:val="1"/>
          <w:color w:val="auto"/>
        </w:rPr>
        <w:t xml:space="preserve"> FOR</w:t>
      </w:r>
      <w:r>
        <w:rPr>
          <w:sz w:val="20"/>
          <w:szCs w:val="20"/>
          <w:color w:val="auto"/>
        </w:rPr>
        <w:tab/>
      </w:r>
      <w:r>
        <w:rPr>
          <w:rFonts w:ascii="MS PGothic" w:cs="MS PGothic" w:eastAsia="MS PGothic" w:hAnsi="MS PGothic"/>
          <w:sz w:val="17"/>
          <w:szCs w:val="17"/>
          <w:color w:val="auto"/>
        </w:rPr>
        <w:t xml:space="preserve">☐ </w:t>
      </w:r>
      <w:r>
        <w:rPr>
          <w:rFonts w:ascii="Arial" w:cs="Arial" w:eastAsia="Arial" w:hAnsi="Arial"/>
          <w:sz w:val="17"/>
          <w:szCs w:val="17"/>
          <w:b w:val="1"/>
          <w:bCs w:val="1"/>
          <w:color w:val="auto"/>
        </w:rPr>
        <w:t>AGAINST</w:t>
      </w:r>
      <w:r>
        <w:rPr>
          <w:sz w:val="20"/>
          <w:szCs w:val="20"/>
          <w:color w:val="auto"/>
        </w:rPr>
        <w:tab/>
      </w:r>
      <w:r>
        <w:rPr>
          <w:rFonts w:ascii="MS PGothic" w:cs="MS PGothic" w:eastAsia="MS PGothic" w:hAnsi="MS PGothic"/>
          <w:sz w:val="17"/>
          <w:szCs w:val="17"/>
          <w:color w:val="auto"/>
        </w:rPr>
        <w:t xml:space="preserve">☐ </w:t>
      </w:r>
      <w:r>
        <w:rPr>
          <w:rFonts w:ascii="Arial" w:cs="Arial" w:eastAsia="Arial" w:hAnsi="Arial"/>
          <w:sz w:val="17"/>
          <w:szCs w:val="17"/>
          <w:b w:val="1"/>
          <w:bCs w:val="1"/>
          <w:color w:val="auto"/>
        </w:rPr>
        <w:t>ABSTAIN</w:t>
      </w:r>
    </w:p>
    <w:p>
      <w:pPr>
        <w:spacing w:after="0" w:line="275" w:lineRule="exact"/>
        <w:rPr>
          <w:sz w:val="20"/>
          <w:szCs w:val="20"/>
          <w:color w:val="auto"/>
        </w:rPr>
      </w:pPr>
    </w:p>
    <w:p>
      <w:pPr>
        <w:ind w:left="120"/>
        <w:spacing w:after="0"/>
        <w:rPr>
          <w:sz w:val="20"/>
          <w:szCs w:val="20"/>
          <w:color w:val="auto"/>
        </w:rPr>
      </w:pPr>
      <w:r>
        <w:rPr>
          <w:rFonts w:ascii="Arial" w:cs="Arial" w:eastAsia="Arial" w:hAnsi="Arial"/>
          <w:sz w:val="16"/>
          <w:szCs w:val="16"/>
          <w:color w:val="auto"/>
        </w:rPr>
        <w:t>3.  Approval, on an advisory basis, of the compensation of the company’s named executive officers.</w:t>
      </w:r>
    </w:p>
    <w:p>
      <w:pPr>
        <w:spacing w:after="0" w:line="48" w:lineRule="exact"/>
        <w:rPr>
          <w:sz w:val="20"/>
          <w:szCs w:val="20"/>
          <w:color w:val="auto"/>
        </w:rPr>
      </w:pPr>
    </w:p>
    <w:p>
      <w:pPr>
        <w:ind w:left="1580"/>
        <w:spacing w:after="0" w:line="196" w:lineRule="exact"/>
        <w:tabs>
          <w:tab w:leader="none" w:pos="3320" w:val="left"/>
          <w:tab w:leader="none" w:pos="5480" w:val="left"/>
        </w:tabs>
        <w:rPr>
          <w:sz w:val="20"/>
          <w:szCs w:val="20"/>
          <w:color w:val="auto"/>
        </w:rPr>
      </w:pPr>
      <w:r>
        <w:rPr>
          <w:rFonts w:ascii="MS PGothic" w:cs="MS PGothic" w:eastAsia="MS PGothic" w:hAnsi="MS PGothic"/>
          <w:sz w:val="17"/>
          <w:szCs w:val="17"/>
          <w:color w:val="auto"/>
        </w:rPr>
        <w:t>☐</w:t>
      </w:r>
      <w:r>
        <w:rPr>
          <w:rFonts w:ascii="Arial" w:cs="Arial" w:eastAsia="Arial" w:hAnsi="Arial"/>
          <w:sz w:val="17"/>
          <w:szCs w:val="17"/>
          <w:b w:val="1"/>
          <w:bCs w:val="1"/>
          <w:color w:val="auto"/>
        </w:rPr>
        <w:t xml:space="preserve"> FOR</w:t>
      </w:r>
      <w:r>
        <w:rPr>
          <w:sz w:val="20"/>
          <w:szCs w:val="20"/>
          <w:color w:val="auto"/>
        </w:rPr>
        <w:tab/>
      </w:r>
      <w:r>
        <w:rPr>
          <w:rFonts w:ascii="MS PGothic" w:cs="MS PGothic" w:eastAsia="MS PGothic" w:hAnsi="MS PGothic"/>
          <w:sz w:val="17"/>
          <w:szCs w:val="17"/>
          <w:color w:val="auto"/>
        </w:rPr>
        <w:t xml:space="preserve">☐ </w:t>
      </w:r>
      <w:r>
        <w:rPr>
          <w:rFonts w:ascii="Arial" w:cs="Arial" w:eastAsia="Arial" w:hAnsi="Arial"/>
          <w:sz w:val="17"/>
          <w:szCs w:val="17"/>
          <w:b w:val="1"/>
          <w:bCs w:val="1"/>
          <w:color w:val="auto"/>
        </w:rPr>
        <w:t>AGAINST</w:t>
      </w:r>
      <w:r>
        <w:rPr>
          <w:sz w:val="20"/>
          <w:szCs w:val="20"/>
          <w:color w:val="auto"/>
        </w:rPr>
        <w:tab/>
      </w:r>
      <w:r>
        <w:rPr>
          <w:rFonts w:ascii="MS PGothic" w:cs="MS PGothic" w:eastAsia="MS PGothic" w:hAnsi="MS PGothic"/>
          <w:sz w:val="17"/>
          <w:szCs w:val="17"/>
          <w:color w:val="auto"/>
        </w:rPr>
        <w:t xml:space="preserve">☐ </w:t>
      </w:r>
      <w:r>
        <w:rPr>
          <w:rFonts w:ascii="Arial" w:cs="Arial" w:eastAsia="Arial" w:hAnsi="Arial"/>
          <w:sz w:val="17"/>
          <w:szCs w:val="17"/>
          <w:b w:val="1"/>
          <w:bCs w:val="1"/>
          <w:color w:val="auto"/>
        </w:rPr>
        <w:t>ABSTAIN</w:t>
      </w:r>
    </w:p>
    <w:p>
      <w:pPr>
        <w:spacing w:after="0" w:line="30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In their discretion, the proxies are authorized to vote upon such other business as may properly come before the meeting.</w:t>
      </w:r>
    </w:p>
    <w:p>
      <w:pPr>
        <w:spacing w:after="0" w:line="326" w:lineRule="exact"/>
        <w:rPr>
          <w:sz w:val="20"/>
          <w:szCs w:val="20"/>
          <w:color w:val="auto"/>
        </w:rPr>
      </w:pPr>
    </w:p>
    <w:p>
      <w:pPr>
        <w:ind w:left="380" w:hanging="264"/>
        <w:spacing w:after="0"/>
        <w:tabs>
          <w:tab w:leader="none" w:pos="380" w:val="left"/>
        </w:tabs>
        <w:numPr>
          <w:ilvl w:val="0"/>
          <w:numId w:val="70"/>
        </w:numPr>
        <w:rPr>
          <w:rFonts w:ascii="MS PGothic" w:cs="MS PGothic" w:eastAsia="MS PGothic" w:hAnsi="MS PGothic"/>
          <w:sz w:val="13"/>
          <w:szCs w:val="13"/>
          <w:color w:val="auto"/>
        </w:rPr>
      </w:pPr>
      <w:r>
        <w:rPr>
          <w:rFonts w:ascii="Arial" w:cs="Arial" w:eastAsia="Arial" w:hAnsi="Arial"/>
          <w:sz w:val="13"/>
          <w:szCs w:val="13"/>
          <w:color w:val="auto"/>
        </w:rPr>
        <w:t>PLEASE CHECK THIS BOX IF YOU CONSENT TO ACCESS FUTURE ANNUAL REPORTS AND PROXY MATERIAL VIA THE INTERNET ONLY.</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218" w:lineRule="exact"/>
        <w:rPr>
          <w:sz w:val="20"/>
          <w:szCs w:val="20"/>
          <w:color w:val="auto"/>
        </w:rPr>
      </w:pPr>
    </w:p>
    <w:p>
      <w:pPr>
        <w:jc w:val="center"/>
        <w:ind w:right="-99"/>
        <w:spacing w:after="0"/>
        <w:rPr>
          <w:sz w:val="20"/>
          <w:szCs w:val="20"/>
          <w:color w:val="auto"/>
        </w:rPr>
      </w:pPr>
      <w:r>
        <w:rPr>
          <w:rFonts w:ascii="Arial" w:cs="Arial" w:eastAsia="Arial" w:hAnsi="Arial"/>
          <w:sz w:val="14"/>
          <w:szCs w:val="14"/>
          <w:b w:val="1"/>
          <w:bCs w:val="1"/>
          <w:color w:val="auto"/>
        </w:rPr>
        <w:t>CONTINUED AND TO BE SIGNED ON THE REVERSE SIDE.</w:t>
      </w:r>
    </w:p>
    <w:sectPr>
      <w:pgSz w:w="11900" w:h="16838" w:orient="portrait"/>
      <w:cols w:equalWidth="0" w:num="1">
        <w:col w:w="11140"/>
      </w:cols>
      <w:pgMar w:left="320" w:top="459" w:right="439"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40BADFC"/>
    <w:multiLevelType w:val="hybridMultilevel"/>
    <w:lvl w:ilvl="0">
      <w:lvlJc w:val="left"/>
      <w:lvlText w:val="☐"/>
      <w:numFmt w:val="bullet"/>
      <w:start w:val="1"/>
    </w:lvl>
  </w:abstractNum>
  <w:abstractNum w:abstractNumId="1">
    <w:nsid w:val="5072367"/>
    <w:multiLevelType w:val="hybridMultilevel"/>
    <w:lvl w:ilvl="0">
      <w:lvlJc w:val="left"/>
      <w:lvlText w:val="☒"/>
      <w:numFmt w:val="bullet"/>
      <w:start w:val="1"/>
    </w:lvl>
  </w:abstractNum>
  <w:abstractNum w:abstractNumId="2">
    <w:nsid w:val="3804823E"/>
    <w:multiLevelType w:val="hybridMultilevel"/>
    <w:lvl w:ilvl="0">
      <w:lvlJc w:val="left"/>
      <w:lvlText w:val="☐"/>
      <w:numFmt w:val="bullet"/>
      <w:start w:val="1"/>
    </w:lvl>
  </w:abstractNum>
  <w:abstractNum w:abstractNumId="3">
    <w:nsid w:val="77465F01"/>
    <w:multiLevelType w:val="hybridMultilevel"/>
    <w:lvl w:ilvl="0">
      <w:lvlJc w:val="left"/>
      <w:lvlText w:val="•"/>
      <w:numFmt w:val="bullet"/>
      <w:start w:val="1"/>
    </w:lvl>
  </w:abstractNum>
  <w:abstractNum w:abstractNumId="4">
    <w:nsid w:val="7724C67E"/>
    <w:multiLevelType w:val="hybridMultilevel"/>
    <w:lvl w:ilvl="0">
      <w:lvlJc w:val="left"/>
      <w:lvlText w:val="%1."/>
      <w:numFmt w:val="decimal"/>
      <w:start w:val="1"/>
    </w:lvl>
  </w:abstractNum>
  <w:abstractNum w:abstractNumId="5">
    <w:nsid w:val="5C482A97"/>
    <w:multiLevelType w:val="hybridMultilevel"/>
    <w:lvl w:ilvl="0">
      <w:lvlJc w:val="left"/>
      <w:lvlText w:val="•"/>
      <w:numFmt w:val="bullet"/>
      <w:start w:val="1"/>
    </w:lvl>
  </w:abstractNum>
  <w:abstractNum w:abstractNumId="6">
    <w:nsid w:val="2463B9EA"/>
    <w:multiLevelType w:val="hybridMultilevel"/>
    <w:lvl w:ilvl="0">
      <w:lvlJc w:val="left"/>
      <w:lvlText w:val="(%1)"/>
      <w:numFmt w:val="decimal"/>
      <w:start w:val="1"/>
    </w:lvl>
  </w:abstractNum>
  <w:abstractNum w:abstractNumId="7">
    <w:nsid w:val="5E884ADC"/>
    <w:multiLevelType w:val="hybridMultilevel"/>
    <w:lvl w:ilvl="0">
      <w:lvlJc w:val="left"/>
      <w:lvlText w:val="✓"/>
      <w:numFmt w:val="bullet"/>
      <w:start w:val="1"/>
    </w:lvl>
  </w:abstractNum>
  <w:abstractNum w:abstractNumId="8">
    <w:nsid w:val="51EAD36B"/>
    <w:multiLevelType w:val="hybridMultilevel"/>
    <w:lvl w:ilvl="0">
      <w:lvlJc w:val="left"/>
      <w:lvlText w:val="(%1)"/>
      <w:numFmt w:val="decimal"/>
      <w:start w:val="1"/>
    </w:lvl>
  </w:abstractNum>
  <w:abstractNum w:abstractNumId="9">
    <w:nsid w:val="2D517796"/>
    <w:multiLevelType w:val="hybridMultilevel"/>
    <w:lvl w:ilvl="0">
      <w:lvlJc w:val="left"/>
      <w:lvlText w:val="✓"/>
      <w:numFmt w:val="bullet"/>
      <w:start w:val="1"/>
    </w:lvl>
    <w:lvl w:ilvl="1">
      <w:lvlJc w:val="left"/>
      <w:lvlText w:val="•"/>
      <w:numFmt w:val="bullet"/>
      <w:start w:val="1"/>
    </w:lvl>
  </w:abstractNum>
  <w:abstractNum w:abstractNumId="10">
    <w:nsid w:val="580BD78F"/>
    <w:multiLevelType w:val="hybridMultilevel"/>
    <w:lvl w:ilvl="0">
      <w:lvlJc w:val="left"/>
      <w:lvlText w:val="✓"/>
      <w:numFmt w:val="bullet"/>
      <w:start w:val="1"/>
    </w:lvl>
  </w:abstractNum>
  <w:abstractNum w:abstractNumId="11">
    <w:nsid w:val="153EA438"/>
    <w:multiLevelType w:val="hybridMultilevel"/>
    <w:lvl w:ilvl="0">
      <w:lvlJc w:val="left"/>
      <w:lvlText w:val="✓"/>
      <w:numFmt w:val="bullet"/>
      <w:start w:val="1"/>
    </w:lvl>
    <w:lvl w:ilvl="1">
      <w:lvlJc w:val="left"/>
      <w:lvlText w:val="•"/>
      <w:numFmt w:val="bullet"/>
      <w:start w:val="1"/>
    </w:lvl>
  </w:abstractNum>
  <w:abstractNum w:abstractNumId="12">
    <w:nsid w:val="3855585C"/>
    <w:multiLevelType w:val="hybridMultilevel"/>
    <w:lvl w:ilvl="0">
      <w:lvlJc w:val="left"/>
      <w:lvlText w:val="✓"/>
      <w:numFmt w:val="bullet"/>
      <w:start w:val="1"/>
    </w:lvl>
  </w:abstractNum>
  <w:abstractNum w:abstractNumId="13">
    <w:nsid w:val="70A64E2A"/>
    <w:multiLevelType w:val="hybridMultilevel"/>
    <w:lvl w:ilvl="0">
      <w:lvlJc w:val="left"/>
      <w:lvlText w:val="✓"/>
      <w:numFmt w:val="bullet"/>
      <w:start w:val="1"/>
    </w:lvl>
  </w:abstractNum>
  <w:abstractNum w:abstractNumId="14">
    <w:nsid w:val="6A2342EC"/>
    <w:multiLevelType w:val="hybridMultilevel"/>
    <w:lvl w:ilvl="0">
      <w:lvlJc w:val="left"/>
      <w:lvlText w:val="•"/>
      <w:numFmt w:val="bullet"/>
      <w:start w:val="1"/>
    </w:lvl>
  </w:abstractNum>
  <w:abstractNum w:abstractNumId="15">
    <w:nsid w:val="2A487CB0"/>
    <w:multiLevelType w:val="hybridMultilevel"/>
    <w:lvl w:ilvl="0">
      <w:lvlJc w:val="left"/>
      <w:lvlText w:val="(%1)"/>
      <w:numFmt w:val="decimal"/>
      <w:start w:val="1"/>
    </w:lvl>
  </w:abstractNum>
  <w:abstractNum w:abstractNumId="16">
    <w:nsid w:val="1D4ED43B"/>
    <w:multiLevelType w:val="hybridMultilevel"/>
    <w:lvl w:ilvl="0">
      <w:lvlJc w:val="left"/>
      <w:lvlText w:val="(%1)"/>
      <w:numFmt w:val="decimal"/>
      <w:start w:val="1"/>
    </w:lvl>
  </w:abstractNum>
  <w:abstractNum w:abstractNumId="17">
    <w:nsid w:val="725A06FB"/>
    <w:multiLevelType w:val="hybridMultilevel"/>
    <w:lvl w:ilvl="0">
      <w:lvlJc w:val="left"/>
      <w:lvlText w:val="(%1)"/>
      <w:numFmt w:val="lowerLetter"/>
      <w:start w:val="2"/>
    </w:lvl>
  </w:abstractNum>
  <w:abstractNum w:abstractNumId="18">
    <w:nsid w:val="2CD89A32"/>
    <w:multiLevelType w:val="hybridMultilevel"/>
    <w:lvl w:ilvl="0">
      <w:lvlJc w:val="left"/>
      <w:lvlText w:val="•"/>
      <w:numFmt w:val="bullet"/>
      <w:start w:val="1"/>
    </w:lvl>
  </w:abstractNum>
  <w:abstractNum w:abstractNumId="19">
    <w:nsid w:val="57E4CCAF"/>
    <w:multiLevelType w:val="hybridMultilevel"/>
    <w:lvl w:ilvl="0">
      <w:lvlJc w:val="left"/>
      <w:lvlText w:val="•"/>
      <w:numFmt w:val="bullet"/>
      <w:start w:val="1"/>
    </w:lvl>
  </w:abstractNum>
  <w:abstractNum w:abstractNumId="20">
    <w:nsid w:val="7A6D8D3C"/>
    <w:multiLevelType w:val="hybridMultilevel"/>
    <w:lvl w:ilvl="0">
      <w:lvlJc w:val="left"/>
      <w:lvlText w:val="(%1)"/>
      <w:numFmt w:val="decimal"/>
      <w:start w:val="1"/>
    </w:lvl>
  </w:abstractNum>
  <w:abstractNum w:abstractNumId="21">
    <w:nsid w:val="4B588F54"/>
    <w:multiLevelType w:val="hybridMultilevel"/>
    <w:lvl w:ilvl="0">
      <w:lvlJc w:val="left"/>
      <w:lvlText w:val="•"/>
      <w:numFmt w:val="bullet"/>
      <w:start w:val="1"/>
    </w:lvl>
  </w:abstractNum>
  <w:abstractNum w:abstractNumId="22">
    <w:nsid w:val="542289EC"/>
    <w:multiLevelType w:val="hybridMultilevel"/>
    <w:lvl w:ilvl="0">
      <w:lvlJc w:val="left"/>
      <w:lvlText w:val="•"/>
      <w:numFmt w:val="bullet"/>
      <w:start w:val="1"/>
    </w:lvl>
  </w:abstractNum>
  <w:abstractNum w:abstractNumId="23">
    <w:nsid w:val="6DE91B18"/>
    <w:multiLevelType w:val="hybridMultilevel"/>
    <w:lvl w:ilvl="0">
      <w:lvlJc w:val="left"/>
      <w:lvlText w:val="*"/>
      <w:numFmt w:val="bullet"/>
      <w:start w:val="1"/>
    </w:lvl>
  </w:abstractNum>
  <w:abstractNum w:abstractNumId="24">
    <w:nsid w:val="38437FDB"/>
    <w:multiLevelType w:val="hybridMultilevel"/>
    <w:lvl w:ilvl="0">
      <w:lvlJc w:val="left"/>
      <w:lvlText w:val="(%1)"/>
      <w:numFmt w:val="decimal"/>
      <w:start w:val="1"/>
    </w:lvl>
  </w:abstractNum>
  <w:abstractNum w:abstractNumId="25">
    <w:nsid w:val="7644A45C"/>
    <w:multiLevelType w:val="hybridMultilevel"/>
    <w:lvl w:ilvl="0">
      <w:lvlJc w:val="left"/>
      <w:lvlText w:val="%1"/>
      <w:numFmt w:val="decimal"/>
      <w:start w:val="1"/>
    </w:lvl>
    <w:lvl w:ilvl="1">
      <w:lvlJc w:val="left"/>
      <w:lvlText w:val="(%2)"/>
      <w:numFmt w:val="lowerLetter"/>
      <w:start w:val="1"/>
    </w:lvl>
  </w:abstractNum>
  <w:abstractNum w:abstractNumId="26">
    <w:nsid w:val="32FFF902"/>
    <w:multiLevelType w:val="hybridMultilevel"/>
    <w:lvl w:ilvl="0">
      <w:lvlJc w:val="left"/>
      <w:lvlText w:val="(%1)"/>
      <w:numFmt w:val="decimal"/>
      <w:start w:val="3"/>
    </w:lvl>
    <w:lvl w:ilvl="1">
      <w:lvlJc w:val="left"/>
      <w:lvlText w:val="%2"/>
      <w:numFmt w:val="lowerLetter"/>
      <w:start w:val="1"/>
    </w:lvl>
  </w:abstractNum>
  <w:abstractNum w:abstractNumId="27">
    <w:nsid w:val="684A481A"/>
    <w:multiLevelType w:val="hybridMultilevel"/>
    <w:lvl w:ilvl="0">
      <w:lvlJc w:val="left"/>
      <w:lvlText w:val="(%1)"/>
      <w:numFmt w:val="decimal"/>
      <w:start w:val="1"/>
    </w:lvl>
  </w:abstractNum>
  <w:abstractNum w:abstractNumId="28">
    <w:nsid w:val="579478FE"/>
    <w:multiLevelType w:val="hybridMultilevel"/>
    <w:lvl w:ilvl="0">
      <w:lvlJc w:val="left"/>
      <w:lvlText w:val="(%1)"/>
      <w:numFmt w:val="lowerLetter"/>
      <w:start w:val="1"/>
    </w:lvl>
  </w:abstractNum>
  <w:abstractNum w:abstractNumId="29">
    <w:nsid w:val="749ABB43"/>
    <w:multiLevelType w:val="hybridMultilevel"/>
    <w:lvl w:ilvl="0">
      <w:lvlJc w:val="left"/>
      <w:lvlText w:val="•"/>
      <w:numFmt w:val="bullet"/>
      <w:start w:val="1"/>
    </w:lvl>
  </w:abstractNum>
  <w:abstractNum w:abstractNumId="30">
    <w:nsid w:val="3DC240FB"/>
    <w:multiLevelType w:val="hybridMultilevel"/>
    <w:lvl w:ilvl="0">
      <w:lvlJc w:val="left"/>
      <w:lvlText w:val="•"/>
      <w:numFmt w:val="bullet"/>
      <w:start w:val="1"/>
    </w:lvl>
  </w:abstractNum>
  <w:abstractNum w:abstractNumId="31">
    <w:nsid w:val="1BA026FA"/>
    <w:multiLevelType w:val="hybridMultilevel"/>
    <w:lvl w:ilvl="0">
      <w:lvlJc w:val="left"/>
      <w:lvlText w:val="\emdash "/>
      <w:numFmt w:val="bullet"/>
      <w:start w:val="1"/>
    </w:lvl>
  </w:abstractNum>
  <w:abstractNum w:abstractNumId="32">
    <w:nsid w:val="79A1DEAA"/>
    <w:multiLevelType w:val="hybridMultilevel"/>
    <w:lvl w:ilvl="0">
      <w:lvlJc w:val="left"/>
      <w:lvlText w:val="(%1)"/>
      <w:numFmt w:val="decimal"/>
      <w:start w:val="1"/>
    </w:lvl>
  </w:abstractNum>
  <w:abstractNum w:abstractNumId="33">
    <w:nsid w:val="75C6C33A"/>
    <w:multiLevelType w:val="hybridMultilevel"/>
    <w:lvl w:ilvl="0">
      <w:lvlJc w:val="left"/>
      <w:lvlText w:val="✓"/>
      <w:numFmt w:val="bullet"/>
      <w:start w:val="1"/>
    </w:lvl>
  </w:abstractNum>
  <w:abstractNum w:abstractNumId="34">
    <w:nsid w:val="12E685FB"/>
    <w:multiLevelType w:val="hybridMultilevel"/>
    <w:lvl w:ilvl="0">
      <w:lvlJc w:val="left"/>
      <w:lvlText w:val="•"/>
      <w:numFmt w:val="bullet"/>
      <w:start w:val="1"/>
    </w:lvl>
  </w:abstractNum>
  <w:abstractNum w:abstractNumId="35">
    <w:nsid w:val="70C6A529"/>
    <w:multiLevelType w:val="hybridMultilevel"/>
    <w:lvl w:ilvl="0">
      <w:lvlJc w:val="left"/>
      <w:lvlText w:val="•"/>
      <w:numFmt w:val="bullet"/>
      <w:start w:val="1"/>
    </w:lvl>
  </w:abstractNum>
  <w:abstractNum w:abstractNumId="36">
    <w:nsid w:val="520EEDD1"/>
    <w:multiLevelType w:val="hybridMultilevel"/>
    <w:lvl w:ilvl="0">
      <w:lvlJc w:val="left"/>
      <w:lvlText w:val="✓"/>
      <w:numFmt w:val="bullet"/>
      <w:start w:val="1"/>
    </w:lvl>
  </w:abstractNum>
  <w:abstractNum w:abstractNumId="37">
    <w:nsid w:val="374A3FE6"/>
    <w:multiLevelType w:val="hybridMultilevel"/>
    <w:lvl w:ilvl="0">
      <w:lvlJc w:val="left"/>
      <w:lvlText w:val="x"/>
      <w:numFmt w:val="bullet"/>
      <w:start w:val="1"/>
    </w:lvl>
  </w:abstractNum>
  <w:abstractNum w:abstractNumId="38">
    <w:nsid w:val="4F4EF005"/>
    <w:multiLevelType w:val="hybridMultilevel"/>
    <w:lvl w:ilvl="0">
      <w:lvlJc w:val="left"/>
      <w:lvlText w:val="✓"/>
      <w:numFmt w:val="bullet"/>
      <w:start w:val="1"/>
    </w:lvl>
  </w:abstractNum>
  <w:abstractNum w:abstractNumId="39">
    <w:nsid w:val="23F9C13C"/>
    <w:multiLevelType w:val="hybridMultilevel"/>
    <w:lvl w:ilvl="0">
      <w:lvlJc w:val="left"/>
      <w:lvlText w:val="•"/>
      <w:numFmt w:val="bullet"/>
      <w:start w:val="1"/>
    </w:lvl>
  </w:abstractNum>
  <w:abstractNum w:abstractNumId="40">
    <w:nsid w:val="649BB77C"/>
    <w:multiLevelType w:val="hybridMultilevel"/>
    <w:lvl w:ilvl="0">
      <w:lvlJc w:val="left"/>
      <w:lvlText w:val="•"/>
      <w:numFmt w:val="bullet"/>
      <w:start w:val="1"/>
    </w:lvl>
  </w:abstractNum>
  <w:abstractNum w:abstractNumId="41">
    <w:nsid w:val="275AC794"/>
    <w:multiLevelType w:val="hybridMultilevel"/>
    <w:lvl w:ilvl="0">
      <w:lvlJc w:val="left"/>
      <w:lvlText w:val="•"/>
      <w:numFmt w:val="bullet"/>
      <w:start w:val="1"/>
    </w:lvl>
  </w:abstractNum>
  <w:abstractNum w:abstractNumId="42">
    <w:nsid w:val="39386575"/>
    <w:multiLevelType w:val="hybridMultilevel"/>
    <w:lvl w:ilvl="0">
      <w:lvlJc w:val="left"/>
      <w:lvlText w:val="•"/>
      <w:numFmt w:val="bullet"/>
      <w:start w:val="1"/>
    </w:lvl>
  </w:abstractNum>
  <w:abstractNum w:abstractNumId="43">
    <w:nsid w:val="1CF10FD8"/>
    <w:multiLevelType w:val="hybridMultilevel"/>
    <w:lvl w:ilvl="0">
      <w:lvlJc w:val="left"/>
      <w:lvlText w:val="•"/>
      <w:numFmt w:val="bullet"/>
      <w:start w:val="1"/>
    </w:lvl>
  </w:abstractNum>
  <w:abstractNum w:abstractNumId="44">
    <w:nsid w:val="180115BE"/>
    <w:multiLevelType w:val="hybridMultilevel"/>
    <w:lvl w:ilvl="0">
      <w:lvlJc w:val="left"/>
      <w:lvlText w:val="•"/>
      <w:numFmt w:val="bullet"/>
      <w:start w:val="1"/>
    </w:lvl>
  </w:abstractNum>
  <w:abstractNum w:abstractNumId="45">
    <w:nsid w:val="235BA861"/>
    <w:multiLevelType w:val="hybridMultilevel"/>
    <w:lvl w:ilvl="0">
      <w:lvlJc w:val="left"/>
      <w:lvlText w:val="•"/>
      <w:numFmt w:val="bullet"/>
      <w:start w:val="1"/>
    </w:lvl>
  </w:abstractNum>
  <w:abstractNum w:abstractNumId="46">
    <w:nsid w:val="47398C89"/>
    <w:multiLevelType w:val="hybridMultilevel"/>
    <w:lvl w:ilvl="0">
      <w:lvlJc w:val="left"/>
      <w:lvlText w:val="•"/>
      <w:numFmt w:val="bullet"/>
      <w:start w:val="1"/>
    </w:lvl>
  </w:abstractNum>
  <w:abstractNum w:abstractNumId="47">
    <w:nsid w:val="354FE9F9"/>
    <w:multiLevelType w:val="hybridMultilevel"/>
    <w:lvl w:ilvl="0">
      <w:lvlJc w:val="left"/>
      <w:lvlText w:val="*"/>
      <w:numFmt w:val="bullet"/>
      <w:start w:val="1"/>
    </w:lvl>
  </w:abstractNum>
  <w:abstractNum w:abstractNumId="48">
    <w:nsid w:val="15B5AF5C"/>
    <w:multiLevelType w:val="hybridMultilevel"/>
    <w:lvl w:ilvl="0">
      <w:lvlJc w:val="left"/>
      <w:lvlText w:val="•"/>
      <w:numFmt w:val="bullet"/>
      <w:start w:val="1"/>
    </w:lvl>
  </w:abstractNum>
  <w:abstractNum w:abstractNumId="49">
    <w:nsid w:val="741226BB"/>
    <w:multiLevelType w:val="hybridMultilevel"/>
    <w:lvl w:ilvl="0">
      <w:lvlJc w:val="left"/>
      <w:lvlText w:val="•"/>
      <w:numFmt w:val="bullet"/>
      <w:start w:val="1"/>
    </w:lvl>
  </w:abstractNum>
  <w:abstractNum w:abstractNumId="50">
    <w:nsid w:val="D34B6A8"/>
    <w:multiLevelType w:val="hybridMultilevel"/>
    <w:lvl w:ilvl="0">
      <w:lvlJc w:val="left"/>
      <w:lvlText w:val="•"/>
      <w:numFmt w:val="bullet"/>
      <w:start w:val="1"/>
    </w:lvl>
  </w:abstractNum>
  <w:abstractNum w:abstractNumId="51">
    <w:nsid w:val="10233C99"/>
    <w:multiLevelType w:val="hybridMultilevel"/>
    <w:lvl w:ilvl="0">
      <w:lvlJc w:val="left"/>
      <w:lvlText w:val="*"/>
      <w:numFmt w:val="bullet"/>
      <w:start w:val="1"/>
    </w:lvl>
  </w:abstractNum>
  <w:abstractNum w:abstractNumId="52">
    <w:nsid w:val="3F6AB60F"/>
    <w:multiLevelType w:val="hybridMultilevel"/>
    <w:lvl w:ilvl="0">
      <w:lvlJc w:val="left"/>
      <w:lvlText w:val="•"/>
      <w:numFmt w:val="bullet"/>
      <w:start w:val="1"/>
    </w:lvl>
  </w:abstractNum>
  <w:abstractNum w:abstractNumId="53">
    <w:nsid w:val="61574095"/>
    <w:multiLevelType w:val="hybridMultilevel"/>
    <w:lvl w:ilvl="0">
      <w:lvlJc w:val="left"/>
      <w:lvlText w:val="(%1)"/>
      <w:numFmt w:val="decimal"/>
      <w:start w:val="1"/>
    </w:lvl>
  </w:abstractNum>
  <w:abstractNum w:abstractNumId="54">
    <w:nsid w:val="7E0C57B1"/>
    <w:multiLevelType w:val="hybridMultilevel"/>
    <w:lvl w:ilvl="0">
      <w:lvlJc w:val="left"/>
      <w:lvlText w:val="•"/>
      <w:numFmt w:val="bullet"/>
      <w:start w:val="1"/>
    </w:lvl>
  </w:abstractNum>
  <w:abstractNum w:abstractNumId="55">
    <w:nsid w:val="77AE35EB"/>
    <w:multiLevelType w:val="hybridMultilevel"/>
    <w:lvl w:ilvl="0">
      <w:lvlJc w:val="left"/>
      <w:lvlText w:val="(%1)"/>
      <w:numFmt w:val="decimal"/>
      <w:start w:val="1"/>
    </w:lvl>
  </w:abstractNum>
  <w:abstractNum w:abstractNumId="56">
    <w:nsid w:val="579BE4F1"/>
    <w:multiLevelType w:val="hybridMultilevel"/>
    <w:lvl w:ilvl="0">
      <w:lvlJc w:val="left"/>
      <w:lvlText w:val="(%1)"/>
      <w:numFmt w:val="decimal"/>
      <w:start w:val="2"/>
    </w:lvl>
  </w:abstractNum>
  <w:abstractNum w:abstractNumId="57">
    <w:nsid w:val="310C50B3"/>
    <w:multiLevelType w:val="hybridMultilevel"/>
    <w:lvl w:ilvl="0">
      <w:lvlJc w:val="left"/>
      <w:lvlText w:val="(%1)"/>
      <w:numFmt w:val="lowerLetter"/>
      <w:start w:val="1"/>
    </w:lvl>
  </w:abstractNum>
  <w:abstractNum w:abstractNumId="58">
    <w:nsid w:val="5FF87E05"/>
    <w:multiLevelType w:val="hybridMultilevel"/>
    <w:lvl w:ilvl="0">
      <w:lvlJc w:val="left"/>
      <w:lvlText w:val="(%1)"/>
      <w:numFmt w:val="lowerLetter"/>
      <w:start w:val="3"/>
    </w:lvl>
  </w:abstractNum>
  <w:abstractNum w:abstractNumId="59">
    <w:nsid w:val="2F305DEF"/>
    <w:multiLevelType w:val="hybridMultilevel"/>
    <w:lvl w:ilvl="0">
      <w:lvlJc w:val="left"/>
      <w:lvlText w:val="(%1)"/>
      <w:numFmt w:val="decimal"/>
      <w:start w:val="1"/>
    </w:lvl>
  </w:abstractNum>
  <w:abstractNum w:abstractNumId="60">
    <w:nsid w:val="25A70BF7"/>
    <w:multiLevelType w:val="hybridMultilevel"/>
    <w:lvl w:ilvl="0">
      <w:lvlJc w:val="left"/>
      <w:lvlText w:val="(%1)"/>
      <w:numFmt w:val="decimal"/>
      <w:start w:val="1"/>
    </w:lvl>
  </w:abstractNum>
  <w:abstractNum w:abstractNumId="61">
    <w:nsid w:val="1DBABF00"/>
    <w:multiLevelType w:val="hybridMultilevel"/>
    <w:lvl w:ilvl="0">
      <w:lvlJc w:val="left"/>
      <w:lvlText w:val="(%1)"/>
      <w:numFmt w:val="decimal"/>
      <w:start w:val="3"/>
    </w:lvl>
  </w:abstractNum>
  <w:abstractNum w:abstractNumId="62">
    <w:nsid w:val="4AD084E9"/>
    <w:multiLevelType w:val="hybridMultilevel"/>
    <w:lvl w:ilvl="0">
      <w:lvlJc w:val="left"/>
      <w:lvlText w:val="(%1)"/>
      <w:numFmt w:val="decimal"/>
      <w:start w:val="1"/>
    </w:lvl>
  </w:abstractNum>
  <w:abstractNum w:abstractNumId="63">
    <w:nsid w:val="1F48EAA1"/>
    <w:multiLevelType w:val="hybridMultilevel"/>
    <w:lvl w:ilvl="0">
      <w:lvlJc w:val="left"/>
      <w:lvlText w:val="(%1)"/>
      <w:numFmt w:val="decimal"/>
      <w:start w:val="1"/>
    </w:lvl>
  </w:abstractNum>
  <w:abstractNum w:abstractNumId="64">
    <w:nsid w:val="1381823A"/>
    <w:multiLevelType w:val="hybridMultilevel"/>
    <w:lvl w:ilvl="0">
      <w:lvlJc w:val="left"/>
      <w:lvlText w:val="(%1)"/>
      <w:numFmt w:val="decimal"/>
      <w:start w:val="1"/>
    </w:lvl>
  </w:abstractNum>
  <w:abstractNum w:abstractNumId="65">
    <w:nsid w:val="5DB70AE5"/>
    <w:multiLevelType w:val="hybridMultilevel"/>
    <w:lvl w:ilvl="0">
      <w:lvlJc w:val="left"/>
      <w:lvlText w:val="(%1)"/>
      <w:numFmt w:val="decimal"/>
      <w:start w:val="1"/>
    </w:lvl>
  </w:abstractNum>
  <w:abstractNum w:abstractNumId="66">
    <w:nsid w:val="100F8FCA"/>
    <w:multiLevelType w:val="hybridMultilevel"/>
    <w:lvl w:ilvl="0">
      <w:lvlJc w:val="left"/>
      <w:lvlText w:val="•"/>
      <w:numFmt w:val="bullet"/>
      <w:start w:val="1"/>
    </w:lvl>
  </w:abstractNum>
  <w:abstractNum w:abstractNumId="67">
    <w:nsid w:val="6590700B"/>
    <w:multiLevelType w:val="hybridMultilevel"/>
    <w:lvl w:ilvl="0">
      <w:lvlJc w:val="left"/>
      <w:lvlText w:val="•"/>
      <w:numFmt w:val="bullet"/>
      <w:start w:val="1"/>
    </w:lvl>
  </w:abstractNum>
  <w:abstractNum w:abstractNumId="68">
    <w:nsid w:val="15014ACB"/>
    <w:multiLevelType w:val="hybridMultilevel"/>
    <w:lvl w:ilvl="0">
      <w:lvlJc w:val="left"/>
      <w:lvlText w:val="(%1)"/>
      <w:numFmt w:val="decimal"/>
      <w:start w:val="1"/>
    </w:lvl>
  </w:abstractNum>
  <w:abstractNum w:abstractNumId="69">
    <w:nsid w:val="5F5E7FD0"/>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jpe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jpe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jpe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jpe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jpe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jpe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jpe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jpeg"/><Relationship Id="rId259" Type="http://schemas.openxmlformats.org/officeDocument/2006/relationships/image" Target="media/image252.png"/><Relationship Id="rId260" Type="http://schemas.openxmlformats.org/officeDocument/2006/relationships/image" Target="media/image25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2022-03-17T05:17:47Z</dcterms:created>
  <dcterms:modified xsi:type="dcterms:W3CDTF">2022-03-17T05:17:47Z</dcterms:modified>
</cp:coreProperties>
</file>